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424(b)(4)</w:t>
      </w:r>
    </w:p>
    <w:p>
      <w:pPr>
        <w:spacing w:after="0" w:line="2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333-250150</w:t>
      </w:r>
    </w:p>
    <w:p>
      <w:pPr>
        <w:spacing w:after="0" w:line="114" w:lineRule="exact"/>
        <w:rPr>
          <w:sz w:val="24"/>
          <w:szCs w:val="24"/>
          <w:color w:val="auto"/>
        </w:rPr>
      </w:pPr>
    </w:p>
    <w:p>
      <w:pPr>
        <w:jc w:val="center"/>
        <w:ind w:right="-99"/>
        <w:spacing w:after="0"/>
        <w:rPr>
          <w:sz w:val="20"/>
          <w:szCs w:val="20"/>
          <w:color w:val="auto"/>
        </w:rPr>
      </w:pPr>
      <w:r>
        <w:rPr>
          <w:rFonts w:ascii="Arial" w:cs="Arial" w:eastAsia="Arial" w:hAnsi="Arial"/>
          <w:sz w:val="25"/>
          <w:szCs w:val="25"/>
          <w:color w:val="auto"/>
        </w:rPr>
        <w:t>8,400,000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2327910</wp:posOffset>
            </wp:positionH>
            <wp:positionV relativeFrom="paragraph">
              <wp:posOffset>257175</wp:posOffset>
            </wp:positionV>
            <wp:extent cx="2486025" cy="754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86025"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99"/>
        <w:spacing w:after="0"/>
        <w:rPr>
          <w:sz w:val="20"/>
          <w:szCs w:val="20"/>
          <w:color w:val="auto"/>
        </w:rPr>
      </w:pPr>
      <w:r>
        <w:rPr>
          <w:rFonts w:ascii="Arial" w:cs="Arial" w:eastAsia="Arial" w:hAnsi="Arial"/>
          <w:sz w:val="25"/>
          <w:szCs w:val="25"/>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231140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ind w:left="120" w:right="120" w:firstLine="551"/>
        <w:spacing w:after="0" w:line="276" w:lineRule="auto"/>
        <w:rPr>
          <w:sz w:val="20"/>
          <w:szCs w:val="20"/>
          <w:color w:val="auto"/>
        </w:rPr>
      </w:pPr>
      <w:r>
        <w:rPr>
          <w:rFonts w:ascii="Arial" w:cs="Arial" w:eastAsia="Arial" w:hAnsi="Arial"/>
          <w:sz w:val="18"/>
          <w:szCs w:val="18"/>
          <w:color w:val="auto"/>
        </w:rPr>
        <w:t>This is the initial public offering of shares of common stock of 4D Molecular Therapeutics, Inc. We are offering 8,400,000 shares of our common stock.</w:t>
      </w:r>
    </w:p>
    <w:p>
      <w:pPr>
        <w:spacing w:after="0" w:line="104" w:lineRule="exact"/>
        <w:rPr>
          <w:sz w:val="24"/>
          <w:szCs w:val="24"/>
          <w:color w:val="auto"/>
        </w:rPr>
      </w:pPr>
    </w:p>
    <w:p>
      <w:pPr>
        <w:ind w:left="660" w:right="340"/>
        <w:spacing w:after="0" w:line="446"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is $23.00 per share. Our common stock has been approved for listing on the Nasdaq Global Select Market under the symbol “FDMT.”</w:t>
      </w:r>
    </w:p>
    <w:p>
      <w:pPr>
        <w:ind w:left="120" w:right="460" w:firstLine="551"/>
        <w:spacing w:after="0" w:line="276" w:lineRule="auto"/>
        <w:rPr>
          <w:sz w:val="20"/>
          <w:szCs w:val="20"/>
          <w:color w:val="auto"/>
        </w:rPr>
      </w:pPr>
      <w:r>
        <w:rPr>
          <w:rFonts w:ascii="Arial" w:cs="Arial" w:eastAsia="Arial" w:hAnsi="Arial"/>
          <w:sz w:val="18"/>
          <w:szCs w:val="18"/>
          <w:color w:val="auto"/>
        </w:rPr>
        <w:t>We are an “emerging growth company” as defined under the federal securities laws and, as such, have elected to comply with certain reduced public company reporting requirements in this prospectus and may elect to do so in future filings.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175260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left="120" w:right="320" w:firstLine="551"/>
        <w:spacing w:after="0" w:line="274" w:lineRule="auto"/>
        <w:rPr>
          <w:rFonts w:ascii="Arial" w:cs="Arial" w:eastAsia="Arial" w:hAnsi="Arial"/>
          <w:sz w:val="18"/>
          <w:szCs w:val="18"/>
          <w:i w:val="1"/>
          <w:iCs w:val="1"/>
          <w:color w:val="auto"/>
        </w:rPr>
      </w:pPr>
      <w:r>
        <w:rPr>
          <w:rFonts w:ascii="Arial" w:cs="Arial" w:eastAsia="Arial" w:hAnsi="Arial"/>
          <w:sz w:val="18"/>
          <w:szCs w:val="18"/>
          <w:i w:val="1"/>
          <w:iCs w:val="1"/>
          <w:color w:val="auto"/>
        </w:rPr>
        <w:t>See the section titled “</w:t>
      </w:r>
      <w:hyperlink w:anchor="page16">
        <w:r>
          <w:rPr>
            <w:rFonts w:ascii="Arial" w:cs="Arial" w:eastAsia="Arial" w:hAnsi="Arial"/>
            <w:sz w:val="18"/>
            <w:szCs w:val="18"/>
            <w:i w:val="1"/>
            <w:iCs w:val="1"/>
            <w:u w:val="single" w:color="auto"/>
            <w:color w:val="0000EE"/>
          </w:rPr>
          <w:t>Risk Factors</w:t>
        </w:r>
      </w:hyperlink>
      <w:r>
        <w:rPr>
          <w:rFonts w:ascii="Arial" w:cs="Arial" w:eastAsia="Arial" w:hAnsi="Arial"/>
          <w:sz w:val="18"/>
          <w:szCs w:val="18"/>
          <w:i w:val="1"/>
          <w:iCs w:val="1"/>
          <w:color w:val="auto"/>
        </w:rPr>
        <w:t>” beginning on page 14 to read about factors you should consider before deciding to invest in shares of our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175895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both"/>
        <w:ind w:left="120" w:right="260" w:firstLine="551"/>
        <w:spacing w:after="0" w:line="26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187325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tbl>
      <w:tblPr>
        <w:tblLayout w:type="fixed"/>
        <w:tblInd w:w="120" w:type="dxa"/>
        <w:tblCellMar>
          <w:top w:w="0" w:type="dxa"/>
          <w:left w:w="0" w:type="dxa"/>
          <w:bottom w:w="0" w:type="dxa"/>
          <w:right w:w="0" w:type="dxa"/>
        </w:tblCellMar>
      </w:tblPr>
      <w:tr>
        <w:trPr>
          <w:trHeight w:val="225"/>
        </w:trPr>
        <w:tc>
          <w:tcPr>
            <w:tcW w:w="8280" w:type="dxa"/>
            <w:vAlign w:val="bottom"/>
          </w:tcPr>
          <w:p>
            <w:pPr>
              <w:spacing w:after="0"/>
              <w:rPr>
                <w:sz w:val="19"/>
                <w:szCs w:val="19"/>
                <w:color w:val="auto"/>
              </w:rPr>
            </w:pPr>
          </w:p>
        </w:tc>
        <w:tc>
          <w:tcPr>
            <w:tcW w:w="1080" w:type="dxa"/>
            <w:vAlign w:val="bottom"/>
            <w:gridSpan w:val="3"/>
          </w:tcPr>
          <w:p>
            <w:pPr>
              <w:ind w:left="20"/>
              <w:spacing w:after="0"/>
              <w:rPr>
                <w:sz w:val="20"/>
                <w:szCs w:val="20"/>
                <w:color w:val="auto"/>
              </w:rPr>
            </w:pPr>
            <w:r>
              <w:rPr>
                <w:rFonts w:ascii="Arial" w:cs="Arial" w:eastAsia="Arial" w:hAnsi="Arial"/>
                <w:sz w:val="18"/>
                <w:szCs w:val="18"/>
                <w:color w:val="auto"/>
              </w:rPr>
              <w:t>Per Share</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ind w:left="380"/>
              <w:spacing w:after="0"/>
              <w:rPr>
                <w:sz w:val="20"/>
                <w:szCs w:val="20"/>
                <w:color w:val="auto"/>
              </w:rPr>
            </w:pPr>
            <w:r>
              <w:rPr>
                <w:rFonts w:ascii="Arial" w:cs="Arial" w:eastAsia="Arial" w:hAnsi="Arial"/>
                <w:sz w:val="18"/>
                <w:szCs w:val="18"/>
                <w:color w:val="auto"/>
              </w:rPr>
              <w:t>Total</w:t>
            </w:r>
          </w:p>
        </w:tc>
      </w:tr>
      <w:tr>
        <w:trPr>
          <w:trHeight w:val="196"/>
        </w:trPr>
        <w:tc>
          <w:tcPr>
            <w:tcW w:w="8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Initial public offering price</w:t>
            </w:r>
          </w:p>
        </w:tc>
        <w:tc>
          <w:tcPr>
            <w:tcW w:w="2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23.00</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193,200,000.00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2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1.61</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13,524,000.00</w:t>
            </w: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 to 4D Molecular Therapeutics, Inc.</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21.39</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9"/>
              </w:rPr>
              <w:t>179,676,000.00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6" w:lineRule="exact"/>
        <w:rPr>
          <w:sz w:val="24"/>
          <w:szCs w:val="24"/>
          <w:color w:val="auto"/>
        </w:rPr>
      </w:pP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See the section titled “Underwriting” for a description of the compensation payable to the underwriters.</w:t>
      </w:r>
    </w:p>
    <w:p>
      <w:pPr>
        <w:spacing w:after="0" w:line="167" w:lineRule="exact"/>
        <w:rPr>
          <w:sz w:val="24"/>
          <w:szCs w:val="24"/>
          <w:color w:val="auto"/>
        </w:rPr>
      </w:pPr>
    </w:p>
    <w:p>
      <w:pPr>
        <w:ind w:left="120" w:right="120" w:firstLine="551"/>
        <w:spacing w:after="0" w:line="306" w:lineRule="auto"/>
        <w:rPr>
          <w:sz w:val="20"/>
          <w:szCs w:val="20"/>
          <w:color w:val="auto"/>
        </w:rPr>
      </w:pPr>
      <w:r>
        <w:rPr>
          <w:rFonts w:ascii="Arial" w:cs="Arial" w:eastAsia="Arial" w:hAnsi="Arial"/>
          <w:sz w:val="17"/>
          <w:szCs w:val="17"/>
          <w:color w:val="auto"/>
        </w:rPr>
        <w:t>To the extent that the underwriters sell more than 8,400,000 shares of common stock, the underwriters have an option to purchase up to an additional 1,260,000 shares from us at the initial public offering price, less the underwriting discounts and commissions.</w:t>
      </w:r>
    </w:p>
    <w:p>
      <w:pPr>
        <w:spacing w:after="0" w:line="12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underwriters expect to deliver the shares against payment in New York, New York on December 15,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226060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ind w:left="120"/>
        <w:spacing w:after="0"/>
        <w:tabs>
          <w:tab w:leader="none" w:pos="4760" w:val="left"/>
          <w:tab w:leader="none" w:pos="9660" w:val="left"/>
        </w:tabs>
        <w:rPr>
          <w:sz w:val="20"/>
          <w:szCs w:val="20"/>
          <w:color w:val="auto"/>
        </w:rPr>
      </w:pP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5"/>
          <w:szCs w:val="25"/>
          <w:b w:val="1"/>
          <w:bCs w:val="1"/>
          <w:color w:val="auto"/>
        </w:rPr>
        <w:t>BofA Securities</w:t>
      </w:r>
      <w:r>
        <w:rPr>
          <w:sz w:val="20"/>
          <w:szCs w:val="20"/>
          <w:color w:val="auto"/>
        </w:rPr>
        <w:tab/>
      </w:r>
      <w:r>
        <w:rPr>
          <w:rFonts w:ascii="Arial" w:cs="Arial" w:eastAsia="Arial" w:hAnsi="Arial"/>
          <w:sz w:val="25"/>
          <w:szCs w:val="25"/>
          <w:b w:val="1"/>
          <w:bCs w:val="1"/>
          <w:color w:val="auto"/>
        </w:rPr>
        <w:t>Evercore ISI</w:t>
      </w:r>
    </w:p>
    <w:p>
      <w:pPr>
        <w:spacing w:after="0" w:line="21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Prospectus dated December 10, 2020</w:t>
      </w:r>
    </w:p>
    <w:p>
      <w:pPr>
        <w:sectPr>
          <w:pgSz w:w="11900" w:h="16838" w:orient="portrait"/>
          <w:cols w:equalWidth="0" w:num="1">
            <w:col w:w="11140"/>
          </w:cols>
          <w:pgMar w:left="320" w:top="226" w:right="4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10560" w:type="dxa"/>
            <w:vAlign w:val="bottom"/>
          </w:tcPr>
          <w:p>
            <w:pPr>
              <w:ind w:left="4560"/>
              <w:spacing w:after="0"/>
              <w:rPr>
                <w:sz w:val="20"/>
                <w:szCs w:val="20"/>
                <w:color w:val="auto"/>
              </w:rPr>
            </w:pPr>
            <w:r>
              <w:rPr>
                <w:rFonts w:ascii="Arial" w:cs="Arial" w:eastAsia="Arial" w:hAnsi="Arial"/>
                <w:sz w:val="18"/>
                <w:szCs w:val="18"/>
                <w:color w:val="auto"/>
              </w:rPr>
              <w:t>TABLE OF CONTENTS</w:t>
            </w: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8"/>
        </w:trPr>
        <w:tc>
          <w:tcPr>
            <w:tcW w:w="10560" w:type="dxa"/>
            <w:vAlign w:val="bottom"/>
            <w:vMerge w:val="restart"/>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Prospectus Summary</w:t>
              </w:r>
            </w:hyperlink>
          </w:p>
        </w:tc>
        <w:tc>
          <w:tcPr>
            <w:tcW w:w="400" w:type="dxa"/>
            <w:vAlign w:val="bottom"/>
            <w:gridSpan w:val="2"/>
          </w:tcPr>
          <w:p>
            <w:pPr>
              <w:jc w:val="right"/>
              <w:ind w:right="4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3"/>
        </w:trPr>
        <w:tc>
          <w:tcPr>
            <w:tcW w:w="10560" w:type="dxa"/>
            <w:vAlign w:val="bottom"/>
            <w:vMerge w:val="continue"/>
          </w:tcPr>
          <w:p>
            <w:pPr>
              <w:spacing w:after="0"/>
              <w:rPr>
                <w:sz w:val="15"/>
                <w:szCs w:val="15"/>
                <w:color w:val="auto"/>
              </w:rPr>
            </w:pPr>
          </w:p>
        </w:tc>
        <w:tc>
          <w:tcPr>
            <w:tcW w:w="38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560" w:type="dxa"/>
            <w:vAlign w:val="bottom"/>
          </w:tcPr>
          <w:p>
            <w:pPr>
              <w:spacing w:after="0" w:line="202" w:lineRule="exact"/>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Risk Factors</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10560" w:type="dxa"/>
            <w:vAlign w:val="bottom"/>
          </w:tcPr>
          <w:p>
            <w:pPr>
              <w:spacing w:after="0" w:line="202" w:lineRule="exact"/>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Special Note Regarding Forward-Looking Statements</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3"/>
        </w:trPr>
        <w:tc>
          <w:tcPr>
            <w:tcW w:w="10560" w:type="dxa"/>
            <w:vAlign w:val="bottom"/>
          </w:tcPr>
          <w:p>
            <w:pPr>
              <w:spacing w:after="0" w:line="202" w:lineRule="exact"/>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Industry and Market Data</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3"/>
        </w:trPr>
        <w:tc>
          <w:tcPr>
            <w:tcW w:w="10560" w:type="dxa"/>
            <w:vAlign w:val="bottom"/>
          </w:tcPr>
          <w:p>
            <w:pPr>
              <w:spacing w:after="0" w:line="202" w:lineRule="exact"/>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Use of Proceeds</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3"/>
        </w:trPr>
        <w:tc>
          <w:tcPr>
            <w:tcW w:w="10560" w:type="dxa"/>
            <w:vAlign w:val="bottom"/>
          </w:tcPr>
          <w:p>
            <w:pPr>
              <w:spacing w:after="0" w:line="202" w:lineRule="exact"/>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Dividend Policy</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3"/>
        </w:trPr>
        <w:tc>
          <w:tcPr>
            <w:tcW w:w="10560" w:type="dxa"/>
            <w:vAlign w:val="bottom"/>
          </w:tcPr>
          <w:p>
            <w:pPr>
              <w:spacing w:after="0" w:line="202" w:lineRule="exact"/>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Capitalization</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3"/>
        </w:trPr>
        <w:tc>
          <w:tcPr>
            <w:tcW w:w="10560" w:type="dxa"/>
            <w:vAlign w:val="bottom"/>
          </w:tcPr>
          <w:p>
            <w:pPr>
              <w:spacing w:after="0" w:line="202" w:lineRule="exact"/>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Dilution</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3"/>
        </w:trPr>
        <w:tc>
          <w:tcPr>
            <w:tcW w:w="10560" w:type="dxa"/>
            <w:vAlign w:val="bottom"/>
          </w:tcPr>
          <w:p>
            <w:pPr>
              <w:spacing w:after="0" w:line="202" w:lineRule="exact"/>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Selected Financial Data</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3"/>
        </w:trPr>
        <w:tc>
          <w:tcPr>
            <w:tcW w:w="10560" w:type="dxa"/>
            <w:vAlign w:val="bottom"/>
          </w:tcPr>
          <w:p>
            <w:pPr>
              <w:spacing w:after="0" w:line="202" w:lineRule="exact"/>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Management’s Discussion and Analysis of Results of Operation and Financial Condition</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3"/>
        </w:trPr>
        <w:tc>
          <w:tcPr>
            <w:tcW w:w="10560" w:type="dxa"/>
            <w:vAlign w:val="bottom"/>
          </w:tcPr>
          <w:p>
            <w:pPr>
              <w:spacing w:after="0" w:line="202" w:lineRule="exact"/>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Business</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3"/>
        </w:trPr>
        <w:tc>
          <w:tcPr>
            <w:tcW w:w="10560" w:type="dxa"/>
            <w:vAlign w:val="bottom"/>
          </w:tcPr>
          <w:p>
            <w:pPr>
              <w:spacing w:after="0" w:line="202" w:lineRule="exact"/>
              <w:rPr>
                <w:rFonts w:ascii="Arial" w:cs="Arial" w:eastAsia="Arial" w:hAnsi="Arial"/>
                <w:sz w:val="18"/>
                <w:szCs w:val="18"/>
                <w:u w:val="single" w:color="auto"/>
                <w:color w:val="0000EE"/>
              </w:rPr>
            </w:pPr>
            <w:hyperlink w:anchor="page193">
              <w:r>
                <w:rPr>
                  <w:rFonts w:ascii="Arial" w:cs="Arial" w:eastAsia="Arial" w:hAnsi="Arial"/>
                  <w:sz w:val="18"/>
                  <w:szCs w:val="18"/>
                  <w:u w:val="single" w:color="auto"/>
                  <w:color w:val="0000EE"/>
                </w:rPr>
                <w:t>Management</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3"/>
        </w:trPr>
        <w:tc>
          <w:tcPr>
            <w:tcW w:w="10560" w:type="dxa"/>
            <w:vAlign w:val="bottom"/>
          </w:tcPr>
          <w:p>
            <w:pPr>
              <w:spacing w:after="0" w:line="202" w:lineRule="exact"/>
              <w:rPr>
                <w:rFonts w:ascii="Arial" w:cs="Arial" w:eastAsia="Arial" w:hAnsi="Arial"/>
                <w:sz w:val="18"/>
                <w:szCs w:val="18"/>
                <w:u w:val="single" w:color="auto"/>
                <w:color w:val="0000EE"/>
              </w:rPr>
            </w:pPr>
            <w:hyperlink w:anchor="page206">
              <w:r>
                <w:rPr>
                  <w:rFonts w:ascii="Arial" w:cs="Arial" w:eastAsia="Arial" w:hAnsi="Arial"/>
                  <w:sz w:val="18"/>
                  <w:szCs w:val="18"/>
                  <w:u w:val="single" w:color="auto"/>
                  <w:color w:val="0000EE"/>
                </w:rPr>
                <w:t>Executive Compensation</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3"/>
        </w:trPr>
        <w:tc>
          <w:tcPr>
            <w:tcW w:w="10560" w:type="dxa"/>
            <w:vAlign w:val="bottom"/>
          </w:tcPr>
          <w:p>
            <w:pPr>
              <w:spacing w:after="0" w:line="202" w:lineRule="exact"/>
              <w:rPr>
                <w:rFonts w:ascii="Arial" w:cs="Arial" w:eastAsia="Arial" w:hAnsi="Arial"/>
                <w:sz w:val="18"/>
                <w:szCs w:val="18"/>
                <w:u w:val="single" w:color="auto"/>
                <w:color w:val="0000EE"/>
              </w:rPr>
            </w:pPr>
            <w:hyperlink w:anchor="page219">
              <w:r>
                <w:rPr>
                  <w:rFonts w:ascii="Arial" w:cs="Arial" w:eastAsia="Arial" w:hAnsi="Arial"/>
                  <w:sz w:val="18"/>
                  <w:szCs w:val="18"/>
                  <w:u w:val="single" w:color="auto"/>
                  <w:color w:val="0000EE"/>
                </w:rPr>
                <w:t>Certain Relationships and Related Party Transactions</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3"/>
        </w:trPr>
        <w:tc>
          <w:tcPr>
            <w:tcW w:w="10560" w:type="dxa"/>
            <w:vAlign w:val="bottom"/>
          </w:tcPr>
          <w:p>
            <w:pPr>
              <w:spacing w:after="0" w:line="202" w:lineRule="exact"/>
              <w:rPr>
                <w:rFonts w:ascii="Arial" w:cs="Arial" w:eastAsia="Arial" w:hAnsi="Arial"/>
                <w:sz w:val="18"/>
                <w:szCs w:val="18"/>
                <w:u w:val="single" w:color="auto"/>
                <w:color w:val="0000EE"/>
              </w:rPr>
            </w:pPr>
            <w:hyperlink w:anchor="page222">
              <w:r>
                <w:rPr>
                  <w:rFonts w:ascii="Arial" w:cs="Arial" w:eastAsia="Arial" w:hAnsi="Arial"/>
                  <w:sz w:val="18"/>
                  <w:szCs w:val="18"/>
                  <w:u w:val="single" w:color="auto"/>
                  <w:color w:val="0000EE"/>
                </w:rPr>
                <w:t>Principal Stockholders</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3"/>
        </w:trPr>
        <w:tc>
          <w:tcPr>
            <w:tcW w:w="10560" w:type="dxa"/>
            <w:vAlign w:val="bottom"/>
          </w:tcPr>
          <w:p>
            <w:pPr>
              <w:spacing w:after="0" w:line="202" w:lineRule="exact"/>
              <w:rPr>
                <w:rFonts w:ascii="Arial" w:cs="Arial" w:eastAsia="Arial" w:hAnsi="Arial"/>
                <w:sz w:val="18"/>
                <w:szCs w:val="18"/>
                <w:u w:val="single" w:color="auto"/>
                <w:color w:val="0000EE"/>
              </w:rPr>
            </w:pPr>
            <w:hyperlink w:anchor="page226">
              <w:r>
                <w:rPr>
                  <w:rFonts w:ascii="Arial" w:cs="Arial" w:eastAsia="Arial" w:hAnsi="Arial"/>
                  <w:sz w:val="18"/>
                  <w:szCs w:val="18"/>
                  <w:u w:val="single" w:color="auto"/>
                  <w:color w:val="0000EE"/>
                </w:rPr>
                <w:t>Description of Capital Stock</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3"/>
        </w:trPr>
        <w:tc>
          <w:tcPr>
            <w:tcW w:w="10560" w:type="dxa"/>
            <w:vAlign w:val="bottom"/>
          </w:tcPr>
          <w:p>
            <w:pPr>
              <w:spacing w:after="0" w:line="202" w:lineRule="exact"/>
              <w:rPr>
                <w:rFonts w:ascii="Arial" w:cs="Arial" w:eastAsia="Arial" w:hAnsi="Arial"/>
                <w:sz w:val="18"/>
                <w:szCs w:val="18"/>
                <w:u w:val="single" w:color="auto"/>
                <w:color w:val="0000EE"/>
              </w:rPr>
            </w:pPr>
            <w:hyperlink w:anchor="page232">
              <w:r>
                <w:rPr>
                  <w:rFonts w:ascii="Arial" w:cs="Arial" w:eastAsia="Arial" w:hAnsi="Arial"/>
                  <w:sz w:val="18"/>
                  <w:szCs w:val="18"/>
                  <w:u w:val="single" w:color="auto"/>
                  <w:color w:val="0000EE"/>
                </w:rPr>
                <w:t>Shares Eligible for Future Sale</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3"/>
        </w:trPr>
        <w:tc>
          <w:tcPr>
            <w:tcW w:w="10560" w:type="dxa"/>
            <w:vAlign w:val="bottom"/>
          </w:tcPr>
          <w:p>
            <w:pPr>
              <w:spacing w:after="0" w:line="202" w:lineRule="exact"/>
              <w:rPr>
                <w:rFonts w:ascii="Arial" w:cs="Arial" w:eastAsia="Arial" w:hAnsi="Arial"/>
                <w:sz w:val="18"/>
                <w:szCs w:val="18"/>
                <w:u w:val="single" w:color="auto"/>
                <w:color w:val="0000EE"/>
              </w:rPr>
            </w:pPr>
            <w:hyperlink w:anchor="page235">
              <w:r>
                <w:rPr>
                  <w:rFonts w:ascii="Arial" w:cs="Arial" w:eastAsia="Arial" w:hAnsi="Arial"/>
                  <w:sz w:val="18"/>
                  <w:szCs w:val="18"/>
                  <w:u w:val="single" w:color="auto"/>
                  <w:color w:val="0000EE"/>
                </w:rPr>
                <w:t>Material U.S. Federal Income Tax Consequences to Non-U.S. Holders</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3"/>
        </w:trPr>
        <w:tc>
          <w:tcPr>
            <w:tcW w:w="10560" w:type="dxa"/>
            <w:vAlign w:val="bottom"/>
          </w:tcPr>
          <w:p>
            <w:pPr>
              <w:spacing w:after="0" w:line="202" w:lineRule="exact"/>
              <w:rPr>
                <w:rFonts w:ascii="Arial" w:cs="Arial" w:eastAsia="Arial" w:hAnsi="Arial"/>
                <w:sz w:val="18"/>
                <w:szCs w:val="18"/>
                <w:u w:val="single" w:color="auto"/>
                <w:color w:val="0000EE"/>
              </w:rPr>
            </w:pPr>
            <w:hyperlink w:anchor="page239">
              <w:r>
                <w:rPr>
                  <w:rFonts w:ascii="Arial" w:cs="Arial" w:eastAsia="Arial" w:hAnsi="Arial"/>
                  <w:sz w:val="18"/>
                  <w:szCs w:val="18"/>
                  <w:u w:val="single" w:color="auto"/>
                  <w:color w:val="0000EE"/>
                </w:rPr>
                <w:t>Underwriting</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3"/>
        </w:trPr>
        <w:tc>
          <w:tcPr>
            <w:tcW w:w="10560" w:type="dxa"/>
            <w:vAlign w:val="bottom"/>
          </w:tcPr>
          <w:p>
            <w:pPr>
              <w:spacing w:after="0" w:line="202" w:lineRule="exact"/>
              <w:rPr>
                <w:rFonts w:ascii="Arial" w:cs="Arial" w:eastAsia="Arial" w:hAnsi="Arial"/>
                <w:sz w:val="18"/>
                <w:szCs w:val="18"/>
                <w:u w:val="single" w:color="auto"/>
                <w:color w:val="0000EE"/>
              </w:rPr>
            </w:pPr>
            <w:hyperlink w:anchor="page245">
              <w:r>
                <w:rPr>
                  <w:rFonts w:ascii="Arial" w:cs="Arial" w:eastAsia="Arial" w:hAnsi="Arial"/>
                  <w:sz w:val="18"/>
                  <w:szCs w:val="18"/>
                  <w:u w:val="single" w:color="auto"/>
                  <w:color w:val="0000EE"/>
                </w:rPr>
                <w:t>Legal Matters</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03"/>
        </w:trPr>
        <w:tc>
          <w:tcPr>
            <w:tcW w:w="10560" w:type="dxa"/>
            <w:vAlign w:val="bottom"/>
          </w:tcPr>
          <w:p>
            <w:pPr>
              <w:spacing w:after="0" w:line="202" w:lineRule="exact"/>
              <w:rPr>
                <w:rFonts w:ascii="Arial" w:cs="Arial" w:eastAsia="Arial" w:hAnsi="Arial"/>
                <w:sz w:val="18"/>
                <w:szCs w:val="18"/>
                <w:u w:val="single" w:color="auto"/>
                <w:color w:val="0000EE"/>
              </w:rPr>
            </w:pPr>
            <w:hyperlink w:anchor="page245">
              <w:r>
                <w:rPr>
                  <w:rFonts w:ascii="Arial" w:cs="Arial" w:eastAsia="Arial" w:hAnsi="Arial"/>
                  <w:sz w:val="18"/>
                  <w:szCs w:val="18"/>
                  <w:u w:val="single" w:color="auto"/>
                  <w:color w:val="0000EE"/>
                </w:rPr>
                <w:t>Experts</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03"/>
        </w:trPr>
        <w:tc>
          <w:tcPr>
            <w:tcW w:w="10560" w:type="dxa"/>
            <w:vAlign w:val="bottom"/>
          </w:tcPr>
          <w:p>
            <w:pPr>
              <w:spacing w:after="0" w:line="202" w:lineRule="exact"/>
              <w:rPr>
                <w:rFonts w:ascii="Arial" w:cs="Arial" w:eastAsia="Arial" w:hAnsi="Arial"/>
                <w:sz w:val="18"/>
                <w:szCs w:val="18"/>
                <w:u w:val="single" w:color="auto"/>
                <w:color w:val="0000EE"/>
              </w:rPr>
            </w:pPr>
            <w:hyperlink w:anchor="page245">
              <w:r>
                <w:rPr>
                  <w:rFonts w:ascii="Arial" w:cs="Arial" w:eastAsia="Arial" w:hAnsi="Arial"/>
                  <w:sz w:val="18"/>
                  <w:szCs w:val="18"/>
                  <w:u w:val="single" w:color="auto"/>
                  <w:color w:val="0000EE"/>
                </w:rPr>
                <w:t>Where You Can Find More Information</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43"/>
        </w:trPr>
        <w:tc>
          <w:tcPr>
            <w:tcW w:w="10560" w:type="dxa"/>
            <w:vAlign w:val="bottom"/>
          </w:tcPr>
          <w:p>
            <w:pPr>
              <w:spacing w:after="0"/>
              <w:rPr>
                <w:rFonts w:ascii="Arial" w:cs="Arial" w:eastAsia="Arial" w:hAnsi="Arial"/>
                <w:sz w:val="18"/>
                <w:szCs w:val="18"/>
                <w:u w:val="single" w:color="auto"/>
                <w:color w:val="0000EE"/>
              </w:rPr>
            </w:pPr>
            <w:hyperlink w:anchor="page246">
              <w:r>
                <w:rPr>
                  <w:rFonts w:ascii="Arial" w:cs="Arial" w:eastAsia="Arial" w:hAnsi="Arial"/>
                  <w:sz w:val="18"/>
                  <w:szCs w:val="18"/>
                  <w:u w:val="single" w:color="auto"/>
                  <w:color w:val="0000EE"/>
                </w:rPr>
                <w:t>Index to Financial Statements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220345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We and the underwriters have not authorized anyone to provide you any information other than that contained in this prospectus or in any free writing prospectus prepared by or on behalf of us or to which we have referred you. We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is accurate only as of the date on the front cover page of this prospectus. Our business, financial condition, results of operations and prospects may have changed since that date.</w:t>
      </w:r>
    </w:p>
    <w:p>
      <w:pPr>
        <w:spacing w:after="0" w:line="174"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70"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4D Molecular Therapeutics</w:t>
      </w:r>
      <w:r>
        <w:rPr>
          <w:rFonts w:ascii="Arial" w:cs="Arial" w:eastAsia="Arial" w:hAnsi="Arial"/>
          <w:sz w:val="15"/>
          <w:szCs w:val="15"/>
          <w:color w:val="auto"/>
        </w:rPr>
        <w:t>™</w:t>
      </w:r>
      <w:r>
        <w:rPr>
          <w:rFonts w:ascii="Arial" w:cs="Arial" w:eastAsia="Arial" w:hAnsi="Arial"/>
          <w:sz w:val="18"/>
          <w:szCs w:val="18"/>
          <w:color w:val="auto"/>
        </w:rPr>
        <w:t>, Therapeutic Vector Evolution</w:t>
      </w:r>
      <w:r>
        <w:rPr>
          <w:rFonts w:ascii="Arial" w:cs="Arial" w:eastAsia="Arial" w:hAnsi="Arial"/>
          <w:sz w:val="15"/>
          <w:szCs w:val="15"/>
          <w:color w:val="auto"/>
        </w:rPr>
        <w:t>™</w:t>
      </w:r>
      <w:r>
        <w:rPr>
          <w:rFonts w:ascii="Arial" w:cs="Arial" w:eastAsia="Arial" w:hAnsi="Arial"/>
          <w:sz w:val="18"/>
          <w:szCs w:val="18"/>
          <w:color w:val="auto"/>
        </w:rPr>
        <w:t xml:space="preserve">, and our logo are some of our trademarks and tradenames used in this prospectus. This prospectus also includes trademarks, tradenames and service marks that are the property of other organizations. Solely for convenience, our trademarks and tradenames referred to in this prospectus may appear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 but those references are not intended to indicate, in any way, that we will not assert, to the fullest extent under applicable law, our rights, or the right of the applicable licensor to these trademarks and tradenames.</w:t>
      </w:r>
    </w:p>
    <w:p>
      <w:pPr>
        <w:sectPr>
          <w:pgSz w:w="11900" w:h="16838" w:orient="portrait"/>
          <w:cols w:equalWidth="0" w:num="1">
            <w:col w:w="11060"/>
          </w:cols>
          <w:pgMar w:left="320" w:top="455" w:right="51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353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535305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16" w:lineRule="exact"/>
        <w:rPr>
          <w:sz w:val="20"/>
          <w:szCs w:val="20"/>
          <w:color w:val="auto"/>
        </w:rPr>
      </w:pPr>
    </w:p>
    <w:p>
      <w:pPr>
        <w:ind w:left="300" w:firstLine="532"/>
        <w:spacing w:after="0" w:line="242" w:lineRule="auto"/>
        <w:rPr>
          <w:sz w:val="20"/>
          <w:szCs w:val="20"/>
          <w:color w:val="auto"/>
        </w:rPr>
      </w:pPr>
      <w:r>
        <w:rPr>
          <w:rFonts w:ascii="Arial" w:cs="Arial" w:eastAsia="Arial" w:hAnsi="Arial"/>
          <w:sz w:val="18"/>
          <w:szCs w:val="18"/>
          <w:i w:val="1"/>
          <w:iCs w:val="1"/>
          <w:color w:val="auto"/>
        </w:rPr>
        <w:t>This summary highlights information contained elsewhere in this prospectus and does not contain all of the information that you should consider in making your investment decision. Before deciding to invest in our common stock, you should read this entire prospectus carefully, including the sections of this prospectus titled “Risk Factors” and “Management’s Discussion and Analysis of Financial Condition and Results of Operations” and our financial statements and related notes included elsewhere in this prospectus. Unless the context otherwise requires or as otherwise noted, references in this prospectus to the “company,” “4D Molecular Therapeutics” “4DMT,” “we,” “us” and “our” refer to 4D Molecular Therapeutics, Inc.</w:t>
      </w:r>
    </w:p>
    <w:p>
      <w:pPr>
        <w:spacing w:after="0" w:line="28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4D Molecular Therapeutics, Inc.</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06" w:lineRule="exact"/>
        <w:rPr>
          <w:sz w:val="20"/>
          <w:szCs w:val="20"/>
          <w:color w:val="auto"/>
        </w:rPr>
      </w:pPr>
    </w:p>
    <w:p>
      <w:pPr>
        <w:ind w:left="300" w:right="80" w:firstLine="532"/>
        <w:spacing w:after="0" w:line="238" w:lineRule="auto"/>
        <w:rPr>
          <w:sz w:val="20"/>
          <w:szCs w:val="20"/>
          <w:color w:val="auto"/>
        </w:rPr>
      </w:pPr>
      <w:r>
        <w:rPr>
          <w:rFonts w:ascii="Arial" w:cs="Arial" w:eastAsia="Arial" w:hAnsi="Arial"/>
          <w:sz w:val="18"/>
          <w:szCs w:val="18"/>
          <w:color w:val="auto"/>
        </w:rPr>
        <w:t>We are a clinical-stage gene therapy company pioneering the development of product candidates using our targeted and evolved AAV vectors. We seek to unlock the full potential of gene therapy using our platform, Therapeutic Vector Evolution, which combines the power of directed evolution with our approximately one billion synthetic capsid sequences to invent evolved vectors for use in targeted gene therapy products. Our targeted and evolved vectors are invented with the goal of being delivered through clinically routine, well-tolerated and minimally invasive routes of administration, of transducing diseased cells in target tissues efficiently, of having reduced immunogenicity and, where relevant, of having resistance to pre-existing antibodies. We believe these key features will help us to potentially create targeted gene therapy product candidates with improved therapeutic profiles, and to address a broad range of diseases from rare to large patient populations, including those that other gene therapies are unable to address. Each of our product candidates is created with one of our targeted and evolved AAV vectors. Our platform is designed to be modular, in that an evolved vector invented for a given set of diseases can be equipped with different transgene payloads to treat other diseases affecting the same tissue types. We believe this modularity will help inform the clinical development of subsequent product candidates using the same vector.</w:t>
      </w:r>
    </w:p>
    <w:p>
      <w:pPr>
        <w:spacing w:after="0" w:line="183" w:lineRule="exact"/>
        <w:rPr>
          <w:sz w:val="20"/>
          <w:szCs w:val="20"/>
          <w:color w:val="auto"/>
        </w:rPr>
      </w:pPr>
    </w:p>
    <w:p>
      <w:pPr>
        <w:ind w:left="300" w:firstLine="532"/>
        <w:spacing w:after="0"/>
        <w:rPr>
          <w:sz w:val="20"/>
          <w:szCs w:val="20"/>
          <w:color w:val="auto"/>
        </w:rPr>
      </w:pPr>
      <w:r>
        <w:rPr>
          <w:rFonts w:ascii="Arial" w:cs="Arial" w:eastAsia="Arial" w:hAnsi="Arial"/>
          <w:sz w:val="18"/>
          <w:szCs w:val="18"/>
          <w:color w:val="auto"/>
        </w:rPr>
        <w:t>We have built a deep portfolio of gene therapy product candidates initially focused in three therapeutic areas: ophthalmology (intravitreal vector), cardiology (intravenous vector) and pulmonology (aerosol vector). We have three product candidates that are in clinical trials. We are developing 4D-125 for the treatment of X-linked retinitis pigmentosa (XLRP), currently in a Phase 1/2 clinical trial with initial clinical data expected in 2021. We are advancing 4D-110 for the treatment of choroideremia, currently in a Phase 1 clinical trial with initial clinical data expected in 2022. Roche holds an exclusive worldwide license to 4D-110 and has the exclusive option to in-license 4D-125 prior to initiation of pivotal clinical trials. We received FDA Fast Track designation for 4D-310 for the treatment of Fabry disease, which is currently in a Phase 1/2 clinical trial, with initial clinical data expected in 2021. Our two IND candidates are 4D-150 for the treatment of wet age-related macular degeneration (wet AMD), and 4D-710 for the treatment of cystic fibrosis lung disease. We expect to file the INDs and to initiate clinical trials for both of these programs in the second half of 2021.</w:t>
      </w:r>
    </w:p>
    <w:p>
      <w:pPr>
        <w:spacing w:after="0" w:line="176" w:lineRule="exact"/>
        <w:rPr>
          <w:sz w:val="20"/>
          <w:szCs w:val="20"/>
          <w:color w:val="auto"/>
        </w:rPr>
      </w:pPr>
    </w:p>
    <w:p>
      <w:pPr>
        <w:jc w:val="both"/>
        <w:ind w:left="300" w:right="220" w:firstLine="532"/>
        <w:spacing w:after="0" w:line="255" w:lineRule="auto"/>
        <w:rPr>
          <w:sz w:val="20"/>
          <w:szCs w:val="20"/>
          <w:color w:val="auto"/>
        </w:rPr>
      </w:pPr>
      <w:r>
        <w:rPr>
          <w:rFonts w:ascii="Arial" w:cs="Arial" w:eastAsia="Arial" w:hAnsi="Arial"/>
          <w:sz w:val="18"/>
          <w:szCs w:val="18"/>
          <w:color w:val="auto"/>
        </w:rPr>
        <w:t>We believe our competitive advantages, combined with our highly experienced team, help to position our company to create, develop, manufacture and, if approved, effectively commercialize targeted gene therapies that could transform the lives of patients suffering from debilitating diseases.</w:t>
      </w:r>
    </w:p>
    <w:p>
      <w:pPr>
        <w:spacing w:after="0" w:line="200" w:lineRule="exact"/>
        <w:rPr>
          <w:sz w:val="20"/>
          <w:szCs w:val="20"/>
          <w:color w:val="auto"/>
        </w:rPr>
      </w:pPr>
    </w:p>
    <w:p>
      <w:pPr>
        <w:spacing w:after="0" w:line="39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5" w:right="6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5389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453898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Therapeutic Vector Evolution Platform</w:t>
      </w:r>
    </w:p>
    <w:p>
      <w:pPr>
        <w:spacing w:after="0" w:line="106" w:lineRule="exact"/>
        <w:rPr>
          <w:sz w:val="20"/>
          <w:szCs w:val="20"/>
          <w:color w:val="auto"/>
        </w:rPr>
      </w:pPr>
    </w:p>
    <w:p>
      <w:pPr>
        <w:ind w:left="300" w:right="120" w:firstLine="532"/>
        <w:spacing w:after="0" w:line="241" w:lineRule="auto"/>
        <w:rPr>
          <w:sz w:val="20"/>
          <w:szCs w:val="20"/>
          <w:color w:val="auto"/>
        </w:rPr>
      </w:pPr>
      <w:r>
        <w:rPr>
          <w:rFonts w:ascii="Arial" w:cs="Arial" w:eastAsia="Arial" w:hAnsi="Arial"/>
          <w:sz w:val="18"/>
          <w:szCs w:val="18"/>
          <w:color w:val="auto"/>
        </w:rPr>
        <w:t>Gene therapy holds tremendous promise as a transformative therapeutic class. However, the majority of gene therapies have encountered limitations such as inflammation and toxicity, high dose requirements, limited efficacy and neutralization by pre-existing antibodies, due in part to their utilization of conventional AAV vectors that are naturally occurring and non-targeted. Through our Therapeutic Vector Evolution platform, we apply the principles of directed evolution to invent targeted and evolved vectors for the delivery of genes to specific tissue types that are affected by the diseases that we are addressing. Our product candidates are designed and engineered to utilize our targeted and evolved vectors to potentially address the limitations encountered with gene therapies utilizing conventional AAV vectors.</w:t>
      </w:r>
    </w:p>
    <w:p>
      <w:pPr>
        <w:spacing w:after="0" w:line="179" w:lineRule="exact"/>
        <w:rPr>
          <w:sz w:val="20"/>
          <w:szCs w:val="20"/>
          <w:color w:val="auto"/>
        </w:rPr>
      </w:pPr>
    </w:p>
    <w:p>
      <w:pPr>
        <w:ind w:left="300" w:firstLine="532"/>
        <w:spacing w:after="0" w:line="243" w:lineRule="auto"/>
        <w:rPr>
          <w:sz w:val="20"/>
          <w:szCs w:val="20"/>
          <w:color w:val="auto"/>
        </w:rPr>
      </w:pPr>
      <w:r>
        <w:rPr>
          <w:rFonts w:ascii="Arial" w:cs="Arial" w:eastAsia="Arial" w:hAnsi="Arial"/>
          <w:sz w:val="18"/>
          <w:szCs w:val="18"/>
          <w:color w:val="auto"/>
        </w:rPr>
        <w:t>Leveraging a wide range of molecular biology techniques, we have developed a collection of 40 distinct libraries that are comprised of approximately one billion synthetic capsid sequences. We next define a Target Vector Profile that identifies the optimal vector features for the specific tissue type(s) and related set of diseases we seek to target, with the goal of overcoming limitations encountered by conventional AAVs. We then deploy Therapeutic Vector Evolution with our capsid libraries in non-human primates (NHPs) and use competitive selection to identify targeted and evolved vectors from our libraries that demonstrate the strongest match to the Target Vector Profile.</w:t>
      </w:r>
    </w:p>
    <w:p>
      <w:pPr>
        <w:spacing w:after="0" w:line="174" w:lineRule="exact"/>
        <w:rPr>
          <w:sz w:val="20"/>
          <w:szCs w:val="20"/>
          <w:color w:val="auto"/>
        </w:rPr>
      </w:pPr>
    </w:p>
    <w:p>
      <w:pPr>
        <w:ind w:left="300" w:right="120" w:firstLine="532"/>
        <w:spacing w:after="0" w:line="243" w:lineRule="auto"/>
        <w:rPr>
          <w:sz w:val="20"/>
          <w:szCs w:val="20"/>
          <w:color w:val="auto"/>
        </w:rPr>
      </w:pPr>
      <w:r>
        <w:rPr>
          <w:rFonts w:ascii="Arial" w:cs="Arial" w:eastAsia="Arial" w:hAnsi="Arial"/>
          <w:sz w:val="18"/>
          <w:szCs w:val="18"/>
          <w:color w:val="auto"/>
        </w:rPr>
        <w:t>Based on preclinical data reported to date from our NHP and human cell models, including preclinical head-to-head comparisons with relevant conventional AAV vectors, we have observed that our targeted and evolved vectors were well-tolerated and achieved enhanced delivery, increased transgene expression, reduced immunogenicity and/or improved antibody resistance when compared to conventional AAV vectors. We have not compared our targeted and evolved vectors to conventional AAV vectors in patients in clinical studies. As we advance through clinical trials, we plan to evaluate the following potential design features of our targeted and evolved vectors and product candidates:</w:t>
      </w:r>
    </w:p>
    <w:p>
      <w:pPr>
        <w:spacing w:after="0" w:line="79" w:lineRule="exact"/>
        <w:rPr>
          <w:sz w:val="20"/>
          <w:szCs w:val="20"/>
          <w:color w:val="auto"/>
        </w:rPr>
      </w:pPr>
    </w:p>
    <w:p>
      <w:pPr>
        <w:ind w:left="1020" w:right="340" w:hanging="195"/>
        <w:spacing w:after="0" w:line="276"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Tolerability</w:t>
      </w:r>
      <w:r>
        <w:rPr>
          <w:rFonts w:ascii="Arial" w:cs="Arial" w:eastAsia="Arial" w:hAnsi="Arial"/>
          <w:sz w:val="18"/>
          <w:szCs w:val="18"/>
          <w:color w:val="auto"/>
        </w:rPr>
        <w:t>: Well-tolerated therapies with a low inflammation profile, low dose requirements and routine, safe routes of delivery</w:t>
      </w:r>
    </w:p>
    <w:p>
      <w:pPr>
        <w:spacing w:after="0" w:line="50" w:lineRule="exact"/>
        <w:rPr>
          <w:rFonts w:ascii="Arial" w:cs="Arial" w:eastAsia="Arial" w:hAnsi="Arial"/>
          <w:sz w:val="18"/>
          <w:szCs w:val="18"/>
          <w:color w:val="auto"/>
        </w:rPr>
      </w:pPr>
    </w:p>
    <w:p>
      <w:pPr>
        <w:ind w:left="1020" w:hanging="195"/>
        <w:spacing w:after="0" w:line="276"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Biologic activity</w:t>
      </w:r>
      <w:r>
        <w:rPr>
          <w:rFonts w:ascii="Arial" w:cs="Arial" w:eastAsia="Arial" w:hAnsi="Arial"/>
          <w:sz w:val="18"/>
          <w:szCs w:val="18"/>
          <w:color w:val="auto"/>
        </w:rPr>
        <w:t>: Effective delivery to targeted tissues, efficient transgene expression in targeted tissues, and/or resistance to neutralization by pre-existing antibodies</w:t>
      </w:r>
    </w:p>
    <w:p>
      <w:pPr>
        <w:spacing w:after="0" w:line="50" w:lineRule="exact"/>
        <w:rPr>
          <w:rFonts w:ascii="Arial" w:cs="Arial" w:eastAsia="Arial" w:hAnsi="Arial"/>
          <w:sz w:val="18"/>
          <w:szCs w:val="18"/>
          <w:color w:val="auto"/>
        </w:rPr>
      </w:pPr>
    </w:p>
    <w:p>
      <w:pPr>
        <w:ind w:left="1020" w:right="680" w:hanging="195"/>
        <w:spacing w:after="0" w:line="276"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Routine routes of administration</w:t>
      </w:r>
      <w:r>
        <w:rPr>
          <w:rFonts w:ascii="Arial" w:cs="Arial" w:eastAsia="Arial" w:hAnsi="Arial"/>
          <w:sz w:val="18"/>
          <w:szCs w:val="18"/>
          <w:color w:val="auto"/>
        </w:rPr>
        <w:t>: Routine, well-tolerated and minimally invasive routes of administration, including intravitreal, aerosol and intravenous delivery</w:t>
      </w:r>
    </w:p>
    <w:p>
      <w:pPr>
        <w:spacing w:after="0" w:line="50" w:lineRule="exact"/>
        <w:rPr>
          <w:rFonts w:ascii="Arial" w:cs="Arial" w:eastAsia="Arial" w:hAnsi="Arial"/>
          <w:sz w:val="18"/>
          <w:szCs w:val="18"/>
          <w:color w:val="auto"/>
        </w:rPr>
      </w:pPr>
    </w:p>
    <w:p>
      <w:pPr>
        <w:ind w:left="1020" w:right="460" w:hanging="195"/>
        <w:spacing w:after="0" w:line="276"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Antibody resistance</w:t>
      </w:r>
      <w:r>
        <w:rPr>
          <w:rFonts w:ascii="Arial" w:cs="Arial" w:eastAsia="Arial" w:hAnsi="Arial"/>
          <w:sz w:val="18"/>
          <w:szCs w:val="18"/>
          <w:color w:val="auto"/>
        </w:rPr>
        <w:t>: Resistance to neutralization by pre-existing antibodies, translating into improved efficacy, larger addressable patient populations, and the potential for re-dosing</w:t>
      </w:r>
    </w:p>
    <w:p>
      <w:pPr>
        <w:spacing w:after="0" w:line="200" w:lineRule="exact"/>
        <w:rPr>
          <w:sz w:val="20"/>
          <w:szCs w:val="20"/>
          <w:color w:val="auto"/>
        </w:rPr>
      </w:pPr>
    </w:p>
    <w:p>
      <w:pPr>
        <w:spacing w:after="0" w:line="37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320" w:top="455" w:right="67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93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61931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Product Candidate Pipeline</w:t>
      </w:r>
    </w:p>
    <w:p>
      <w:pPr>
        <w:spacing w:after="0" w:line="106" w:lineRule="exact"/>
        <w:rPr>
          <w:sz w:val="20"/>
          <w:szCs w:val="20"/>
          <w:color w:val="auto"/>
        </w:rPr>
      </w:pPr>
    </w:p>
    <w:p>
      <w:pPr>
        <w:ind w:left="300" w:right="220" w:firstLine="532"/>
        <w:spacing w:after="0" w:line="245" w:lineRule="auto"/>
        <w:rPr>
          <w:sz w:val="20"/>
          <w:szCs w:val="20"/>
          <w:color w:val="auto"/>
        </w:rPr>
      </w:pPr>
      <w:r>
        <w:rPr>
          <w:rFonts w:ascii="Arial" w:cs="Arial" w:eastAsia="Arial" w:hAnsi="Arial"/>
          <w:sz w:val="18"/>
          <w:szCs w:val="18"/>
          <w:color w:val="auto"/>
        </w:rPr>
        <w:t>We are developing a diverse pipeline of product candidates for both rare and large market diseases, including patient populations that other gene therapies are unable to address. Our initial product candidates are focused on the following therapeutic areas: ophthalmology, cardiology and pulmonology. Each of our product candidates leverages a targeted and evolved vector we invented through our Therapeutic Vector Evolution platform. Below is a summary of our product candidate pipeline and our next anticipated milestones: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0" w:hanging="90"/>
        <w:spacing w:after="0"/>
        <w:tabs>
          <w:tab w:leader="none" w:pos="40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4DMT is responsible for the development of this product candidate; Roche has an exclusive option to assume development and commercialization at its sole cost and</w:t>
      </w:r>
    </w:p>
    <w:p>
      <w:pPr>
        <w:spacing w:after="0" w:line="17" w:lineRule="exact"/>
        <w:rPr>
          <w:rFonts w:ascii="Arial" w:cs="Arial" w:eastAsia="Arial" w:hAnsi="Arial"/>
          <w:sz w:val="14"/>
          <w:szCs w:val="14"/>
          <w:i w:val="1"/>
          <w:iCs w:val="1"/>
          <w:color w:val="auto"/>
        </w:rPr>
      </w:pPr>
    </w:p>
    <w:p>
      <w:pPr>
        <w:ind w:left="3340"/>
        <w:spacing w:after="0"/>
        <w:rPr>
          <w:rFonts w:ascii="Arial" w:cs="Arial" w:eastAsia="Arial" w:hAnsi="Arial"/>
          <w:sz w:val="14"/>
          <w:szCs w:val="14"/>
          <w:i w:val="1"/>
          <w:iCs w:val="1"/>
          <w:color w:val="auto"/>
        </w:rPr>
      </w:pPr>
      <w:r>
        <w:rPr>
          <w:rFonts w:ascii="Arial" w:cs="Arial" w:eastAsia="Arial" w:hAnsi="Arial"/>
          <w:sz w:val="14"/>
          <w:szCs w:val="14"/>
          <w:i w:val="1"/>
          <w:iCs w:val="1"/>
          <w:color w:val="auto"/>
        </w:rPr>
        <w:t>expense. Such an option may be exercised prior to pivotal trial initiation.</w:t>
      </w:r>
    </w:p>
    <w:p>
      <w:pPr>
        <w:spacing w:after="0" w:line="1" w:lineRule="exact"/>
        <w:rPr>
          <w:rFonts w:ascii="Arial" w:cs="Arial" w:eastAsia="Arial" w:hAnsi="Arial"/>
          <w:sz w:val="14"/>
          <w:szCs w:val="14"/>
          <w:i w:val="1"/>
          <w:iCs w:val="1"/>
          <w:color w:val="auto"/>
        </w:rPr>
      </w:pPr>
    </w:p>
    <w:p>
      <w:pPr>
        <w:ind w:left="4120" w:hanging="124"/>
        <w:spacing w:after="0"/>
        <w:tabs>
          <w:tab w:leader="none" w:pos="4120" w:val="left"/>
        </w:tabs>
        <w:numPr>
          <w:ilvl w:val="2"/>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Reporting in coordination with our partner Roche.</w:t>
      </w:r>
    </w:p>
    <w:p>
      <w:pPr>
        <w:spacing w:after="0" w:line="1" w:lineRule="exact"/>
        <w:rPr>
          <w:rFonts w:ascii="Arial" w:cs="Arial" w:eastAsia="Arial" w:hAnsi="Arial"/>
          <w:sz w:val="14"/>
          <w:szCs w:val="14"/>
          <w:i w:val="1"/>
          <w:iCs w:val="1"/>
          <w:color w:val="auto"/>
        </w:rPr>
      </w:pPr>
    </w:p>
    <w:p>
      <w:pPr>
        <w:ind w:left="640" w:hanging="130"/>
        <w:spacing w:after="0"/>
        <w:tabs>
          <w:tab w:leader="none" w:pos="640" w:val="left"/>
        </w:tabs>
        <w:numPr>
          <w:ilvl w:val="1"/>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The Research stage involves (1) defining the Target Vector Profile then deploying Therapeutic Vector Evolution with our capsid libraries in non-human primates</w:t>
      </w:r>
    </w:p>
    <w:p>
      <w:pPr>
        <w:spacing w:after="0" w:line="1" w:lineRule="exact"/>
        <w:rPr>
          <w:sz w:val="20"/>
          <w:szCs w:val="20"/>
          <w:color w:val="auto"/>
        </w:rPr>
      </w:pPr>
    </w:p>
    <w:p>
      <w:pPr>
        <w:jc w:val="center"/>
        <w:ind w:left="640"/>
        <w:spacing w:after="0" w:line="241" w:lineRule="auto"/>
        <w:rPr>
          <w:sz w:val="20"/>
          <w:szCs w:val="20"/>
          <w:color w:val="auto"/>
        </w:rPr>
      </w:pPr>
      <w:r>
        <w:rPr>
          <w:rFonts w:ascii="Arial" w:cs="Arial" w:eastAsia="Arial" w:hAnsi="Arial"/>
          <w:sz w:val="14"/>
          <w:szCs w:val="14"/>
          <w:i w:val="1"/>
          <w:iCs w:val="1"/>
          <w:color w:val="auto"/>
        </w:rPr>
        <w:t>(NHPs) and using competitive selection to identify targeted and evolved vectors from our libraries that demonstrate the strongest match to the Target Vector Profile; then (2) optimizing our product candidates using the lead vector by conducting in vivo and in vitro evaluation of various transgene and promoter construct candidates in cell and animal models, and the selection of at least one product candidate to move forward into IND-enabling studies.</w:t>
      </w:r>
    </w:p>
    <w:p>
      <w:pPr>
        <w:spacing w:after="0" w:line="1" w:lineRule="exact"/>
        <w:rPr>
          <w:sz w:val="20"/>
          <w:szCs w:val="20"/>
          <w:color w:val="auto"/>
        </w:rPr>
      </w:pPr>
    </w:p>
    <w:p>
      <w:pPr>
        <w:jc w:val="center"/>
        <w:ind w:left="640" w:right="20"/>
        <w:spacing w:after="0" w:line="264" w:lineRule="auto"/>
        <w:rPr>
          <w:sz w:val="20"/>
          <w:szCs w:val="20"/>
          <w:color w:val="auto"/>
        </w:rPr>
      </w:pPr>
      <w:r>
        <w:rPr>
          <w:rFonts w:ascii="Arial" w:cs="Arial" w:eastAsia="Arial" w:hAnsi="Arial"/>
          <w:sz w:val="14"/>
          <w:szCs w:val="14"/>
          <w:i w:val="1"/>
          <w:iCs w:val="1"/>
          <w:color w:val="auto"/>
        </w:rPr>
        <w:t>Abbreviations: CHM, choroideremia; DR/DME, diabetic retinopathy, diabetic macular edema; IND, investigational new drug; IV, intravenous; Wet AMD, wet age-related macular degeneration; XLRP, x-linked retinitis pigmentosa.</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Our Ophthalmology Programs: Intravitreal Product Candidates</w:t>
      </w:r>
    </w:p>
    <w:p>
      <w:pPr>
        <w:spacing w:after="0" w:line="102" w:lineRule="exact"/>
        <w:rPr>
          <w:sz w:val="20"/>
          <w:szCs w:val="20"/>
          <w:color w:val="auto"/>
        </w:rPr>
      </w:pPr>
    </w:p>
    <w:p>
      <w:pPr>
        <w:jc w:val="both"/>
        <w:ind w:left="300" w:right="40" w:firstLine="532"/>
        <w:spacing w:after="0" w:line="277" w:lineRule="auto"/>
        <w:rPr>
          <w:sz w:val="20"/>
          <w:szCs w:val="20"/>
          <w:color w:val="auto"/>
        </w:rPr>
      </w:pPr>
      <w:r>
        <w:rPr>
          <w:rFonts w:ascii="Arial" w:cs="Arial" w:eastAsia="Arial" w:hAnsi="Arial"/>
          <w:sz w:val="17"/>
          <w:szCs w:val="17"/>
          <w:color w:val="auto"/>
        </w:rPr>
        <w:t>We are developing product candidates to treat tissues throughout the retina. Our targeted and evolved AAV vector, R100, was invented for routine intravitreal injection, leading to transgene expression across the entire surface area of the retina, and in the major cell layers of the retina. We currently have four ophthalmology product candidates that utilize our proprietary intravitreal R100 vector:</w:t>
      </w:r>
    </w:p>
    <w:p>
      <w:pPr>
        <w:spacing w:after="0" w:line="52" w:lineRule="exact"/>
        <w:rPr>
          <w:sz w:val="20"/>
          <w:szCs w:val="20"/>
          <w:color w:val="auto"/>
        </w:rPr>
      </w:pPr>
    </w:p>
    <w:p>
      <w:pPr>
        <w:ind w:left="1460" w:right="20" w:hanging="635"/>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4D-125</w:t>
      </w:r>
      <w:r>
        <w:rPr>
          <w:rFonts w:ascii="Arial" w:cs="Arial" w:eastAsia="Arial" w:hAnsi="Arial"/>
          <w:sz w:val="18"/>
          <w:szCs w:val="18"/>
          <w:color w:val="auto"/>
        </w:rPr>
        <w:t xml:space="preserve">: 4D-125 is in an ongoing Phase 1/2 clinical trial in patients with XLRP due to mutations in the </w:t>
      </w:r>
      <w:r>
        <w:rPr>
          <w:rFonts w:ascii="Arial" w:cs="Arial" w:eastAsia="Arial" w:hAnsi="Arial"/>
          <w:sz w:val="18"/>
          <w:szCs w:val="18"/>
          <w:i w:val="1"/>
          <w:iCs w:val="1"/>
          <w:color w:val="auto"/>
        </w:rPr>
        <w:t>RPGR</w:t>
      </w:r>
      <w:r>
        <w:rPr>
          <w:rFonts w:ascii="Arial" w:cs="Arial" w:eastAsia="Arial" w:hAnsi="Arial"/>
          <w:sz w:val="18"/>
          <w:szCs w:val="18"/>
          <w:color w:val="auto"/>
        </w:rPr>
        <w:t xml:space="preserve"> gene. XLRP is a rare inherited X-linked recessive genetic disorder that causes progressive vision loss and blindness in boys and young men. There are currently no approved therapies for XLRP. The estimated prevalence of XLRP due to </w:t>
      </w:r>
      <w:r>
        <w:rPr>
          <w:rFonts w:ascii="Arial" w:cs="Arial" w:eastAsia="Arial" w:hAnsi="Arial"/>
          <w:sz w:val="18"/>
          <w:szCs w:val="18"/>
          <w:i w:val="1"/>
          <w:iCs w:val="1"/>
          <w:color w:val="auto"/>
        </w:rPr>
        <w:t>RPGR</w:t>
      </w:r>
      <w:r>
        <w:rPr>
          <w:rFonts w:ascii="Arial" w:cs="Arial" w:eastAsia="Arial" w:hAnsi="Arial"/>
          <w:sz w:val="18"/>
          <w:szCs w:val="18"/>
          <w:color w:val="auto"/>
        </w:rPr>
        <w:t xml:space="preserve"> variants is approximately 24,000 patients in the United States, and France, Germany, Italy, Spain and the United Kingdom (EU-5). We are enrolling patients with a broad range of disease severity, including those earlier in the progression of their disease. We expect to report initial clinical data from this trial in 2021. We currently hold worldwide commercialization rights for 4D-125, and Roche holds an exclusive option to in-license the product prior to pivotal trial initiation.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5" w:right="6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93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58934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460" w:right="60" w:hanging="635"/>
        <w:spacing w:after="0" w:line="245" w:lineRule="auto"/>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4D-110</w:t>
      </w:r>
      <w:r>
        <w:rPr>
          <w:rFonts w:ascii="Arial" w:cs="Arial" w:eastAsia="Arial" w:hAnsi="Arial"/>
          <w:sz w:val="18"/>
          <w:szCs w:val="18"/>
          <w:color w:val="auto"/>
        </w:rPr>
        <w:t>: 4D-110 is in an ongoing Phase 1 clinical trial in patients with choroideremia. Choroideremia is a monogenic blinding disease, affecting approximately 13,000 patients in the United States and EU-5. We are enrolling patients with a broad range of disease severity, including those earlier in the progression of their disease. In coordination with our partner Roche, we expect to report initial clinical data from this trial in 2022. We licensed exclusive worldwide rights to 4D-110 to Roche.</w:t>
      </w:r>
    </w:p>
    <w:p>
      <w:pPr>
        <w:spacing w:after="0" w:line="77" w:lineRule="exact"/>
        <w:rPr>
          <w:rFonts w:ascii="Arial" w:cs="Arial" w:eastAsia="Arial" w:hAnsi="Arial"/>
          <w:sz w:val="18"/>
          <w:szCs w:val="18"/>
          <w:color w:val="auto"/>
        </w:rPr>
      </w:pPr>
    </w:p>
    <w:p>
      <w:pPr>
        <w:ind w:left="1460" w:right="140" w:hanging="635"/>
        <w:spacing w:after="0" w:line="243" w:lineRule="auto"/>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4D-150</w:t>
      </w:r>
      <w:r>
        <w:rPr>
          <w:rFonts w:ascii="Arial" w:cs="Arial" w:eastAsia="Arial" w:hAnsi="Arial"/>
          <w:sz w:val="18"/>
          <w:szCs w:val="18"/>
          <w:color w:val="auto"/>
        </w:rPr>
        <w:t>: 4D-150 is in IND-enabling preclinical development for wet AMD and diabetic retinopathy, two large market ophthalmology indications. There are on average 200,000 new incidences of wet AMD per year in the United States alone. As for diabetic retinopathy, including diabetic macular edema (DME), there are approximately 4.2 million adults in the United States that suffer from the disease and 655,000 have vision-threatening diabetic retinopathy. We wholly own this product candidate. We expect to file an IND and to initiate a Phase 1/2 clinical trial for 4D-150 in the second half of 2021.</w:t>
      </w:r>
    </w:p>
    <w:p>
      <w:pPr>
        <w:spacing w:after="0" w:line="79" w:lineRule="exact"/>
        <w:rPr>
          <w:rFonts w:ascii="Arial" w:cs="Arial" w:eastAsia="Arial" w:hAnsi="Arial"/>
          <w:sz w:val="18"/>
          <w:szCs w:val="18"/>
          <w:color w:val="auto"/>
        </w:rPr>
      </w:pPr>
    </w:p>
    <w:p>
      <w:pPr>
        <w:ind w:left="1460" w:right="140" w:hanging="635"/>
        <w:spacing w:after="0" w:line="255" w:lineRule="auto"/>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4D-135</w:t>
      </w:r>
      <w:r>
        <w:rPr>
          <w:rFonts w:ascii="Arial" w:cs="Arial" w:eastAsia="Arial" w:hAnsi="Arial"/>
          <w:sz w:val="18"/>
          <w:szCs w:val="18"/>
          <w:color w:val="auto"/>
        </w:rPr>
        <w:t xml:space="preserve">: 4D-135 is in preclinical development for autosomal dominant retinitis pigmentosa (adRP) due to mutations in the </w:t>
      </w:r>
      <w:r>
        <w:rPr>
          <w:rFonts w:ascii="Arial" w:cs="Arial" w:eastAsia="Arial" w:hAnsi="Arial"/>
          <w:sz w:val="18"/>
          <w:szCs w:val="18"/>
          <w:i w:val="1"/>
          <w:iCs w:val="1"/>
          <w:color w:val="auto"/>
        </w:rPr>
        <w:t>RHO</w:t>
      </w:r>
      <w:r>
        <w:rPr>
          <w:rFonts w:ascii="Arial" w:cs="Arial" w:eastAsia="Arial" w:hAnsi="Arial"/>
          <w:sz w:val="18"/>
          <w:szCs w:val="18"/>
          <w:color w:val="auto"/>
        </w:rPr>
        <w:t xml:space="preserve"> gene. The prevalence in the United States and EU-5 is estimated to be approximately 11,600. We wholly own this product candidate. We expect to initiate IND-enabling studies for 4D-135 in 2021.</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Cardiology Pipeline: Intravenous Product Candidates</w:t>
      </w:r>
    </w:p>
    <w:p>
      <w:pPr>
        <w:spacing w:after="0" w:line="102" w:lineRule="exact"/>
        <w:rPr>
          <w:sz w:val="20"/>
          <w:szCs w:val="20"/>
          <w:color w:val="auto"/>
        </w:rPr>
      </w:pPr>
    </w:p>
    <w:p>
      <w:pPr>
        <w:ind w:left="300" w:right="260" w:firstLine="532"/>
        <w:spacing w:after="0" w:line="245" w:lineRule="auto"/>
        <w:rPr>
          <w:sz w:val="20"/>
          <w:szCs w:val="20"/>
          <w:color w:val="auto"/>
        </w:rPr>
      </w:pPr>
      <w:r>
        <w:rPr>
          <w:rFonts w:ascii="Arial" w:cs="Arial" w:eastAsia="Arial" w:hAnsi="Arial"/>
          <w:sz w:val="18"/>
          <w:szCs w:val="18"/>
          <w:color w:val="auto"/>
        </w:rPr>
        <w:t>With our cardiology product candidates, all of which are wholly owned, we plan to treat patient populations in both primary cardiomyopathies, that involve the heart only, as well as cardiomyopathies that are secondary to systemic diseases, such as lysosomal storage diseases. Our cardiology product candidates utilize our targeted and evolved AAV vector, C102, which was invented for routine low dose intravenous administration and delivery to the heart, leading to transgene expression in heart muscle cells throughout the organ.</w:t>
      </w:r>
    </w:p>
    <w:p>
      <w:pPr>
        <w:spacing w:after="0" w:line="172" w:lineRule="exact"/>
        <w:rPr>
          <w:sz w:val="20"/>
          <w:szCs w:val="20"/>
          <w:color w:val="auto"/>
        </w:rPr>
      </w:pPr>
    </w:p>
    <w:p>
      <w:pPr>
        <w:ind w:left="300" w:firstLine="532"/>
        <w:spacing w:after="0" w:line="243" w:lineRule="auto"/>
        <w:rPr>
          <w:sz w:val="20"/>
          <w:szCs w:val="20"/>
          <w:color w:val="auto"/>
        </w:rPr>
      </w:pPr>
      <w:r>
        <w:rPr>
          <w:rFonts w:ascii="Arial" w:cs="Arial" w:eastAsia="Arial" w:hAnsi="Arial"/>
          <w:sz w:val="18"/>
          <w:szCs w:val="18"/>
          <w:color w:val="auto"/>
        </w:rPr>
        <w:t>Our initial cardiology product candidate, 4D-310, is in an ongoing Phase 1/2 clinical trial in adult patients with classic (severe) Fabry disease. We estimate the potential initial addressable male Fabry patient population in the United States and EU-5 to be up to 19,000 individuals, approximately 57% of whom suffer from classic Fabry disease. 4D-310 is designed to address all critically affected organs, including the heart, kidney and blood vessels through direct intracellular transgene expression. To our knowledge, 4D-310 is the only Fabry product candidate specifically designed to treat cardiomyocytes. We expect to report initial clinical data from this trial in 2021.</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Pulmonology Pipeline: Aerosol Delivery Product Candidates</w:t>
      </w:r>
    </w:p>
    <w:p>
      <w:pPr>
        <w:spacing w:after="0" w:line="102" w:lineRule="exact"/>
        <w:rPr>
          <w:sz w:val="20"/>
          <w:szCs w:val="20"/>
          <w:color w:val="auto"/>
        </w:rPr>
      </w:pPr>
    </w:p>
    <w:p>
      <w:pPr>
        <w:ind w:left="300" w:right="100" w:firstLine="532"/>
        <w:spacing w:after="0" w:line="243" w:lineRule="auto"/>
        <w:rPr>
          <w:sz w:val="20"/>
          <w:szCs w:val="20"/>
          <w:color w:val="auto"/>
        </w:rPr>
      </w:pPr>
      <w:r>
        <w:rPr>
          <w:rFonts w:ascii="Arial" w:cs="Arial" w:eastAsia="Arial" w:hAnsi="Arial"/>
          <w:sz w:val="18"/>
          <w:szCs w:val="18"/>
          <w:color w:val="auto"/>
        </w:rPr>
        <w:t>With our pulmonology product candidates, all of which are wholly owned, we plan to treat diseases that affect the lungs. Our pulmonology product candidates utilize our targeted and evolved vector, A101, which was invented for aerosol delivery to all major regions within the lung, including airways and alveoli, and successful penetration of the mucus barrier for transduction of lung airway cells, overcoming potential barriers such as pre-existing AAV antibodies and other inhibitory proteins within the mucus barrier. Our products utilizing A101 are designed for delivery as an aerosol to the lung epithelial cell surface resulting in efficient airway and alveolar cell transduction and transgene expression.</w:t>
      </w:r>
    </w:p>
    <w:p>
      <w:pPr>
        <w:spacing w:after="0" w:line="174" w:lineRule="exact"/>
        <w:rPr>
          <w:sz w:val="20"/>
          <w:szCs w:val="20"/>
          <w:color w:val="auto"/>
        </w:rPr>
      </w:pPr>
    </w:p>
    <w:p>
      <w:pPr>
        <w:jc w:val="both"/>
        <w:ind w:left="300" w:right="140" w:firstLine="532"/>
        <w:spacing w:after="0" w:line="255" w:lineRule="auto"/>
        <w:rPr>
          <w:sz w:val="20"/>
          <w:szCs w:val="20"/>
          <w:color w:val="auto"/>
        </w:rPr>
      </w:pPr>
      <w:r>
        <w:rPr>
          <w:rFonts w:ascii="Arial" w:cs="Arial" w:eastAsia="Arial" w:hAnsi="Arial"/>
          <w:sz w:val="18"/>
          <w:szCs w:val="18"/>
          <w:color w:val="auto"/>
        </w:rPr>
        <w:t>Our initial pulmonology product candidate, 4D-710, is in IND-enabling preclinical development for cystic fibrosis lung disease. According to the Cystic Fibrosis Foundation, more than 30,000 people in the United States and more than 70,000 people worldwide are living with cystic fibrosis. We expect to file an IND and to initiate a Phase 1/2 clinical trial for 4D-710 in the second half of 2021.</w:t>
      </w:r>
    </w:p>
    <w:p>
      <w:pPr>
        <w:spacing w:after="0" w:line="200" w:lineRule="exact"/>
        <w:rPr>
          <w:sz w:val="20"/>
          <w:szCs w:val="20"/>
          <w:color w:val="auto"/>
        </w:rPr>
      </w:pPr>
    </w:p>
    <w:p>
      <w:pPr>
        <w:spacing w:after="0" w:line="39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320" w:top="455" w:right="6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816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578167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Manufacturing</w:t>
      </w:r>
    </w:p>
    <w:p>
      <w:pPr>
        <w:spacing w:after="0" w:line="106" w:lineRule="exact"/>
        <w:rPr>
          <w:sz w:val="20"/>
          <w:szCs w:val="20"/>
          <w:color w:val="auto"/>
        </w:rPr>
      </w:pPr>
    </w:p>
    <w:p>
      <w:pPr>
        <w:ind w:left="300" w:right="140" w:firstLine="532"/>
        <w:spacing w:after="0" w:line="241" w:lineRule="auto"/>
        <w:rPr>
          <w:sz w:val="20"/>
          <w:szCs w:val="20"/>
          <w:color w:val="auto"/>
        </w:rPr>
      </w:pPr>
      <w:r>
        <w:rPr>
          <w:rFonts w:ascii="Arial" w:cs="Arial" w:eastAsia="Arial" w:hAnsi="Arial"/>
          <w:sz w:val="18"/>
          <w:szCs w:val="18"/>
          <w:color w:val="auto"/>
        </w:rPr>
        <w:t>We have designed and are continually developing and scaling a robust in-house manufacturing platform for both GMP and non-GMP manufacturing. Our current in-house manufacturing capabilities include GMP manufacturing, production capabilities for IND-enabling GLP toxicology studies and research candidate production. Our team has manufactured over 140 total lots of AAV vectors for research or clinical use. We have in-house cGMP manufacturing capabilities for clinical trial material production. Our manufacturing team has completed and released multiple lots of clinical trial material for our three product candidates in clinical development. Our manufacturing facilities are on-site at our headquarters in Emeryville, California and include process development labs, an analytical development lab and a 3,200 square feet cGMP manufacturing facility.</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Team</w:t>
      </w:r>
    </w:p>
    <w:p>
      <w:pPr>
        <w:spacing w:after="0" w:line="106" w:lineRule="exact"/>
        <w:rPr>
          <w:sz w:val="20"/>
          <w:szCs w:val="20"/>
          <w:color w:val="auto"/>
        </w:rPr>
      </w:pPr>
    </w:p>
    <w:p>
      <w:pPr>
        <w:ind w:left="300" w:right="40" w:firstLine="532"/>
        <w:spacing w:after="0" w:line="239" w:lineRule="auto"/>
        <w:rPr>
          <w:sz w:val="20"/>
          <w:szCs w:val="20"/>
          <w:color w:val="auto"/>
        </w:rPr>
      </w:pPr>
      <w:r>
        <w:rPr>
          <w:rFonts w:ascii="Arial" w:cs="Arial" w:eastAsia="Arial" w:hAnsi="Arial"/>
          <w:sz w:val="18"/>
          <w:szCs w:val="18"/>
          <w:color w:val="auto"/>
        </w:rPr>
        <w:t>Our experienced team consists of biotherapeutics developers, entrepreneurs, innovative gene therapy scientists and clinicians to execute our platform, product design and development and commercialization strategies. Collectively, our team has more than 100 years of combined experience in the field of viral vector gene therapy, including leadership of over 30 clinical trials from Phase 1 through Phase 3 and product approval. We are led by our Chief Executive Officer and co-founder, David Kirn, M.D., who has over 25 years of experience creating and growing therapeutic platform companies. Our Executive Chairman, John Milligan, Ph.D., is the former CEO and President of Gilead Sciences. Our Chief Scientific Advisor and co-founder, David Schaffer, Ph.D., pioneered the application of directed evolution to the capsid of AAV vectors 20 years ago. Our Chief Operating Officer and Chief Technical Officer, Fred Kamal, Ph.D., has over 25 years of industry experience in product manufacturing and quality, including most recently with AveXis, Inc. where he was a key contributor to the development and biologics license application (BLA) for the AAV product Zolgensma. Our Chief Medical Officer, Robert S. Fishman, M.D., brings over 20 years of clinical trial execution and product development expertise.</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Investors</w:t>
      </w:r>
    </w:p>
    <w:p>
      <w:pPr>
        <w:spacing w:after="0" w:line="106" w:lineRule="exact"/>
        <w:rPr>
          <w:sz w:val="20"/>
          <w:szCs w:val="20"/>
          <w:color w:val="auto"/>
        </w:rPr>
      </w:pPr>
    </w:p>
    <w:p>
      <w:pPr>
        <w:ind w:left="300" w:right="240" w:firstLine="532"/>
        <w:spacing w:after="0" w:line="248" w:lineRule="auto"/>
        <w:rPr>
          <w:sz w:val="20"/>
          <w:szCs w:val="20"/>
          <w:color w:val="auto"/>
        </w:rPr>
      </w:pPr>
      <w:r>
        <w:rPr>
          <w:rFonts w:ascii="Arial" w:cs="Arial" w:eastAsia="Arial" w:hAnsi="Arial"/>
          <w:sz w:val="18"/>
          <w:szCs w:val="18"/>
          <w:color w:val="auto"/>
        </w:rPr>
        <w:t>We have raised $ 175.4 million in net proceeds from the sale and issuance of securities to leading investors, including Viking Global Investors, Pfizer, The Biotechnology Value Fund, Mirae Asset Financial Group, Arrowmark Partners, Janus Henderson Investors, Casdin Capital, Cystic Fibrosis Foundation, Pappas Capital &amp; Chiesi Ventures, Amzak Health, Perceptive Advisors, Ridgeback Capital Investments, Octagon Investments and Quad Investment Management.</w:t>
      </w:r>
    </w:p>
    <w:p>
      <w:pPr>
        <w:spacing w:after="0" w:line="27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Strategy</w:t>
      </w:r>
    </w:p>
    <w:p>
      <w:pPr>
        <w:spacing w:after="0" w:line="106" w:lineRule="exact"/>
        <w:rPr>
          <w:sz w:val="20"/>
          <w:szCs w:val="20"/>
          <w:color w:val="auto"/>
        </w:rPr>
      </w:pPr>
    </w:p>
    <w:p>
      <w:pPr>
        <w:ind w:left="300" w:right="280" w:firstLine="532"/>
        <w:spacing w:after="0" w:line="276" w:lineRule="auto"/>
        <w:rPr>
          <w:sz w:val="20"/>
          <w:szCs w:val="20"/>
          <w:color w:val="auto"/>
        </w:rPr>
      </w:pPr>
      <w:r>
        <w:rPr>
          <w:rFonts w:ascii="Arial" w:cs="Arial" w:eastAsia="Arial" w:hAnsi="Arial"/>
          <w:sz w:val="18"/>
          <w:szCs w:val="18"/>
          <w:color w:val="auto"/>
        </w:rPr>
        <w:t>Our vision is to unlock the full potential of gene therapy to address as many patient populations as possible in both rare and large market diseases. We have developed the following strategies and guiding principles to achieve our goals:</w:t>
      </w:r>
    </w:p>
    <w:p>
      <w:pPr>
        <w:spacing w:after="0" w:line="50" w:lineRule="exact"/>
        <w:rPr>
          <w:sz w:val="20"/>
          <w:szCs w:val="20"/>
          <w:color w:val="auto"/>
        </w:rPr>
      </w:pPr>
    </w:p>
    <w:p>
      <w:pPr>
        <w:ind w:left="1020" w:right="300" w:hanging="195"/>
        <w:spacing w:after="0" w:line="27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Invent targeted and evolved AAV vectors using the power of directed evolution to unlock the full potential of gene therapy with transformative gene therapy products.</w:t>
      </w:r>
    </w:p>
    <w:p>
      <w:pPr>
        <w:spacing w:after="0" w:line="50" w:lineRule="exact"/>
        <w:rPr>
          <w:rFonts w:ascii="Arial" w:cs="Arial" w:eastAsia="Arial" w:hAnsi="Arial"/>
          <w:sz w:val="18"/>
          <w:szCs w:val="18"/>
          <w:color w:val="auto"/>
        </w:rPr>
      </w:pPr>
    </w:p>
    <w:p>
      <w:pPr>
        <w:ind w:left="1020" w:right="80" w:hanging="195"/>
        <w:spacing w:after="0" w:line="27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Apply our modular product design to help inform the clinical development of subsequent product candidates using the same vectors used for prior product candidates.</w:t>
      </w:r>
    </w:p>
    <w:p>
      <w:pPr>
        <w:spacing w:after="0" w:line="50" w:lineRule="exact"/>
        <w:rPr>
          <w:rFonts w:ascii="Arial" w:cs="Arial" w:eastAsia="Arial" w:hAnsi="Arial"/>
          <w:sz w:val="18"/>
          <w:szCs w:val="18"/>
          <w:color w:val="auto"/>
        </w:rPr>
      </w:pPr>
    </w:p>
    <w:p>
      <w:pPr>
        <w:ind w:left="1020" w:hanging="195"/>
        <w:spacing w:after="0" w:line="27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 and commercialize a diverse portfolio of transformative gene therapy products in a broad range of therapeutic areas with significant unmet needs, including rare and large patient populations.</w:t>
      </w:r>
    </w:p>
    <w:p>
      <w:pPr>
        <w:spacing w:after="0" w:line="200" w:lineRule="exact"/>
        <w:rPr>
          <w:sz w:val="20"/>
          <w:szCs w:val="20"/>
          <w:color w:val="auto"/>
        </w:rPr>
      </w:pPr>
    </w:p>
    <w:p>
      <w:pPr>
        <w:spacing w:after="0" w:line="37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5" w:right="6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3962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3962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020" w:right="340" w:hanging="195"/>
        <w:spacing w:after="0" w:line="255"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Build a fully integrated biopharmaceutical company by advancing our capabilities in product development and commercialization, and by expanding our manufacturing facilities and internal proprietary Good Manufacturing Practice (GMP) capabilities.</w:t>
      </w:r>
    </w:p>
    <w:p>
      <w:pPr>
        <w:spacing w:after="0" w:line="69" w:lineRule="exact"/>
        <w:rPr>
          <w:rFonts w:ascii="Arial" w:cs="Arial" w:eastAsia="Arial" w:hAnsi="Arial"/>
          <w:sz w:val="18"/>
          <w:szCs w:val="18"/>
          <w:color w:val="auto"/>
        </w:rPr>
      </w:pPr>
    </w:p>
    <w:p>
      <w:pPr>
        <w:ind w:left="1020" w:hanging="19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Selectively execute strategic collaborations to maximize the potential value of our Therapeutic Vector Evolution platform.</w:t>
      </w:r>
    </w:p>
    <w:p>
      <w:pPr>
        <w:spacing w:after="0" w:line="31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06" w:lineRule="exact"/>
        <w:rPr>
          <w:sz w:val="20"/>
          <w:szCs w:val="20"/>
          <w:color w:val="auto"/>
        </w:rPr>
      </w:pPr>
    </w:p>
    <w:p>
      <w:pPr>
        <w:ind w:left="300" w:right="140" w:firstLine="532"/>
        <w:spacing w:after="0" w:line="255" w:lineRule="auto"/>
        <w:rPr>
          <w:sz w:val="20"/>
          <w:szCs w:val="20"/>
          <w:color w:val="auto"/>
        </w:rPr>
      </w:pPr>
      <w:r>
        <w:rPr>
          <w:rFonts w:ascii="Arial" w:cs="Arial" w:eastAsia="Arial" w:hAnsi="Arial"/>
          <w:sz w:val="18"/>
          <w:szCs w:val="18"/>
          <w:color w:val="auto"/>
        </w:rPr>
        <w:t>Our ability to implement our business strategy is subject to numerous risks that you should be aware of before making an investment decision. These risks are described more fully in the section titled “Risk Factors,” immediately following this prospectus summary. These risks include the following, among others:</w:t>
      </w:r>
    </w:p>
    <w:p>
      <w:pPr>
        <w:spacing w:after="0" w:line="69" w:lineRule="exact"/>
        <w:rPr>
          <w:sz w:val="20"/>
          <w:szCs w:val="20"/>
          <w:color w:val="auto"/>
        </w:rPr>
      </w:pPr>
    </w:p>
    <w:p>
      <w:pPr>
        <w:ind w:left="1020" w:right="180" w:hanging="195"/>
        <w:spacing w:after="0" w:line="306" w:lineRule="auto"/>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are in the early stages of drug development and have a very limited operating history and no products approved for commercial sale, which may make it difficult to evaluate our current business and predict our future success and viability.</w:t>
      </w:r>
    </w:p>
    <w:p>
      <w:pPr>
        <w:spacing w:after="0" w:line="28" w:lineRule="exact"/>
        <w:rPr>
          <w:rFonts w:ascii="Arial" w:cs="Arial" w:eastAsia="Arial" w:hAnsi="Arial"/>
          <w:sz w:val="17"/>
          <w:szCs w:val="17"/>
          <w:color w:val="auto"/>
        </w:rPr>
      </w:pPr>
    </w:p>
    <w:p>
      <w:pPr>
        <w:ind w:left="1020" w:hanging="19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had recurring net losses, and we expect to continue to incur significant net losses for the foreseeable future.</w:t>
      </w:r>
    </w:p>
    <w:p>
      <w:pPr>
        <w:spacing w:after="0" w:line="117" w:lineRule="exact"/>
        <w:rPr>
          <w:rFonts w:ascii="Arial" w:cs="Arial" w:eastAsia="Arial" w:hAnsi="Arial"/>
          <w:sz w:val="18"/>
          <w:szCs w:val="18"/>
          <w:color w:val="auto"/>
        </w:rPr>
      </w:pPr>
    </w:p>
    <w:p>
      <w:pPr>
        <w:ind w:left="1020" w:hanging="195"/>
        <w:spacing w:after="0" w:line="255"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Even if this offering is successful, we will require substantial additional capital to finance our operations. If we fail or are unable to raise such capital when needed, or on acceptable terms, we may be forced to delay, reduce and/or eliminate one or more of our research and drug development programs, future commercialization efforts or other operations.</w:t>
      </w:r>
    </w:p>
    <w:p>
      <w:pPr>
        <w:spacing w:after="0" w:line="69" w:lineRule="exact"/>
        <w:rPr>
          <w:rFonts w:ascii="Arial" w:cs="Arial" w:eastAsia="Arial" w:hAnsi="Arial"/>
          <w:sz w:val="18"/>
          <w:szCs w:val="18"/>
          <w:color w:val="auto"/>
        </w:rPr>
      </w:pPr>
    </w:p>
    <w:p>
      <w:pPr>
        <w:ind w:left="1020" w:right="40" w:hanging="195"/>
        <w:spacing w:after="0" w:line="248"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of our product candidates are based on a novel AAV gene therapy technology with which there is limited regulatory and clinical experience to date, which makes it difficult to predict the time and cost of product candidate development and subsequently obtaining regulatory approval. Further, the regulatory approval process for novel product candidates such as ours can be more expensive and take longer than for other, better known or extensively studied therapeutic modalities.</w:t>
      </w:r>
    </w:p>
    <w:p>
      <w:pPr>
        <w:spacing w:after="0" w:line="75" w:lineRule="exact"/>
        <w:rPr>
          <w:rFonts w:ascii="Arial" w:cs="Arial" w:eastAsia="Arial" w:hAnsi="Arial"/>
          <w:sz w:val="18"/>
          <w:szCs w:val="18"/>
          <w:color w:val="auto"/>
        </w:rPr>
      </w:pPr>
    </w:p>
    <w:p>
      <w:pPr>
        <w:ind w:left="1020" w:right="60" w:hanging="195"/>
        <w:spacing w:after="0" w:line="255"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 therapies are novel, complex and difficult to manufacture. We could experience production problems that result in delays in our development or commercialization programs, limit the supply of our products or otherwise seriously harm our business.</w:t>
      </w:r>
    </w:p>
    <w:p>
      <w:pPr>
        <w:spacing w:after="0" w:line="69" w:lineRule="exact"/>
        <w:rPr>
          <w:rFonts w:ascii="Arial" w:cs="Arial" w:eastAsia="Arial" w:hAnsi="Arial"/>
          <w:sz w:val="18"/>
          <w:szCs w:val="18"/>
          <w:color w:val="auto"/>
        </w:rPr>
      </w:pPr>
    </w:p>
    <w:p>
      <w:pPr>
        <w:ind w:left="1020" w:right="400" w:hanging="195"/>
        <w:spacing w:after="0" w:line="27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public perception or regulatory scrutiny of gene therapy technology may negatively impact the developmental progress or commercial success of products that we develop alone or with collaborators.</w:t>
      </w:r>
    </w:p>
    <w:p>
      <w:pPr>
        <w:spacing w:after="0" w:line="50" w:lineRule="exact"/>
        <w:rPr>
          <w:rFonts w:ascii="Arial" w:cs="Arial" w:eastAsia="Arial" w:hAnsi="Arial"/>
          <w:sz w:val="18"/>
          <w:szCs w:val="18"/>
          <w:color w:val="auto"/>
        </w:rPr>
      </w:pPr>
    </w:p>
    <w:p>
      <w:pPr>
        <w:ind w:left="1020" w:right="160" w:hanging="195"/>
        <w:spacing w:after="0" w:line="27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clinical trials may fail to demonstrate substantial evidence of the safety and efficacy of our product candidates, which would prevent, delay or limit the scope of regulatory approval and commercialization.</w:t>
      </w:r>
    </w:p>
    <w:p>
      <w:pPr>
        <w:spacing w:after="0" w:line="50" w:lineRule="exact"/>
        <w:rPr>
          <w:rFonts w:ascii="Arial" w:cs="Arial" w:eastAsia="Arial" w:hAnsi="Arial"/>
          <w:sz w:val="18"/>
          <w:szCs w:val="18"/>
          <w:color w:val="auto"/>
        </w:rPr>
      </w:pPr>
    </w:p>
    <w:p>
      <w:pPr>
        <w:ind w:left="1020" w:right="40" w:hanging="195"/>
        <w:spacing w:after="0" w:line="255"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regulatory approval processes of the FDA, EMA and comparable foreign regulatory authorities are lengthy, expensive, time consuming, and inherently unpredictable. If we are ultimately unable to obtain regulatory approval for our product candidates, we will be unable to generate product revenue and our business will be substantially harmed.</w:t>
      </w:r>
    </w:p>
    <w:p>
      <w:pPr>
        <w:spacing w:after="0" w:line="69" w:lineRule="exact"/>
        <w:rPr>
          <w:rFonts w:ascii="Arial" w:cs="Arial" w:eastAsia="Arial" w:hAnsi="Arial"/>
          <w:sz w:val="18"/>
          <w:szCs w:val="18"/>
          <w:color w:val="auto"/>
        </w:rPr>
      </w:pPr>
    </w:p>
    <w:p>
      <w:pPr>
        <w:ind w:left="1020" w:right="100" w:hanging="195"/>
        <w:spacing w:after="0" w:line="306" w:lineRule="auto"/>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employees, independent contractors, consultants, research or commercial partners or collaborators and vendors may engage in misconduct or other improper activities, including noncompliance with regulatory standards and requirements.</w:t>
      </w:r>
    </w:p>
    <w:p>
      <w:pPr>
        <w:spacing w:after="0" w:line="28" w:lineRule="exact"/>
        <w:rPr>
          <w:rFonts w:ascii="Arial" w:cs="Arial" w:eastAsia="Arial" w:hAnsi="Arial"/>
          <w:sz w:val="17"/>
          <w:szCs w:val="17"/>
          <w:color w:val="auto"/>
        </w:rPr>
      </w:pPr>
    </w:p>
    <w:p>
      <w:pPr>
        <w:ind w:left="1020" w:hanging="19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success depends on our ability to protect our intellectual property and our proprietary technologies.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80"/>
          </w:cols>
          <w:pgMar w:left="320" w:top="455" w:right="79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705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56705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020" w:right="100" w:hanging="195"/>
        <w:spacing w:after="0" w:line="255"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rights to develop and commercialize our product candidates are subject in part to the terms and conditions of licenses granted to us by others, and the patent protection, prosecution and enforcement for some of our product candidates may be dependent on our licensors.</w:t>
      </w:r>
    </w:p>
    <w:p>
      <w:pPr>
        <w:spacing w:after="0" w:line="69" w:lineRule="exact"/>
        <w:rPr>
          <w:rFonts w:ascii="Arial" w:cs="Arial" w:eastAsia="Arial" w:hAnsi="Arial"/>
          <w:sz w:val="18"/>
          <w:szCs w:val="18"/>
          <w:color w:val="auto"/>
        </w:rPr>
      </w:pPr>
    </w:p>
    <w:p>
      <w:pPr>
        <w:ind w:left="1020" w:right="160" w:hanging="195"/>
        <w:spacing w:after="0" w:line="248"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concluded that there is substantial doubt relating to our ability to continue as a going concern for at least one year from the date that our financial statements for the year ended December 31, 2019 were available for reissuance, and our independent registered public accounting firm has included an explanatory paragraph relating to our ability to continue as a going concern in its report on our financial statements included in this prospectus.</w:t>
      </w:r>
    </w:p>
    <w:p>
      <w:pPr>
        <w:spacing w:after="0" w:line="27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06" w:lineRule="exact"/>
        <w:rPr>
          <w:sz w:val="20"/>
          <w:szCs w:val="20"/>
          <w:color w:val="auto"/>
        </w:rPr>
      </w:pPr>
    </w:p>
    <w:p>
      <w:pPr>
        <w:ind w:left="300" w:firstLine="532"/>
        <w:spacing w:after="0" w:line="260" w:lineRule="auto"/>
        <w:rPr>
          <w:sz w:val="20"/>
          <w:szCs w:val="20"/>
          <w:color w:val="auto"/>
        </w:rPr>
      </w:pPr>
      <w:r>
        <w:rPr>
          <w:rFonts w:ascii="Arial" w:cs="Arial" w:eastAsia="Arial" w:hAnsi="Arial"/>
          <w:sz w:val="17"/>
          <w:szCs w:val="17"/>
          <w:color w:val="auto"/>
        </w:rPr>
        <w:t>We were formed on September 12, 2013 as a Delaware limited liability corporation under the name 4D Molecular Therapeutics, LLC. On March 11, 2015, 4D Molecular Therapeutics, Inc. was incorporated as a Delaware corporation. On March 20, 2015, 4D Molecular Therapeutics, LLC merged with 4D Molecular Therapeutics, Inc., with 4D Molecular Therapeutics, Inc. being the surviving entity. Our principal executive offices are located at 5858 Horton Street #455, Emeryville, California 94608, and our telephone number is (510) 505-2680. Our website address is www.4dmoleculartherapeutics.com. The information on, or that can be accessed through, our website is not part of this prospectus. We have included our website address as an inactive textual reference only.</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106" w:lineRule="exact"/>
        <w:rPr>
          <w:sz w:val="20"/>
          <w:szCs w:val="20"/>
          <w:color w:val="auto"/>
        </w:rPr>
      </w:pPr>
    </w:p>
    <w:p>
      <w:pPr>
        <w:ind w:left="300" w:right="60" w:firstLine="532"/>
        <w:spacing w:after="0" w:line="239" w:lineRule="auto"/>
        <w:rPr>
          <w:sz w:val="20"/>
          <w:szCs w:val="20"/>
          <w:color w:val="auto"/>
        </w:rPr>
      </w:pPr>
      <w:r>
        <w:rPr>
          <w:rFonts w:ascii="Arial" w:cs="Arial" w:eastAsia="Arial" w:hAnsi="Arial"/>
          <w:sz w:val="18"/>
          <w:szCs w:val="18"/>
          <w:color w:val="auto"/>
        </w:rPr>
        <w:t>We are an emerging growth company as defined in the Jumpstart Our Business Startups Act of 2012 (the JOBS Act). We will remain an emerging growth company until the earlier of (i) the last day of the year following the fifth anniversary of the completion of this offering, (ii) the last day of the year in which we have total annual gross revenue of at least $ 1.07 billion, (iii) the last day of the year in which we are deemed to be a “large accelerated filer” as defined in Rule 12b-2 under the Securities Exchange Act of 1934, as amended (the Exchange Act), which would occur if the market value of our common stock held by non-affiliates exceeded</w:t>
      </w:r>
    </w:p>
    <w:p>
      <w:pPr>
        <w:spacing w:after="0" w:line="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$700.0 million as of the last business day of the second fiscal quarter of such year or (iv) the date on which we have issued more than $1.0 billion in non-convertible debt securities during the prior three-year period. An emerging growth company may take advantage of specified reduced reporting requirements and is relieved of certain other significant requirements that are otherwise generally applicable to public companies. As an emerging growth company:</w:t>
      </w:r>
    </w:p>
    <w:p>
      <w:pPr>
        <w:spacing w:after="0" w:line="82" w:lineRule="exact"/>
        <w:rPr>
          <w:sz w:val="20"/>
          <w:szCs w:val="20"/>
          <w:color w:val="auto"/>
        </w:rPr>
      </w:pPr>
    </w:p>
    <w:p>
      <w:pPr>
        <w:ind w:left="1020" w:right="20" w:hanging="195"/>
        <w:spacing w:after="0" w:line="276"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present only two years of audited financial statements, plus unaudited financial statements for any interim period, and related management’s discussion and analysis of financial condition and results of operations;</w:t>
      </w:r>
    </w:p>
    <w:p>
      <w:pPr>
        <w:spacing w:after="0" w:line="50" w:lineRule="exact"/>
        <w:rPr>
          <w:rFonts w:ascii="Arial" w:cs="Arial" w:eastAsia="Arial" w:hAnsi="Arial"/>
          <w:sz w:val="18"/>
          <w:szCs w:val="18"/>
          <w:color w:val="auto"/>
        </w:rPr>
      </w:pPr>
    </w:p>
    <w:p>
      <w:pPr>
        <w:ind w:left="1020" w:right="100" w:hanging="195"/>
        <w:spacing w:after="0" w:line="255"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avail ourselves of the exemption from the requirement to obtain an attestation and report from our auditors on the assessment of our internal control over financial reporting pursuant to the Sarbanes-Oxley Act of 2002 (the Sarbanes-Oxley Act);</w:t>
      </w:r>
    </w:p>
    <w:p>
      <w:pPr>
        <w:spacing w:after="0" w:line="69" w:lineRule="exact"/>
        <w:rPr>
          <w:rFonts w:ascii="Arial" w:cs="Arial" w:eastAsia="Arial" w:hAnsi="Arial"/>
          <w:sz w:val="18"/>
          <w:szCs w:val="18"/>
          <w:color w:val="auto"/>
        </w:rPr>
      </w:pPr>
    </w:p>
    <w:p>
      <w:pPr>
        <w:ind w:left="1020" w:hanging="19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provide less extensive disclosure about our executive compensation arrangements;</w:t>
      </w:r>
    </w:p>
    <w:p>
      <w:pPr>
        <w:spacing w:after="0" w:line="117" w:lineRule="exact"/>
        <w:rPr>
          <w:rFonts w:ascii="Arial" w:cs="Arial" w:eastAsia="Arial" w:hAnsi="Arial"/>
          <w:sz w:val="18"/>
          <w:szCs w:val="18"/>
          <w:color w:val="auto"/>
        </w:rPr>
      </w:pPr>
    </w:p>
    <w:p>
      <w:pPr>
        <w:ind w:left="1020" w:right="240" w:hanging="195"/>
        <w:spacing w:after="0" w:line="276"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not require stockholder non-binding advisory votes on executive compensation or golden parachute arrangements; and</w:t>
      </w:r>
    </w:p>
    <w:p>
      <w:pPr>
        <w:spacing w:after="0" w:line="50" w:lineRule="exact"/>
        <w:rPr>
          <w:rFonts w:ascii="Arial" w:cs="Arial" w:eastAsia="Arial" w:hAnsi="Arial"/>
          <w:sz w:val="18"/>
          <w:szCs w:val="18"/>
          <w:color w:val="auto"/>
        </w:rPr>
      </w:pPr>
    </w:p>
    <w:p>
      <w:pPr>
        <w:ind w:left="1020" w:right="460" w:hanging="195"/>
        <w:spacing w:after="0" w:line="276"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take advantage of extended transition periods to comply with new or revised accounting standards, delaying the adoption of these accounting standards until they would apply to private companies.</w:t>
      </w:r>
    </w:p>
    <w:p>
      <w:pPr>
        <w:spacing w:after="0" w:line="200" w:lineRule="exact"/>
        <w:rPr>
          <w:sz w:val="20"/>
          <w:szCs w:val="20"/>
          <w:color w:val="auto"/>
        </w:rPr>
      </w:pPr>
    </w:p>
    <w:p>
      <w:pPr>
        <w:spacing w:after="0" w:line="37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5" w:right="6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5811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15811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firstLine="532"/>
        <w:spacing w:after="0" w:line="241" w:lineRule="auto"/>
        <w:rPr>
          <w:sz w:val="20"/>
          <w:szCs w:val="20"/>
          <w:color w:val="auto"/>
        </w:rPr>
      </w:pPr>
      <w:r>
        <w:rPr>
          <w:rFonts w:ascii="Arial" w:cs="Arial" w:eastAsia="Arial" w:hAnsi="Arial"/>
          <w:sz w:val="18"/>
          <w:szCs w:val="18"/>
          <w:color w:val="auto"/>
        </w:rPr>
        <w:t>We are also a “smaller reporting company” as defined in the Securities and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$ 100.0 million during the most recently completed fiscal year and the market value of our voting and non-voting common stock held by non-affiliates is less than $700.0 million measured on the last business day of our second fiscal quarter.</w:t>
      </w:r>
    </w:p>
    <w:p>
      <w:pPr>
        <w:spacing w:after="0" w:line="179" w:lineRule="exact"/>
        <w:rPr>
          <w:sz w:val="20"/>
          <w:szCs w:val="20"/>
          <w:color w:val="auto"/>
        </w:rPr>
      </w:pPr>
    </w:p>
    <w:p>
      <w:pPr>
        <w:ind w:left="300" w:right="60" w:firstLine="532"/>
        <w:spacing w:after="0" w:line="276" w:lineRule="auto"/>
        <w:rPr>
          <w:sz w:val="20"/>
          <w:szCs w:val="20"/>
          <w:color w:val="auto"/>
        </w:rPr>
      </w:pPr>
      <w:r>
        <w:rPr>
          <w:rFonts w:ascii="Arial" w:cs="Arial" w:eastAsia="Arial" w:hAnsi="Arial"/>
          <w:sz w:val="18"/>
          <w:szCs w:val="18"/>
          <w:color w:val="auto"/>
        </w:rPr>
        <w:t>As a result, the information in this prospectus and that we provide to our investors in the future may be different than what you might receive from other public reporting companies.</w:t>
      </w:r>
    </w:p>
    <w:p>
      <w:pPr>
        <w:spacing w:after="0" w:line="200" w:lineRule="exact"/>
        <w:rPr>
          <w:sz w:val="20"/>
          <w:szCs w:val="20"/>
          <w:color w:val="auto"/>
        </w:rPr>
      </w:pPr>
    </w:p>
    <w:p>
      <w:pPr>
        <w:spacing w:after="0" w:line="37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80"/>
          </w:cols>
          <w:pgMar w:left="320" w:top="455" w:right="69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1733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1733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880"/>
          </w:cols>
          <w:pgMar w:left="320" w:top="455" w:right="699" w:bottom="1440" w:gutter="0" w:footer="0" w:header="0"/>
        </w:sectPr>
      </w:pPr>
    </w:p>
    <w:p>
      <w:pPr>
        <w:spacing w:after="0" w:line="24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Common stock offered by us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8,400,000 shares.</w:t>
      </w:r>
    </w:p>
    <w:p>
      <w:pPr>
        <w:spacing w:after="0" w:line="102" w:lineRule="exact"/>
        <w:rPr>
          <w:sz w:val="20"/>
          <w:szCs w:val="20"/>
          <w:color w:val="auto"/>
        </w:rPr>
      </w:pPr>
    </w:p>
    <w:p>
      <w:pPr>
        <w:sectPr>
          <w:pgSz w:w="11900" w:h="16838" w:orient="portrait"/>
          <w:cols w:equalWidth="0" w:num="2">
            <w:col w:w="5100" w:space="720"/>
            <w:col w:w="5060"/>
          </w:cols>
          <w:pgMar w:left="320" w:top="455" w:right="699" w:bottom="1440" w:gutter="0" w:footer="0" w:header="0"/>
          <w:type w:val="continuous"/>
        </w:sectPr>
      </w:pPr>
    </w:p>
    <w:p>
      <w:pPr>
        <w:ind w:left="300"/>
        <w:spacing w:after="0"/>
        <w:rPr>
          <w:sz w:val="20"/>
          <w:szCs w:val="20"/>
          <w:color w:val="auto"/>
        </w:rPr>
      </w:pPr>
      <w:r>
        <w:rPr>
          <w:rFonts w:ascii="Arial" w:cs="Arial" w:eastAsia="Arial" w:hAnsi="Arial"/>
          <w:sz w:val="17"/>
          <w:szCs w:val="17"/>
          <w:color w:val="auto"/>
        </w:rPr>
        <w:t>Underwriters’ option to purchase additional shares</w:t>
      </w:r>
    </w:p>
    <w:p>
      <w:pPr>
        <w:spacing w:after="0" w:line="20" w:lineRule="exact"/>
        <w:rPr>
          <w:sz w:val="20"/>
          <w:szCs w:val="20"/>
          <w:color w:val="auto"/>
        </w:rPr>
      </w:pPr>
      <w:r>
        <w:rPr>
          <w:sz w:val="20"/>
          <w:szCs w:val="20"/>
          <w:color w:val="auto"/>
        </w:rPr>
        <w:br w:type="column"/>
      </w:r>
    </w:p>
    <w:p>
      <w:pPr>
        <w:ind w:right="80"/>
        <w:spacing w:after="0" w:line="298" w:lineRule="auto"/>
        <w:rPr>
          <w:sz w:val="20"/>
          <w:szCs w:val="20"/>
          <w:color w:val="auto"/>
        </w:rPr>
      </w:pPr>
      <w:r>
        <w:rPr>
          <w:rFonts w:ascii="Arial" w:cs="Arial" w:eastAsia="Arial" w:hAnsi="Arial"/>
          <w:sz w:val="17"/>
          <w:szCs w:val="17"/>
          <w:color w:val="auto"/>
        </w:rPr>
        <w:t>We have granted the underwriters a 30-day option to purchase up to 1,260,000 additional shares of our common stock.</w:t>
      </w:r>
    </w:p>
    <w:p>
      <w:pPr>
        <w:spacing w:after="0" w:line="1" w:lineRule="exact"/>
        <w:rPr>
          <w:sz w:val="20"/>
          <w:szCs w:val="20"/>
          <w:color w:val="auto"/>
        </w:rPr>
      </w:pPr>
    </w:p>
    <w:p>
      <w:pPr>
        <w:sectPr>
          <w:pgSz w:w="11900" w:h="16838" w:orient="portrait"/>
          <w:cols w:equalWidth="0" w:num="2">
            <w:col w:w="5100" w:space="720"/>
            <w:col w:w="5060"/>
          </w:cols>
          <w:pgMar w:left="320" w:top="455" w:right="699" w:bottom="1440" w:gutter="0" w:footer="0" w:header="0"/>
          <w:type w:val="continuous"/>
        </w:sectPr>
      </w:pPr>
    </w:p>
    <w:p>
      <w:pPr>
        <w:ind w:left="300"/>
        <w:spacing w:after="0"/>
        <w:rPr>
          <w:sz w:val="20"/>
          <w:szCs w:val="20"/>
          <w:color w:val="auto"/>
        </w:rPr>
      </w:pPr>
      <w:r>
        <w:rPr>
          <w:rFonts w:ascii="Arial" w:cs="Arial" w:eastAsia="Arial" w:hAnsi="Arial"/>
          <w:sz w:val="17"/>
          <w:szCs w:val="17"/>
          <w:color w:val="auto"/>
        </w:rPr>
        <w:t>Common stock to be immediately outstanding after the offering</w:t>
      </w:r>
    </w:p>
    <w:p>
      <w:pPr>
        <w:spacing w:after="0" w:line="20" w:lineRule="exact"/>
        <w:rPr>
          <w:sz w:val="20"/>
          <w:szCs w:val="20"/>
          <w:color w:val="auto"/>
        </w:rPr>
      </w:pPr>
      <w:r>
        <w:rPr>
          <w:sz w:val="20"/>
          <w:szCs w:val="20"/>
          <w:color w:val="auto"/>
        </w:rPr>
        <w:br w:type="column"/>
      </w:r>
    </w:p>
    <w:p>
      <w:pPr>
        <w:ind w:right="280"/>
        <w:spacing w:after="0" w:line="298" w:lineRule="auto"/>
        <w:rPr>
          <w:sz w:val="20"/>
          <w:szCs w:val="20"/>
          <w:color w:val="auto"/>
        </w:rPr>
      </w:pPr>
      <w:r>
        <w:rPr>
          <w:rFonts w:ascii="Arial" w:cs="Arial" w:eastAsia="Arial" w:hAnsi="Arial"/>
          <w:sz w:val="17"/>
          <w:szCs w:val="17"/>
          <w:color w:val="auto"/>
        </w:rPr>
        <w:t>25,233,726 shares (or 26,493,726 shares if the underwriters exercise their option to purchase additional shares in full).</w:t>
      </w:r>
    </w:p>
    <w:p>
      <w:pPr>
        <w:spacing w:after="0" w:line="1" w:lineRule="exact"/>
        <w:rPr>
          <w:sz w:val="20"/>
          <w:szCs w:val="20"/>
          <w:color w:val="auto"/>
        </w:rPr>
      </w:pPr>
    </w:p>
    <w:p>
      <w:pPr>
        <w:sectPr>
          <w:pgSz w:w="11900" w:h="16838" w:orient="portrait"/>
          <w:cols w:equalWidth="0" w:num="2">
            <w:col w:w="5300" w:space="520"/>
            <w:col w:w="5060"/>
          </w:cols>
          <w:pgMar w:left="320" w:top="455" w:right="699" w:bottom="1440" w:gutter="0" w:footer="0" w:header="0"/>
          <w:type w:val="continuous"/>
        </w:sectPr>
      </w:pPr>
    </w:p>
    <w:p>
      <w:pPr>
        <w:ind w:left="30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ind w:right="40"/>
        <w:spacing w:after="0" w:line="245" w:lineRule="auto"/>
        <w:rPr>
          <w:sz w:val="20"/>
          <w:szCs w:val="20"/>
          <w:color w:val="auto"/>
        </w:rPr>
      </w:pPr>
      <w:r>
        <w:rPr>
          <w:rFonts w:ascii="Arial" w:cs="Arial" w:eastAsia="Arial" w:hAnsi="Arial"/>
          <w:sz w:val="18"/>
          <w:szCs w:val="18"/>
          <w:color w:val="auto"/>
        </w:rPr>
        <w:t>We estimate that the net proceeds from this offering will be approximately $176.6 million, or approximately $203.5 million if the underwriters exercise their option to purchase additional shares in full, after deducting the underwriting discounts and commissions and estimated offering expenses payable by us.</w:t>
      </w:r>
    </w:p>
    <w:p>
      <w:pPr>
        <w:spacing w:after="0" w:line="37" w:lineRule="exact"/>
        <w:rPr>
          <w:sz w:val="20"/>
          <w:szCs w:val="20"/>
          <w:color w:val="auto"/>
        </w:rPr>
      </w:pPr>
    </w:p>
    <w:p>
      <w:pPr>
        <w:sectPr>
          <w:pgSz w:w="11900" w:h="16838" w:orient="portrait"/>
          <w:cols w:equalWidth="0" w:num="2">
            <w:col w:w="5100" w:space="720"/>
            <w:col w:w="5060"/>
          </w:cols>
          <w:pgMar w:left="320" w:top="455" w:right="699" w:bottom="1440" w:gutter="0" w:footer="0" w:header="0"/>
          <w:type w:val="continuous"/>
        </w:sectPr>
      </w:pPr>
    </w:p>
    <w:p>
      <w:pPr>
        <w:ind w:left="5820"/>
        <w:spacing w:after="0"/>
        <w:rPr>
          <w:sz w:val="20"/>
          <w:szCs w:val="20"/>
          <w:color w:val="auto"/>
        </w:rPr>
      </w:pPr>
      <w:r>
        <w:rPr>
          <w:rFonts w:ascii="Arial" w:cs="Arial" w:eastAsia="Arial" w:hAnsi="Arial"/>
          <w:sz w:val="18"/>
          <w:szCs w:val="18"/>
          <w:color w:val="auto"/>
        </w:rPr>
        <w:t>We currently intend to use the net proceeds from this offering,</w:t>
      </w:r>
    </w:p>
    <w:p>
      <w:pPr>
        <w:spacing w:after="0" w:line="1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together with our existing cash and cash equivalents, to fund</w:t>
      </w:r>
    </w:p>
    <w:p>
      <w:pPr>
        <w:ind w:left="5820"/>
        <w:spacing w:after="0" w:line="234" w:lineRule="auto"/>
        <w:rPr>
          <w:sz w:val="20"/>
          <w:szCs w:val="20"/>
          <w:color w:val="auto"/>
        </w:rPr>
      </w:pPr>
      <w:r>
        <w:rPr>
          <w:rFonts w:ascii="Arial" w:cs="Arial" w:eastAsia="Arial" w:hAnsi="Arial"/>
          <w:sz w:val="18"/>
          <w:szCs w:val="18"/>
          <w:color w:val="auto"/>
        </w:rPr>
        <w:t>the ongoing and planned clinical and preclinical development of</w:t>
      </w:r>
    </w:p>
    <w:p>
      <w:pPr>
        <w:ind w:left="5820"/>
        <w:spacing w:after="0" w:line="235" w:lineRule="auto"/>
        <w:rPr>
          <w:sz w:val="20"/>
          <w:szCs w:val="20"/>
          <w:color w:val="auto"/>
        </w:rPr>
      </w:pPr>
      <w:r>
        <w:rPr>
          <w:rFonts w:ascii="Arial" w:cs="Arial" w:eastAsia="Arial" w:hAnsi="Arial"/>
          <w:sz w:val="18"/>
          <w:szCs w:val="18"/>
          <w:color w:val="auto"/>
        </w:rPr>
        <w:t>our product candidates, the further development and expansion</w:t>
      </w:r>
    </w:p>
    <w:p>
      <w:pPr>
        <w:ind w:left="5820"/>
        <w:spacing w:after="0" w:line="235" w:lineRule="auto"/>
        <w:rPr>
          <w:sz w:val="20"/>
          <w:szCs w:val="20"/>
          <w:color w:val="auto"/>
        </w:rPr>
      </w:pPr>
      <w:r>
        <w:rPr>
          <w:rFonts w:ascii="Arial" w:cs="Arial" w:eastAsia="Arial" w:hAnsi="Arial"/>
          <w:sz w:val="18"/>
          <w:szCs w:val="18"/>
          <w:color w:val="auto"/>
        </w:rPr>
        <w:t>of our pipeline, the continued expansion of our manufacturing</w:t>
      </w:r>
    </w:p>
    <w:p>
      <w:pPr>
        <w:ind w:left="5820"/>
        <w:spacing w:after="0" w:line="235" w:lineRule="auto"/>
        <w:rPr>
          <w:sz w:val="20"/>
          <w:szCs w:val="20"/>
          <w:color w:val="auto"/>
        </w:rPr>
      </w:pPr>
      <w:r>
        <w:rPr>
          <w:rFonts w:ascii="Arial" w:cs="Arial" w:eastAsia="Arial" w:hAnsi="Arial"/>
          <w:sz w:val="18"/>
          <w:szCs w:val="18"/>
          <w:color w:val="auto"/>
        </w:rPr>
        <w:t>capabilities and facilities and the remainder for working capital</w:t>
      </w:r>
    </w:p>
    <w:p>
      <w:pPr>
        <w:ind w:left="5820"/>
        <w:spacing w:after="0" w:line="235" w:lineRule="auto"/>
        <w:rPr>
          <w:sz w:val="20"/>
          <w:szCs w:val="20"/>
          <w:color w:val="auto"/>
        </w:rPr>
      </w:pPr>
      <w:r>
        <w:rPr>
          <w:rFonts w:ascii="Arial" w:cs="Arial" w:eastAsia="Arial" w:hAnsi="Arial"/>
          <w:sz w:val="18"/>
          <w:szCs w:val="18"/>
          <w:color w:val="auto"/>
        </w:rPr>
        <w:t>and other general corporate purposes. See the section titled</w:t>
      </w:r>
    </w:p>
    <w:p>
      <w:pPr>
        <w:ind w:left="5820"/>
        <w:spacing w:after="0" w:line="234" w:lineRule="auto"/>
        <w:rPr>
          <w:sz w:val="20"/>
          <w:szCs w:val="20"/>
          <w:color w:val="auto"/>
        </w:rPr>
      </w:pPr>
      <w:r>
        <w:rPr>
          <w:rFonts w:ascii="Arial" w:cs="Arial" w:eastAsia="Arial" w:hAnsi="Arial"/>
          <w:sz w:val="18"/>
          <w:szCs w:val="18"/>
          <w:color w:val="auto"/>
        </w:rPr>
        <w:t>“Use of Proceeds” for a more complete description of the</w:t>
      </w:r>
    </w:p>
    <w:p>
      <w:pPr>
        <w:spacing w:after="0" w:line="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intended use of proceeds from this offering.</w:t>
      </w:r>
    </w:p>
    <w:p>
      <w:pPr>
        <w:sectPr>
          <w:pgSz w:w="11900" w:h="16838" w:orient="portrait"/>
          <w:cols w:equalWidth="0" w:num="1">
            <w:col w:w="10880"/>
          </w:cols>
          <w:pgMar w:left="320" w:top="455" w:right="699" w:bottom="1440" w:gutter="0" w:footer="0" w:header="0"/>
          <w:type w:val="continuous"/>
        </w:sectPr>
      </w:pPr>
    </w:p>
    <w:p>
      <w:pPr>
        <w:spacing w:after="0" w:line="5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See the section titled “Risk Factors” and other information included in this prospectus for a discussion of factors that you should consider carefully before deciding to invest in our common stock.</w:t>
      </w:r>
    </w:p>
    <w:p>
      <w:pPr>
        <w:spacing w:after="0" w:line="35" w:lineRule="exact"/>
        <w:rPr>
          <w:sz w:val="20"/>
          <w:szCs w:val="20"/>
          <w:color w:val="auto"/>
        </w:rPr>
      </w:pPr>
    </w:p>
    <w:p>
      <w:pPr>
        <w:sectPr>
          <w:pgSz w:w="11900" w:h="16838" w:orient="portrait"/>
          <w:cols w:equalWidth="0" w:num="2">
            <w:col w:w="5100" w:space="720"/>
            <w:col w:w="5060"/>
          </w:cols>
          <w:pgMar w:left="320" w:top="455" w:right="699" w:bottom="1440" w:gutter="0" w:footer="0" w:header="0"/>
          <w:type w:val="continuous"/>
        </w:sectPr>
      </w:pPr>
    </w:p>
    <w:p>
      <w:pPr>
        <w:ind w:left="300"/>
        <w:spacing w:after="0"/>
        <w:rPr>
          <w:sz w:val="20"/>
          <w:szCs w:val="20"/>
          <w:color w:val="auto"/>
        </w:rPr>
      </w:pPr>
      <w:r>
        <w:rPr>
          <w:rFonts w:ascii="Arial" w:cs="Arial" w:eastAsia="Arial" w:hAnsi="Arial"/>
          <w:sz w:val="18"/>
          <w:szCs w:val="18"/>
          <w:color w:val="auto"/>
        </w:rPr>
        <w:t>Nasdaq Global Market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“FDMT.”</w:t>
      </w:r>
    </w:p>
    <w:p>
      <w:pPr>
        <w:spacing w:after="0" w:line="211" w:lineRule="exact"/>
        <w:rPr>
          <w:sz w:val="20"/>
          <w:szCs w:val="20"/>
          <w:color w:val="auto"/>
        </w:rPr>
      </w:pPr>
    </w:p>
    <w:p>
      <w:pPr>
        <w:sectPr>
          <w:pgSz w:w="11900" w:h="16838" w:orient="portrait"/>
          <w:cols w:equalWidth="0" w:num="2">
            <w:col w:w="5100" w:space="720"/>
            <w:col w:w="5060"/>
          </w:cols>
          <w:pgMar w:left="320" w:top="455" w:right="699" w:bottom="1440" w:gutter="0" w:footer="0" w:header="0"/>
          <w:type w:val="continuous"/>
        </w:sectPr>
      </w:pPr>
    </w:p>
    <w:p>
      <w:pPr>
        <w:spacing w:after="0" w:line="25" w:lineRule="exact"/>
        <w:rPr>
          <w:sz w:val="20"/>
          <w:szCs w:val="20"/>
          <w:color w:val="auto"/>
        </w:rPr>
      </w:pPr>
    </w:p>
    <w:p>
      <w:pPr>
        <w:ind w:left="300" w:firstLine="532"/>
        <w:spacing w:after="0" w:line="255" w:lineRule="auto"/>
        <w:rPr>
          <w:sz w:val="20"/>
          <w:szCs w:val="20"/>
          <w:color w:val="auto"/>
        </w:rPr>
      </w:pPr>
      <w:r>
        <w:rPr>
          <w:rFonts w:ascii="Arial" w:cs="Arial" w:eastAsia="Arial" w:hAnsi="Arial"/>
          <w:sz w:val="18"/>
          <w:szCs w:val="18"/>
          <w:color w:val="auto"/>
        </w:rPr>
        <w:t>The number of shares of our common stock to be outstanding after this offering is based on 16,833,726 shares of our common stock (including our redeemable convertible preferred stock on an as-converted basis) outstanding as of September 30, 2020, and excludes:</w:t>
      </w:r>
    </w:p>
    <w:p>
      <w:pPr>
        <w:spacing w:after="0" w:line="69" w:lineRule="exact"/>
        <w:rPr>
          <w:sz w:val="20"/>
          <w:szCs w:val="20"/>
          <w:color w:val="auto"/>
        </w:rPr>
      </w:pPr>
    </w:p>
    <w:p>
      <w:pPr>
        <w:ind w:left="1020" w:right="280" w:hanging="195"/>
        <w:spacing w:after="0" w:line="276"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2,928,321 shares of our common stock issuable upon the exercise of stock options to purchase common stock that were outstanding as of September 30, 2020, with a weighted-average exercise price of $9.11 per share;</w:t>
      </w:r>
    </w:p>
    <w:p>
      <w:pPr>
        <w:spacing w:after="0" w:line="50" w:lineRule="exact"/>
        <w:rPr>
          <w:rFonts w:ascii="Arial" w:cs="Arial" w:eastAsia="Arial" w:hAnsi="Arial"/>
          <w:sz w:val="18"/>
          <w:szCs w:val="18"/>
          <w:color w:val="auto"/>
        </w:rPr>
      </w:pPr>
    </w:p>
    <w:p>
      <w:pPr>
        <w:ind w:left="1020" w:right="140" w:hanging="195"/>
        <w:spacing w:after="0" w:line="276"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68,669 shares of our common stock issuable upon the exercise of outstanding warrants, with a weighted-average exercise price of $1.85 per share;</w:t>
      </w:r>
    </w:p>
    <w:p>
      <w:pPr>
        <w:spacing w:after="0" w:line="200" w:lineRule="exact"/>
        <w:rPr>
          <w:sz w:val="20"/>
          <w:szCs w:val="20"/>
          <w:color w:val="auto"/>
        </w:rPr>
      </w:pPr>
    </w:p>
    <w:p>
      <w:pPr>
        <w:spacing w:after="0" w:line="37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80"/>
          </w:cols>
          <w:pgMar w:left="320" w:top="455" w:right="69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2646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42646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020" w:right="500" w:hanging="195"/>
        <w:spacing w:after="0" w:line="276"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499,000 shares of our common stock issuable upon the exercise of stock options to purchase common stock that were granted after September 30, 2020, each with an exercise price of $18.66 per share;</w:t>
      </w:r>
    </w:p>
    <w:p>
      <w:pPr>
        <w:spacing w:after="0" w:line="50" w:lineRule="exact"/>
        <w:rPr>
          <w:rFonts w:ascii="Arial" w:cs="Arial" w:eastAsia="Arial" w:hAnsi="Arial"/>
          <w:sz w:val="18"/>
          <w:szCs w:val="18"/>
          <w:color w:val="auto"/>
        </w:rPr>
      </w:pPr>
    </w:p>
    <w:p>
      <w:pPr>
        <w:ind w:left="1020" w:right="400" w:hanging="195"/>
        <w:spacing w:after="0" w:line="276"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30,000 shares of our common stock issuable upon the exercise of a warrant to purchase common stock that was issued after September 30, 2020, with an exercise price of $18.00 per share;</w:t>
      </w:r>
    </w:p>
    <w:p>
      <w:pPr>
        <w:spacing w:after="0" w:line="50" w:lineRule="exact"/>
        <w:rPr>
          <w:rFonts w:ascii="Arial" w:cs="Arial" w:eastAsia="Arial" w:hAnsi="Arial"/>
          <w:sz w:val="18"/>
          <w:szCs w:val="18"/>
          <w:color w:val="auto"/>
        </w:rPr>
      </w:pPr>
    </w:p>
    <w:p>
      <w:pPr>
        <w:ind w:left="1020" w:right="200" w:hanging="195"/>
        <w:spacing w:after="0" w:line="276"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41,897 shares of our common stock reserved for issuance pursuant to future awards under our 2015 Equity Incentive Plan (the Plan) and associated amendments as of September 30, 2020;</w:t>
      </w:r>
    </w:p>
    <w:p>
      <w:pPr>
        <w:spacing w:after="0" w:line="50" w:lineRule="exact"/>
        <w:rPr>
          <w:rFonts w:ascii="Arial" w:cs="Arial" w:eastAsia="Arial" w:hAnsi="Arial"/>
          <w:sz w:val="18"/>
          <w:szCs w:val="18"/>
          <w:color w:val="auto"/>
        </w:rPr>
      </w:pPr>
    </w:p>
    <w:p>
      <w:pPr>
        <w:ind w:left="1020" w:right="180" w:hanging="195"/>
        <w:spacing w:after="0" w:line="255"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2,606,546 shares of our common stock reserved for issuance pursuant to future awards under our 2020 Equity Incentive Award Plan (the 2020 Plan), as well as any automatic increases in the number of shares of our common stock reserved for future issuance under this plan, which became effective immediately prior to the completion of this offering; and</w:t>
      </w:r>
    </w:p>
    <w:p>
      <w:pPr>
        <w:spacing w:after="0" w:line="69" w:lineRule="exact"/>
        <w:rPr>
          <w:rFonts w:ascii="Arial" w:cs="Arial" w:eastAsia="Arial" w:hAnsi="Arial"/>
          <w:sz w:val="18"/>
          <w:szCs w:val="18"/>
          <w:color w:val="auto"/>
        </w:rPr>
      </w:pPr>
    </w:p>
    <w:p>
      <w:pPr>
        <w:ind w:left="1020" w:right="260" w:hanging="195"/>
        <w:spacing w:after="0" w:line="255"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252,337 shares of our common stock reserved for issuance pursuant to future awards under our 2020 Employee Stock Purchase Plan (the ESPP), as well as any automatic increases in the number of shares of our common stock reserved for future issuance under this plan, which became effective immediately prior to the completion of this offering.</w:t>
      </w:r>
    </w:p>
    <w:p>
      <w:pPr>
        <w:spacing w:after="0" w:line="16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In addition, unless we specifically state otherwise, all information in this prospectus reflects and assumes the following:</w:t>
      </w:r>
    </w:p>
    <w:p>
      <w:pPr>
        <w:spacing w:after="0" w:line="117" w:lineRule="exact"/>
        <w:rPr>
          <w:sz w:val="20"/>
          <w:szCs w:val="20"/>
          <w:color w:val="auto"/>
        </w:rPr>
      </w:pPr>
    </w:p>
    <w:p>
      <w:pPr>
        <w:ind w:left="1020" w:right="300" w:hanging="195"/>
        <w:spacing w:after="0" w:line="255"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automatic conversion of 11,575,984 shares of our outstanding redeemable convertible preferred stock as of September 30, 2020 into an equivalent number of shares of our common stock immediately prior to the completion of this offering;</w:t>
      </w:r>
    </w:p>
    <w:p>
      <w:pPr>
        <w:spacing w:after="0" w:line="69" w:lineRule="exact"/>
        <w:rPr>
          <w:rFonts w:ascii="Arial" w:cs="Arial" w:eastAsia="Arial" w:hAnsi="Arial"/>
          <w:sz w:val="18"/>
          <w:szCs w:val="18"/>
          <w:color w:val="auto"/>
        </w:rPr>
      </w:pPr>
    </w:p>
    <w:p>
      <w:pPr>
        <w:ind w:left="1020" w:right="440" w:hanging="195"/>
        <w:spacing w:after="0" w:line="276"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in Delaware and the adoption of our amended and restated bylaws, each of which will occur immediately prior to the completion of this offering;</w:t>
      </w:r>
    </w:p>
    <w:p>
      <w:pPr>
        <w:spacing w:after="0" w:line="50" w:lineRule="exact"/>
        <w:rPr>
          <w:rFonts w:ascii="Arial" w:cs="Arial" w:eastAsia="Arial" w:hAnsi="Arial"/>
          <w:sz w:val="18"/>
          <w:szCs w:val="18"/>
          <w:color w:val="auto"/>
        </w:rPr>
      </w:pPr>
    </w:p>
    <w:p>
      <w:pPr>
        <w:ind w:left="1020" w:hanging="19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exercise of outstanding stock options or warrants described above; and</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additional shares.</w:t>
      </w:r>
    </w:p>
    <w:p>
      <w:pPr>
        <w:spacing w:after="0" w:line="212" w:lineRule="exact"/>
        <w:rPr>
          <w:sz w:val="20"/>
          <w:szCs w:val="20"/>
          <w:color w:val="auto"/>
        </w:rPr>
      </w:pPr>
    </w:p>
    <w:p>
      <w:pPr>
        <w:ind w:left="300" w:firstLine="532"/>
        <w:spacing w:after="0" w:line="248" w:lineRule="auto"/>
        <w:rPr>
          <w:sz w:val="20"/>
          <w:szCs w:val="20"/>
          <w:color w:val="auto"/>
        </w:rPr>
      </w:pPr>
      <w:r>
        <w:rPr>
          <w:rFonts w:ascii="Arial" w:cs="Arial" w:eastAsia="Arial" w:hAnsi="Arial"/>
          <w:sz w:val="18"/>
          <w:szCs w:val="18"/>
          <w:color w:val="auto"/>
        </w:rPr>
        <w:t>Unless otherwise specified and unless the context otherwise requires, we refer to our Series A, Series A-1, Series B and Series C redeemable convertible preferred stock collectively as redeemable convertible preferred stock in this prospectus, as well as for financial reporting purposes and in the financial tables included elsewhere in this prospectus, as more fully explained in Note 10 to our financial statements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5" w:right="6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8383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183832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Summary Financial Data</w:t>
      </w:r>
    </w:p>
    <w:p>
      <w:pPr>
        <w:spacing w:after="0" w:line="214" w:lineRule="exact"/>
        <w:rPr>
          <w:sz w:val="20"/>
          <w:szCs w:val="20"/>
          <w:color w:val="auto"/>
        </w:rPr>
      </w:pPr>
    </w:p>
    <w:p>
      <w:pPr>
        <w:ind w:left="300" w:firstLine="532"/>
        <w:spacing w:after="0" w:line="239" w:lineRule="auto"/>
        <w:rPr>
          <w:sz w:val="20"/>
          <w:szCs w:val="20"/>
          <w:color w:val="auto"/>
        </w:rPr>
      </w:pPr>
      <w:r>
        <w:rPr>
          <w:rFonts w:ascii="Arial" w:cs="Arial" w:eastAsia="Arial" w:hAnsi="Arial"/>
          <w:sz w:val="18"/>
          <w:szCs w:val="18"/>
          <w:color w:val="auto"/>
        </w:rPr>
        <w:t>The following tables summarize our financial data for the periods and as of the dates indicated. We derived the summary statements of operations and comprehensive loss data for the years ended December 31, 2018 and 2019 from our audited financial statements included elsewhere in this prospectus. We derived the summary statements of operations and comprehensive loss data for the nine months ended September 30, 2019 and 2020 and the summary balance sheet data as of September 30, 2020 from our unaudited interim financial statements that are included elsewhere in this prospectus. Our unaudited interim financial statements are prepared in accordance with U.S. generally accepted accounting principles (GAAP) on the same basis as our audited financial statements and include, in the opinion of management, all adjustments, consisting of normal recurring adjustments, that are necessary for the fair statement of the financial information set forth in those financial statements. Our historical results are not necessarily indicative of the results that may be expected in the future and our historical results for the nine months ended September 30, 2020 are not necessarily indicative of the results that may be expected for the remainder of 2020.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00"/>
          </w:cols>
          <w:pgMar w:left="320" w:top="455" w:right="77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7701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47701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20" w:firstLine="532"/>
        <w:spacing w:after="0" w:line="255" w:lineRule="auto"/>
        <w:rPr>
          <w:sz w:val="20"/>
          <w:szCs w:val="20"/>
          <w:color w:val="auto"/>
        </w:rPr>
      </w:pPr>
      <w:r>
        <w:rPr>
          <w:rFonts w:ascii="Arial" w:cs="Arial" w:eastAsia="Arial" w:hAnsi="Arial"/>
          <w:sz w:val="18"/>
          <w:szCs w:val="18"/>
          <w:color w:val="auto"/>
        </w:rPr>
        <w:t>You should read this data together with our financial statements and related notes included elsewhere in this prospectus and the information under the sections titled “Selected Financial Data” and “Management’s Discussion and Analysis of Financial Condition and Results of Operations.”</w:t>
      </w:r>
    </w:p>
    <w:p>
      <w:pPr>
        <w:spacing w:after="0" w:line="198"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6"/>
          </w:tcPr>
          <w:p>
            <w:pPr>
              <w:jc w:val="right"/>
              <w:ind w:right="116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80" w:type="dxa"/>
            <w:vAlign w:val="bottom"/>
            <w:gridSpan w:val="8"/>
          </w:tcPr>
          <w:p>
            <w:pPr>
              <w:jc w:val="right"/>
              <w:ind w:right="40"/>
              <w:spacing w:after="0" w:line="155" w:lineRule="exact"/>
              <w:rPr>
                <w:sz w:val="20"/>
                <w:szCs w:val="20"/>
                <w:color w:val="auto"/>
              </w:rPr>
            </w:pPr>
            <w:r>
              <w:rPr>
                <w:rFonts w:ascii="Arial" w:cs="Arial" w:eastAsia="Arial" w:hAnsi="Arial"/>
                <w:sz w:val="14"/>
                <w:szCs w:val="14"/>
                <w:b w:val="1"/>
                <w:bCs w:val="1"/>
                <w:color w:val="auto"/>
              </w:rPr>
              <w:t>(in thousands, except share and per share data)</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80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Statements of Operations and Comprehensive Loss</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Data:</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spacing w:after="0" w:line="202" w:lineRule="exact"/>
              <w:rPr>
                <w:sz w:val="20"/>
                <w:szCs w:val="20"/>
                <w:color w:val="auto"/>
              </w:rPr>
            </w:pPr>
            <w:r>
              <w:rPr>
                <w:rFonts w:ascii="Arial" w:cs="Arial" w:eastAsia="Arial" w:hAnsi="Arial"/>
                <w:sz w:val="18"/>
                <w:szCs w:val="18"/>
                <w:color w:val="auto"/>
              </w:rPr>
              <w:t>Revenue: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Collaboration and license revenue</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8,987</w:t>
            </w: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6,960</w:t>
            </w:r>
          </w:p>
        </w:tc>
        <w:tc>
          <w:tcPr>
            <w:tcW w:w="3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4,930</w:t>
            </w:r>
          </w:p>
        </w:tc>
        <w:tc>
          <w:tcPr>
            <w:tcW w:w="5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14,340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ind w:left="340"/>
              <w:spacing w:after="0" w:line="202" w:lineRule="exact"/>
              <w:rPr>
                <w:sz w:val="20"/>
                <w:szCs w:val="20"/>
                <w:color w:val="auto"/>
              </w:rPr>
            </w:pPr>
            <w:r>
              <w:rPr>
                <w:rFonts w:ascii="Arial" w:cs="Arial" w:eastAsia="Arial" w:hAnsi="Arial"/>
                <w:sz w:val="18"/>
                <w:szCs w:val="18"/>
                <w:color w:val="auto"/>
              </w:rPr>
              <w:t>Collaboration and license revenue, related parties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5,143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14,130</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6,986</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4,956</w:t>
            </w: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14,589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18,362</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38,718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26,359</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40,433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ind w:left="340"/>
              <w:spacing w:after="0" w:line="202" w:lineRule="exact"/>
              <w:rPr>
                <w:sz w:val="20"/>
                <w:szCs w:val="20"/>
                <w:color w:val="auto"/>
              </w:rPr>
            </w:pPr>
            <w:r>
              <w:rPr>
                <w:rFonts w:ascii="Arial" w:cs="Arial" w:eastAsia="Arial" w:hAnsi="Arial"/>
                <w:sz w:val="18"/>
                <w:szCs w:val="18"/>
                <w:color w:val="auto"/>
              </w:rPr>
              <w:t>Acquired in-process research and development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5,137</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5,137</w:t>
            </w: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6,167</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13,895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7,936</w:t>
            </w: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10,398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24,529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57,750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39,432</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(10,399)</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(50,764)</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(34,476)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(36,242)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tcPr>
          <w:p>
            <w:pPr>
              <w:spacing w:after="0" w:line="202" w:lineRule="exact"/>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848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1,458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1,285</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and comprehensive loss</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(9,551)</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(49,306)</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(33,191)</w:t>
            </w: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(36,146)</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8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basic and diluted</w:t>
            </w:r>
            <w:r>
              <w:rPr>
                <w:rFonts w:ascii="Arial" w:cs="Arial" w:eastAsia="Arial" w:hAnsi="Arial"/>
                <w:sz w:val="15"/>
                <w:szCs w:val="15"/>
                <w:color w:val="auto"/>
              </w:rPr>
              <w:t>(1)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(9.59)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(6.46)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480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Weighted-average shares outstanding used in computing</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net loss per share attributable to common stockholders,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w:t>
            </w:r>
            <w:r>
              <w:rPr>
                <w:rFonts w:ascii="Arial" w:cs="Arial" w:eastAsia="Arial" w:hAnsi="Arial"/>
                <w:sz w:val="15"/>
                <w:szCs w:val="15"/>
                <w:color w:val="auto"/>
              </w:rPr>
              <w:t>(1)</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5,049,203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5,142,560</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5,135,622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5,188,628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share, basic and diluted</w:t>
            </w:r>
            <w:r>
              <w:rPr>
                <w:rFonts w:ascii="Arial" w:cs="Arial" w:eastAsia="Arial" w:hAnsi="Arial"/>
                <w:sz w:val="15"/>
                <w:szCs w:val="15"/>
                <w:color w:val="auto"/>
              </w:rPr>
              <w:t>(1)</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(3.94)</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4800" w:type="dxa"/>
            <w:vAlign w:val="bottom"/>
            <w:shd w:val="clear" w:color="auto" w:fill="CCEEFF"/>
          </w:tcPr>
          <w:p>
            <w:pPr>
              <w:spacing w:after="0" w:line="173" w:lineRule="exact"/>
              <w:rPr>
                <w:sz w:val="20"/>
                <w:szCs w:val="20"/>
                <w:color w:val="auto"/>
              </w:rPr>
            </w:pPr>
            <w:r>
              <w:rPr>
                <w:rFonts w:ascii="Arial" w:cs="Arial" w:eastAsia="Arial" w:hAnsi="Arial"/>
                <w:sz w:val="18"/>
                <w:szCs w:val="18"/>
                <w:color w:val="auto"/>
              </w:rPr>
              <w:t>Weighted-average shares outstanding used in computing</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 forma net loss per share, basic and diluted</w:t>
            </w:r>
            <w:r>
              <w:rPr>
                <w:rFonts w:ascii="Arial" w:cs="Arial" w:eastAsia="Arial" w:hAnsi="Arial"/>
                <w:sz w:val="15"/>
                <w:szCs w:val="15"/>
                <w:color w:val="auto"/>
              </w:rPr>
              <w:t>(1)</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12,518,191</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14,835,343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720" w:right="120" w:hanging="422"/>
        <w:spacing w:after="0" w:line="266" w:lineRule="auto"/>
        <w:tabs>
          <w:tab w:leader="none" w:pos="7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See Notes 2 and 14 to our financial statements included elsewhere in this prospectus for an explanation of the calculations of our basic and diluted net loss per share attributable to common stockholders, pro forma net loss per share, and the weighted-average number of shares of our common stock used in the computation of the per share amounts.</w:t>
      </w:r>
    </w:p>
    <w:p>
      <w:pPr>
        <w:spacing w:after="0" w:line="200" w:lineRule="exact"/>
        <w:rPr>
          <w:sz w:val="20"/>
          <w:szCs w:val="20"/>
          <w:color w:val="auto"/>
        </w:rPr>
      </w:pPr>
    </w:p>
    <w:p>
      <w:pPr>
        <w:spacing w:after="0" w:line="38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5" w:right="6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6612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266128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tbl>
      <w:tblPr>
        <w:tblLayout w:type="fixed"/>
        <w:tblInd w:w="300" w:type="dxa"/>
        <w:tblCellMar>
          <w:top w:w="0" w:type="dxa"/>
          <w:left w:w="0" w:type="dxa"/>
          <w:bottom w:w="0" w:type="dxa"/>
          <w:right w:w="0" w:type="dxa"/>
        </w:tblCellMar>
      </w:tblPr>
      <w:tr>
        <w:trPr>
          <w:trHeight w:val="177"/>
        </w:trPr>
        <w:tc>
          <w:tcPr>
            <w:tcW w:w="50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 September 30, 2020</w:t>
            </w: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50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24"/>
                <w:szCs w:val="24"/>
                <w:b w:val="1"/>
                <w:bCs w:val="1"/>
                <w:color w:val="auto"/>
                <w:vertAlign w:val="superscript"/>
              </w:rPr>
              <w:t>(1)</w:t>
            </w:r>
          </w:p>
        </w:tc>
        <w:tc>
          <w:tcPr>
            <w:tcW w:w="980" w:type="dxa"/>
            <w:vAlign w:val="bottom"/>
          </w:tcPr>
          <w:p>
            <w:pPr>
              <w:jc w:val="right"/>
              <w:ind w:right="56"/>
              <w:spacing w:after="0" w:line="137" w:lineRule="exact"/>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50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b w:val="1"/>
                <w:bCs w:val="1"/>
                <w:color w:val="auto"/>
              </w:rPr>
              <w:t>Actual</w:t>
            </w:r>
          </w:p>
        </w:tc>
        <w:tc>
          <w:tcPr>
            <w:tcW w:w="1800" w:type="dxa"/>
            <w:vAlign w:val="bottom"/>
            <w:vMerge w:val="continue"/>
          </w:tcPr>
          <w:p>
            <w:pPr>
              <w:spacing w:after="0"/>
              <w:rPr>
                <w:sz w:val="15"/>
                <w:szCs w:val="15"/>
                <w:color w:val="auto"/>
              </w:rPr>
            </w:pPr>
          </w:p>
        </w:tc>
        <w:tc>
          <w:tcPr>
            <w:tcW w:w="1100" w:type="dxa"/>
            <w:vAlign w:val="bottom"/>
            <w:gridSpan w:val="2"/>
          </w:tcPr>
          <w:p>
            <w:pPr>
              <w:jc w:val="right"/>
              <w:ind w:right="120"/>
              <w:spacing w:after="0" w:line="181" w:lineRule="exact"/>
              <w:rPr>
                <w:sz w:val="20"/>
                <w:szCs w:val="20"/>
                <w:color w:val="auto"/>
              </w:rPr>
            </w:pPr>
            <w:r>
              <w:rPr>
                <w:rFonts w:ascii="Arial" w:cs="Arial" w:eastAsia="Arial" w:hAnsi="Arial"/>
                <w:sz w:val="12"/>
                <w:szCs w:val="12"/>
                <w:b w:val="1"/>
                <w:bCs w:val="1"/>
                <w:color w:val="auto"/>
              </w:rPr>
              <w:t>As Adjusted</w:t>
            </w:r>
            <w:r>
              <w:rPr>
                <w:rFonts w:ascii="Arial" w:cs="Arial" w:eastAsia="Arial" w:hAnsi="Arial"/>
                <w:sz w:val="20"/>
                <w:szCs w:val="20"/>
                <w:b w:val="1"/>
                <w:bCs w:val="1"/>
                <w:color w:val="auto"/>
                <w:vertAlign w:val="superscript"/>
              </w:rPr>
              <w:t>(2)</w:t>
            </w:r>
          </w:p>
        </w:tc>
        <w:tc>
          <w:tcPr>
            <w:tcW w:w="0" w:type="dxa"/>
            <w:vAlign w:val="bottom"/>
          </w:tcPr>
          <w:p>
            <w:pPr>
              <w:spacing w:after="0"/>
              <w:rPr>
                <w:sz w:val="1"/>
                <w:szCs w:val="1"/>
                <w:color w:val="auto"/>
              </w:rPr>
            </w:pPr>
          </w:p>
        </w:tc>
      </w:tr>
      <w:tr>
        <w:trPr>
          <w:trHeight w:val="156"/>
        </w:trPr>
        <w:tc>
          <w:tcPr>
            <w:tcW w:w="50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(in thousands)</w:t>
            </w:r>
          </w:p>
        </w:tc>
        <w:tc>
          <w:tcPr>
            <w:tcW w:w="9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Sheet Data:</w:t>
            </w:r>
          </w:p>
        </w:tc>
        <w:tc>
          <w:tcPr>
            <w:tcW w:w="18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274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  88,755</w:t>
            </w:r>
          </w:p>
        </w:tc>
        <w:tc>
          <w:tcPr>
            <w:tcW w:w="1800" w:type="dxa"/>
            <w:vAlign w:val="bottom"/>
          </w:tcPr>
          <w:p>
            <w:pPr>
              <w:jc w:val="right"/>
              <w:ind w:right="436"/>
              <w:spacing w:after="0" w:line="202" w:lineRule="exact"/>
              <w:rPr>
                <w:sz w:val="20"/>
                <w:szCs w:val="20"/>
                <w:color w:val="auto"/>
              </w:rPr>
            </w:pPr>
            <w:r>
              <w:rPr>
                <w:rFonts w:ascii="Arial" w:cs="Arial" w:eastAsia="Arial" w:hAnsi="Arial"/>
                <w:sz w:val="18"/>
                <w:szCs w:val="18"/>
                <w:color w:val="auto"/>
              </w:rPr>
              <w:t>$   88,755</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   265,351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(3)</w:t>
            </w:r>
          </w:p>
        </w:tc>
        <w:tc>
          <w:tcPr>
            <w:tcW w:w="274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78,258</w:t>
            </w:r>
          </w:p>
        </w:tc>
        <w:tc>
          <w:tcPr>
            <w:tcW w:w="1800" w:type="dxa"/>
            <w:vAlign w:val="bottom"/>
            <w:shd w:val="clear" w:color="auto" w:fill="CCEEFF"/>
          </w:tcPr>
          <w:p>
            <w:pPr>
              <w:jc w:val="right"/>
              <w:ind w:right="436"/>
              <w:spacing w:after="0" w:line="202" w:lineRule="exact"/>
              <w:rPr>
                <w:sz w:val="20"/>
                <w:szCs w:val="20"/>
                <w:color w:val="auto"/>
              </w:rPr>
            </w:pPr>
            <w:r>
              <w:rPr>
                <w:rFonts w:ascii="Arial" w:cs="Arial" w:eastAsia="Arial" w:hAnsi="Arial"/>
                <w:sz w:val="18"/>
                <w:szCs w:val="18"/>
                <w:color w:val="auto"/>
              </w:rPr>
              <w:t>78,258</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254,907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274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98,192</w:t>
            </w:r>
          </w:p>
        </w:tc>
        <w:tc>
          <w:tcPr>
            <w:tcW w:w="1800" w:type="dxa"/>
            <w:vAlign w:val="bottom"/>
          </w:tcPr>
          <w:p>
            <w:pPr>
              <w:jc w:val="right"/>
              <w:ind w:right="436"/>
              <w:spacing w:after="0" w:line="202" w:lineRule="exact"/>
              <w:rPr>
                <w:sz w:val="20"/>
                <w:szCs w:val="20"/>
                <w:color w:val="auto"/>
              </w:rPr>
            </w:pPr>
            <w:r>
              <w:rPr>
                <w:rFonts w:ascii="Arial" w:cs="Arial" w:eastAsia="Arial" w:hAnsi="Arial"/>
                <w:sz w:val="18"/>
                <w:szCs w:val="18"/>
                <w:color w:val="auto"/>
              </w:rPr>
              <w:t>98,192</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274,715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Redeemable convertible preferred stock</w:t>
            </w:r>
          </w:p>
        </w:tc>
        <w:tc>
          <w:tcPr>
            <w:tcW w:w="274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175,448</w:t>
            </w:r>
          </w:p>
        </w:tc>
        <w:tc>
          <w:tcPr>
            <w:tcW w:w="1800" w:type="dxa"/>
            <w:vAlign w:val="bottom"/>
            <w:shd w:val="clear" w:color="auto" w:fill="CCEEFF"/>
          </w:tcPr>
          <w:p>
            <w:pPr>
              <w:jc w:val="right"/>
              <w:ind w:right="436"/>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2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(115,132)</w:t>
            </w:r>
          </w:p>
        </w:tc>
        <w:tc>
          <w:tcPr>
            <w:tcW w:w="1800" w:type="dxa"/>
            <w:vAlign w:val="bottom"/>
          </w:tcPr>
          <w:p>
            <w:pPr>
              <w:jc w:val="right"/>
              <w:ind w:right="376"/>
              <w:spacing w:after="0" w:line="202" w:lineRule="exact"/>
              <w:rPr>
                <w:sz w:val="20"/>
                <w:szCs w:val="20"/>
                <w:color w:val="auto"/>
              </w:rPr>
            </w:pPr>
            <w:r>
              <w:rPr>
                <w:rFonts w:ascii="Arial" w:cs="Arial" w:eastAsia="Arial" w:hAnsi="Arial"/>
                <w:sz w:val="18"/>
                <w:szCs w:val="18"/>
                <w:color w:val="auto"/>
              </w:rPr>
              <w:t>(115,132)</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(115,132)</w:t>
            </w: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(deficit) equity</w:t>
            </w:r>
          </w:p>
        </w:tc>
        <w:tc>
          <w:tcPr>
            <w:tcW w:w="2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(105,292)</w:t>
            </w:r>
          </w:p>
        </w:tc>
        <w:tc>
          <w:tcPr>
            <w:tcW w:w="1800" w:type="dxa"/>
            <w:vAlign w:val="bottom"/>
            <w:shd w:val="clear" w:color="auto" w:fill="CCEEFF"/>
          </w:tcPr>
          <w:p>
            <w:pPr>
              <w:jc w:val="right"/>
              <w:ind w:right="436"/>
              <w:spacing w:after="0" w:line="202" w:lineRule="exact"/>
              <w:rPr>
                <w:sz w:val="20"/>
                <w:szCs w:val="20"/>
                <w:color w:val="auto"/>
              </w:rPr>
            </w:pPr>
            <w:r>
              <w:rPr>
                <w:rFonts w:ascii="Arial" w:cs="Arial" w:eastAsia="Arial" w:hAnsi="Arial"/>
                <w:sz w:val="18"/>
                <w:szCs w:val="18"/>
                <w:color w:val="auto"/>
              </w:rPr>
              <w:t>70,156</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246,732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720" w:right="280" w:hanging="422"/>
        <w:spacing w:after="0" w:line="248" w:lineRule="auto"/>
        <w:tabs>
          <w:tab w:leader="none" w:pos="7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pro forma column in the balance sheet data table above gives effect to (i) the automatic conversion of 11,575,984 shares of our outstanding redeemable convertible preferred stock as of September 30, 2020 into an equivalent number of shares of our common stock immediately prior to the completion of this offering; and (ii) the filing and effectiveness of our amended and restated certificate of incorporation, which will occur, in each case, immediately prior to the completion of this offering.</w:t>
      </w:r>
    </w:p>
    <w:p>
      <w:pPr>
        <w:ind w:left="720" w:right="100" w:hanging="422"/>
        <w:spacing w:after="0" w:line="241" w:lineRule="auto"/>
        <w:tabs>
          <w:tab w:leader="none" w:pos="7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pro forma as adjusted column in the balance sheet data table above gives effect to (i) the pro forma adjustments set forth in footnote (1) above and (ii) the sale and issuance of shares of our common stock in this offering, at the public offering price of $23.00 per share, after deducting the underwriting discounts and commissions and estimated offering expenses payable by us.</w:t>
      </w:r>
    </w:p>
    <w:p>
      <w:pPr>
        <w:spacing w:after="0" w:line="1" w:lineRule="exact"/>
        <w:rPr>
          <w:rFonts w:ascii="Arial" w:cs="Arial" w:eastAsia="Arial" w:hAnsi="Arial"/>
          <w:sz w:val="14"/>
          <w:szCs w:val="14"/>
          <w:color w:val="auto"/>
        </w:rPr>
      </w:pPr>
    </w:p>
    <w:p>
      <w:pPr>
        <w:ind w:left="720" w:right="400" w:hanging="422"/>
        <w:spacing w:after="0" w:line="264" w:lineRule="auto"/>
        <w:tabs>
          <w:tab w:leader="none" w:pos="7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financial statements and related notes included elsewhere in this prospectus for further details regarding our current assets and current liabilities.</w:t>
      </w:r>
    </w:p>
    <w:p>
      <w:pPr>
        <w:spacing w:after="0" w:line="200" w:lineRule="exact"/>
        <w:rPr>
          <w:sz w:val="20"/>
          <w:szCs w:val="20"/>
          <w:color w:val="auto"/>
        </w:rPr>
      </w:pPr>
    </w:p>
    <w:p>
      <w:pPr>
        <w:spacing w:after="0" w:line="39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320" w:top="455" w:right="6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prospectus, including our financial statements and the related notes and the section of this prospectus titled “Management’s Discussion and Analysis of Financial Condition and Results of Operations,” before deciding whether to invest in our common stock. If any of the following risks actually occurs, our business, reputation, financial condition, results of operations, revenue and future prospects could be seriously harmed. The risks and uncertainties described below are not the only ones we face. Additional risks and uncertainties that we are unaware of, or that we currently believe are not material, may also become important factors that adversely affect our business. Unless otherwise indicated, references to our business being seriously harmed in these risk factors and elsewhere will include harm to our business, reputation, financial condition, results of operations, future prospects and stock price. In that event, the market price of our common stock could decline, and you could lose part or all of your investment.</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Limited Operating History, Financial Condition and Capital Requirements</w:t>
      </w:r>
    </w:p>
    <w:p>
      <w:pPr>
        <w:spacing w:after="0" w:line="214" w:lineRule="exact"/>
        <w:rPr>
          <w:sz w:val="20"/>
          <w:szCs w:val="20"/>
          <w:color w:val="auto"/>
        </w:rPr>
      </w:pPr>
    </w:p>
    <w:p>
      <w:pPr>
        <w:ind w:left="120" w:right="600"/>
        <w:spacing w:after="0" w:line="314" w:lineRule="auto"/>
        <w:rPr>
          <w:sz w:val="20"/>
          <w:szCs w:val="20"/>
          <w:color w:val="auto"/>
        </w:rPr>
      </w:pPr>
      <w:r>
        <w:rPr>
          <w:rFonts w:ascii="Arial" w:cs="Arial" w:eastAsia="Arial" w:hAnsi="Arial"/>
          <w:sz w:val="17"/>
          <w:szCs w:val="17"/>
          <w:b w:val="1"/>
          <w:bCs w:val="1"/>
          <w:i w:val="1"/>
          <w:iCs w:val="1"/>
          <w:color w:val="auto"/>
        </w:rPr>
        <w:t>We are in the early stages of drug development and have a very limited operating history and no products approved for commercial sale, which may make it difficult to evaluate our current business and predict our future success and viability.</w:t>
      </w:r>
    </w:p>
    <w:p>
      <w:pPr>
        <w:spacing w:after="0" w:line="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are a clinical-stage gene therapy company pioneering the development of product candidates using our targeted and evolved AAV vectors. We commenced operations in September 2013, have no products approved for commercial sale and have not generated any product revenue. Drug development is a highly uncertain undertaking and involves a substantial degree of risk. If our product candidates are not successfully developed and approved, we may never generate any revenue. To date, we have not completed any clinical trials (including any pivotal clinical trial), obtained marketing approval for any product candidates, manufactured commercial scale quantities of any of our product candidates or arranged for a third party to do so on our behalf, or conducted sales and marketing activities necessary for successful product commercialization. Our limited operating history as a company and early stage of drug development make any assessment of our future success and viability subject to significant uncertainty. We will encounter risks and difficulties frequently experienced by early-stage biopharmaceutical companies in rapidly evolving fields, and we have not yet demonstrated an ability to successfully overcome such risks and difficulties. If we do not address these risks and difficulties successfully, our business will be seriously harmed.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had recurring net losses, and we expect to continue to incur significant net losses for the foreseeable future.</w:t>
      </w:r>
    </w:p>
    <w:p>
      <w:pPr>
        <w:spacing w:after="0" w:line="104"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We have incurred recurring net losses, including net losses of $9.6 million and $49.3 million for the years ended December 31, 2018 and 2019, respectively, and $33.2 million and $36.1 million for the nine months ended September 30, 2019 and September 30, 2020, respectively. As of September 30, 2020, we had an accumulated deficit of $115.1 million.</w:t>
      </w:r>
    </w:p>
    <w:p>
      <w:pPr>
        <w:spacing w:after="0" w:line="164"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We have devoted substantially all of our financial resources and efforts on research and development activities, including for our product candidates and our Therapeutic Vector Evolution platform. We do not expect to generate revenue from product sales for several years, if at all. We continue to incur significant research and development and other expenses related to our ongoing operations. The amount of our future net losses will depend, in part, on the level of our future expenditures and our ability to generate revenue. Moreover, our net losses may fluctuate significantly from quarter to quarter and year to year, such that a period-to-period comparison of our results of operations may not be a good indication of our future performance.</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5" w:right="4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60" w:firstLine="551"/>
        <w:spacing w:after="0" w:line="276" w:lineRule="auto"/>
        <w:rPr>
          <w:sz w:val="20"/>
          <w:szCs w:val="20"/>
          <w:color w:val="auto"/>
        </w:rPr>
      </w:pPr>
      <w:r>
        <w:rPr>
          <w:rFonts w:ascii="Arial" w:cs="Arial" w:eastAsia="Arial" w:hAnsi="Arial"/>
          <w:sz w:val="18"/>
          <w:szCs w:val="18"/>
          <w:color w:val="auto"/>
        </w:rPr>
        <w:t>We expect to continue to incur significant and increasingly higher expenses and operating losses for the foreseeable future. We anticipate that our expenses will increase substantially if and as we:</w:t>
      </w:r>
    </w:p>
    <w:p>
      <w:pPr>
        <w:spacing w:after="0" w:line="50" w:lineRule="exact"/>
        <w:rPr>
          <w:sz w:val="20"/>
          <w:szCs w:val="20"/>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progress our current and any future product candidates through preclinical and clinical development;</w:t>
      </w:r>
    </w:p>
    <w:p>
      <w:pPr>
        <w:spacing w:after="0" w:line="117" w:lineRule="exact"/>
        <w:rPr>
          <w:rFonts w:ascii="Arial" w:cs="Arial" w:eastAsia="Arial" w:hAnsi="Arial"/>
          <w:sz w:val="18"/>
          <w:szCs w:val="18"/>
          <w:color w:val="auto"/>
        </w:rPr>
      </w:pPr>
    </w:p>
    <w:p>
      <w:pPr>
        <w:ind w:left="880" w:right="780" w:hanging="224"/>
        <w:spacing w:after="0" w:line="276"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experience delays in our preclinical studies and clinical trials, whether current or planned, due to the novel coronavirus (COVID-19) pandemic, or other factors;</w:t>
      </w:r>
    </w:p>
    <w:p>
      <w:pPr>
        <w:spacing w:after="0" w:line="50" w:lineRule="exact"/>
        <w:rPr>
          <w:rFonts w:ascii="Arial" w:cs="Arial" w:eastAsia="Arial" w:hAnsi="Arial"/>
          <w:sz w:val="18"/>
          <w:szCs w:val="18"/>
          <w:color w:val="auto"/>
        </w:rPr>
      </w:pPr>
    </w:p>
    <w:p>
      <w:pPr>
        <w:ind w:left="880" w:right="200" w:hanging="224"/>
        <w:spacing w:after="0" w:line="276"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our manufacturing facilities and work with our contract manufacturers to scale up the manufacturing processes for our product candidates;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our research and discovery activities;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the development of our Therapeutic Vector Evolution platform;</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initiate and conduct additional preclinical, clinical or other studies for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 or add additional contract manufacturers or suppliers;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regulatory approvals and marketing authorizations for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sales, marketing and distribution infrastructure to commercialize any products for which we obtain approval;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acquire or in-license product candidates, intellectual property and technologies;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milestone, royalty or other payments due under any current or future collaboration or license agreements;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maintain, expand, protect and enforce our intellectual property portfolio;</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experience any delays or encounter other issues related to our operations;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meet the requirements and demands of being a public company;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defend against any product liability claims or other lawsuits related to our products;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the COVID-19 pandemic, which may exacerbate the magnitude of the factors discussed above.</w:t>
      </w:r>
    </w:p>
    <w:p>
      <w:pPr>
        <w:spacing w:after="0" w:line="212" w:lineRule="exact"/>
        <w:rPr>
          <w:sz w:val="20"/>
          <w:szCs w:val="20"/>
          <w:color w:val="auto"/>
        </w:rPr>
      </w:pPr>
    </w:p>
    <w:p>
      <w:pPr>
        <w:ind w:left="120" w:right="160" w:firstLine="551"/>
        <w:spacing w:after="0" w:line="255" w:lineRule="auto"/>
        <w:rPr>
          <w:sz w:val="20"/>
          <w:szCs w:val="20"/>
          <w:color w:val="auto"/>
        </w:rPr>
      </w:pPr>
      <w:r>
        <w:rPr>
          <w:rFonts w:ascii="Arial" w:cs="Arial" w:eastAsia="Arial" w:hAnsi="Arial"/>
          <w:sz w:val="18"/>
          <w:szCs w:val="18"/>
          <w:color w:val="auto"/>
        </w:rPr>
        <w:t>Our prior losses and expected future losses have had and will continue to have an adverse effect on our stockholders’ deficit and working capital. In any particular quarter or quarters, our operating results could be below the expectations of securities analysts or investors, which could cause our stock price to decline.</w:t>
      </w:r>
    </w:p>
    <w:p>
      <w:pPr>
        <w:spacing w:after="0" w:line="272"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b w:val="1"/>
          <w:bCs w:val="1"/>
          <w:i w:val="1"/>
          <w:iCs w:val="1"/>
          <w:color w:val="auto"/>
        </w:rPr>
        <w:t>Even if this offering is successful, we will require substantial additional capital to finance our operations. If we fail or are unable to raise such capital when needed, or on acceptable terms, we may be forced to delay, reduce and/or eliminate one or more of our research and drug development programs, future commercialization efforts or other operations.</w:t>
      </w:r>
    </w:p>
    <w:p>
      <w:pPr>
        <w:spacing w:after="0" w:line="43"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Developing biopharmaceutical products, including conducting preclinical studies and clinical trials, is a very time consuming, expensive and uncertain process that takes years to complete. Our operations have required substantial amounts of cash since inception. To date, we have financed our operations primarily through the sale of equity securities, and to a lesser extent from cash received pursuant to our collaboration and license agreements. We have initiated clinical trials, which are ongoing, and have several other product candidates in preclinical development that may enter clinical development shortly thereafter. Developing our product candidates is expensive, and we expect to</w:t>
      </w:r>
    </w:p>
    <w:p>
      <w:pPr>
        <w:spacing w:after="0" w:line="1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60"/>
          </w:cols>
          <w:pgMar w:left="320" w:top="455" w:right="51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60"/>
        <w:spacing w:after="0" w:line="248" w:lineRule="auto"/>
        <w:rPr>
          <w:sz w:val="20"/>
          <w:szCs w:val="20"/>
          <w:color w:val="auto"/>
        </w:rPr>
      </w:pPr>
      <w:r>
        <w:rPr>
          <w:rFonts w:ascii="Arial" w:cs="Arial" w:eastAsia="Arial" w:hAnsi="Arial"/>
          <w:sz w:val="18"/>
          <w:szCs w:val="18"/>
          <w:color w:val="auto"/>
        </w:rPr>
        <w:t>continue to spend substantial amounts as we fund our early stage research projects, continue preclinical and clinical development of our product candidates and, in particular, advance our product candidates through clinical trials. Even if we are successful in developing our product candidates, obtaining regulatory approvals and launching and commercializing any product candidate will require substantial additional funding beyond the net proceeds of this offering.</w:t>
      </w:r>
    </w:p>
    <w:p>
      <w:pPr>
        <w:spacing w:after="0" w:line="170"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As of September 30, 2020, we had $88.8 million in cash and cash equivalents. Based on our current operating plan, we estimate that our existing cash and cash equivalents, together with the anticipated net proceeds from this offering, will be sufficient to fund our operating expenses and capital expenditure requirements at least into the fourth quarter of 2022. Our estimate as to how long we expect our existing cash and cash equivalents to be available to fund our operations is based on assumptions that may prove inaccurate, and we could use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180"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Additional funds may not be available when we need them, on terms that are acceptable to us, or at all. Our ability to raise additional capital may be adversely impacted by potential worsening global economic conditions and the recent disruptions to and volatility in the credit and financial markets in the United States and worldwide resulting from the ongoing COVID-19 pandemic. If adequate funds are not available to us on a timely basis, we may be required to:</w:t>
      </w:r>
    </w:p>
    <w:p>
      <w:pPr>
        <w:spacing w:after="0" w:line="76" w:lineRule="exact"/>
        <w:rPr>
          <w:sz w:val="20"/>
          <w:szCs w:val="20"/>
          <w:color w:val="auto"/>
        </w:rPr>
      </w:pPr>
    </w:p>
    <w:p>
      <w:pPr>
        <w:ind w:left="880" w:right="60" w:hanging="224"/>
        <w:spacing w:after="0" w:line="276"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 limit, reduce or terminate preclinical studies, clinical trials or other research and development activities or eliminate one or more of our development programs altogether; or</w:t>
      </w:r>
    </w:p>
    <w:p>
      <w:pPr>
        <w:spacing w:after="0" w:line="50" w:lineRule="exact"/>
        <w:rPr>
          <w:rFonts w:ascii="Arial" w:cs="Arial" w:eastAsia="Arial" w:hAnsi="Arial"/>
          <w:sz w:val="18"/>
          <w:szCs w:val="18"/>
          <w:color w:val="auto"/>
        </w:rPr>
      </w:pPr>
    </w:p>
    <w:p>
      <w:pPr>
        <w:ind w:left="880" w:right="20" w:hanging="224"/>
        <w:spacing w:after="0" w:line="255"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 limit, reduce or terminate our efforts to establish manufacturing and sales and marketing capabilities or other activities that may be necessary to commercialize our product candidates, or reduce our flexibility in developing or maintaining our sales and marketing strategy.</w:t>
      </w:r>
    </w:p>
    <w:p>
      <w:pPr>
        <w:spacing w:after="0" w:line="164"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We also could be required to seek funds through arrangements with collaborators or others that may require us to relinquish rights to, or jointly own some aspects of, our product candidates or technologies that we would otherwise pursue on our own. We do not expect to realize revenue from sales of products or royalties from licensed products in the foreseeable future, if at all, and unless and until a product candidate is clinically tested, approved for commercialization and successfully marketed.</w:t>
      </w:r>
    </w:p>
    <w:p>
      <w:pPr>
        <w:spacing w:after="0" w:line="170"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We will be required to seek additional funding in the future and currently intend to do so through collaborations, public or private equity offerings or debt financings, credit or loan facilities or a combination of one or more of these funding sources. Our ability to raise additional funds will depend on financial, economic and other factors, many of which are beyond our control. Additional funds may not be available to us on acceptable terms or at all. If we raise additional funds by issuing equity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w:t>
      </w:r>
    </w:p>
    <w:p>
      <w:pPr>
        <w:spacing w:after="0" w:line="180" w:lineRule="exact"/>
        <w:rPr>
          <w:sz w:val="20"/>
          <w:szCs w:val="20"/>
          <w:color w:val="auto"/>
        </w:rPr>
      </w:pPr>
    </w:p>
    <w:p>
      <w:pPr>
        <w:ind w:left="120" w:right="260" w:firstLine="551"/>
        <w:spacing w:after="0" w:line="248" w:lineRule="auto"/>
        <w:rPr>
          <w:sz w:val="20"/>
          <w:szCs w:val="20"/>
          <w:color w:val="auto"/>
        </w:rPr>
      </w:pPr>
      <w:r>
        <w:rPr>
          <w:rFonts w:ascii="Arial" w:cs="Arial" w:eastAsia="Arial" w:hAnsi="Arial"/>
          <w:sz w:val="18"/>
          <w:szCs w:val="18"/>
          <w:color w:val="auto"/>
        </w:rPr>
        <w:t>If we are unable to raise additional capital in sufficient amounts or on terms acceptable to us, we may have to significantly delay, scale back or discontinue the development or commercialization of one or more of our product candidates or one or more of our other research and development initiatives. Any of the above events could seriously harm our business and cause the price of our common stock to decline.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5" w:right="47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51" w:lineRule="auto"/>
        <w:rPr>
          <w:sz w:val="20"/>
          <w:szCs w:val="20"/>
          <w:color w:val="auto"/>
        </w:rPr>
      </w:pPr>
      <w:r>
        <w:rPr>
          <w:rFonts w:ascii="Arial" w:cs="Arial" w:eastAsia="Arial" w:hAnsi="Arial"/>
          <w:sz w:val="18"/>
          <w:szCs w:val="18"/>
          <w:b w:val="1"/>
          <w:bCs w:val="1"/>
          <w:i w:val="1"/>
          <w:iCs w:val="1"/>
          <w:color w:val="auto"/>
        </w:rPr>
        <w:t>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w:t>
      </w:r>
    </w:p>
    <w:p>
      <w:pPr>
        <w:spacing w:after="0" w:line="5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Due to the significant resources required for the development of our product candidates, in particular our product candidates in IND-enabling studies and those in clinical trials, we must decide which product candidates and indications to pursue and advance and the amount of resources to allocate to each.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Similarly, our potential decisions to delay, terminate or collaborate with third parties in respect of certain product candidates may subsequently also prove to be less than optimal and could cause us to miss valuable opportunities. If we make incorrect determinations regarding the viability or market potential of any of our product candidates or misread trends in the biopharmaceutical industry, in particular for ophthalmology, cardiology and pulmonology diseases, our business could be seriously harmed. As a result, we may fail to capitalize on viable commercial products or profitable market opportunities, be required to forego or delay pursuit of opportunities with other product candidates or other diseases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288" w:lineRule="exact"/>
        <w:rPr>
          <w:sz w:val="20"/>
          <w:szCs w:val="20"/>
          <w:color w:val="auto"/>
        </w:rPr>
      </w:pPr>
    </w:p>
    <w:p>
      <w:pPr>
        <w:ind w:left="120" w:right="20"/>
        <w:spacing w:after="0" w:line="285" w:lineRule="auto"/>
        <w:rPr>
          <w:sz w:val="20"/>
          <w:szCs w:val="20"/>
          <w:color w:val="auto"/>
        </w:rPr>
      </w:pPr>
      <w:r>
        <w:rPr>
          <w:rFonts w:ascii="Arial" w:cs="Arial" w:eastAsia="Arial" w:hAnsi="Arial"/>
          <w:sz w:val="18"/>
          <w:szCs w:val="18"/>
          <w:b w:val="1"/>
          <w:bCs w:val="1"/>
          <w:i w:val="1"/>
          <w:iCs w:val="1"/>
          <w:color w:val="auto"/>
        </w:rPr>
        <w:t>The amount of our future losses is uncertain and our quarterly operating results may fluctuate significantly or may fall below the expectations of investors or securities analysts, each of which may cause our stock price to fluctuate or decline.</w:t>
      </w:r>
    </w:p>
    <w:p>
      <w:pPr>
        <w:spacing w:after="0" w:line="21" w:lineRule="exact"/>
        <w:rPr>
          <w:sz w:val="20"/>
          <w:szCs w:val="20"/>
          <w:color w:val="auto"/>
        </w:rPr>
      </w:pPr>
    </w:p>
    <w:p>
      <w:pPr>
        <w:jc w:val="both"/>
        <w:ind w:left="120" w:right="200" w:firstLine="551"/>
        <w:spacing w:after="0" w:line="255"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and may be difficult to predict, including:</w:t>
      </w:r>
    </w:p>
    <w:p>
      <w:pPr>
        <w:spacing w:after="0" w:line="69" w:lineRule="exact"/>
        <w:rPr>
          <w:sz w:val="20"/>
          <w:szCs w:val="20"/>
          <w:color w:val="auto"/>
        </w:rPr>
      </w:pPr>
    </w:p>
    <w:p>
      <w:pPr>
        <w:ind w:left="880" w:right="160" w:hanging="224"/>
        <w:spacing w:after="0" w:line="255"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success or failure of preclinical studies and clinical trials for our product candidates or competing product candidates, or any other change in the competitive landscape of our industry, including consolidation among our competitors or collaboration partners;</w:t>
      </w:r>
    </w:p>
    <w:p>
      <w:pPr>
        <w:spacing w:after="0" w:line="69" w:lineRule="exact"/>
        <w:rPr>
          <w:rFonts w:ascii="Arial" w:cs="Arial" w:eastAsia="Arial" w:hAnsi="Arial"/>
          <w:sz w:val="18"/>
          <w:szCs w:val="18"/>
          <w:color w:val="auto"/>
        </w:rPr>
      </w:pPr>
    </w:p>
    <w:p>
      <w:pPr>
        <w:ind w:left="880" w:right="360" w:hanging="224"/>
        <w:spacing w:after="0" w:line="27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and commercialization activities, which may change from time to time;</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receipt of approvals from regulatory authorities in the United States and internationally;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status of enrollment and safety and efficacy readouts for our clinical trials;</w:t>
      </w:r>
    </w:p>
    <w:p>
      <w:pPr>
        <w:spacing w:after="0" w:line="117" w:lineRule="exact"/>
        <w:rPr>
          <w:rFonts w:ascii="Arial" w:cs="Arial" w:eastAsia="Arial" w:hAnsi="Arial"/>
          <w:sz w:val="18"/>
          <w:szCs w:val="18"/>
          <w:color w:val="auto"/>
        </w:rPr>
      </w:pPr>
    </w:p>
    <w:p>
      <w:pPr>
        <w:ind w:left="880" w:right="100" w:hanging="224"/>
        <w:spacing w:after="0" w:line="255"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manufacturing, as well as building out our supply chain, which may vary depending on the quantity of production, the cost of continuing to establish and scale up our internal manufacturing capabilities, and the terms of any agreements we enter into with third-party suppliers;</w:t>
      </w:r>
    </w:p>
    <w:p>
      <w:pPr>
        <w:spacing w:after="0" w:line="69" w:lineRule="exact"/>
        <w:rPr>
          <w:rFonts w:ascii="Arial" w:cs="Arial" w:eastAsia="Arial" w:hAnsi="Arial"/>
          <w:sz w:val="18"/>
          <w:szCs w:val="18"/>
          <w:color w:val="auto"/>
        </w:rPr>
      </w:pPr>
    </w:p>
    <w:p>
      <w:pPr>
        <w:ind w:left="880" w:right="260" w:hanging="224"/>
        <w:spacing w:after="0" w:line="27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timing and amount of any option, milestone, royalty or other payments due under any current or future collaboration or license agreement;</w:t>
      </w:r>
    </w:p>
    <w:p>
      <w:pPr>
        <w:spacing w:after="0" w:line="50" w:lineRule="exact"/>
        <w:rPr>
          <w:rFonts w:ascii="Arial" w:cs="Arial" w:eastAsia="Arial" w:hAnsi="Arial"/>
          <w:sz w:val="18"/>
          <w:szCs w:val="18"/>
          <w:color w:val="auto"/>
        </w:rPr>
      </w:pPr>
    </w:p>
    <w:p>
      <w:pPr>
        <w:ind w:left="880" w:right="620" w:hanging="224"/>
        <w:spacing w:after="0" w:line="27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our gene therapy product candidates and potential future drugs that compete with our products, if approved;</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products and technologies;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5" w:right="4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of demand for our gene therapy products, if approved, which may vary significantly over time;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212" w:lineRule="exact"/>
        <w:rPr>
          <w:sz w:val="20"/>
          <w:szCs w:val="20"/>
          <w:color w:val="auto"/>
        </w:rPr>
      </w:pPr>
    </w:p>
    <w:p>
      <w:pPr>
        <w:ind w:left="120" w:right="140" w:firstLine="551"/>
        <w:spacing w:after="0" w:line="248" w:lineRule="auto"/>
        <w:rPr>
          <w:sz w:val="20"/>
          <w:szCs w:val="20"/>
          <w:color w:val="auto"/>
        </w:rPr>
      </w:pPr>
      <w:r>
        <w:rPr>
          <w:rFonts w:ascii="Arial" w:cs="Arial" w:eastAsia="Arial" w:hAnsi="Arial"/>
          <w:sz w:val="18"/>
          <w:szCs w:val="18"/>
          <w:color w:val="auto"/>
        </w:rPr>
        <w:t>For example, we expect that most of our collaboration and license revenue for the year ended December 31, 2020 will be from Roche. 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70"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This variability and unpredictability could also result in our failing to meet the expectations of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280" w:lineRule="exact"/>
        <w:rPr>
          <w:sz w:val="20"/>
          <w:szCs w:val="20"/>
          <w:color w:val="auto"/>
        </w:rPr>
      </w:pPr>
    </w:p>
    <w:p>
      <w:pPr>
        <w:ind w:left="120"/>
        <w:spacing w:after="0" w:line="251" w:lineRule="auto"/>
        <w:rPr>
          <w:sz w:val="20"/>
          <w:szCs w:val="20"/>
          <w:color w:val="auto"/>
        </w:rPr>
      </w:pPr>
      <w:r>
        <w:rPr>
          <w:rFonts w:ascii="Arial" w:cs="Arial" w:eastAsia="Arial" w:hAnsi="Arial"/>
          <w:sz w:val="18"/>
          <w:szCs w:val="18"/>
          <w:b w:val="1"/>
          <w:bCs w:val="1"/>
          <w:i w:val="1"/>
          <w:iCs w:val="1"/>
          <w:color w:val="auto"/>
        </w:rPr>
        <w:t>We concluded that there is substantial doubt relating to our ability to continue as a going concern for at least one year from the date that our financial statements for the year ended December 31, 2019 were available for reissuance, and our independent registered public accounting firm has included an explanatory paragraph relating to our ability to continue as a going concern in its report on our financial statements included in this prospectus.</w:t>
      </w:r>
    </w:p>
    <w:p>
      <w:pPr>
        <w:spacing w:after="0" w:line="52"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Our report from our independent registered public accounting firm for the year ended December 31, 2019 includes an explanatory paragraph stating that our recurring losses and negative cash flows from operations raise substantial doubt about our ability to continue as a going concern. Our financial statements do not include any adjustments that may result from the outcome of this uncertainty. If we are unable to obtain sufficient funding, our business, prospects, financial condition and results of operations will be materially and adversely affected and we may be unable to continue as a going concern. If we are unable to continue as a going concern, we may have to liquidate our assets and may receive less than the value at which those assets are carried on our audited financial statements, and it is likely that investors would lose part or all of their investment. Future reports from our independent registered public accounting firm may also contain statements expressing substantial doubt about our ability to continue as a going concern. If there remains substantial doubt about our ability to continue as a going concern, investors or other financing sources may be unwilling to provide additional funding to us on commercially reasonable terms, or at all, and our business may be harmed.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Research, Discovery, Development and Commercialization of Our Product Candidates</w:t>
      </w:r>
    </w:p>
    <w:p>
      <w:pPr>
        <w:spacing w:after="0" w:line="214" w:lineRule="exact"/>
        <w:rPr>
          <w:sz w:val="20"/>
          <w:szCs w:val="20"/>
          <w:color w:val="auto"/>
        </w:rPr>
      </w:pPr>
    </w:p>
    <w:p>
      <w:pPr>
        <w:ind w:left="120" w:right="20"/>
        <w:spacing w:after="0" w:line="251" w:lineRule="auto"/>
        <w:rPr>
          <w:sz w:val="20"/>
          <w:szCs w:val="20"/>
          <w:color w:val="auto"/>
        </w:rPr>
      </w:pPr>
      <w:r>
        <w:rPr>
          <w:rFonts w:ascii="Arial" w:cs="Arial" w:eastAsia="Arial" w:hAnsi="Arial"/>
          <w:sz w:val="18"/>
          <w:szCs w:val="18"/>
          <w:b w:val="1"/>
          <w:bCs w:val="1"/>
          <w:i w:val="1"/>
          <w:iCs w:val="1"/>
          <w:color w:val="auto"/>
        </w:rPr>
        <w:t>All of our product candidates are based on a novel AAV gene therapy technology with which there is limited regulatory and clinical experience to date, which makes it difficult to predict the time and cost of product candidate development and subsequently obtaining regulatory approval. Further, the regulatory approval process for novel product candidates such as ours can be more expensive and take longer than for other, better known or extensively studied therapeutic modalities.</w:t>
      </w:r>
    </w:p>
    <w:p>
      <w:pPr>
        <w:spacing w:after="0" w:line="52" w:lineRule="exact"/>
        <w:rPr>
          <w:sz w:val="20"/>
          <w:szCs w:val="20"/>
          <w:color w:val="auto"/>
        </w:rPr>
      </w:pPr>
    </w:p>
    <w:p>
      <w:pPr>
        <w:ind w:left="120" w:right="180" w:firstLine="551"/>
        <w:spacing w:after="0" w:line="245" w:lineRule="auto"/>
        <w:rPr>
          <w:sz w:val="20"/>
          <w:szCs w:val="20"/>
          <w:color w:val="auto"/>
        </w:rPr>
      </w:pPr>
      <w:r>
        <w:rPr>
          <w:rFonts w:ascii="Arial" w:cs="Arial" w:eastAsia="Arial" w:hAnsi="Arial"/>
          <w:sz w:val="18"/>
          <w:szCs w:val="18"/>
          <w:color w:val="auto"/>
        </w:rPr>
        <w:t>All of our product candidates are based on gene therapy technology and our future success depends on the successful development of this novel therapeutic approach. We cannot assure you that any development problems we or other gene therapy companies experience in the future related to gene therapy technology will not cause significant delays or unanticipated costs in the development of our product candidates, or that such development problems can be solved. In addition, the clinical study requirements of the U.S. Food and Drug Administration (FDA) and other regulatory agencies and</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5" w:right="4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the criteria these regulators use to determine the safety and efficacy of a product candidate vary substantially according to the type, complexity, novelty and intended use and market of the potential products. The regulatory approval process for novel product candidates such as ours can be more expensive and take longer than for other, better known or extensively studied therapeutic modalities. Further, as we are developing novel treatments for diseases in which there is limited clinical experience with new endpoints and methodologies, there is heightened risk that the FDA, European Medicines Agency (EMA) or comparable foreign regulatory bodies may not consider the clinical trial endpoints to provide clinically meaningful results, and the resulting clinical data and results may be more difficult to analyze. To date, few gene therapy products have been approved by the FDA or comparable foreign regulatory authorities, which makes it difficult to determine how long it will take or how much it will cost to obtain regulatory approvals for our product candidates in the United States, the European Union or other jurisdictions. Further, approvals by one regulatory agency may not be indicative of what other regulatory agencies may require for approval.</w:t>
      </w:r>
    </w:p>
    <w:p>
      <w:pPr>
        <w:spacing w:after="0" w:line="180" w:lineRule="exact"/>
        <w:rPr>
          <w:sz w:val="20"/>
          <w:szCs w:val="20"/>
          <w:color w:val="auto"/>
        </w:rPr>
      </w:pPr>
    </w:p>
    <w:p>
      <w:pPr>
        <w:ind w:left="120" w:right="120" w:firstLine="551"/>
        <w:spacing w:after="0" w:line="241" w:lineRule="auto"/>
        <w:rPr>
          <w:sz w:val="20"/>
          <w:szCs w:val="20"/>
          <w:color w:val="auto"/>
        </w:rPr>
      </w:pPr>
      <w:r>
        <w:rPr>
          <w:rFonts w:ascii="Arial" w:cs="Arial" w:eastAsia="Arial" w:hAnsi="Arial"/>
          <w:sz w:val="18"/>
          <w:szCs w:val="18"/>
          <w:color w:val="auto"/>
        </w:rPr>
        <w:t>Regulatory requirements governing gene therapy products have evolved and may continue to change in the future. For example, the FDA established the Office of Tissues and Advanced Therapies within its Center for Biologics Evaluation and Research (CBER) to consolidate the review of gene therapy and related products, and the Cellular, Tissue and Gene Therapies Advisory Committee to advise CBER on its review. These and other regulatory review agencies, committees and advisory groups and the requirements and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these treatment candidates or lead to significant post-approval limitations or restrictions.</w:t>
      </w:r>
    </w:p>
    <w:p>
      <w:pPr>
        <w:spacing w:after="0" w:line="179" w:lineRule="exact"/>
        <w:rPr>
          <w:sz w:val="20"/>
          <w:szCs w:val="20"/>
          <w:color w:val="auto"/>
        </w:rPr>
      </w:pPr>
    </w:p>
    <w:p>
      <w:pPr>
        <w:ind w:left="120" w:right="240" w:firstLine="551"/>
        <w:spacing w:after="0" w:line="241" w:lineRule="auto"/>
        <w:rPr>
          <w:sz w:val="20"/>
          <w:szCs w:val="20"/>
          <w:color w:val="auto"/>
        </w:rPr>
      </w:pPr>
      <w:r>
        <w:rPr>
          <w:rFonts w:ascii="Arial" w:cs="Arial" w:eastAsia="Arial" w:hAnsi="Arial"/>
          <w:sz w:val="18"/>
          <w:szCs w:val="18"/>
          <w:color w:val="auto"/>
        </w:rPr>
        <w:t>Under the National Institutes of Health (NIH) Guidelines for Research Involving Recombinant DNA Molecules (NIH Guidelines), supervision of human gene transfer trials, including evaluation and assessment by an Institutional Biosafety Committee (IBC) a local institutional committee that reviews and oversees research utilizing recombinant or synthetic nucleic acid molecules at that institution, is required. The IBC assesses the safety of the research and identifies any potential risk to the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spacing w:after="0" w:line="179" w:lineRule="exact"/>
        <w:rPr>
          <w:sz w:val="20"/>
          <w:szCs w:val="20"/>
          <w:color w:val="auto"/>
        </w:rPr>
      </w:pPr>
    </w:p>
    <w:p>
      <w:pPr>
        <w:jc w:val="both"/>
        <w:ind w:left="120" w:right="100" w:firstLine="551"/>
        <w:spacing w:after="0" w:line="255" w:lineRule="auto"/>
        <w:rPr>
          <w:sz w:val="20"/>
          <w:szCs w:val="20"/>
          <w:color w:val="auto"/>
        </w:rPr>
      </w:pPr>
      <w:r>
        <w:rPr>
          <w:rFonts w:ascii="Arial" w:cs="Arial" w:eastAsia="Arial" w:hAnsi="Arial"/>
          <w:sz w:val="18"/>
          <w:szCs w:val="18"/>
          <w:color w:val="auto"/>
        </w:rPr>
        <w:t>We are subject to significant regulatory oversight by the FDA, and in addition to the government regulators, the applicable IBC and Institutional Review Board (IRB), of each institution at which we or our collaborators conduct clinical trials of our product candidates, or a central IRB if appropriate, would need to review and approve the proposed clinical trial.</w:t>
      </w:r>
    </w:p>
    <w:p>
      <w:pPr>
        <w:spacing w:after="0" w:line="164" w:lineRule="exact"/>
        <w:rPr>
          <w:sz w:val="20"/>
          <w:szCs w:val="20"/>
          <w:color w:val="auto"/>
        </w:rPr>
      </w:pPr>
    </w:p>
    <w:p>
      <w:pPr>
        <w:ind w:left="120" w:right="260" w:firstLine="551"/>
        <w:spacing w:after="0" w:line="306" w:lineRule="auto"/>
        <w:rPr>
          <w:sz w:val="20"/>
          <w:szCs w:val="20"/>
          <w:color w:val="auto"/>
        </w:rPr>
      </w:pPr>
      <w:r>
        <w:rPr>
          <w:rFonts w:ascii="Arial" w:cs="Arial" w:eastAsia="Arial" w:hAnsi="Arial"/>
          <w:sz w:val="17"/>
          <w:szCs w:val="17"/>
          <w:color w:val="auto"/>
        </w:rPr>
        <w:t>Similarly, the EMA governs the development of gene therapies in the European Union and may issue new guidelines concerning the development and marketing authorization for gene therapy products and require that we comply with these new guidelines.</w:t>
      </w:r>
    </w:p>
    <w:p>
      <w:pPr>
        <w:spacing w:after="0" w:line="123"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Changes in applicable regulatory guidelines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w:t>
      </w:r>
    </w:p>
    <w:p>
      <w:pPr>
        <w:spacing w:after="0" w:line="164" w:lineRule="exact"/>
        <w:rPr>
          <w:sz w:val="20"/>
          <w:szCs w:val="20"/>
          <w:color w:val="auto"/>
        </w:rPr>
      </w:pPr>
    </w:p>
    <w:p>
      <w:pPr>
        <w:ind w:left="120" w:right="220" w:firstLine="551"/>
        <w:spacing w:after="0" w:line="276" w:lineRule="auto"/>
        <w:rPr>
          <w:sz w:val="20"/>
          <w:szCs w:val="20"/>
          <w:color w:val="auto"/>
        </w:rPr>
      </w:pPr>
      <w:r>
        <w:rPr>
          <w:rFonts w:ascii="Arial" w:cs="Arial" w:eastAsia="Arial" w:hAnsi="Arial"/>
          <w:sz w:val="18"/>
          <w:szCs w:val="18"/>
          <w:color w:val="auto"/>
        </w:rPr>
        <w:t>As we advance our product candidates, we will be required to consult with these regulatory and advisory groups and comply with applicable guidelines. If we fail to do so, we may be required to delay</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5" w:right="4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20"/>
        <w:spacing w:after="0" w:line="248" w:lineRule="auto"/>
        <w:rPr>
          <w:sz w:val="20"/>
          <w:szCs w:val="20"/>
          <w:color w:val="auto"/>
        </w:rPr>
      </w:pPr>
      <w:r>
        <w:rPr>
          <w:rFonts w:ascii="Arial" w:cs="Arial" w:eastAsia="Arial" w:hAnsi="Arial"/>
          <w:sz w:val="18"/>
          <w:szCs w:val="18"/>
          <w:color w:val="auto"/>
        </w:rPr>
        <w:t>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278" w:lineRule="exact"/>
        <w:rPr>
          <w:sz w:val="20"/>
          <w:szCs w:val="20"/>
          <w:color w:val="auto"/>
        </w:rPr>
      </w:pPr>
    </w:p>
    <w:p>
      <w:pPr>
        <w:ind w:left="120" w:right="20"/>
        <w:spacing w:after="0" w:line="285" w:lineRule="auto"/>
        <w:rPr>
          <w:sz w:val="20"/>
          <w:szCs w:val="20"/>
          <w:color w:val="auto"/>
        </w:rPr>
      </w:pPr>
      <w:r>
        <w:rPr>
          <w:rFonts w:ascii="Arial" w:cs="Arial" w:eastAsia="Arial" w:hAnsi="Arial"/>
          <w:sz w:val="18"/>
          <w:szCs w:val="18"/>
          <w:b w:val="1"/>
          <w:bCs w:val="1"/>
          <w:i w:val="1"/>
          <w:iCs w:val="1"/>
          <w:color w:val="auto"/>
        </w:rPr>
        <w:t>Adverse public perception or regulatory scrutiny of gene therapy technology may negatively impact the developmental progress or commercial success of product candidates that we develop alone or with collaborators.</w:t>
      </w:r>
    </w:p>
    <w:p>
      <w:pPr>
        <w:spacing w:after="0" w:line="21" w:lineRule="exact"/>
        <w:rPr>
          <w:sz w:val="20"/>
          <w:szCs w:val="20"/>
          <w:color w:val="auto"/>
        </w:rPr>
      </w:pPr>
    </w:p>
    <w:p>
      <w:pPr>
        <w:jc w:val="both"/>
        <w:ind w:left="120" w:firstLine="551"/>
        <w:spacing w:after="0" w:line="248" w:lineRule="auto"/>
        <w:rPr>
          <w:sz w:val="20"/>
          <w:szCs w:val="20"/>
          <w:color w:val="auto"/>
        </w:rPr>
      </w:pPr>
      <w:r>
        <w:rPr>
          <w:rFonts w:ascii="Arial" w:cs="Arial" w:eastAsia="Arial" w:hAnsi="Arial"/>
          <w:sz w:val="18"/>
          <w:szCs w:val="18"/>
          <w:color w:val="auto"/>
        </w:rPr>
        <w:t>The developmental and commercial success of our current product candidates, or any that we develop alone or with collaborators in the future, will depend in part on public acceptance of the use of gene therapy technology, including the use of AAVs, for the prevention or treatment of human diseases. Adverse public perception of gene therapies may negatively impact our ability to raise capital or enter into strategic agreements for the development of product candidates.</w:t>
      </w:r>
    </w:p>
    <w:p>
      <w:pPr>
        <w:spacing w:after="0" w:line="170" w:lineRule="exact"/>
        <w:rPr>
          <w:sz w:val="20"/>
          <w:szCs w:val="20"/>
          <w:color w:val="auto"/>
        </w:rPr>
      </w:pPr>
    </w:p>
    <w:p>
      <w:pPr>
        <w:ind w:left="120" w:right="100" w:firstLine="551"/>
        <w:spacing w:after="0" w:line="241" w:lineRule="auto"/>
        <w:rPr>
          <w:sz w:val="20"/>
          <w:szCs w:val="20"/>
          <w:color w:val="auto"/>
        </w:rPr>
      </w:pPr>
      <w:r>
        <w:rPr>
          <w:rFonts w:ascii="Arial" w:cs="Arial" w:eastAsia="Arial" w:hAnsi="Arial"/>
          <w:sz w:val="18"/>
          <w:szCs w:val="18"/>
          <w:color w:val="auto"/>
        </w:rPr>
        <w:t>Gene therapy remains a novel technology. The commercial success of our gene therapy products, if successfully developed and approved, may be adversely affected by claims that gene therapy is unsafe, unethical or immoral. This may lead to unfavorable public perception and the inability of any of our product candidates to gain the acceptance of the public or the medical community. Unfavorable public perceptions may also adversely impact our or our collaborators’ ability to enroll clinical trials for our product candidates. Moreover, success in commercializing any product candidates that receive regulatory approval will depend upon physicians prescribing, and their patients being willing to receive, treatments that involve the use of such product candidates in lieu of, or in addition to, existing treatments with which they are already familiar and for which greater clinical data may be available.</w:t>
      </w:r>
    </w:p>
    <w:p>
      <w:pPr>
        <w:spacing w:after="0" w:line="179"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color w:val="auto"/>
        </w:rPr>
        <w:t>Publicity of any adverse events in, or unfavorable results of, preclinical studies or clinical trials for any current or future product candidates, or with respect to the studies or trials of our competitors or of academic researchers utilizing similar technologies, even if not ultimately attributable to our technology or product candidates, could negatively influence public opinion. Negative public perception about the use of AAV technology in human therapeutics, whether related to our technology or a competitor’s technology, could result in increased governmental regulation, delays in the development and commercialization of product candidates or decreased demand for the resulting products, any of which may seriously harm our business.</w:t>
      </w:r>
    </w:p>
    <w:p>
      <w:pPr>
        <w:spacing w:after="0" w:line="282" w:lineRule="exact"/>
        <w:rPr>
          <w:sz w:val="20"/>
          <w:szCs w:val="20"/>
          <w:color w:val="auto"/>
        </w:rPr>
      </w:pPr>
    </w:p>
    <w:p>
      <w:pPr>
        <w:ind w:left="120" w:right="200"/>
        <w:spacing w:after="0" w:line="314" w:lineRule="auto"/>
        <w:rPr>
          <w:sz w:val="20"/>
          <w:szCs w:val="20"/>
          <w:color w:val="auto"/>
        </w:rPr>
      </w:pPr>
      <w:r>
        <w:rPr>
          <w:rFonts w:ascii="Arial" w:cs="Arial" w:eastAsia="Arial" w:hAnsi="Arial"/>
          <w:sz w:val="17"/>
          <w:szCs w:val="17"/>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2" w:lineRule="exact"/>
        <w:rPr>
          <w:sz w:val="20"/>
          <w:szCs w:val="20"/>
          <w:color w:val="auto"/>
        </w:rPr>
      </w:pPr>
    </w:p>
    <w:p>
      <w:pPr>
        <w:ind w:left="120" w:right="200" w:firstLine="551"/>
        <w:spacing w:after="0" w:line="255" w:lineRule="auto"/>
        <w:rPr>
          <w:sz w:val="20"/>
          <w:szCs w:val="20"/>
          <w:color w:val="auto"/>
        </w:rPr>
      </w:pPr>
      <w:r>
        <w:rPr>
          <w:rFonts w:ascii="Arial" w:cs="Arial" w:eastAsia="Arial" w:hAnsi="Arial"/>
          <w:sz w:val="18"/>
          <w:szCs w:val="18"/>
          <w:color w:val="auto"/>
        </w:rPr>
        <w:t>Adverse events or other 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authorities.</w:t>
      </w:r>
    </w:p>
    <w:p>
      <w:pPr>
        <w:spacing w:after="0" w:line="164"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observed in previous trials, as well as conditions that did not occur or went undetected in previous trials, will be reported by patients. Many times, side effects are only detectable</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5" w:right="4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80"/>
        <w:spacing w:after="0" w:line="276" w:lineRule="auto"/>
        <w:rPr>
          <w:sz w:val="20"/>
          <w:szCs w:val="20"/>
          <w:color w:val="auto"/>
        </w:rPr>
      </w:pPr>
      <w:r>
        <w:rPr>
          <w:rFonts w:ascii="Arial" w:cs="Arial" w:eastAsia="Arial" w:hAnsi="Arial"/>
          <w:sz w:val="18"/>
          <w:szCs w:val="18"/>
          <w:color w:val="auto"/>
        </w:rPr>
        <w:t>after investigational products are tested in large-scale, Phase 3 clinical trials or, in some cases, after they are made available to patients on a commercial scale after approval.</w:t>
      </w:r>
    </w:p>
    <w:p>
      <w:pPr>
        <w:spacing w:after="0" w:line="145"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If any serious adverse events occur, clinical trials or commercial distribution of any product candidates or products we develop alone or with collaborators could be suspended or terminated, and our business could be seriously harmed. Treatment-related side effects could also affect patient recruitment and the ability of enrolled patients to complete the trial or result in potential liability claims. Regulatory authorities could order us or our collaborators to cease further development of, deny approval of, or require us to cease selling any product candidates or products for any or all targeted indications. If we or our collaborators elect, or are required, to delay, suspend or terminate any clinical trial or commercialization efforts, the commercial prospects of such product candidates or products may be harmed, and our ability to generate product revenues from them or other product candidates that we develop may be delayed or eliminated. 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85" w:lineRule="exact"/>
        <w:rPr>
          <w:sz w:val="20"/>
          <w:szCs w:val="20"/>
          <w:color w:val="auto"/>
        </w:rPr>
      </w:pPr>
    </w:p>
    <w:p>
      <w:pPr>
        <w:ind w:left="880" w:right="40" w:hanging="224"/>
        <w:spacing w:after="0" w:line="276"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suspend, limit or withdraw approvals of such product, or seek an injunction against its manufacture or distribution;</w:t>
      </w:r>
    </w:p>
    <w:p>
      <w:pPr>
        <w:spacing w:after="0" w:line="50" w:lineRule="exact"/>
        <w:rPr>
          <w:rFonts w:ascii="Arial" w:cs="Arial" w:eastAsia="Arial" w:hAnsi="Arial"/>
          <w:sz w:val="18"/>
          <w:szCs w:val="18"/>
          <w:color w:val="auto"/>
        </w:rPr>
      </w:pPr>
    </w:p>
    <w:p>
      <w:pPr>
        <w:ind w:left="880" w:right="200" w:hanging="224"/>
        <w:spacing w:after="0" w:line="255"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including “boxed” warnings, or issue safety alerts, Dear Healthcare Provider letters, press releases or other communications containing warnings or other safety information about the product;</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 or post-approval studies;</w:t>
      </w:r>
    </w:p>
    <w:p>
      <w:pPr>
        <w:spacing w:after="0" w:line="117" w:lineRule="exact"/>
        <w:rPr>
          <w:rFonts w:ascii="Arial" w:cs="Arial" w:eastAsia="Arial" w:hAnsi="Arial"/>
          <w:sz w:val="18"/>
          <w:szCs w:val="18"/>
          <w:color w:val="auto"/>
        </w:rPr>
      </w:pPr>
    </w:p>
    <w:p>
      <w:pPr>
        <w:ind w:left="880" w:right="360" w:hanging="224"/>
        <w:spacing w:after="0" w:line="255"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create a Risk Evaluation and Mitigation Strategy (REMS), which could include a medication guide outlining the risks of such side effects for distribution to patients, a communication plan for healthcare providers and/or other elements to assure safe use;</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product may become less competitive;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criminal penalties;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2" w:lineRule="exact"/>
        <w:rPr>
          <w:sz w:val="20"/>
          <w:szCs w:val="20"/>
          <w:color w:val="auto"/>
        </w:rPr>
      </w:pPr>
    </w:p>
    <w:p>
      <w:pPr>
        <w:ind w:left="120" w:right="540" w:firstLine="551"/>
        <w:spacing w:after="0" w:line="276"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seriously harm our business.</w:t>
      </w:r>
    </w:p>
    <w:p>
      <w:pPr>
        <w:spacing w:after="0" w:line="253" w:lineRule="exact"/>
        <w:rPr>
          <w:sz w:val="20"/>
          <w:szCs w:val="20"/>
          <w:color w:val="auto"/>
        </w:rPr>
      </w:pPr>
    </w:p>
    <w:p>
      <w:pPr>
        <w:jc w:val="both"/>
        <w:ind w:left="120" w:right="220"/>
        <w:spacing w:after="0" w:line="260" w:lineRule="auto"/>
        <w:rPr>
          <w:sz w:val="20"/>
          <w:szCs w:val="20"/>
          <w:color w:val="auto"/>
        </w:rPr>
      </w:pPr>
      <w:r>
        <w:rPr>
          <w:rFonts w:ascii="Arial" w:cs="Arial" w:eastAsia="Arial" w:hAnsi="Arial"/>
          <w:sz w:val="18"/>
          <w:szCs w:val="18"/>
          <w:b w:val="1"/>
          <w:bCs w:val="1"/>
          <w:i w:val="1"/>
          <w:iCs w:val="1"/>
          <w:color w:val="auto"/>
        </w:rPr>
        <w:t>Drug development is a highly uncertain undertaking and involves a substantial degree of risk. We have no products approved for commercial sale, and we have never generated any revenue from product sales, and we may never generate revenue or be profitable.</w:t>
      </w:r>
    </w:p>
    <w:p>
      <w:pPr>
        <w:spacing w:after="0" w:line="43" w:lineRule="exact"/>
        <w:rPr>
          <w:sz w:val="20"/>
          <w:szCs w:val="20"/>
          <w:color w:val="auto"/>
        </w:rPr>
      </w:pPr>
    </w:p>
    <w:p>
      <w:pPr>
        <w:ind w:left="120" w:right="40" w:firstLine="551"/>
        <w:spacing w:after="0" w:line="255"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We do not anticipate generating any revenue from product sales until after we have successfully completed clinical development and received regulatory approval for the commercial sale of a product candidate, which will not occur for several years if ever.</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ability to generate revenue and achieve profitability depends significantly on many factors, including:</w:t>
      </w:r>
    </w:p>
    <w:p>
      <w:pPr>
        <w:spacing w:after="0" w:line="117" w:lineRule="exact"/>
        <w:rPr>
          <w:sz w:val="20"/>
          <w:szCs w:val="20"/>
          <w:color w:val="auto"/>
        </w:rPr>
      </w:pPr>
    </w:p>
    <w:p>
      <w:pPr>
        <w:ind w:left="5520" w:right="2220" w:hanging="4864"/>
        <w:spacing w:after="0" w:line="448" w:lineRule="auto"/>
        <w:tabs>
          <w:tab w:leader="none" w:pos="868"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successfully completing research and preclinical and clinical development of our product candidates; 21</w:t>
      </w:r>
    </w:p>
    <w:p>
      <w:pPr>
        <w:sectPr>
          <w:pgSz w:w="11900" w:h="16838" w:orient="portrait"/>
          <w:cols w:equalWidth="0" w:num="1">
            <w:col w:w="11080"/>
          </w:cols>
          <w:pgMar w:left="320" w:top="455" w:right="49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480" w:hanging="224"/>
        <w:spacing w:after="0" w:line="276"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COVID-19 pandemic, which may result in clinical site closures, delays to patient enrollment, patients discontinuing their treatment or follow up visits or changes to trial protocols;</w:t>
      </w:r>
    </w:p>
    <w:p>
      <w:pPr>
        <w:spacing w:after="0" w:line="50" w:lineRule="exact"/>
        <w:rPr>
          <w:rFonts w:ascii="Arial" w:cs="Arial" w:eastAsia="Arial" w:hAnsi="Arial"/>
          <w:sz w:val="18"/>
          <w:szCs w:val="18"/>
          <w:color w:val="auto"/>
        </w:rPr>
      </w:pPr>
    </w:p>
    <w:p>
      <w:pPr>
        <w:ind w:left="880" w:right="200" w:hanging="224"/>
        <w:spacing w:after="0" w:line="276"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regulatory approvals and marketing authorizations for product candidates for which we successfully complete clinical development and clinical trials;</w:t>
      </w:r>
    </w:p>
    <w:p>
      <w:pPr>
        <w:spacing w:after="0" w:line="50" w:lineRule="exact"/>
        <w:rPr>
          <w:rFonts w:ascii="Arial" w:cs="Arial" w:eastAsia="Arial" w:hAnsi="Arial"/>
          <w:sz w:val="18"/>
          <w:szCs w:val="18"/>
          <w:color w:val="auto"/>
        </w:rPr>
      </w:pPr>
    </w:p>
    <w:p>
      <w:pPr>
        <w:ind w:left="880" w:right="580" w:hanging="224"/>
        <w:spacing w:after="0" w:line="255"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our product candidates, as well as establishing and maintaining commercially viable supply relationships with third parties that can provide adequate products and services to support clinical activities and any commercial demand for our product candidates;</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117" w:lineRule="exact"/>
        <w:rPr>
          <w:rFonts w:ascii="Arial" w:cs="Arial" w:eastAsia="Arial" w:hAnsi="Arial"/>
          <w:sz w:val="18"/>
          <w:szCs w:val="18"/>
          <w:color w:val="auto"/>
        </w:rPr>
      </w:pPr>
    </w:p>
    <w:p>
      <w:pPr>
        <w:ind w:left="880" w:right="160" w:hanging="224"/>
        <w:spacing w:after="0" w:line="276"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prevalence, duration and severity of potential side effects or other safety issues experienced with our product candidates or future approved products, if any;</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patients’ willingness to enroll or continue to participate in a clinical trial during the COVID-19 pandemic;</w:t>
      </w:r>
    </w:p>
    <w:p>
      <w:pPr>
        <w:spacing w:after="0" w:line="117" w:lineRule="exact"/>
        <w:rPr>
          <w:rFonts w:ascii="Arial" w:cs="Arial" w:eastAsia="Arial" w:hAnsi="Arial"/>
          <w:sz w:val="18"/>
          <w:szCs w:val="18"/>
          <w:color w:val="auto"/>
        </w:rPr>
      </w:pPr>
    </w:p>
    <w:p>
      <w:pPr>
        <w:ind w:left="880" w:right="160" w:hanging="224"/>
        <w:spacing w:after="0" w:line="276"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launching and successfully commercializing product candidates for which we obtain marketing approval, either by collaborating with a partner or, if launched independently, by establishing a sales, marketing and distribution infrastructure;</w:t>
      </w:r>
    </w:p>
    <w:p>
      <w:pPr>
        <w:spacing w:after="0" w:line="50" w:lineRule="exact"/>
        <w:rPr>
          <w:rFonts w:ascii="Arial" w:cs="Arial" w:eastAsia="Arial" w:hAnsi="Arial"/>
          <w:sz w:val="18"/>
          <w:szCs w:val="18"/>
          <w:color w:val="auto"/>
        </w:rPr>
      </w:pPr>
    </w:p>
    <w:p>
      <w:pPr>
        <w:ind w:left="880" w:right="40" w:hanging="224"/>
        <w:spacing w:after="0" w:line="276"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and maintaining an adequate price for our product candidates, both in the United States and in foreign countries where our products are commercialized;</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adequate reimbursement for our product candidates or procedures using our product candidates from payors;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convenience and durability of our treatment or dosing regimen;</w:t>
      </w:r>
    </w:p>
    <w:p>
      <w:pPr>
        <w:spacing w:after="0" w:line="117"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acceptance by physicians, payors and patients of the benefits, safety and efficacy of our product candidate, or any future product candidates, if approved, including relative to alternative and competing treatments;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patient demand for any of our product candidates that may be approved;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880" w:right="120" w:hanging="224"/>
        <w:spacing w:after="0" w:line="276"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maintaining, protecting, expanding and enforcing our portfolio of intellectual property rights, including patents, trade secrets and know-how; and</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12"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collaborators’ clinical trials or the development of any of our product candidates. Even if one or more of our product candidates is approved for commercial sale, we anticipate incurring significant costs associated with commercializing any approved product candidate and ongoing compliance efforts.</w:t>
      </w:r>
    </w:p>
    <w:p>
      <w:pPr>
        <w:spacing w:after="0" w:line="174" w:lineRule="exact"/>
        <w:rPr>
          <w:sz w:val="20"/>
          <w:szCs w:val="20"/>
          <w:color w:val="auto"/>
        </w:rPr>
      </w:pPr>
    </w:p>
    <w:p>
      <w:pPr>
        <w:ind w:left="120" w:right="160" w:firstLine="551"/>
        <w:spacing w:after="0" w:line="276" w:lineRule="auto"/>
        <w:rPr>
          <w:sz w:val="20"/>
          <w:szCs w:val="20"/>
          <w:color w:val="auto"/>
        </w:rPr>
      </w:pPr>
      <w:r>
        <w:rPr>
          <w:rFonts w:ascii="Arial" w:cs="Arial" w:eastAsia="Arial" w:hAnsi="Arial"/>
          <w:sz w:val="18"/>
          <w:szCs w:val="18"/>
          <w:color w:val="auto"/>
        </w:rPr>
        <w:t>Even if we are able to generate revenue from the sale of any approved products, we may not become profitable, and we will need to obtain additional funding through one or more equity or debt</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5" w:right="4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1" w:lineRule="auto"/>
        <w:rPr>
          <w:sz w:val="20"/>
          <w:szCs w:val="20"/>
          <w:color w:val="auto"/>
        </w:rPr>
      </w:pPr>
      <w:r>
        <w:rPr>
          <w:rFonts w:ascii="Arial" w:cs="Arial" w:eastAsia="Arial" w:hAnsi="Arial"/>
          <w:sz w:val="18"/>
          <w:szCs w:val="18"/>
          <w:color w:val="auto"/>
        </w:rPr>
        <w:t>financings in order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significant as we anticipate, the indication approved by regulatory authorities is narrower than we expect, the reasonably accepted population for treatment is narrowed by competition, physician choice or treatment guidelines or the price and available third-party reimbursement are lower than anticipated, we may not generate significant revenue from sales of such products, even if approved. Even if we do achieve profitability, we may not be able to sustain or increase profitability on a quarterly or annual basis.</w:t>
      </w:r>
    </w:p>
    <w:p>
      <w:pPr>
        <w:spacing w:after="0" w:line="179" w:lineRule="exact"/>
        <w:rPr>
          <w:sz w:val="20"/>
          <w:szCs w:val="20"/>
          <w:color w:val="auto"/>
        </w:rPr>
      </w:pPr>
    </w:p>
    <w:p>
      <w:pPr>
        <w:ind w:left="120" w:right="160" w:firstLine="551"/>
        <w:spacing w:after="0" w:line="255" w:lineRule="auto"/>
        <w:rPr>
          <w:sz w:val="20"/>
          <w:szCs w:val="20"/>
          <w:color w:val="auto"/>
        </w:rPr>
      </w:pPr>
      <w:r>
        <w:rPr>
          <w:rFonts w:ascii="Arial" w:cs="Arial" w:eastAsia="Arial" w:hAnsi="Arial"/>
          <w:sz w:val="18"/>
          <w:szCs w:val="18"/>
          <w:color w:val="auto"/>
        </w:rPr>
        <w:t>Our failure to become and remain profitable would decrease the value of our company and could impair our ability to raise capital, expand our business, maintain our research and development efforts, diversify our pipeline of product candidates or continue our operations and cause a decline in the value of our common stock, all or any of which may seriously harm our business.</w:t>
      </w:r>
    </w:p>
    <w:p>
      <w:pPr>
        <w:spacing w:after="0" w:line="272" w:lineRule="exact"/>
        <w:rPr>
          <w:sz w:val="20"/>
          <w:szCs w:val="20"/>
          <w:color w:val="auto"/>
        </w:rPr>
      </w:pPr>
    </w:p>
    <w:p>
      <w:pPr>
        <w:ind w:left="120" w:right="100"/>
        <w:spacing w:after="0" w:line="285" w:lineRule="auto"/>
        <w:rPr>
          <w:sz w:val="20"/>
          <w:szCs w:val="20"/>
          <w:color w:val="auto"/>
        </w:rPr>
      </w:pPr>
      <w:r>
        <w:rPr>
          <w:rFonts w:ascii="Arial" w:cs="Arial" w:eastAsia="Arial" w:hAnsi="Arial"/>
          <w:sz w:val="18"/>
          <w:szCs w:val="18"/>
          <w:b w:val="1"/>
          <w:bCs w:val="1"/>
          <w:i w:val="1"/>
          <w:iCs w:val="1"/>
          <w:color w:val="auto"/>
        </w:rPr>
        <w:t>Public health crises such as pandemics or similar outbreaks have affected and could continue to seriously and adversely affect our preclinical and clinical trials, business, financial condition and results of operations.</w:t>
      </w:r>
    </w:p>
    <w:p>
      <w:pPr>
        <w:spacing w:after="0" w:line="21"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In March 2020, the World Health Organization declared COVID-19 a global pandemic, and the United States declared a national emergency with respect to COVID-19. In response to the COVID-19 pandemic, “shelter in place” orders and other public health guidance measures have been implemented across much of the United States and Europe, including in the locations of our offices, clinical trial sites, key vendors and partners. We expect that our clinical development program timelines will be negatively affected by COVID-19, which could harm our business. Further, due to “shelter in place” orders and other public health guidance measures, we have implemented a work-from-home policy for all staff members excluding those necessary to maintain minimum basic operations. Our increased reliance on personnel working from home may negatively impact productivity, or disrupt, delay or otherwise seriously harm our business. For example, with our personnel working from home, some of our research activities that require our personnel to be in our laboratories will be delayed.</w:t>
      </w:r>
    </w:p>
    <w:p>
      <w:pPr>
        <w:spacing w:after="0" w:line="176" w:lineRule="exact"/>
        <w:rPr>
          <w:sz w:val="20"/>
          <w:szCs w:val="20"/>
          <w:color w:val="auto"/>
        </w:rPr>
      </w:pPr>
    </w:p>
    <w:p>
      <w:pPr>
        <w:jc w:val="both"/>
        <w:ind w:left="120" w:firstLine="551"/>
        <w:spacing w:after="0" w:line="255" w:lineRule="auto"/>
        <w:rPr>
          <w:sz w:val="20"/>
          <w:szCs w:val="20"/>
          <w:color w:val="auto"/>
        </w:rPr>
      </w:pPr>
      <w:r>
        <w:rPr>
          <w:rFonts w:ascii="Arial" w:cs="Arial" w:eastAsia="Arial" w:hAnsi="Arial"/>
          <w:sz w:val="18"/>
          <w:szCs w:val="18"/>
          <w:color w:val="auto"/>
        </w:rPr>
        <w:t>As a result of the COVID-19 pandemic, or similar pandemics, and related “shelter in place” orders and other public health guidance measures, we have, and may in the future, experience disruptions that could seriously harm our business. Potential disruptions include but are not limited to:</w:t>
      </w:r>
    </w:p>
    <w:p>
      <w:pPr>
        <w:spacing w:after="0" w:line="69" w:lineRule="exact"/>
        <w:rPr>
          <w:sz w:val="20"/>
          <w:szCs w:val="20"/>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117" w:lineRule="exact"/>
        <w:rPr>
          <w:rFonts w:ascii="Arial" w:cs="Arial" w:eastAsia="Arial" w:hAnsi="Arial"/>
          <w:sz w:val="18"/>
          <w:szCs w:val="18"/>
          <w:color w:val="auto"/>
        </w:rPr>
      </w:pPr>
    </w:p>
    <w:p>
      <w:pPr>
        <w:ind w:left="880" w:right="100" w:hanging="224"/>
        <w:spacing w:after="0" w:line="276"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or difficulties in initiating or expanding clinical trials, including delays or difficulties with clinical site initiation and recruiting clinical site investigators and clinical site staff;</w:t>
      </w:r>
    </w:p>
    <w:p>
      <w:pPr>
        <w:spacing w:after="0" w:line="50" w:lineRule="exact"/>
        <w:rPr>
          <w:rFonts w:ascii="Arial" w:cs="Arial" w:eastAsia="Arial" w:hAnsi="Arial"/>
          <w:sz w:val="18"/>
          <w:szCs w:val="18"/>
          <w:color w:val="auto"/>
        </w:rPr>
      </w:pPr>
    </w:p>
    <w:p>
      <w:pPr>
        <w:ind w:left="880" w:right="200" w:hanging="224"/>
        <w:spacing w:after="0" w:line="276"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rates of patients withdrawing from our clinical trials following enrollment as a result of contracting COVID-19 or other health conditions or being forced to quarantine;</w:t>
      </w:r>
    </w:p>
    <w:p>
      <w:pPr>
        <w:spacing w:after="0" w:line="50" w:lineRule="exact"/>
        <w:rPr>
          <w:rFonts w:ascii="Arial" w:cs="Arial" w:eastAsia="Arial" w:hAnsi="Arial"/>
          <w:sz w:val="18"/>
          <w:szCs w:val="18"/>
          <w:color w:val="auto"/>
        </w:rPr>
      </w:pPr>
    </w:p>
    <w:p>
      <w:pPr>
        <w:ind w:left="880" w:right="540" w:hanging="224"/>
        <w:spacing w:after="0" w:line="276"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and efficacy, safety and translational data collection, processing and analyses, due to limitations on travel imposed;</w:t>
      </w:r>
    </w:p>
    <w:p>
      <w:pPr>
        <w:spacing w:after="0" w:line="50" w:lineRule="exact"/>
        <w:rPr>
          <w:rFonts w:ascii="Arial" w:cs="Arial" w:eastAsia="Arial" w:hAnsi="Arial"/>
          <w:sz w:val="18"/>
          <w:szCs w:val="18"/>
          <w:color w:val="auto"/>
        </w:rPr>
      </w:pPr>
    </w:p>
    <w:p>
      <w:pPr>
        <w:ind w:left="880" w:right="440" w:hanging="224"/>
        <w:spacing w:after="0" w:line="276"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recommendations by federal, state or local governments, employers and others or interruptions of clinical trial subject visits, which may impact the collection and integrity of subject data and clinical trial endpoints;</w:t>
      </w:r>
    </w:p>
    <w:p>
      <w:pPr>
        <w:spacing w:after="0" w:line="50" w:lineRule="exact"/>
        <w:rPr>
          <w:rFonts w:ascii="Arial" w:cs="Arial" w:eastAsia="Arial" w:hAnsi="Arial"/>
          <w:sz w:val="18"/>
          <w:szCs w:val="18"/>
          <w:color w:val="auto"/>
        </w:rPr>
      </w:pPr>
    </w:p>
    <w:p>
      <w:pPr>
        <w:ind w:left="880" w:right="500" w:hanging="224"/>
        <w:spacing w:after="0" w:line="276"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5" w:right="4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500" w:hanging="224"/>
        <w:spacing w:after="0" w:line="276"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or disruptions in preclinical experiments and IND-enabling studies due to restrictions of on-site staff and unforeseen circumstances at CROs and vendors;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and comparable foreign regulatory agencies;</w:t>
      </w:r>
    </w:p>
    <w:p>
      <w:pPr>
        <w:spacing w:after="0" w:line="117" w:lineRule="exact"/>
        <w:rPr>
          <w:rFonts w:ascii="Arial" w:cs="Arial" w:eastAsia="Arial" w:hAnsi="Arial"/>
          <w:sz w:val="18"/>
          <w:szCs w:val="18"/>
          <w:color w:val="auto"/>
        </w:rPr>
      </w:pPr>
    </w:p>
    <w:p>
      <w:pPr>
        <w:ind w:left="880" w:right="240" w:hanging="224"/>
        <w:spacing w:after="0" w:line="276"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raw materials shortages, production slowdowns or stoppages and disruptions in delivery systems;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17" w:lineRule="exact"/>
        <w:rPr>
          <w:rFonts w:ascii="Arial" w:cs="Arial" w:eastAsia="Arial" w:hAnsi="Arial"/>
          <w:sz w:val="18"/>
          <w:szCs w:val="18"/>
          <w:color w:val="auto"/>
        </w:rPr>
      </w:pPr>
    </w:p>
    <w:p>
      <w:pPr>
        <w:ind w:left="880" w:right="160" w:hanging="224"/>
        <w:spacing w:after="0" w:line="255"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on employee or other resources that would otherwise be focused on the conduct of our clinical trials and preclinical work, including because of sickness of employees or their families, the desire of employees to avoid travel or contact with large groups of people, an increased reliance on working from home, school closures or mass transit disruptions;</w:t>
      </w:r>
    </w:p>
    <w:p>
      <w:pPr>
        <w:spacing w:after="0" w:line="69"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regulations as part of a response to the COVID-19 pandemic which may require us to change the ways in which our clinical trials are conducted, which may result in unexpected costs, or to discontinue the clinical trials altogether;</w:t>
      </w:r>
    </w:p>
    <w:p>
      <w:pPr>
        <w:spacing w:after="0" w:line="50" w:lineRule="exact"/>
        <w:rPr>
          <w:rFonts w:ascii="Arial" w:cs="Arial" w:eastAsia="Arial" w:hAnsi="Arial"/>
          <w:sz w:val="18"/>
          <w:szCs w:val="18"/>
          <w:color w:val="auto"/>
        </w:rPr>
      </w:pPr>
    </w:p>
    <w:p>
      <w:pPr>
        <w:ind w:left="880" w:right="720" w:hanging="224"/>
        <w:spacing w:after="0" w:line="276"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necessary interactions with regulators, ethics committees and other important agencies and contractors due to limitations in employee resources or forced furlough of government or contractor personnel; and</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outside the United States.</w:t>
      </w:r>
    </w:p>
    <w:p>
      <w:pPr>
        <w:spacing w:after="0" w:line="212" w:lineRule="exact"/>
        <w:rPr>
          <w:sz w:val="20"/>
          <w:szCs w:val="20"/>
          <w:color w:val="auto"/>
        </w:rPr>
      </w:pPr>
    </w:p>
    <w:p>
      <w:pPr>
        <w:ind w:left="120" w:right="200" w:firstLine="551"/>
        <w:spacing w:after="0" w:line="248" w:lineRule="auto"/>
        <w:rPr>
          <w:sz w:val="20"/>
          <w:szCs w:val="20"/>
          <w:color w:val="auto"/>
        </w:rPr>
      </w:pPr>
      <w:r>
        <w:rPr>
          <w:rFonts w:ascii="Arial" w:cs="Arial" w:eastAsia="Arial" w:hAnsi="Arial"/>
          <w:sz w:val="18"/>
          <w:szCs w:val="18"/>
          <w:color w:val="auto"/>
        </w:rPr>
        <w:t>These and other factors arising from the COVID-19 pandemic could worsen in countries that are already afflicted with COVID-19, could continue to spread to additional countries or could return to countries where the pandemic has been partially contained, each of which could further adversely impact our ability to conduct clinical trials and our business generally, and could seriously harm our business.</w:t>
      </w:r>
    </w:p>
    <w:p>
      <w:pPr>
        <w:spacing w:after="0" w:line="170" w:lineRule="exact"/>
        <w:rPr>
          <w:sz w:val="20"/>
          <w:szCs w:val="20"/>
          <w:color w:val="auto"/>
        </w:rPr>
      </w:pPr>
    </w:p>
    <w:p>
      <w:pPr>
        <w:ind w:left="120" w:right="120" w:firstLine="551"/>
        <w:spacing w:after="0" w:line="241" w:lineRule="auto"/>
        <w:rPr>
          <w:sz w:val="20"/>
          <w:szCs w:val="20"/>
          <w:color w:val="auto"/>
        </w:rPr>
      </w:pPr>
      <w:r>
        <w:rPr>
          <w:rFonts w:ascii="Arial" w:cs="Arial" w:eastAsia="Arial" w:hAnsi="Arial"/>
          <w:sz w:val="18"/>
          <w:szCs w:val="18"/>
          <w:color w:val="auto"/>
        </w:rPr>
        <w:t>The COVID-19 pandemic continues to rapidly evolve. The extent to which the COVID-19 pandemic may affect our clinical trials, business, financial condition and results of operations will depend on future developments, which are highly uncertain and cannot be predicted at this time, such as the ultimate geographic spread of the disease, the duration of the pandemic, travel restrictions and actions to contain the outbreak or treat its impact, such as social distancing and quarantines or lock-downs in the United States and other countries, business closures or business disruptions and the effectiveness of actions taken in the United States and other countries to contain and treat the disease. Future developments in these and other areas present material uncertainty and risk with respect to our clinical trials, business, financial condition and results of operations.</w:t>
      </w:r>
    </w:p>
    <w:p>
      <w:pPr>
        <w:spacing w:after="0" w:line="287" w:lineRule="exact"/>
        <w:rPr>
          <w:sz w:val="20"/>
          <w:szCs w:val="20"/>
          <w:color w:val="auto"/>
        </w:rPr>
      </w:pPr>
    </w:p>
    <w:p>
      <w:pPr>
        <w:ind w:left="120" w:right="360"/>
        <w:spacing w:after="0" w:line="285"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may not be able to conduct or complete our clinical trials on the timelines we expect, if at all.</w:t>
      </w:r>
    </w:p>
    <w:p>
      <w:pPr>
        <w:spacing w:after="0" w:line="21"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Clinical testing is expensive, time consuming, and subject to uncertainty. We cannot guarantee that any clinical trials will be initiated or conducted as planned or completed on schedule, if at all. For example, in the first half of 2019 a manufacturing batch of our product candidate 4D-110 produced at a CMO failed to meet the specifications required for use in our planned clinical trial due to an issue identified with one of the plasmids used in the manufacturing process. As a result, we delayed the initiation of our planned first-in-human trial of 4D-110 until July 2020, so that we could produce the clinical-grade material required for the trial using our in-house manufacturing facility. We also cannot be sure that submission of an IND or a clinical trial application (CTA) will result in the FDA or other</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5" w:right="4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77" w:lineRule="auto"/>
        <w:rPr>
          <w:sz w:val="20"/>
          <w:szCs w:val="20"/>
          <w:color w:val="auto"/>
        </w:rPr>
      </w:pPr>
      <w:r>
        <w:rPr>
          <w:rFonts w:ascii="Arial" w:cs="Arial" w:eastAsia="Arial" w:hAnsi="Arial"/>
          <w:sz w:val="17"/>
          <w:szCs w:val="17"/>
          <w:color w:val="auto"/>
        </w:rPr>
        <w:t>regulatory authority, as applicable, allowing clinical trials to begin in a timely manner, if at all. Moreover, even if these trials begin, issues may arise that could suspend or terminate such clinical trials. A failure of one or more clinical trials can occur at any stage of testing, and our future clinical trials may not be successful. Events that may prevent successful or timely initiation or completion of clinical trials include:</w:t>
      </w:r>
    </w:p>
    <w:p>
      <w:pPr>
        <w:spacing w:after="0" w:line="52" w:lineRule="exact"/>
        <w:rPr>
          <w:sz w:val="20"/>
          <w:szCs w:val="20"/>
          <w:color w:val="auto"/>
        </w:rPr>
      </w:pPr>
    </w:p>
    <w:p>
      <w:pPr>
        <w:ind w:left="880" w:right="440" w:hanging="224"/>
        <w:spacing w:after="0" w:line="276"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inability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or continuation of clinical trials;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 or implementation of the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impacts from the COVID-19 pandemic as further described elsewhere in these risk factors;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or failure in obtaining regulatory authorization to commence a trial;</w:t>
      </w:r>
    </w:p>
    <w:p>
      <w:pPr>
        <w:spacing w:after="0" w:line="117" w:lineRule="exact"/>
        <w:rPr>
          <w:rFonts w:ascii="Arial" w:cs="Arial" w:eastAsia="Arial" w:hAnsi="Arial"/>
          <w:sz w:val="18"/>
          <w:szCs w:val="18"/>
          <w:color w:val="auto"/>
        </w:rPr>
      </w:pPr>
    </w:p>
    <w:p>
      <w:pPr>
        <w:ind w:left="880" w:right="280" w:hanging="224"/>
        <w:spacing w:after="0" w:line="255"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contract research organizations (CROs) and clinical trial sites, the terms of which can be subject to extensive negotiation and may vary significantly among different CROs and clinical trial sites;</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identifying, recruiting and training suitable clinical investigators;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obtaining required IRB approval at each clinical trial site;</w:t>
      </w:r>
    </w:p>
    <w:p>
      <w:pPr>
        <w:spacing w:after="0" w:line="117"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trials or the inability to do any of the foregoing;</w:t>
      </w:r>
    </w:p>
    <w:p>
      <w:pPr>
        <w:spacing w:after="0" w:line="50" w:lineRule="exact"/>
        <w:rPr>
          <w:rFonts w:ascii="Arial" w:cs="Arial" w:eastAsia="Arial" w:hAnsi="Arial"/>
          <w:sz w:val="18"/>
          <w:szCs w:val="18"/>
          <w:color w:val="auto"/>
        </w:rPr>
      </w:pPr>
    </w:p>
    <w:p>
      <w:pPr>
        <w:ind w:left="880" w:right="160" w:hanging="224"/>
        <w:spacing w:after="0" w:line="276"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insufficient or inadequate supply or quality of product candidates or other materials necessary for use in clinical trials, or delays in sufficiently developing, characterizing or controlling a manufacturing process suitable for clinical trials;</w:t>
      </w:r>
    </w:p>
    <w:p>
      <w:pPr>
        <w:spacing w:after="0" w:line="50" w:lineRule="exact"/>
        <w:rPr>
          <w:rFonts w:ascii="Arial" w:cs="Arial" w:eastAsia="Arial" w:hAnsi="Arial"/>
          <w:sz w:val="18"/>
          <w:szCs w:val="18"/>
          <w:color w:val="auto"/>
        </w:rPr>
      </w:pPr>
    </w:p>
    <w:p>
      <w:pPr>
        <w:ind w:left="880" w:right="60" w:hanging="224"/>
        <w:spacing w:after="0" w:line="248"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by regulatory agencies for a number of reasons, including after review of an IND or amendment, CTA or amendment, or equivalent foreign application or amendment; as a result of a new safety finding that presents unreasonable risk to clinical trial participants; or a negative finding from an inspection of our clinical trial operations or study sites;</w:t>
      </w:r>
    </w:p>
    <w:p>
      <w:pPr>
        <w:spacing w:after="0" w:line="75" w:lineRule="exact"/>
        <w:rPr>
          <w:rFonts w:ascii="Arial" w:cs="Arial" w:eastAsia="Arial" w:hAnsi="Arial"/>
          <w:sz w:val="18"/>
          <w:szCs w:val="18"/>
          <w:color w:val="auto"/>
        </w:rPr>
      </w:pPr>
    </w:p>
    <w:p>
      <w:pPr>
        <w:ind w:left="880" w:right="180" w:hanging="224"/>
        <w:spacing w:after="0" w:line="255"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on trials conducted by competitors for related technology that raise FDA or foreign regulatory authority concerns about risk to patients of the technology broadly; or if the FDA or a foreign regulatory authority finds that the investigational protocol or plan is clearly deficient to meet its stated objectives;</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caused by patients withdrawing from clinical trials or failing to return for post-treatment follow-up;</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collaborating with patient groups and investigators;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trial protocols;</w:t>
      </w:r>
    </w:p>
    <w:p>
      <w:pPr>
        <w:spacing w:after="0" w:line="117" w:lineRule="exact"/>
        <w:rPr>
          <w:rFonts w:ascii="Arial" w:cs="Arial" w:eastAsia="Arial" w:hAnsi="Arial"/>
          <w:sz w:val="18"/>
          <w:szCs w:val="18"/>
          <w:color w:val="auto"/>
        </w:rPr>
      </w:pPr>
    </w:p>
    <w:p>
      <w:pPr>
        <w:ind w:left="880" w:right="120" w:hanging="224"/>
        <w:spacing w:after="0" w:line="276"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perform in accordance with the FDA’s or any other regulatory authority’s good clinical practice requirements (GCPs) or applicable regulatory guidelines in other countries;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5" w:right="4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we anticipate;</w:t>
      </w:r>
    </w:p>
    <w:p>
      <w:pPr>
        <w:spacing w:after="0" w:line="117" w:lineRule="exact"/>
        <w:rPr>
          <w:rFonts w:ascii="Arial" w:cs="Arial" w:eastAsia="Arial" w:hAnsi="Arial"/>
          <w:sz w:val="18"/>
          <w:szCs w:val="18"/>
          <w:color w:val="auto"/>
        </w:rPr>
      </w:pPr>
    </w:p>
    <w:p>
      <w:pPr>
        <w:ind w:left="880" w:right="40" w:hanging="224"/>
        <w:spacing w:after="0" w:line="276"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50" w:lineRule="exact"/>
        <w:rPr>
          <w:rFonts w:ascii="Arial" w:cs="Arial" w:eastAsia="Arial" w:hAnsi="Arial"/>
          <w:sz w:val="18"/>
          <w:szCs w:val="18"/>
          <w:color w:val="auto"/>
        </w:rPr>
      </w:pPr>
    </w:p>
    <w:p>
      <w:pPr>
        <w:ind w:left="880" w:right="100" w:hanging="224"/>
        <w:spacing w:after="0" w:line="276"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transfer of manufacturing processes to larger-scale facilities operated by a contract manufacturing organization (CMO) or by us, and delays or failure by our CMOs or us to make any necessary changes to such manufacturing process; and</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third parties being unwilling or unable to satisfy their contractual obligations to us.</w:t>
      </w:r>
    </w:p>
    <w:p>
      <w:pPr>
        <w:spacing w:after="0" w:line="212" w:lineRule="exact"/>
        <w:rPr>
          <w:sz w:val="20"/>
          <w:szCs w:val="20"/>
          <w:color w:val="auto"/>
        </w:rPr>
      </w:pPr>
    </w:p>
    <w:p>
      <w:pPr>
        <w:ind w:left="120" w:right="20" w:firstLine="551"/>
        <w:spacing w:after="0" w:line="276" w:lineRule="auto"/>
        <w:rPr>
          <w:sz w:val="20"/>
          <w:szCs w:val="20"/>
          <w:color w:val="auto"/>
        </w:rPr>
      </w:pPr>
      <w:r>
        <w:rPr>
          <w:rFonts w:ascii="Arial" w:cs="Arial" w:eastAsia="Arial" w:hAnsi="Arial"/>
          <w:sz w:val="18"/>
          <w:szCs w:val="18"/>
          <w:color w:val="auto"/>
        </w:rPr>
        <w:t>In addition, disruptions caused by the COVID-19 pandemic may increase the likelihood that we encounter such difficulties or delays in initiating, enrolling, conducting or completing our planned and ongoing clinical trials</w:t>
      </w:r>
    </w:p>
    <w:p>
      <w:pPr>
        <w:spacing w:after="0" w:line="145"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Patient enrollment, a significant factor in the timing of clinical trials, is affected by many factors including the severity and difficulty of diagnosing the disease under investigation, size of the patient population and process for identifying subjects, eligibility and exclusion criteria for the trial in question, design of the trial protocol, availability and efficacy of approved therapies or other clinical trials for the disease or condition under investigation, perceived risks and benefits of the product candidate under trial or testing, availability of genetic testing for potential patients, efforts to facilitate timely enrollment in clinical trials, patient referral practices of physicians, ability to obtain and maintain subject consent, the risk that enrolled subjects will drop out before completion of the trial, the ability to monitor patients adequately during and after treatment, and the proximity and availability of clinical trial sites for prospective patients. Furthermore, we rely on CROs and clinical trial sites to ensure the proper and timely conduct of our clinical trials, and while we have agreements governing their committed activities, we have limited influence over their actual performance.</w:t>
      </w:r>
    </w:p>
    <w:p>
      <w:pPr>
        <w:spacing w:after="0" w:line="176"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Any inability to successfully initiate or complete clinical trials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seriously harm our business.</w:t>
      </w:r>
    </w:p>
    <w:p>
      <w:pPr>
        <w:spacing w:after="0" w:line="172"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color w:val="auto"/>
        </w:rPr>
        <w:t>We could also encounter delays if a clinical trial is suspended or terminated by us, by the data safety monitoring board for such trial or by the FDA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179"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Delays in the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5" w:right="4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80"/>
        <w:spacing w:after="0" w:line="260" w:lineRule="auto"/>
        <w:rPr>
          <w:sz w:val="20"/>
          <w:szCs w:val="20"/>
          <w:color w:val="auto"/>
        </w:rPr>
      </w:pPr>
      <w:r>
        <w:rPr>
          <w:rFonts w:ascii="Arial" w:cs="Arial" w:eastAsia="Arial" w:hAnsi="Arial"/>
          <w:sz w:val="18"/>
          <w:szCs w:val="18"/>
          <w:b w:val="1"/>
          <w:bCs w:val="1"/>
          <w:i w:val="1"/>
          <w:iCs w:val="1"/>
          <w:color w:val="auto"/>
        </w:rPr>
        <w:t>The limited number of patients who have the diseases for which our product candidates are being studied may make it more difficult for us to enroll or complete clinical trials or may result in findings in our clinical trials that do not reach levels of statistical significance sufficient for marketing approval.</w:t>
      </w:r>
    </w:p>
    <w:p>
      <w:pPr>
        <w:spacing w:after="0" w:line="43"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Most of the conditions for which we plan to evaluate our current product candidates in clinical trials are rare genetic diseases. Accordingly, there are limited patient pools from which to draw for clinical trials. In addition to the rarity of these diseases, the eligibility criteria of our clinical trials will further limit the pool of available study participants as we will require that patients have specific characteristics that we can measure to assure their disease is either severe enough or not too advanced to include them in a trial. We or our collaborators may not be able to initiate or continue clinical trials on a timely basis or at all for any of our product candidates if we or our collaborators are unable to locate and enroll a sufficient number of eligible patients to participate in the trials as required by applicable regulations or as needed to provide appropriate statistical power for a given trial. Similarly, because most of the conditions we intend to treat are rare in nature, we plan to design and conduct clinical trials utilizing a small number of patients in order to evaluate the safety and therapeutic activity of our product candidates. Conducting trials in smaller subject populations increases the risk that any safety or efficacy issues observed in only a few patients could prevent such trials from reaching statistical significance or otherwise meeting their specified endpoints, which could require us to conduct additional clinical trials, or delay or prevent our product candidates from receiving regulatory approval, which would seriously harm our business.</w:t>
      </w:r>
    </w:p>
    <w:p>
      <w:pPr>
        <w:spacing w:after="0" w:line="291"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b w:val="1"/>
          <w:bCs w:val="1"/>
          <w:i w:val="1"/>
          <w:iCs w:val="1"/>
          <w:color w:val="auto"/>
        </w:rPr>
        <w:t>Research and development of biopharmaceutical products is inherently risky. We cannot give any assurance that any of our product candidates will receive regulatory approval, which is necessary before they can be commercialized or if they will ever be successfully commercialized.</w:t>
      </w:r>
    </w:p>
    <w:p>
      <w:pPr>
        <w:spacing w:after="0" w:line="43" w:lineRule="exact"/>
        <w:rPr>
          <w:sz w:val="20"/>
          <w:szCs w:val="20"/>
          <w:color w:val="auto"/>
        </w:rPr>
      </w:pPr>
    </w:p>
    <w:p>
      <w:pPr>
        <w:jc w:val="both"/>
        <w:ind w:left="120" w:right="160" w:firstLine="551"/>
        <w:spacing w:after="0" w:line="255" w:lineRule="auto"/>
        <w:rPr>
          <w:sz w:val="20"/>
          <w:szCs w:val="20"/>
          <w:color w:val="auto"/>
        </w:rPr>
      </w:pPr>
      <w:r>
        <w:rPr>
          <w:rFonts w:ascii="Arial" w:cs="Arial" w:eastAsia="Arial" w:hAnsi="Arial"/>
          <w:sz w:val="18"/>
          <w:szCs w:val="18"/>
          <w:color w:val="auto"/>
        </w:rPr>
        <w:t>We are at an early stage of development of our product candidates. Our future success is dependent on our ability to successfully develop, obtain regulatory approval for, and then successfully commercialize our product candidates, and we may fail to do so for many reasons, including the following:</w:t>
      </w:r>
    </w:p>
    <w:p>
      <w:pPr>
        <w:spacing w:after="0" w:line="69" w:lineRule="exact"/>
        <w:rPr>
          <w:sz w:val="20"/>
          <w:szCs w:val="20"/>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product candidates may not successfully complete preclinical studies or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our clinical development plans due to the COVID-19 pandemic;</w:t>
      </w:r>
    </w:p>
    <w:p>
      <w:pPr>
        <w:spacing w:after="0" w:line="117"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does not meet applicable regulatory criteria;</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competitors may develop therapeutics that render our product candidates obsolete or less attractive;</w:t>
      </w:r>
    </w:p>
    <w:p>
      <w:pPr>
        <w:spacing w:after="0" w:line="117" w:lineRule="exact"/>
        <w:rPr>
          <w:rFonts w:ascii="Arial" w:cs="Arial" w:eastAsia="Arial" w:hAnsi="Arial"/>
          <w:sz w:val="18"/>
          <w:szCs w:val="18"/>
          <w:color w:val="auto"/>
        </w:rPr>
      </w:pPr>
    </w:p>
    <w:p>
      <w:pPr>
        <w:ind w:left="880" w:right="40" w:hanging="224"/>
        <w:spacing w:after="0" w:line="276"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competitors may develop platform technologies that render our Therapeutic Vector Evolution platform technology obsolete or less attractive;</w:t>
      </w:r>
    </w:p>
    <w:p>
      <w:pPr>
        <w:spacing w:after="0" w:line="50" w:lineRule="exact"/>
        <w:rPr>
          <w:rFonts w:ascii="Arial" w:cs="Arial" w:eastAsia="Arial" w:hAnsi="Arial"/>
          <w:sz w:val="18"/>
          <w:szCs w:val="18"/>
          <w:color w:val="auto"/>
        </w:rPr>
      </w:pPr>
    </w:p>
    <w:p>
      <w:pPr>
        <w:ind w:left="880" w:right="40" w:hanging="224"/>
        <w:spacing w:after="0" w:line="255"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product candidates and Therapeutic Vector Evolution platform technology that we develop may not be sufficiently covered by intellectual property for which we hold exclusive rights or may be covered by third-party patents or other intellectual property or exclusive rights;</w:t>
      </w:r>
    </w:p>
    <w:p>
      <w:pPr>
        <w:spacing w:after="0" w:line="69" w:lineRule="exact"/>
        <w:rPr>
          <w:rFonts w:ascii="Arial" w:cs="Arial" w:eastAsia="Arial" w:hAnsi="Arial"/>
          <w:sz w:val="18"/>
          <w:szCs w:val="18"/>
          <w:color w:val="auto"/>
        </w:rPr>
      </w:pPr>
    </w:p>
    <w:p>
      <w:pPr>
        <w:ind w:left="880" w:right="660" w:hanging="224"/>
        <w:spacing w:after="0" w:line="276"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market for a product candidate may change so that the continued development of that product candidate is no longer reasonable or commercially attractive;</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117" w:lineRule="exact"/>
        <w:rPr>
          <w:rFonts w:ascii="Arial" w:cs="Arial" w:eastAsia="Arial" w:hAnsi="Arial"/>
          <w:sz w:val="18"/>
          <w:szCs w:val="18"/>
          <w:color w:val="auto"/>
        </w:rPr>
      </w:pPr>
    </w:p>
    <w:p>
      <w:pPr>
        <w:ind w:left="880" w:right="920" w:hanging="224"/>
        <w:spacing w:after="0" w:line="276"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 product candidate obtains regulatory approval, we may be unable to establish sales and marketing capabilities, or successfully market such approved product candidate; and</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5" w:right="4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 product candidate may not be accepted as safe and effective by patients, the medical community or third-party payors.</w:t>
      </w:r>
    </w:p>
    <w:p>
      <w:pPr>
        <w:spacing w:after="0" w:line="212" w:lineRule="exact"/>
        <w:rPr>
          <w:sz w:val="20"/>
          <w:szCs w:val="20"/>
          <w:color w:val="auto"/>
        </w:rPr>
      </w:pPr>
    </w:p>
    <w:p>
      <w:pPr>
        <w:ind w:left="120" w:right="100" w:firstLine="551"/>
        <w:spacing w:after="0" w:line="245" w:lineRule="auto"/>
        <w:rPr>
          <w:sz w:val="20"/>
          <w:szCs w:val="20"/>
          <w:color w:val="auto"/>
        </w:rPr>
      </w:pPr>
      <w:r>
        <w:rPr>
          <w:rFonts w:ascii="Arial" w:cs="Arial" w:eastAsia="Arial" w:hAnsi="Arial"/>
          <w:sz w:val="18"/>
          <w:szCs w:val="18"/>
          <w:color w:val="auto"/>
        </w:rPr>
        <w:t>If any of these events occur, we or our collaborators may be forced to abandon our development efforts for a product candidate or candidates, which would seriously harm our business. Failure of a product candidate may occur at any stage of preclinical or clinical development, and, because our product candidates and our Therapeutic Vector Evolution platform technology are in an early stage of development, there is a relatively higher risk of failure and we may never succeed in developing marketable products or generating product revenue.</w:t>
      </w:r>
    </w:p>
    <w:p>
      <w:pPr>
        <w:spacing w:after="0" w:line="172"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We may not be successful in our efforts to further develop our Therapeutic Vector Evolution platform technology and current product candidates. We are not permitted to market or promote any of our product candidates before we receive regulatory approval from the FDA or comparable foreign regulatory authorities, and we may never receive such regulatory approval for any of our product candidates. Each of our product candidates is in the early stages of development and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 Any clinical trials that we may conduct may not demonstrate the efficacy and safety necessary to obtain regulatory approval to market our product candidates. If the results of our ongoing or future clinical trials are inconclusive with respect to the efficacy of our product candidates or if we do not meet the clinical endpoints with statistical significance or if there are safety concerns or adverse events associated with our product candidates, we may be prevented or delayed in obtaining marketing approval for our product candidates.</w:t>
      </w:r>
    </w:p>
    <w:p>
      <w:pPr>
        <w:spacing w:after="0" w:line="180"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If any of our product candidates successfully completes clinical trials, we generally plan to seek regulatory approval to market our product candidates in the United States, the European Union, and in additional foreign countries where we believe there is a viable commercial opportunity. We have never commenced, compiled or submitted an application seeking regulatory approval to market any product candidate. We may never receive regulatory approval to market any product candidates even if such product candidates successfully complete clinical trials, which would seriously harm our business. To obtain regulatory approval in countries outside the United States, we must comply with numerous and varying regulatory requirements of such other countries regarding safety, efficacy, purity, potency, chemistry, manufacturing and controls, clinical trials, commercial sales, pricing and distribution of our product candidates. We may also rely on our collaborators or collaboration partners to conduct the required activities to support an application for regulatory approval, and to seek approval, for one or more of our product candidates. We cannot be sure that our collaborators or collaboration partners will conduct these activities successfully or do so within the timeframe we desire. Even if we (or our collaborators or collaboration partners) are successful in obtaining approval in one jurisdiction, we cannot ensure that we will obtain approval in any other jurisdictions. Failure to obtain approval for our product candidates in multiple jurisdictions, will seriously harm our business.</w:t>
      </w:r>
    </w:p>
    <w:p>
      <w:pPr>
        <w:spacing w:after="0" w:line="183"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Even if we receive regulatory approval to market any of our product candidates, we cannot assure you that any such product candidate will be successfully commercialized, widely accepted in the marketplace or more effective than other commercially available alternatives. Any approval we may obtain could be for indications or patient populations that are not as broad as intended or desired or may require labeling that includes significant use or distribution restrictions or safety warnings. We may also be required to perform additional or unanticipated clinical trials to obtain approval or be subject to additional post-marketing testing requirements to maintain approval. In addition, regulatory authorities may withdraw their approval of a product or impose restrictions on its distribution, such as in the form of a REMS. The failure to obtain timely regulatory approval of product candidates, any product marketing limitations or a product withdrawal would seriously harm our business.</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60"/>
          </w:cols>
          <w:pgMar w:left="320" w:top="455" w:right="51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60" w:firstLine="551"/>
        <w:spacing w:after="0" w:line="248" w:lineRule="auto"/>
        <w:rPr>
          <w:sz w:val="20"/>
          <w:szCs w:val="20"/>
          <w:color w:val="auto"/>
        </w:rPr>
      </w:pPr>
      <w:r>
        <w:rPr>
          <w:rFonts w:ascii="Arial" w:cs="Arial" w:eastAsia="Arial" w:hAnsi="Arial"/>
          <w:sz w:val="18"/>
          <w:szCs w:val="18"/>
          <w:color w:val="auto"/>
        </w:rPr>
        <w:t>Investment in biopharmaceutical product development involves significant risk that any product candidate will fail to demonstrate adequate efficacy or an acceptable safety profile, gain regulatory approval, and become commercially viable. We cannot provide any assurance that we will be able to successfully advance any of our product candidates through the development process or, if approved, successfully commercialize any of our product candidates.</w:t>
      </w:r>
    </w:p>
    <w:p>
      <w:pPr>
        <w:spacing w:after="0" w:line="278" w:lineRule="exact"/>
        <w:rPr>
          <w:sz w:val="20"/>
          <w:szCs w:val="20"/>
          <w:color w:val="auto"/>
        </w:rPr>
      </w:pPr>
    </w:p>
    <w:p>
      <w:pPr>
        <w:jc w:val="both"/>
        <w:ind w:left="120" w:right="340"/>
        <w:spacing w:after="0" w:line="260"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seriously harm our business.</w:t>
      </w:r>
    </w:p>
    <w:p>
      <w:pPr>
        <w:spacing w:after="0" w:line="4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The ability of the FDA to review and/or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176" w:lineRule="exact"/>
        <w:rPr>
          <w:sz w:val="20"/>
          <w:szCs w:val="20"/>
          <w:color w:val="auto"/>
        </w:rPr>
      </w:pPr>
    </w:p>
    <w:p>
      <w:pPr>
        <w:ind w:left="120" w:right="80" w:firstLine="551"/>
        <w:spacing w:after="0" w:line="239" w:lineRule="auto"/>
        <w:rPr>
          <w:sz w:val="20"/>
          <w:szCs w:val="20"/>
          <w:color w:val="auto"/>
        </w:rPr>
      </w:pPr>
      <w:r>
        <w:rPr>
          <w:rFonts w:ascii="Arial" w:cs="Arial" w:eastAsia="Arial" w:hAnsi="Arial"/>
          <w:sz w:val="18"/>
          <w:szCs w:val="18"/>
          <w:color w:val="auto"/>
        </w:rPr>
        <w:t>Separately, in response to the COVID-19 pandemic, on March 10, 2020, the FDA announced its intention to postpone most foreign inspections of manufacturing facilities, and subsequently,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seriously harm our business.</w:t>
      </w:r>
    </w:p>
    <w:p>
      <w:pPr>
        <w:spacing w:after="0" w:line="288" w:lineRule="exact"/>
        <w:rPr>
          <w:sz w:val="20"/>
          <w:szCs w:val="20"/>
          <w:color w:val="auto"/>
        </w:rPr>
      </w:pPr>
    </w:p>
    <w:p>
      <w:pPr>
        <w:ind w:left="120"/>
        <w:spacing w:after="0" w:line="285" w:lineRule="auto"/>
        <w:rPr>
          <w:sz w:val="20"/>
          <w:szCs w:val="20"/>
          <w:color w:val="auto"/>
        </w:rPr>
      </w:pPr>
      <w:r>
        <w:rPr>
          <w:rFonts w:ascii="Arial" w:cs="Arial" w:eastAsia="Arial" w:hAnsi="Arial"/>
          <w:sz w:val="18"/>
          <w:szCs w:val="18"/>
          <w:b w:val="1"/>
          <w:bCs w:val="1"/>
          <w:i w:val="1"/>
          <w:iCs w:val="1"/>
          <w:color w:val="auto"/>
        </w:rPr>
        <w:t>Our clinical trials may fail to demonstrate substantial evidence of the safety and efficacy of our product candidates, which would prevent, delay or limit the scope of regulatory approval and commercialization.</w:t>
      </w:r>
    </w:p>
    <w:p>
      <w:pPr>
        <w:spacing w:after="0" w:line="21" w:lineRule="exact"/>
        <w:rPr>
          <w:sz w:val="20"/>
          <w:szCs w:val="20"/>
          <w:color w:val="auto"/>
        </w:rPr>
      </w:pPr>
    </w:p>
    <w:p>
      <w:pPr>
        <w:ind w:left="120" w:right="220" w:firstLine="551"/>
        <w:spacing w:after="0" w:line="245" w:lineRule="auto"/>
        <w:rPr>
          <w:sz w:val="20"/>
          <w:szCs w:val="20"/>
          <w:color w:val="auto"/>
        </w:rPr>
      </w:pPr>
      <w:r>
        <w:rPr>
          <w:rFonts w:ascii="Arial" w:cs="Arial" w:eastAsia="Arial" w:hAnsi="Arial"/>
          <w:sz w:val="18"/>
          <w:szCs w:val="18"/>
          <w:color w:val="auto"/>
        </w:rPr>
        <w:t>Before obtaining regulatory approvals for the commercial sale of any of our product candidates, we or our collaborators must demonstrate through lengthy, complex and expensive preclinical studies and clinical trials that our product candidates are both safe and effective for use in each target indication. Further, because our product candidates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w:t>
      </w:r>
    </w:p>
    <w:p>
      <w:pPr>
        <w:spacing w:after="0" w:line="172" w:lineRule="exact"/>
        <w:rPr>
          <w:sz w:val="20"/>
          <w:szCs w:val="20"/>
          <w:color w:val="auto"/>
        </w:rPr>
      </w:pPr>
    </w:p>
    <w:p>
      <w:pPr>
        <w:ind w:left="120" w:right="20" w:firstLine="551"/>
        <w:spacing w:after="0" w:line="276" w:lineRule="auto"/>
        <w:rPr>
          <w:sz w:val="20"/>
          <w:szCs w:val="20"/>
          <w:color w:val="auto"/>
        </w:rPr>
      </w:pPr>
      <w:r>
        <w:rPr>
          <w:rFonts w:ascii="Arial" w:cs="Arial" w:eastAsia="Arial" w:hAnsi="Arial"/>
          <w:sz w:val="18"/>
          <w:szCs w:val="18"/>
          <w:color w:val="auto"/>
        </w:rPr>
        <w:t>Clinical testing is expensive and can take many years to complete, and its outcome is inherently uncertain. Failure can occur at any time during the clinical trial process. The results of preclinical</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5" w:right="4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studies of our product candidates may not be predictive of the results of early-stage or later-stage clinical trials, and results of early clinical trials of our product candidates may not be predictive of the results of later-stage clinical trials. The results of clinical trials in one set of patients or disease indications may not be predictive of those obtained in another.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180"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We have limited experience in designing clinical trials and may be unable to design and execute a clinical trial to support marketing approval. We cannot be certain that our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seriously harm our business.</w:t>
      </w:r>
    </w:p>
    <w:p>
      <w:pPr>
        <w:spacing w:after="0" w:line="170"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In addition, even if such clinical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w:t>
      </w:r>
    </w:p>
    <w:p>
      <w:pPr>
        <w:spacing w:after="0" w:line="282" w:lineRule="exact"/>
        <w:rPr>
          <w:sz w:val="20"/>
          <w:szCs w:val="20"/>
          <w:color w:val="auto"/>
        </w:rPr>
      </w:pPr>
    </w:p>
    <w:p>
      <w:pPr>
        <w:jc w:val="both"/>
        <w:ind w:left="120"/>
        <w:spacing w:after="0" w:line="314" w:lineRule="auto"/>
        <w:rPr>
          <w:sz w:val="20"/>
          <w:szCs w:val="20"/>
          <w:color w:val="auto"/>
        </w:rPr>
      </w:pPr>
      <w:r>
        <w:rPr>
          <w:rFonts w:ascii="Arial" w:cs="Arial" w:eastAsia="Arial" w:hAnsi="Arial"/>
          <w:sz w:val="17"/>
          <w:szCs w:val="17"/>
          <w:b w:val="1"/>
          <w:bCs w:val="1"/>
          <w:i w:val="1"/>
          <w:iCs w:val="1"/>
          <w:color w:val="auto"/>
        </w:rPr>
        <w:t>Interim “top-line” and preliminary data from studies or trials that we announce or publish from time to time may change as more data become available and are subject to audit and verification procedures that could result in material changes in the final data.</w:t>
      </w:r>
    </w:p>
    <w:p>
      <w:pPr>
        <w:spacing w:after="0" w:line="2"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From time to time, we may publish interim “top-line” or preliminary data from preclinical studies or clinical trials. Interim data are subject to the risk that one or more of the outcomes may materially change as more data become available.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Preliminary</w:t>
      </w:r>
    </w:p>
    <w:p>
      <w:pPr>
        <w:spacing w:after="0" w:line="4"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Additionally,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seriously harm our business.</w:t>
      </w:r>
    </w:p>
    <w:p>
      <w:pPr>
        <w:spacing w:after="0" w:line="176"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5" w:right="47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43" w:lineRule="auto"/>
        <w:rPr>
          <w:sz w:val="20"/>
          <w:szCs w:val="20"/>
          <w:color w:val="auto"/>
        </w:rPr>
      </w:pPr>
      <w:r>
        <w:rPr>
          <w:rFonts w:ascii="Arial" w:cs="Arial" w:eastAsia="Arial" w:hAnsi="Arial"/>
          <w:sz w:val="18"/>
          <w:szCs w:val="18"/>
          <w:color w:val="auto"/>
        </w:rPr>
        <w:t>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significant by you or others with respect to future decisions, conclusions, views, activities or otherwise regarding a particular product candidate or our business. If the top-line data that we report differ from final results, or if others, including regulatory authorities, disagree with the conclusions reached, our ability to obtain approval for, and commercialize, product candidates may be harmed, which could seriously harm our business.</w:t>
      </w:r>
    </w:p>
    <w:p>
      <w:pPr>
        <w:spacing w:after="0" w:line="282" w:lineRule="exact"/>
        <w:rPr>
          <w:sz w:val="20"/>
          <w:szCs w:val="20"/>
          <w:color w:val="auto"/>
        </w:rPr>
      </w:pPr>
    </w:p>
    <w:p>
      <w:pPr>
        <w:ind w:left="120" w:right="200"/>
        <w:spacing w:after="0" w:line="260" w:lineRule="auto"/>
        <w:rPr>
          <w:sz w:val="20"/>
          <w:szCs w:val="20"/>
          <w:color w:val="auto"/>
        </w:rPr>
      </w:pPr>
      <w:r>
        <w:rPr>
          <w:rFonts w:ascii="Arial" w:cs="Arial" w:eastAsia="Arial" w:hAnsi="Arial"/>
          <w:sz w:val="18"/>
          <w:szCs w:val="18"/>
          <w:b w:val="1"/>
          <w:bCs w:val="1"/>
          <w:i w:val="1"/>
          <w:iCs w:val="1"/>
          <w:color w:val="auto"/>
        </w:rPr>
        <w:t>We may not be successful in our efforts to continue to create a pipeline of product candidates or to develop commercially successful products. If we fail to successfully identify and develop additional product candidates, our commercial opportunity may be limited.</w:t>
      </w:r>
    </w:p>
    <w:p>
      <w:pPr>
        <w:spacing w:after="0" w:line="43"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One of our strategies is to identify and pursue preclinical and clinical development and commercialization of additional product candidates through our Therapeutic Vector Evolution platform technology. Our Therapeutic Vector Evolution platform technology may not produce a pipeline of viable product candidates, or our competitors may develop platform technologies that render our Therapeutic Vector Evolution platform technology obsolete or less attractive. Our research methodology may be unsuccessful in identifying potential product candidates or our potential product candidates may be shown to have harmful side effects or may have other characteristics that may make them unmarketable or unlikely to receive marketing approval. Identifying, developing and obtaining regulatory approval and commercializing additional product candidates will require substantial additional funding beyond the net proceeds of this offering and is prone to the risks of failure inherent in drug development. If we are unable to successfully identify, acquire, develop and commercialize additional product candidates, our commercial opportunity may be limited.</w:t>
      </w:r>
    </w:p>
    <w:p>
      <w:pPr>
        <w:spacing w:after="0" w:line="284" w:lineRule="exact"/>
        <w:rPr>
          <w:sz w:val="20"/>
          <w:szCs w:val="20"/>
          <w:color w:val="auto"/>
        </w:rPr>
      </w:pPr>
    </w:p>
    <w:p>
      <w:pPr>
        <w:ind w:left="120" w:right="440"/>
        <w:spacing w:after="0" w:line="285"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21" w:lineRule="exact"/>
        <w:rPr>
          <w:sz w:val="20"/>
          <w:szCs w:val="20"/>
          <w:color w:val="auto"/>
        </w:rPr>
      </w:pPr>
    </w:p>
    <w:p>
      <w:pPr>
        <w:ind w:left="120" w:right="160" w:firstLine="551"/>
        <w:spacing w:after="0" w:line="245" w:lineRule="auto"/>
        <w:rPr>
          <w:sz w:val="20"/>
          <w:szCs w:val="20"/>
          <w:color w:val="auto"/>
        </w:rPr>
      </w:pPr>
      <w:r>
        <w:rPr>
          <w:rFonts w:ascii="Arial" w:cs="Arial" w:eastAsia="Arial" w:hAnsi="Arial"/>
          <w:sz w:val="18"/>
          <w:szCs w:val="18"/>
          <w:color w:val="auto"/>
        </w:rPr>
        <w:t>The development and commercialization of new drug products is highly competitive. We may face competition with respect to any product candidates that we seek to develop or commercialize in the future from major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7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There are a number of large pharmaceutical and biotechnology companies that are currently pursuing the development of products for the treatment of the indications for which we have product candidates, including XLRP, choroideremia, Fabry disease, wet AMD, and cystic fibrosis lung disease. Certain of our competitors have commercially approved products for the treatment of the diseases that we are pursuing or may pursue in the future, including Biogen, Roche, Sanofi, Takeda and Vertex. These drugs are well established therapies and are widely accepted by physicians, patients and third-party payors, which may make it difficult to convince these parties to switch to our product candidates. Companies that we are aware are developing therapeutics in the ophthalmology, cardiology and pulmonology disease areas include large companies with significant financial resources, such as Allergan, Biogen, Novartis, Pfizer, Regeneron, Roche, Sanofi, Takeda and Vertex, and biopharmaceutical companies such as Abeona, Adverum, AGTC, Amicus, Avrobio, Freeline, Kodiak Sciences, Krystal, MeiraGTx, RegenxBio, Sangamo, and Spirovant. In addition to competition from other companies targeting ophthalmology, cardiology and pulmonology, any products we may develop may also face competition from other types of therapies, such as gene-editing therapies and drug delivery devices.</w:t>
      </w:r>
    </w:p>
    <w:p>
      <w:pPr>
        <w:spacing w:after="0" w:line="176" w:lineRule="exact"/>
        <w:rPr>
          <w:sz w:val="20"/>
          <w:szCs w:val="20"/>
          <w:color w:val="auto"/>
        </w:rPr>
      </w:pPr>
    </w:p>
    <w:p>
      <w:pPr>
        <w:ind w:left="120" w:right="720" w:firstLine="551"/>
        <w:spacing w:after="0" w:line="276" w:lineRule="auto"/>
        <w:rPr>
          <w:sz w:val="20"/>
          <w:szCs w:val="20"/>
          <w:color w:val="auto"/>
        </w:rPr>
      </w:pPr>
      <w:r>
        <w:rPr>
          <w:rFonts w:ascii="Arial" w:cs="Arial" w:eastAsia="Arial" w:hAnsi="Arial"/>
          <w:sz w:val="18"/>
          <w:szCs w:val="18"/>
          <w:color w:val="auto"/>
        </w:rPr>
        <w:t>Many of our current or potential competitors, either alone or with their strategic partners, have significantly greater financial resources and expertise in research and development, manufacturing,</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5" w:right="4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ophthalmology, cardiology and pulmonology indications, which could give such products significant regulatory and market timing advantages over any of our product candidates. Our competitors also may obtain FDA, EMA or other regulatory approval for their products more rapidly than we may obtain approval for ours. Additionally, products or technologies developed by our competitors may render our potential product candidates uneconomical or obsolete, and we may not be successful in marketing any product candidates we may develop against competitors.</w:t>
      </w:r>
    </w:p>
    <w:p>
      <w:pPr>
        <w:spacing w:after="0" w:line="288"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43"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color w:val="auto"/>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p>
    <w:p>
      <w:pPr>
        <w:spacing w:after="0" w:line="172" w:lineRule="exact"/>
        <w:rPr>
          <w:sz w:val="20"/>
          <w:szCs w:val="20"/>
          <w:color w:val="auto"/>
        </w:rPr>
      </w:pPr>
    </w:p>
    <w:p>
      <w:pPr>
        <w:ind w:left="120" w:right="80" w:firstLine="551"/>
        <w:spacing w:after="0" w:line="243" w:lineRule="auto"/>
        <w:rPr>
          <w:sz w:val="20"/>
          <w:szCs w:val="20"/>
          <w:color w:val="auto"/>
        </w:rPr>
      </w:pPr>
      <w:r>
        <w:rPr>
          <w:rFonts w:ascii="Arial" w:cs="Arial" w:eastAsia="Arial" w:hAnsi="Arial"/>
          <w:sz w:val="18"/>
          <w:szCs w:val="18"/>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may inhibit our efforts to commercialize any approved product on our own include:</w:t>
      </w:r>
    </w:p>
    <w:p>
      <w:pPr>
        <w:spacing w:after="0" w:line="117" w:lineRule="exact"/>
        <w:rPr>
          <w:sz w:val="20"/>
          <w:szCs w:val="20"/>
          <w:color w:val="auto"/>
        </w:rPr>
      </w:pPr>
    </w:p>
    <w:p>
      <w:pPr>
        <w:ind w:left="880" w:right="120" w:hanging="224"/>
        <w:spacing w:after="0" w:line="276"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marketing, reimbursement, compliance, customer service, medical affairs and other support personnel;</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inability to recruit and build a commercial infrastructure due to the impacts of COVID-19;</w:t>
      </w:r>
    </w:p>
    <w:p>
      <w:pPr>
        <w:spacing w:after="0" w:line="117" w:lineRule="exact"/>
        <w:rPr>
          <w:rFonts w:ascii="Arial" w:cs="Arial" w:eastAsia="Arial" w:hAnsi="Arial"/>
          <w:sz w:val="18"/>
          <w:szCs w:val="18"/>
          <w:color w:val="auto"/>
        </w:rPr>
      </w:pPr>
    </w:p>
    <w:p>
      <w:pPr>
        <w:ind w:left="880" w:right="440" w:hanging="224"/>
        <w:spacing w:after="0" w:line="276"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future approved products;</w:t>
      </w:r>
    </w:p>
    <w:p>
      <w:pPr>
        <w:spacing w:after="0" w:line="50" w:lineRule="exact"/>
        <w:rPr>
          <w:rFonts w:ascii="Arial" w:cs="Arial" w:eastAsia="Arial" w:hAnsi="Arial"/>
          <w:sz w:val="18"/>
          <w:szCs w:val="18"/>
          <w:color w:val="auto"/>
        </w:rPr>
      </w:pPr>
    </w:p>
    <w:p>
      <w:pPr>
        <w:ind w:left="880" w:right="820" w:hanging="224"/>
        <w:spacing w:after="0" w:line="276"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of reimbursement professionals to negotiate arrangements for formulary access, reimbursement, and other acceptance by payors;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price our products at a sufficient price point to ensure an adequate and attractive level of profitability;</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55" w:right="4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117"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commercialization organization.</w:t>
      </w:r>
    </w:p>
    <w:p>
      <w:pPr>
        <w:spacing w:after="0" w:line="212"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and our business would be seriously harmed.</w:t>
      </w:r>
    </w:p>
    <w:p>
      <w:pPr>
        <w:spacing w:after="0" w:line="287" w:lineRule="exact"/>
        <w:rPr>
          <w:sz w:val="20"/>
          <w:szCs w:val="20"/>
          <w:color w:val="auto"/>
        </w:rPr>
      </w:pPr>
    </w:p>
    <w:p>
      <w:pPr>
        <w:ind w:left="120"/>
        <w:spacing w:after="0" w:line="314" w:lineRule="auto"/>
        <w:rPr>
          <w:sz w:val="20"/>
          <w:szCs w:val="20"/>
          <w:color w:val="auto"/>
        </w:rPr>
      </w:pPr>
      <w:r>
        <w:rPr>
          <w:rFonts w:ascii="Arial" w:cs="Arial" w:eastAsia="Arial" w:hAnsi="Arial"/>
          <w:sz w:val="17"/>
          <w:szCs w:val="17"/>
          <w:b w:val="1"/>
          <w:bCs w:val="1"/>
          <w:i w:val="1"/>
          <w:iCs w:val="1"/>
          <w:color w:val="auto"/>
        </w:rPr>
        <w:t>Even if any product candidates we develop receive marketing approval, they may fail to achieve the degree of market acceptance by physicians, patients, healthcare payors and others in the medical community necessary for commercial success.</w:t>
      </w:r>
    </w:p>
    <w:p>
      <w:pPr>
        <w:spacing w:after="0" w:line="2" w:lineRule="exact"/>
        <w:rPr>
          <w:sz w:val="20"/>
          <w:szCs w:val="20"/>
          <w:color w:val="auto"/>
        </w:rPr>
      </w:pPr>
    </w:p>
    <w:p>
      <w:pPr>
        <w:ind w:left="120" w:right="240" w:firstLine="551"/>
        <w:spacing w:after="0" w:line="245" w:lineRule="auto"/>
        <w:rPr>
          <w:sz w:val="20"/>
          <w:szCs w:val="20"/>
          <w:color w:val="auto"/>
        </w:rPr>
      </w:pPr>
      <w:r>
        <w:rPr>
          <w:rFonts w:ascii="Arial" w:cs="Arial" w:eastAsia="Arial" w:hAnsi="Arial"/>
          <w:sz w:val="18"/>
          <w:szCs w:val="18"/>
          <w:color w:val="auto"/>
        </w:rPr>
        <w:t>The commercial success of any of our product candidates will depend upon its degree of market acceptance by physicians, patients, third-party payors and others in the medical community. Even if any product candidates we may develop receive marketing approval, they may nonetheless fail to gain sufficient market acceptance by physicians, patients, healthcare payors and others in the medical community. The degree of market acceptance of any product candidates we may develop, if approved for commercial sale, will depend on a number of factors, including:</w:t>
      </w:r>
    </w:p>
    <w:p>
      <w:pPr>
        <w:spacing w:after="0" w:line="78" w:lineRule="exact"/>
        <w:rPr>
          <w:sz w:val="20"/>
          <w:szCs w:val="20"/>
          <w:color w:val="auto"/>
        </w:rPr>
      </w:pPr>
    </w:p>
    <w:p>
      <w:pPr>
        <w:ind w:left="880" w:right="500" w:hanging="224"/>
        <w:spacing w:after="0" w:line="27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efficacy and safety of such product candidates as demonstrated in pivotal clinical trials and published in peer-reviewed journals;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potential and perceived advantages compared to alternative treatments;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to offer our products for sale at competitive prices;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to offer appropriate patient access programs, such as co-pay assistance;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sufficient third-party coverage or reimbursement;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extent to which physicians recommend our products to their patients;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convenience and ease of dosing and administration compared to alternative treatments;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 by FDA, EMA or other regulatory agencies;</w:t>
      </w:r>
    </w:p>
    <w:p>
      <w:pPr>
        <w:spacing w:after="0" w:line="117" w:lineRule="exact"/>
        <w:rPr>
          <w:rFonts w:ascii="Arial" w:cs="Arial" w:eastAsia="Arial" w:hAnsi="Arial"/>
          <w:sz w:val="18"/>
          <w:szCs w:val="18"/>
          <w:color w:val="auto"/>
        </w:rPr>
      </w:pPr>
    </w:p>
    <w:p>
      <w:pPr>
        <w:ind w:left="880" w:right="280" w:hanging="224"/>
        <w:spacing w:after="0" w:line="27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EMA or other comparable foreign regulatory authorities, including any limitations, contraindications or warnings contained in a product’s approved labeling;</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how the product is distributed;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80"/>
          </w:cols>
          <w:pgMar w:left="320" w:top="455" w:right="49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40" w:firstLine="551"/>
        <w:spacing w:after="0" w:line="276" w:lineRule="auto"/>
        <w:rPr>
          <w:sz w:val="20"/>
          <w:szCs w:val="20"/>
          <w:color w:val="auto"/>
        </w:rPr>
      </w:pPr>
      <w:r>
        <w:rPr>
          <w:rFonts w:ascii="Arial" w:cs="Arial" w:eastAsia="Arial" w:hAnsi="Arial"/>
          <w:sz w:val="18"/>
          <w:szCs w:val="18"/>
          <w:color w:val="auto"/>
        </w:rPr>
        <w:t>If any product candidates we develop do not achieve an adequate level of acceptance, we may not generate significant product revenue, and we may not become profitable.</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Manufacturing</w:t>
      </w:r>
    </w:p>
    <w:p>
      <w:pPr>
        <w:spacing w:after="0" w:line="214" w:lineRule="exact"/>
        <w:rPr>
          <w:sz w:val="20"/>
          <w:szCs w:val="20"/>
          <w:color w:val="auto"/>
        </w:rPr>
      </w:pPr>
    </w:p>
    <w:p>
      <w:pPr>
        <w:jc w:val="both"/>
        <w:ind w:left="120" w:right="140"/>
        <w:spacing w:after="0" w:line="314" w:lineRule="auto"/>
        <w:rPr>
          <w:sz w:val="20"/>
          <w:szCs w:val="20"/>
          <w:color w:val="auto"/>
        </w:rPr>
      </w:pPr>
      <w:r>
        <w:rPr>
          <w:rFonts w:ascii="Arial" w:cs="Arial" w:eastAsia="Arial" w:hAnsi="Arial"/>
          <w:sz w:val="17"/>
          <w:szCs w:val="17"/>
          <w:b w:val="1"/>
          <w:bCs w:val="1"/>
          <w:i w:val="1"/>
          <w:iCs w:val="1"/>
          <w:color w:val="auto"/>
        </w:rPr>
        <w:t>Gene therapies are novel, complex and difficult to manufacture. We could experience production problems that result in delays in our development or commercialization programs, limit the supply of our products or otherwise seriously harm our business.</w:t>
      </w:r>
    </w:p>
    <w:p>
      <w:pPr>
        <w:spacing w:after="0" w:line="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currently have a development, manufacturing and testing agreement and cooperation agreement with Catalent to manufacture supplies of our product candidates in the future. Our product candidates require processing steps that are more complex than those required for most chemical and protein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employ multiple steps to control our manufacturing process to assure that the process works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which could delay or prevent the initiation of clinical trials or receipt of regulatory approvals. We may encounter problems achieving adequate quantities and quality of clinical-grade materials that meet FDA, or other comparable applicable foreign standards or specifications with consistent and acceptable production yields and costs. For example, in the first half of 2019, a manufacturing batch of our product candidate 4D-110 produced at a CMO failed to meet the specifications required for use in our planned clinical trial due to an issue identified with one of the plasmids used in the manufacturing process. As a result, we delayed the initiation of our planned first-in-human trial of 4D-110 until July 2020, so that we could produce the clinical-grade material required for the trial using our in-house manufacturing facility.</w:t>
      </w:r>
    </w:p>
    <w:p>
      <w:pPr>
        <w:spacing w:after="0" w:line="177" w:lineRule="exact"/>
        <w:rPr>
          <w:sz w:val="20"/>
          <w:szCs w:val="20"/>
          <w:color w:val="auto"/>
        </w:rPr>
      </w:pPr>
    </w:p>
    <w:p>
      <w:pPr>
        <w:ind w:left="120" w:right="160" w:firstLine="551"/>
        <w:spacing w:after="0" w:line="243" w:lineRule="auto"/>
        <w:rPr>
          <w:sz w:val="20"/>
          <w:szCs w:val="20"/>
          <w:color w:val="auto"/>
        </w:rPr>
      </w:pPr>
      <w:r>
        <w:rPr>
          <w:rFonts w:ascii="Arial" w:cs="Arial" w:eastAsia="Arial" w:hAnsi="Arial"/>
          <w:sz w:val="18"/>
          <w:szCs w:val="18"/>
          <w:color w:val="auto"/>
        </w:rPr>
        <w:t>In addition, FDA and other comparable foreign regulatory authorities may require us to submit samples of any lot of any approved product together with the protocols showing the results of applicable tests at any time. Under some circumstances, the FDA or other comparable foreign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seriously harm our business.</w:t>
      </w:r>
    </w:p>
    <w:p>
      <w:pPr>
        <w:spacing w:after="0" w:line="174" w:lineRule="exact"/>
        <w:rPr>
          <w:sz w:val="20"/>
          <w:szCs w:val="20"/>
          <w:color w:val="auto"/>
        </w:rPr>
      </w:pPr>
    </w:p>
    <w:p>
      <w:pPr>
        <w:ind w:left="120" w:right="200" w:firstLine="551"/>
        <w:spacing w:after="0" w:line="255" w:lineRule="auto"/>
        <w:rPr>
          <w:sz w:val="20"/>
          <w:szCs w:val="20"/>
          <w:color w:val="auto"/>
        </w:rPr>
      </w:pPr>
      <w:r>
        <w:rPr>
          <w:rFonts w:ascii="Arial" w:cs="Arial" w:eastAsia="Arial" w:hAnsi="Arial"/>
          <w:sz w:val="18"/>
          <w:szCs w:val="18"/>
          <w:color w:val="auto"/>
        </w:rPr>
        <w:t>We also may encounter problems hiring and retaining the experienced scientific, quality control and manufacturing personnel needed to operate our manufacturing process which could result in delays in our production or difficulties in maintaining compliance with applicable regulatory requirements.</w:t>
      </w:r>
    </w:p>
    <w:p>
      <w:pPr>
        <w:spacing w:after="0" w:line="164"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Any problems in our manufacturing process or the facilities with which we contract could make us a less attractive collaborator for potential partners, including larger pharmaceutical companies, which could limit our access to additional attractive development programs. Problems in third-party manufacturing process or facilities also could restrict our ability to meet market demand for our products. Additionally, should our agreement with Catalent or agreements with other parties with whom we have manufacturing agreements be terminated for any reason, there are a limited number of manufacturers who would be suitable replacements, and it would take a significant amount of time to transition the manufacturing to a replacement.</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5" w:right="4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85" w:lineRule="auto"/>
        <w:rPr>
          <w:sz w:val="20"/>
          <w:szCs w:val="20"/>
          <w:color w:val="auto"/>
        </w:rPr>
      </w:pPr>
      <w:r>
        <w:rPr>
          <w:rFonts w:ascii="Arial" w:cs="Arial" w:eastAsia="Arial" w:hAnsi="Arial"/>
          <w:sz w:val="18"/>
          <w:szCs w:val="18"/>
          <w:b w:val="1"/>
          <w:bCs w:val="1"/>
          <w:i w:val="1"/>
          <w:iCs w:val="1"/>
          <w:color w:val="auto"/>
        </w:rPr>
        <w:t>Delays in obtaining regulatory approval of our manufacturing process or disruptions in our manufacturing process may delay or disrupt our commercialization efforts.</w:t>
      </w:r>
    </w:p>
    <w:p>
      <w:pPr>
        <w:spacing w:after="0" w:line="21"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Before we can begin to commercially manufacture our product candidates in third-party or our own facilities, we must obtain regulatory approval from the FDA to market our product using the manufacturing process and facility we proposed in our marketing application. In addition, we must pass a pre-approval inspection of our manufacturing facility by the FDA before any of our product candidates can obtain marketing approval, if ever. In order to obtain approval of a BLA for our product candidates, we will need to ensure that all of our manufacturing processes, methods and equipment are compliant with cGMP, and perform extensive audits of vendors, contract laboratories and suppliers. If any of our vendors, contract laboratories or suppliers is found to be out of compliance with cGMP, we may experience delays or disruptions in manufacturing while we work with these third parties to remedy the violation or while we work to identify suitable replacement vendors. The cGMP requirements govern quality control of the manufacturing process and documentation policies and procedures. In complying with cGMP, we will be obligated to expend time, money and effort in production, record keeping and quality control to assure that the product meets applicable specifications and other requirements. If we fail to comply with these requirements, we would be subject to possible regulatory action and may not be permitted to sell any products that we may develop.</w:t>
      </w:r>
    </w:p>
    <w:p>
      <w:pPr>
        <w:spacing w:after="0" w:line="284" w:lineRule="exact"/>
        <w:rPr>
          <w:sz w:val="20"/>
          <w:szCs w:val="20"/>
          <w:color w:val="auto"/>
        </w:rPr>
      </w:pPr>
    </w:p>
    <w:p>
      <w:pPr>
        <w:ind w:left="120" w:right="80"/>
        <w:spacing w:after="0" w:line="314" w:lineRule="auto"/>
        <w:rPr>
          <w:sz w:val="20"/>
          <w:szCs w:val="20"/>
          <w:color w:val="auto"/>
        </w:rPr>
      </w:pPr>
      <w:r>
        <w:rPr>
          <w:rFonts w:ascii="Arial" w:cs="Arial" w:eastAsia="Arial" w:hAnsi="Arial"/>
          <w:sz w:val="17"/>
          <w:szCs w:val="17"/>
          <w:b w:val="1"/>
          <w:bCs w:val="1"/>
          <w:i w:val="1"/>
          <w:iCs w:val="1"/>
          <w:color w:val="auto"/>
        </w:rPr>
        <w:t>Delays in developing our manufacturing capabilities or failure to achieve operating efficiencies from it may require us to devote additional resources and management time to manufacturing operations and may delay our product development timelines.</w:t>
      </w:r>
    </w:p>
    <w:p>
      <w:pPr>
        <w:spacing w:after="0" w:line="2"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We have a small operational manufacturing facility that we are using to manufacture clinical trial material. In addition, we have leased approximately 17,000 square feet of space primarily for our second manufacturing facility in Emeryville, California, most of which we plan to devote to manufacturing activities for our clinical trials. We may face delays in the production of clinical supply at our manufacturing facility and cannot guarantee when our facility will be able to produce sufficient quantities of product candidates needed to support our planned clinical trials. Any delays in developing our internal manufacturing capabilities may disrupt or delay the supply of our product candidates if we have not maintained a sufficient back-up supply of such product candidates through third-party manufacturers. Moreover, changing manufacturing facilities during the clinical development process may also require that we or our collaborators conduct additional studies, make notifications to regulatory authorities, make additional filings to regulatory authorities, and obtain regulatory authority approval for the new facilities, which may be delayed or which we may never receive. We will further need to comply with the FDA’s and applicable foreign regulatory authorities’ cGMP requirements for the production of product candidates for clinical trials and, if approved, commercial supply, and will be subject to FDA and comparable foreign regulatory authority inspection. These requirements include the qualification and validation of our manufacturing equipment and processes. We may not be able to develop or acquire the internal expertise and resources necessary for compliance with these requirements.</w:t>
      </w:r>
    </w:p>
    <w:p>
      <w:pPr>
        <w:spacing w:after="0" w:line="180"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order to develop internal manufacturing expertise, we may be forced to devote greater resources and management time than anticipated, particularly in areas relating to operations, quality, regulatory, facilities and information technology. We also may encounter problems hiring and retaining the experienced scientific, quality control and manufacturing personnel needed to operate our manufacturing processes. If we experience unanticipated employee shortage or turnover in any of these areas, we may not be able to effectively manage our ongoing manufacturing operations and we may not achieve the operating efficiencies that we anticipate from developing these capabilities, which may negatively affect our product development timeline or result in difficulties in maintaining compliance with applicable regulatory requirements. Any such problems could result in the delay, prevention or impairment of clinical development and commercialization of our product candidates and would seriously harm our business.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5" w:right="47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0"/>
        <w:spacing w:after="0" w:line="285" w:lineRule="auto"/>
        <w:rPr>
          <w:sz w:val="20"/>
          <w:szCs w:val="20"/>
          <w:color w:val="auto"/>
        </w:rPr>
      </w:pPr>
      <w:r>
        <w:rPr>
          <w:rFonts w:ascii="Arial" w:cs="Arial" w:eastAsia="Arial" w:hAnsi="Arial"/>
          <w:sz w:val="18"/>
          <w:szCs w:val="18"/>
          <w:b w:val="1"/>
          <w:bCs w:val="1"/>
          <w:i w:val="1"/>
          <w:iCs w:val="1"/>
          <w:color w:val="auto"/>
        </w:rPr>
        <w:t>We currently rely and expect to continue to rely on third parties to conduct product manufacturing for certain of our product candidates, and these third parties may not perform satisfactorily.</w:t>
      </w:r>
    </w:p>
    <w:p>
      <w:pPr>
        <w:spacing w:after="0" w:line="21"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Although we are in process of expanding internal manufacturing capabilities, we currently rely, and expect to continue to rely, on third parties for the production of some of our preclinical study and planned clinical trial materials and, therefore, we can control only certain aspects of their activities. The facilities used by us and our contract manufacturers to manufacture certain of our product candidates must be reviewed by the FDA pursuant to inspections that will be conducted after we submit our BLA to the FDA. We do not control the manufacturing process of, and are completely dependent on, our contract manufacturing partners for compliance with the cGMPs for manufacture of our products. If we or our contract manufacturers cannot successfully manufacture material that conforms to our specifications and the strict regulatory requirements of the FDA or others, we will not be able to obtain and/or maintain regulatory approval for our products as manufactured at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183" w:lineRule="exact"/>
        <w:rPr>
          <w:sz w:val="20"/>
          <w:szCs w:val="20"/>
          <w:color w:val="auto"/>
        </w:rPr>
      </w:pPr>
    </w:p>
    <w:p>
      <w:pPr>
        <w:jc w:val="both"/>
        <w:ind w:left="120" w:right="240" w:firstLine="551"/>
        <w:spacing w:after="0" w:line="255" w:lineRule="auto"/>
        <w:rPr>
          <w:sz w:val="20"/>
          <w:szCs w:val="20"/>
          <w:color w:val="auto"/>
        </w:rPr>
      </w:pPr>
      <w:r>
        <w:rPr>
          <w:rFonts w:ascii="Arial" w:cs="Arial" w:eastAsia="Arial" w:hAnsi="Arial"/>
          <w:sz w:val="18"/>
          <w:szCs w:val="18"/>
          <w:color w:val="auto"/>
        </w:rPr>
        <w:t>In addition, we rely on additional third parties to manufacture plasmids used in the manufacture of our product candidates and to perform quality testing, and reliance on these third parties entails risks to which we would not be subject if we manufactured the product candidates ourselves, including:</w:t>
      </w:r>
    </w:p>
    <w:p>
      <w:pPr>
        <w:spacing w:after="0" w:line="69" w:lineRule="exact"/>
        <w:rPr>
          <w:sz w:val="20"/>
          <w:szCs w:val="20"/>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reduced control for certain aspects of manufacturing activities;</w:t>
      </w:r>
    </w:p>
    <w:p>
      <w:pPr>
        <w:spacing w:after="0" w:line="117" w:lineRule="exact"/>
        <w:rPr>
          <w:rFonts w:ascii="Arial" w:cs="Arial" w:eastAsia="Arial" w:hAnsi="Arial"/>
          <w:sz w:val="18"/>
          <w:szCs w:val="18"/>
          <w:color w:val="auto"/>
        </w:rPr>
      </w:pPr>
    </w:p>
    <w:p>
      <w:pPr>
        <w:ind w:left="880" w:right="240" w:hanging="224"/>
        <w:spacing w:after="0" w:line="276"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termination or nonrenewal of manufacturing and service agreements with third parties in a manner or at a time that is costly or damaging to us; and</w:t>
      </w:r>
    </w:p>
    <w:p>
      <w:pPr>
        <w:spacing w:after="0" w:line="50" w:lineRule="exact"/>
        <w:rPr>
          <w:rFonts w:ascii="Arial" w:cs="Arial" w:eastAsia="Arial" w:hAnsi="Arial"/>
          <w:sz w:val="18"/>
          <w:szCs w:val="18"/>
          <w:color w:val="auto"/>
        </w:rPr>
      </w:pPr>
    </w:p>
    <w:p>
      <w:pPr>
        <w:ind w:left="880" w:right="620" w:hanging="224"/>
        <w:spacing w:after="0" w:line="276"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and service providers caused by conditions unrelated to our business or operations, including the bankruptcy of the manufacturer or service provider.</w:t>
      </w:r>
    </w:p>
    <w:p>
      <w:pPr>
        <w:spacing w:after="0" w:line="145" w:lineRule="exact"/>
        <w:rPr>
          <w:sz w:val="20"/>
          <w:szCs w:val="20"/>
          <w:color w:val="auto"/>
        </w:rPr>
      </w:pPr>
    </w:p>
    <w:p>
      <w:pPr>
        <w:ind w:left="120" w:right="180" w:firstLine="551"/>
        <w:spacing w:after="0" w:line="255" w:lineRule="auto"/>
        <w:rPr>
          <w:sz w:val="20"/>
          <w:szCs w:val="20"/>
          <w:color w:val="auto"/>
        </w:rPr>
      </w:pPr>
      <w:r>
        <w:rPr>
          <w:rFonts w:ascii="Arial" w:cs="Arial" w:eastAsia="Arial" w:hAnsi="Arial"/>
          <w:sz w:val="18"/>
          <w:szCs w:val="18"/>
          <w:color w:val="auto"/>
        </w:rPr>
        <w:t>Any of these events could lead to clinical trial delays or failure to obtain regulatory approval, or impact our ability to successfully commercialize future product candidates. Some of these events could be the basis for FDA or European Union Member State regulatory authority action, including injunction, recall, seizure or total or partial suspension of product manufacture.</w:t>
      </w:r>
    </w:p>
    <w:p>
      <w:pPr>
        <w:spacing w:after="0" w:line="272" w:lineRule="exact"/>
        <w:rPr>
          <w:sz w:val="20"/>
          <w:szCs w:val="20"/>
          <w:color w:val="auto"/>
        </w:rPr>
      </w:pPr>
    </w:p>
    <w:p>
      <w:pPr>
        <w:ind w:left="120" w:right="100"/>
        <w:spacing w:after="0" w:line="314" w:lineRule="auto"/>
        <w:rPr>
          <w:sz w:val="20"/>
          <w:szCs w:val="20"/>
          <w:color w:val="auto"/>
        </w:rPr>
      </w:pPr>
      <w:r>
        <w:rPr>
          <w:rFonts w:ascii="Arial" w:cs="Arial" w:eastAsia="Arial" w:hAnsi="Arial"/>
          <w:sz w:val="17"/>
          <w:szCs w:val="17"/>
          <w:b w:val="1"/>
          <w:bCs w:val="1"/>
          <w:i w:val="1"/>
          <w:iCs w:val="1"/>
          <w:color w:val="auto"/>
        </w:rPr>
        <w:t>Any contamination in our manufacturing process, shortages of raw materials or failure of any of our key suppliers to deliver necessary components could result in delays in our research studies, preclinical, clinical development or marketing schedules.</w:t>
      </w:r>
    </w:p>
    <w:p>
      <w:pPr>
        <w:spacing w:after="0" w:line="2" w:lineRule="exact"/>
        <w:rPr>
          <w:sz w:val="20"/>
          <w:szCs w:val="20"/>
          <w:color w:val="auto"/>
        </w:rPr>
      </w:pPr>
    </w:p>
    <w:p>
      <w:pPr>
        <w:ind w:left="120" w:right="320" w:firstLine="551"/>
        <w:spacing w:after="0" w:line="255" w:lineRule="auto"/>
        <w:rPr>
          <w:sz w:val="20"/>
          <w:szCs w:val="20"/>
          <w:color w:val="auto"/>
        </w:rPr>
      </w:pPr>
      <w:r>
        <w:rPr>
          <w:rFonts w:ascii="Arial" w:cs="Arial" w:eastAsia="Arial" w:hAnsi="Arial"/>
          <w:sz w:val="18"/>
          <w:szCs w:val="18"/>
          <w:color w:val="auto"/>
        </w:rPr>
        <w:t>Given the nature of biologics manufacturing, there is a risk of contamination during manufacturing. Any contamination could materially harm our ability to produce product candidates on schedule and could harm our results of operations and cause reputational damage.</w:t>
      </w:r>
    </w:p>
    <w:p>
      <w:pPr>
        <w:spacing w:after="0" w:line="164" w:lineRule="exact"/>
        <w:rPr>
          <w:sz w:val="20"/>
          <w:szCs w:val="20"/>
          <w:color w:val="auto"/>
        </w:rPr>
      </w:pPr>
    </w:p>
    <w:p>
      <w:pPr>
        <w:jc w:val="both"/>
        <w:ind w:left="120" w:right="120" w:firstLine="551"/>
        <w:spacing w:after="0" w:line="248" w:lineRule="auto"/>
        <w:rPr>
          <w:sz w:val="20"/>
          <w:szCs w:val="20"/>
          <w:color w:val="auto"/>
        </w:rPr>
      </w:pPr>
      <w:r>
        <w:rPr>
          <w:rFonts w:ascii="Arial" w:cs="Arial" w:eastAsia="Arial" w:hAnsi="Arial"/>
          <w:sz w:val="18"/>
          <w:szCs w:val="18"/>
          <w:color w:val="auto"/>
        </w:rPr>
        <w:t>Some of the raw materials required in our manufacturing process, such as plasmids, are derived from biologic sources. Such raw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seriously harm our business.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5" w:right="4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85" w:lineRule="auto"/>
        <w:rPr>
          <w:sz w:val="20"/>
          <w:szCs w:val="20"/>
          <w:color w:val="auto"/>
        </w:rPr>
      </w:pPr>
      <w:r>
        <w:rPr>
          <w:rFonts w:ascii="Arial" w:cs="Arial" w:eastAsia="Arial" w:hAnsi="Arial"/>
          <w:sz w:val="18"/>
          <w:szCs w:val="18"/>
          <w:b w:val="1"/>
          <w:bCs w:val="1"/>
          <w:i w:val="1"/>
          <w:iCs w:val="1"/>
          <w:color w:val="auto"/>
        </w:rPr>
        <w:t>We depend on third-party suppliers for key raw materials used in our manufacturing processes, and the loss of these third-party suppliers or their inability to supply us with adequate raw materials could seriously harm our business.</w:t>
      </w:r>
    </w:p>
    <w:p>
      <w:pPr>
        <w:spacing w:after="0" w:line="21"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rely on third-party suppliers for the raw materials required for the production of our product candidates. Our dependence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interruption in supply of raw materials could materially harm our ability to manufacture our product candidates until a new source of supply, if any, could be identified and qualified. We may be unable to find a sufficient alternative supplier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seriously harm our business.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214" w:lineRule="exact"/>
        <w:rPr>
          <w:sz w:val="20"/>
          <w:szCs w:val="20"/>
          <w:color w:val="auto"/>
        </w:rPr>
      </w:pPr>
    </w:p>
    <w:p>
      <w:pPr>
        <w:jc w:val="both"/>
        <w:ind w:left="120" w:right="120"/>
        <w:spacing w:after="0" w:line="260" w:lineRule="auto"/>
        <w:rPr>
          <w:sz w:val="20"/>
          <w:szCs w:val="20"/>
          <w:color w:val="auto"/>
        </w:rPr>
      </w:pPr>
      <w:r>
        <w:rPr>
          <w:rFonts w:ascii="Arial" w:cs="Arial" w:eastAsia="Arial" w:hAnsi="Arial"/>
          <w:sz w:val="18"/>
          <w:szCs w:val="18"/>
          <w:b w:val="1"/>
          <w:bCs w:val="1"/>
          <w:i w:val="1"/>
          <w:iCs w:val="1"/>
          <w:color w:val="auto"/>
        </w:rPr>
        <w:t>The regulatory approval processes of the FDA, EMA and comparable foreign regulatory authorities are lengthy, expensive, time consuming, and inherently unpredictable. If we are ultimately unable to obtain regulatory approval for our product candidates, we will be unable to generate product revenue and our business will be seriously harmed.</w:t>
      </w:r>
    </w:p>
    <w:p>
      <w:pPr>
        <w:spacing w:after="0" w:line="43"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We and any collaborators are not permitted to commercialize, market, promote or sell any product candidate in the United States without obtaining marketing approval from the FDA. Foreign regulatory authorities impose similar requirements. 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We have not submitted for or obtained regulatory approval for any product candidate. We and any collaborators must complete additional preclinical or nonclinical studies and clinical trials to demonstrate the safety and efficacy of our product candidates in humans to the satisfaction of the regulatory authorities before we will be able to obtain these approvals, and it is possible that none of our existing product candidates or any product candidates we may seek to develop in the future will ever obtain regulatory approval.</w:t>
      </w:r>
    </w:p>
    <w:p>
      <w:pPr>
        <w:spacing w:after="0" w:line="183" w:lineRule="exact"/>
        <w:rPr>
          <w:sz w:val="20"/>
          <w:szCs w:val="20"/>
          <w:color w:val="auto"/>
        </w:rPr>
      </w:pPr>
    </w:p>
    <w:p>
      <w:pPr>
        <w:ind w:left="120" w:right="240" w:firstLine="551"/>
        <w:spacing w:after="0" w:line="276" w:lineRule="auto"/>
        <w:rPr>
          <w:sz w:val="20"/>
          <w:szCs w:val="20"/>
          <w:color w:val="auto"/>
        </w:rPr>
      </w:pPr>
      <w:r>
        <w:rPr>
          <w:rFonts w:ascii="Arial" w:cs="Arial" w:eastAsia="Arial" w:hAnsi="Arial"/>
          <w:sz w:val="18"/>
          <w:szCs w:val="18"/>
          <w:color w:val="auto"/>
        </w:rPr>
        <w:t>Applications for our product candidates could fail to receive regulatory approval for many reasons, including but not limited to the following:</w:t>
      </w:r>
    </w:p>
    <w:p>
      <w:pPr>
        <w:spacing w:after="0" w:line="50" w:lineRule="exact"/>
        <w:rPr>
          <w:sz w:val="20"/>
          <w:szCs w:val="20"/>
          <w:color w:val="auto"/>
        </w:rPr>
      </w:pPr>
    </w:p>
    <w:p>
      <w:pPr>
        <w:ind w:left="880" w:right="540" w:hanging="224"/>
        <w:spacing w:after="0" w:line="27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implementation or results of our or our collaborators’ clinical trials;</w:t>
      </w:r>
    </w:p>
    <w:p>
      <w:pPr>
        <w:spacing w:after="0" w:line="50" w:lineRule="exact"/>
        <w:rPr>
          <w:rFonts w:ascii="Arial" w:cs="Arial" w:eastAsia="Arial" w:hAnsi="Arial"/>
          <w:sz w:val="18"/>
          <w:szCs w:val="18"/>
          <w:color w:val="auto"/>
        </w:rPr>
      </w:pPr>
    </w:p>
    <w:p>
      <w:pPr>
        <w:jc w:val="both"/>
        <w:ind w:left="880" w:right="60" w:hanging="224"/>
        <w:spacing w:after="0" w:line="255"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w:t>
      </w:r>
    </w:p>
    <w:p>
      <w:pPr>
        <w:spacing w:after="0" w:line="69"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efficacy and safety in the full population for which we seek approval;</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5" w:right="4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280" w:hanging="224"/>
        <w:spacing w:after="0" w:line="276"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or our collaborators may be unable to demonstrate to the FDA, or comparable foreign regulatory authorities that a product candidate’s clinical and other benefits outweigh its safety risks;</w:t>
      </w:r>
    </w:p>
    <w:p>
      <w:pPr>
        <w:spacing w:after="0" w:line="50" w:lineRule="exact"/>
        <w:rPr>
          <w:rFonts w:ascii="Arial" w:cs="Arial" w:eastAsia="Arial" w:hAnsi="Arial"/>
          <w:sz w:val="18"/>
          <w:szCs w:val="18"/>
          <w:color w:val="auto"/>
        </w:rPr>
      </w:pPr>
    </w:p>
    <w:p>
      <w:pPr>
        <w:ind w:left="880" w:right="480" w:hanging="224"/>
        <w:spacing w:after="0" w:line="276"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or our collaborators’ interpretation of data from preclinical studies or clinical trials;</w:t>
      </w:r>
    </w:p>
    <w:p>
      <w:pPr>
        <w:spacing w:after="0" w:line="50" w:lineRule="exact"/>
        <w:rPr>
          <w:rFonts w:ascii="Arial" w:cs="Arial" w:eastAsia="Arial" w:hAnsi="Arial"/>
          <w:sz w:val="18"/>
          <w:szCs w:val="18"/>
          <w:color w:val="auto"/>
        </w:rPr>
      </w:pPr>
    </w:p>
    <w:p>
      <w:pPr>
        <w:ind w:left="880" w:right="100" w:hanging="224"/>
        <w:spacing w:after="0" w:line="276"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or other submission or to obtain regulatory approval in the United States or elsewhere;</w:t>
      </w:r>
    </w:p>
    <w:p>
      <w:pPr>
        <w:spacing w:after="0" w:line="50" w:lineRule="exact"/>
        <w:rPr>
          <w:rFonts w:ascii="Arial" w:cs="Arial" w:eastAsia="Arial" w:hAnsi="Arial"/>
          <w:sz w:val="18"/>
          <w:szCs w:val="18"/>
          <w:color w:val="auto"/>
        </w:rPr>
      </w:pPr>
    </w:p>
    <w:p>
      <w:pPr>
        <w:ind w:left="880" w:right="420" w:hanging="224"/>
        <w:spacing w:after="0" w:line="276"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test procedures and specifications, or facilities of third-party manufacturers with which we contract for clinical and commercial supplies; and</w:t>
      </w:r>
    </w:p>
    <w:p>
      <w:pPr>
        <w:spacing w:after="0" w:line="50"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or our collaborators’ clinical data insufficient for approval.</w:t>
      </w:r>
    </w:p>
    <w:p>
      <w:pPr>
        <w:spacing w:after="0" w:line="145" w:lineRule="exact"/>
        <w:rPr>
          <w:sz w:val="20"/>
          <w:szCs w:val="20"/>
          <w:color w:val="auto"/>
        </w:rPr>
      </w:pPr>
    </w:p>
    <w:p>
      <w:pPr>
        <w:ind w:left="120" w:right="620" w:firstLine="551"/>
        <w:spacing w:after="0" w:line="276" w:lineRule="auto"/>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any of our product candidates, which would seriously harm our business.</w:t>
      </w:r>
    </w:p>
    <w:p>
      <w:pPr>
        <w:spacing w:after="0" w:line="145" w:lineRule="exact"/>
        <w:rPr>
          <w:sz w:val="20"/>
          <w:szCs w:val="20"/>
          <w:color w:val="auto"/>
        </w:rPr>
      </w:pPr>
    </w:p>
    <w:p>
      <w:pPr>
        <w:ind w:left="120" w:right="280" w:firstLine="551"/>
        <w:spacing w:after="0" w:line="243" w:lineRule="auto"/>
        <w:rPr>
          <w:sz w:val="20"/>
          <w:szCs w:val="20"/>
          <w:color w:val="auto"/>
        </w:rPr>
      </w:pPr>
      <w:r>
        <w:rPr>
          <w:rFonts w:ascii="Arial" w:cs="Arial" w:eastAsia="Arial" w:hAnsi="Arial"/>
          <w:sz w:val="18"/>
          <w:szCs w:val="18"/>
          <w:color w:val="auto"/>
        </w:rPr>
        <w:t>In addition, even if we or our collaborators were to obtain approval, regulatory authorities may approve any of our product candidates for fewer or more limited indications than we request, may impose significant limitations in the form of narrow indications, warnings, or a REMS. Regulatory authorities may not approve the price we or our collaborators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spacing w:after="0" w:line="282"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b w:val="1"/>
          <w:bCs w:val="1"/>
          <w:i w:val="1"/>
          <w:iCs w:val="1"/>
          <w:color w:val="auto"/>
        </w:rPr>
        <w:t>We may attempt to secure approval from the FDA or comparable foreign regulatory authorities through the use of accelerated approval pathways. If we are unable to obtain such approval, we may be required to conduct additional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55"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We may in the future seek an accelerated approval for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455" w:right="47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health perspective. If granted, accelerated approval is usually contingent on the sponsor’s agreement to conduct, in a diligent manner, additional post- approval confirmatory studies to verify and describe the drug’s clinical benefit. If such post-approval studies fail to confirm the drug’s clinical benefit, the FDA may withdraw its approval of the drug.</w:t>
      </w:r>
    </w:p>
    <w:p>
      <w:pPr>
        <w:spacing w:after="0" w:line="16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 BLA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if any, could increase the cost of development of such product candidate and could harm our competitive position in the marketplace.</w:t>
      </w:r>
    </w:p>
    <w:p>
      <w:pPr>
        <w:spacing w:after="0" w:line="291" w:lineRule="exact"/>
        <w:rPr>
          <w:sz w:val="20"/>
          <w:szCs w:val="20"/>
          <w:color w:val="auto"/>
        </w:rPr>
      </w:pPr>
    </w:p>
    <w:p>
      <w:pPr>
        <w:ind w:left="120" w:right="880"/>
        <w:spacing w:after="0" w:line="285" w:lineRule="auto"/>
        <w:rPr>
          <w:sz w:val="20"/>
          <w:szCs w:val="20"/>
          <w:color w:val="auto"/>
        </w:rPr>
      </w:pPr>
      <w:r>
        <w:rPr>
          <w:rFonts w:ascii="Arial" w:cs="Arial" w:eastAsia="Arial" w:hAnsi="Arial"/>
          <w:sz w:val="18"/>
          <w:szCs w:val="18"/>
          <w:b w:val="1"/>
          <w:bCs w:val="1"/>
          <w:i w:val="1"/>
          <w:iCs w:val="1"/>
          <w:color w:val="auto"/>
        </w:rPr>
        <w:t>Even if we or our collaborators obtain regulatory approval for a product candidate, our products will remain subject to regulatory scrutiny.</w:t>
      </w:r>
    </w:p>
    <w:p>
      <w:pPr>
        <w:spacing w:after="0" w:line="21" w:lineRule="exact"/>
        <w:rPr>
          <w:sz w:val="20"/>
          <w:szCs w:val="20"/>
          <w:color w:val="auto"/>
        </w:rPr>
      </w:pPr>
    </w:p>
    <w:p>
      <w:pPr>
        <w:jc w:val="both"/>
        <w:ind w:left="120" w:right="500" w:firstLine="551"/>
        <w:spacing w:after="0" w:line="248" w:lineRule="auto"/>
        <w:rPr>
          <w:sz w:val="20"/>
          <w:szCs w:val="20"/>
          <w:color w:val="auto"/>
        </w:rPr>
      </w:pPr>
      <w:r>
        <w:rPr>
          <w:rFonts w:ascii="Arial" w:cs="Arial" w:eastAsia="Arial" w:hAnsi="Arial"/>
          <w:sz w:val="18"/>
          <w:szCs w:val="18"/>
          <w:color w:val="auto"/>
        </w:rPr>
        <w:t>If one of our product candidates is approved, it will be subject to ongoing regulatory requirements for manufacturing, labeling, packaging, storage, advertising, promotion, sampling, record-keeping, conduct of post-marketing studies, and submission of safety, efficacy, and other post- market information, including both federal and state requirements in the United States and requirements of comparable foreign regulatory authorities.</w:t>
      </w:r>
    </w:p>
    <w:p>
      <w:pPr>
        <w:spacing w:after="0" w:line="170"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Manufacturers and manufacturers’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approved marketing application. Accordingly, we and others with whom we work must continue to expend time, money and effort in all areas of regulatory compliance, including manufacturing, production, and quality control.</w:t>
      </w:r>
    </w:p>
    <w:p>
      <w:pPr>
        <w:spacing w:after="0" w:line="17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will have to comply with requirements concerning advertising and promotion for our products. Promotional communications with respect to prescription drugs and biologics are subject to a variety of legal and regulatory restrictions and must be consistent with the information in the product’s approved label. As such, we may not promote our products “off-label” for indications or uses for which they do not have approval, though we may share truthful and not misleading information that is otherwise consistent with our product’s FDA approved labeling. The holder of an approved application must submit new or supplemental applications and obtain approval for certain changes to the approved product, product labeling, or manufacturing process. We could also be asked to conduct post-marketing clinical studies to verify the safety and efficacy of our products in general or in specific patient subsets. An unsuccessful post-marketing study or failure to complete such a study could result in the withdrawal of marketing approval or label restrictions.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5" w:right="47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firstLine="551"/>
        <w:spacing w:after="0" w:line="245" w:lineRule="auto"/>
        <w:rPr>
          <w:sz w:val="20"/>
          <w:szCs w:val="20"/>
          <w:color w:val="auto"/>
        </w:rPr>
      </w:pPr>
      <w:r>
        <w:rPr>
          <w:rFonts w:ascii="Arial" w:cs="Arial" w:eastAsia="Arial" w:hAnsi="Arial"/>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78" w:lineRule="exact"/>
        <w:rPr>
          <w:sz w:val="20"/>
          <w:szCs w:val="20"/>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issue warning letters;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suspend any of our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212" w:lineRule="exact"/>
        <w:rPr>
          <w:sz w:val="20"/>
          <w:szCs w:val="20"/>
          <w:color w:val="auto"/>
        </w:rPr>
      </w:pPr>
    </w:p>
    <w:p>
      <w:pPr>
        <w:ind w:left="120" w:right="280" w:firstLine="551"/>
        <w:spacing w:after="0" w:line="248"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adversely affect our ability to commercialize and generate revenue from our products. If regulatory sanctions are applied or if regulatory approval is withdrawn, our business will be seriously harmed.</w:t>
      </w:r>
    </w:p>
    <w:p>
      <w:pPr>
        <w:spacing w:after="0" w:line="170"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Moreover,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82" w:lineRule="exact"/>
        <w:rPr>
          <w:sz w:val="20"/>
          <w:szCs w:val="20"/>
          <w:color w:val="auto"/>
        </w:rPr>
      </w:pPr>
    </w:p>
    <w:p>
      <w:pPr>
        <w:ind w:left="120" w:right="280"/>
        <w:spacing w:after="0" w:line="251" w:lineRule="auto"/>
        <w:rPr>
          <w:sz w:val="20"/>
          <w:szCs w:val="20"/>
          <w:color w:val="auto"/>
        </w:rPr>
      </w:pPr>
      <w:r>
        <w:rPr>
          <w:rFonts w:ascii="Arial" w:cs="Arial" w:eastAsia="Arial" w:hAnsi="Arial"/>
          <w:sz w:val="18"/>
          <w:szCs w:val="18"/>
          <w:b w:val="1"/>
          <w:bCs w:val="1"/>
          <w:i w:val="1"/>
          <w:iCs w:val="1"/>
          <w:color w:val="auto"/>
        </w:rPr>
        <w:t>We have received Fast Track designation for 4D-310 for the treatment of Fabry disease to improve pain, disability and organ dysfunction, and we may seek Fast Track designation for certain future product candidates, but we may not be able to obtain such designations, and there is no guarantee that 4D-310 will experience a faster regulatory review or obtain regulatory approval.</w:t>
      </w:r>
    </w:p>
    <w:p>
      <w:pPr>
        <w:spacing w:after="0" w:line="52"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If a product is intended for the treatment of a serious or life-threatening condition and preclinical or clinical data demonstrate the potential to address an unmet medical need for this disease condition, the product sponsor may apply for Fast Track designation. The sponsor of a Fast Track product has opportunities for more frequent interactions with the applicable FDA review team during product development and, once a BLA is submitted, the product candidate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 The FDA has broad discretion whether or not to grant this designation, so even if we believe a particular product candidate is eligible for this designation, we cannot assure you that the FDA would decide to grant it. We have received Fast Track designation for 4D-310 for the treatment of Fabry disease to improve pain, disability and organ</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80"/>
          </w:cols>
          <w:pgMar w:left="320" w:top="455" w:right="49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40"/>
        <w:spacing w:after="0" w:line="248" w:lineRule="auto"/>
        <w:rPr>
          <w:sz w:val="20"/>
          <w:szCs w:val="20"/>
          <w:color w:val="auto"/>
        </w:rPr>
      </w:pPr>
      <w:r>
        <w:rPr>
          <w:rFonts w:ascii="Arial" w:cs="Arial" w:eastAsia="Arial" w:hAnsi="Arial"/>
          <w:sz w:val="18"/>
          <w:szCs w:val="18"/>
          <w:color w:val="auto"/>
        </w:rPr>
        <w:t>dysfunction, and we may receive Fast Track designation for other product candidates in the future; however, we may not experience a faster development, review or approval process, and receipt of the designation does not increase the likelihood that the FDA will approve 4D-310 for any indication. In addition, the FDA may rescind the Fast Track designation if it believes that the designation is no longer supported by data from our clinical development program.</w:t>
      </w:r>
    </w:p>
    <w:p>
      <w:pPr>
        <w:spacing w:after="0" w:line="278" w:lineRule="exact"/>
        <w:rPr>
          <w:sz w:val="20"/>
          <w:szCs w:val="20"/>
          <w:color w:val="auto"/>
        </w:rPr>
      </w:pPr>
    </w:p>
    <w:p>
      <w:pPr>
        <w:ind w:left="120" w:right="40"/>
        <w:spacing w:after="0" w:line="251" w:lineRule="auto"/>
        <w:rPr>
          <w:sz w:val="20"/>
          <w:szCs w:val="20"/>
          <w:color w:val="auto"/>
        </w:rPr>
      </w:pPr>
      <w:r>
        <w:rPr>
          <w:rFonts w:ascii="Arial" w:cs="Arial" w:eastAsia="Arial" w:hAnsi="Arial"/>
          <w:sz w:val="18"/>
          <w:szCs w:val="18"/>
          <w:b w:val="1"/>
          <w:bCs w:val="1"/>
          <w:i w:val="1"/>
          <w:iCs w:val="1"/>
          <w:color w:val="auto"/>
        </w:rPr>
        <w:t>We have received orphan drug designation for 4D-110 for the treatment of choroideremia and for 4D-310 for the treatment of Fabry disease, and we may seek orphan drug designation for certain future product candidates, but we may be unable to obtain such designations or to maintain the benefits associated with orphan drug designation, including market exclusivity, which may cause our revenue, if any, to be reduced.</w:t>
      </w:r>
    </w:p>
    <w:p>
      <w:pPr>
        <w:spacing w:after="0" w:line="5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have received orphan drug designation in the United States for 4D-110 for the treatment of choroideremia and for 4D-310 for the treatment of Fabry disease. Although we may seek orphan product designation for some or all of our other product candidates, we may never receive such designations. Under the Orphan Drug Act, the FDA may designate a drug or biologic product as an orphan drug if it is intended to treat a rare disease or condition, defined as a patient population of fewer than 200,000 in the United States, or a patient population greater than 200,000 in the United States where there is no reasonable expectation that the cost of developing the drug will be recovered from sales in the United States. Orphan drug designation must be requested before submitting a BLA. In the European Union, the EMA’s Committee for Orphan Medicinal Products (COMP), grants orphan drug designation to promote the development of products that are intended for the diagnosis, prevention, or treatment of a life-threatening or chronically debilitating condition affecting not more than five in 10,000 persons in the European Union. Additionally, designation is granted for products intended for the diagnosis, prevention, or treatment of a life-threatening, seriously debilitating or serious and chronic condition when, without incentives, it is unlikely that sales of the drug in the European Union would be sufficient to justify the necessary investment in developing the drug or biological product or where there is no satisfactory method of diagnosis, prevention, or treatment, or, if such a method exists, the medicine must be of significant benefit to those affected by the condition.</w:t>
      </w:r>
    </w:p>
    <w:p>
      <w:pPr>
        <w:spacing w:after="0" w:line="180"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towards clinical trial costs, tax advantages, and application fee waivers. After the FDA grants orphan drug designation, the generic identity of the drug and its potential orphan use are disclosed publicly by the FDA.</w:t>
      </w:r>
    </w:p>
    <w:p>
      <w:pPr>
        <w:spacing w:after="0" w:line="164"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 for the orphan patient population. Exclusive marketing rights in the United States may also be unavailable if we or our collaborators seek approval for an indication broader than the orphan designated indication and may be lost if the FDA later determines that the request for designation was materially defective. In the European Union, orphan drug designation entitles a party to financial incentives such as reduction of fees or fee waivers and ten years of market exclusivity following drug or biological product approval. This period may be reduced to six years if the orphan drug designation criteria are no longer met, including where it is shown that the product is sufficiently profitable not to justify maintenance of market exclusivity.</w:t>
      </w:r>
    </w:p>
    <w:p>
      <w:pPr>
        <w:spacing w:after="0" w:line="180"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Even if we obtain orphan drug designation, we may not be the first to obtain marketing approval for any particular orphan indication due to the uncertainties associated with developing pharmaceutical products. Further, even if we obtain orphan drug exclusivity for a product candidate, that exclusivity</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5" w:right="4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5" w:lineRule="auto"/>
        <w:rPr>
          <w:sz w:val="20"/>
          <w:szCs w:val="20"/>
          <w:color w:val="auto"/>
        </w:rPr>
      </w:pPr>
      <w:r>
        <w:rPr>
          <w:rFonts w:ascii="Arial" w:cs="Arial" w:eastAsia="Arial" w:hAnsi="Arial"/>
          <w:sz w:val="18"/>
          <w:szCs w:val="18"/>
          <w:color w:val="auto"/>
        </w:rPr>
        <w:t>may not effectively protect the product from competition because different drugs with different active moieties can be approved for the same condition. Even after an orphan drug is approved, the FDA can subsequently approve the same drug with the same active moiety for the same condition if the FDA concludes that the later drug is clinically superior in that it is safer, more effective, or makes a major contribution to patient care. Orphan drug designation neither shortens the development time or regulatory review time of a drug or biologic nor gives the drug or biologic any advantage in the regulatory review or approval process.</w:t>
      </w:r>
    </w:p>
    <w:p>
      <w:pPr>
        <w:spacing w:after="0" w:line="280" w:lineRule="exact"/>
        <w:rPr>
          <w:sz w:val="20"/>
          <w:szCs w:val="20"/>
          <w:color w:val="auto"/>
        </w:rPr>
      </w:pPr>
    </w:p>
    <w:p>
      <w:pPr>
        <w:ind w:left="120" w:right="220"/>
        <w:spacing w:after="0" w:line="260" w:lineRule="auto"/>
        <w:rPr>
          <w:sz w:val="20"/>
          <w:szCs w:val="20"/>
          <w:color w:val="auto"/>
        </w:rPr>
      </w:pPr>
      <w:r>
        <w:rPr>
          <w:rFonts w:ascii="Arial" w:cs="Arial" w:eastAsia="Arial" w:hAnsi="Arial"/>
          <w:sz w:val="18"/>
          <w:szCs w:val="18"/>
          <w:b w:val="1"/>
          <w:bCs w:val="1"/>
          <w:i w:val="1"/>
          <w:iCs w:val="1"/>
          <w:color w:val="auto"/>
        </w:rPr>
        <w:t>If the product candidates that we or our collaborators may develop receive regulatory approval in the United States or another jurisdiction, they may never receive approval in other jurisdictions, which would limit market opportunities for such product candidate and seriously harm our business.</w:t>
      </w:r>
    </w:p>
    <w:p>
      <w:pPr>
        <w:spacing w:after="0" w:line="43"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Approval of a product candidate in the United States by the FDA or by the requisite regulatory agencies in any other jurisdiction does not ensure approval of such product candidate by regulatory authorities in other countries or jurisdictions. The approval process varies among countries and may limit our or our collaborators’ ability to develop, manufacture, promote and sell product candidates internationally. Failure to obtain marketing approval in international jurisdictions would prevent the product candidates from being marketed outside of the jurisdictions in which regulatory approvals have been received. In order to market and sell product candidates in the European Union and many other jurisdictions, we and our collaborators must obtain separate marketing approvals and comply with numerous and varying regulatory requirements. The approval procedure varies among countries and may involve additional preclinical studies or clinical trials both before and after approval. In many countries, any product candidate for human use must be approved for reimbursement before it can be approved for sale in that country. In some cases, the intended price for such product is also subject to approval. Further, while regulatory approval of a product candidate in one country does not ensure approval in any other country, a failure or delay in obtaining regulatory approval in one country may have a negative effect on the regulatory approval process in others. If we or our collaborators fail to comply with the regulatory requirements in international markets or to obtain all required marketing approvals, the target market for a particular potential product will be reduced, which would limit our ability to realize the full market potential for the product and seriously harm our business.</w:t>
      </w:r>
    </w:p>
    <w:p>
      <w:pPr>
        <w:spacing w:after="0" w:line="285" w:lineRule="exact"/>
        <w:rPr>
          <w:sz w:val="20"/>
          <w:szCs w:val="20"/>
          <w:color w:val="auto"/>
        </w:rPr>
      </w:pPr>
    </w:p>
    <w:p>
      <w:pPr>
        <w:ind w:left="120" w:right="720"/>
        <w:spacing w:after="0" w:line="285" w:lineRule="auto"/>
        <w:rPr>
          <w:sz w:val="20"/>
          <w:szCs w:val="20"/>
          <w:color w:val="auto"/>
        </w:rPr>
      </w:pPr>
      <w:r>
        <w:rPr>
          <w:rFonts w:ascii="Arial" w:cs="Arial" w:eastAsia="Arial" w:hAnsi="Arial"/>
          <w:sz w:val="18"/>
          <w:szCs w:val="18"/>
          <w:b w:val="1"/>
          <w:bCs w:val="1"/>
          <w:i w:val="1"/>
          <w:iCs w:val="1"/>
          <w:color w:val="auto"/>
        </w:rPr>
        <w:t>Enacted and future healthcare legislation may increase the difficulty and cost for us to obtain marketing approval of and commercialize our product candidates and may affect the prices we may set</w:t>
      </w:r>
      <w:r>
        <w:rPr>
          <w:rFonts w:ascii="Arial" w:cs="Arial" w:eastAsia="Arial" w:hAnsi="Arial"/>
          <w:sz w:val="18"/>
          <w:szCs w:val="18"/>
          <w:color w:val="auto"/>
        </w:rPr>
        <w:t>.</w:t>
      </w:r>
    </w:p>
    <w:p>
      <w:pPr>
        <w:spacing w:after="0" w:line="21"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In the United States, the European Union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(collectively the ACA) was enacted, which substantially changed the way healthcare is financed by both governmental and private payors. Among the provisions of the ACA, those of greatest importance to the pharmaceutical and biotechnology industries include the following:</w:t>
      </w:r>
    </w:p>
    <w:p>
      <w:pPr>
        <w:spacing w:after="0" w:line="84" w:lineRule="exact"/>
        <w:rPr>
          <w:sz w:val="20"/>
          <w:szCs w:val="20"/>
          <w:color w:val="auto"/>
        </w:rPr>
      </w:pPr>
    </w:p>
    <w:p>
      <w:pPr>
        <w:ind w:left="880" w:hanging="224"/>
        <w:spacing w:after="0" w:line="255"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5" w:right="4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60" w:hanging="224"/>
        <w:spacing w:after="0" w:line="255"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new requirements to report certain financial arrangements with physicians and teaching hospitals, including reporting “transfers of value” made or distributed to prescribers and other healthcare providers and reporting investment interests held by physicians and their immediate family members;</w:t>
      </w:r>
    </w:p>
    <w:p>
      <w:pPr>
        <w:spacing w:after="0" w:line="69" w:lineRule="exact"/>
        <w:rPr>
          <w:rFonts w:ascii="Arial" w:cs="Arial" w:eastAsia="Arial" w:hAnsi="Arial"/>
          <w:sz w:val="18"/>
          <w:szCs w:val="18"/>
          <w:color w:val="auto"/>
        </w:rPr>
      </w:pPr>
    </w:p>
    <w:p>
      <w:pPr>
        <w:ind w:left="880" w:right="700" w:hanging="224"/>
        <w:spacing w:after="0" w:line="276"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increase to the minimum Medicaid rebates owed by manufacturers under the Medicaid Drug Rebate Program and an extension the rebate program to individuals enrolled in Medicaid managed care organizations;</w:t>
      </w:r>
    </w:p>
    <w:p>
      <w:pPr>
        <w:spacing w:after="0" w:line="50" w:lineRule="exact"/>
        <w:rPr>
          <w:rFonts w:ascii="Arial" w:cs="Arial" w:eastAsia="Arial" w:hAnsi="Arial"/>
          <w:sz w:val="18"/>
          <w:szCs w:val="18"/>
          <w:color w:val="auto"/>
        </w:rPr>
      </w:pPr>
    </w:p>
    <w:p>
      <w:pPr>
        <w:ind w:left="880" w:right="40" w:hanging="224"/>
        <w:spacing w:after="0" w:line="276"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50" w:lineRule="exact"/>
        <w:rPr>
          <w:rFonts w:ascii="Arial" w:cs="Arial" w:eastAsia="Arial" w:hAnsi="Arial"/>
          <w:sz w:val="18"/>
          <w:szCs w:val="18"/>
          <w:color w:val="auto"/>
        </w:rPr>
      </w:pPr>
    </w:p>
    <w:p>
      <w:pPr>
        <w:ind w:left="880" w:right="400" w:hanging="224"/>
        <w:spacing w:after="0" w:line="255"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licensure framework for follow-on biologic products;</w:t>
      </w:r>
    </w:p>
    <w:p>
      <w:pPr>
        <w:spacing w:after="0" w:line="117" w:lineRule="exact"/>
        <w:rPr>
          <w:rFonts w:ascii="Arial" w:cs="Arial" w:eastAsia="Arial" w:hAnsi="Arial"/>
          <w:sz w:val="18"/>
          <w:szCs w:val="18"/>
          <w:color w:val="auto"/>
        </w:rPr>
      </w:pPr>
    </w:p>
    <w:p>
      <w:pPr>
        <w:ind w:left="880" w:right="800" w:hanging="224"/>
        <w:spacing w:after="0" w:line="276"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50" w:lineRule="exact"/>
        <w:rPr>
          <w:rFonts w:ascii="Arial" w:cs="Arial" w:eastAsia="Arial" w:hAnsi="Arial"/>
          <w:sz w:val="18"/>
          <w:szCs w:val="18"/>
          <w:color w:val="auto"/>
        </w:rPr>
      </w:pPr>
    </w:p>
    <w:p>
      <w:pPr>
        <w:ind w:left="880" w:right="20" w:hanging="224"/>
        <w:spacing w:after="0" w:line="306" w:lineRule="auto"/>
        <w:tabs>
          <w:tab w:leader="none" w:pos="8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establishment of a Center for Medicare Innovation at the Centers for Medicare &amp; Medicaid Services (CMS) to test innovative payment and service delivery models to lower Medicare and Medicaid spending, potentially including prescription drug spending.</w:t>
      </w:r>
    </w:p>
    <w:p>
      <w:pPr>
        <w:spacing w:after="0" w:line="12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Since its enactment, there have been judicial, U.S. Congressional and executive branch challenges to certain aspects of the ACA, and we expect there will be additional challenges and amendments to the ACA in the future. For example, the Tax Cuts and Jobs Act of 2017 was enacted, which includes a provision repealing, effective January 1, 2019, the tax-based shared responsibility payment imposed by the ACA on certain individuals who fail to maintain qualifying health coverage for all or part of a year that is commonly referred to as the “individual mandate”. On December 14, 2018, a U.S. District Court Judge in the Northern District of Texas (Texas District Court Judge) ruled that the individual mandate is a critical and inseverable feature of the ACA, and therefore, because it was repealed as part of the Tax Act, the remaining provisions of the ACA are invalid as well. On March 2, 2020, the U.S. Supreme Court granted the petitions for writs of certiorari to review the case, although it is unclear when a decision will be made or how the Supreme Court will rule. It is also unclear how other efforts to challenge, repeal or replace the ACA will impact the ACA or our business.</w:t>
      </w:r>
    </w:p>
    <w:p>
      <w:pPr>
        <w:spacing w:after="0" w:line="176"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In August 2011, the Budget Control Act of 2011, among other things, led to aggregate reductions of Medicare payments to providers of 2% per fiscal year. These reductions went into effect in April 2013 and, due to subsequent legislative amendments to the statute, will remain in effect through 2030, with the exception of a temporary suspension from May 1, 2020 through December 31, 2020, unless additional action is taken by Congress.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new laws or any other similar laws introduced in the future may result in additional reductions in Medicare and other health care funding, which could negatively affect our customers and accordingly, seriously harm our business.</w:t>
      </w:r>
    </w:p>
    <w:p>
      <w:pPr>
        <w:spacing w:after="0" w:line="176" w:lineRule="exact"/>
        <w:rPr>
          <w:sz w:val="20"/>
          <w:szCs w:val="20"/>
          <w:color w:val="auto"/>
        </w:rPr>
      </w:pPr>
    </w:p>
    <w:p>
      <w:pPr>
        <w:ind w:left="120" w:right="140" w:firstLine="551"/>
        <w:spacing w:after="0" w:line="255" w:lineRule="auto"/>
        <w:rPr>
          <w:sz w:val="20"/>
          <w:szCs w:val="20"/>
          <w:color w:val="auto"/>
        </w:rPr>
      </w:pPr>
      <w:r>
        <w:rPr>
          <w:rFonts w:ascii="Arial" w:cs="Arial" w:eastAsia="Arial" w:hAnsi="Arial"/>
          <w:sz w:val="18"/>
          <w:szCs w:val="18"/>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which has resulted in</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5" w:right="4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several U.S.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Additionally,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Further, on July 24, 2020, the Trump administration announced four executive orders related to prescription drug pricing that attempt to implement several of the administration’s proposals, including a policy that would tie Medicare Part B drug prices to international drug prices; one that directs HHS to finalize the Canadian drug importation proposed rule previously issued by HHS and makes other changes allowing for personal importation of drugs from Canada; one that directs HHS to finalize the rulemaking process on modifying the federal Anti-Kickback Statute safe harbors for discounts for plans, pharmacies, and pharmaceutical benefit managers; and one that reduces costs of insulin and epipens to patients of federally qualified health centers. Although a number of these will require additional authorization to become effective, Congress and the Trump administration have each indicated that it will continue to seek new legislative and/or administrative measures to control drug costs.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 and could seriously harm our business.</w:t>
      </w:r>
    </w:p>
    <w:p>
      <w:pPr>
        <w:spacing w:after="0" w:line="182"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seriously harm our business.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 Furthermore, there has been increased interest by third-party payors and governmental authorities in reference pricing systems and publication of discounts and list prices. Prescription drugs and biological products that are in violation of these requirements will be included on a public list. These reforms could reduce the ultimate demand for our product candidates or put pressure on our product pricing and could seriously harm our business.</w:t>
      </w:r>
    </w:p>
    <w:p>
      <w:pPr>
        <w:spacing w:after="0" w:line="176"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the European Union, similar political, economic and regulatory developments may affect our ability to profitably commercialize our product candidates, if approved. In addition to continuing pressure on prices and cost containment measures, legislative developments at the European Union or member state level may result in significant additional requirements or obstacles that may increase our operating costs. 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 care and the pricing and reimbursement of products in that context. In general, however, the healthcare budgetary constraints in most European Union member states have resulted in restrictions on the pricing and reimbursement of medicines by relevant health service providers. Coupled with ever-increasing European Union and national regulatory burdens on those wishing to develop and market products,</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5" w:right="4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60"/>
        <w:spacing w:after="0" w:line="248" w:lineRule="auto"/>
        <w:rPr>
          <w:sz w:val="20"/>
          <w:szCs w:val="20"/>
          <w:color w:val="auto"/>
        </w:rPr>
      </w:pPr>
      <w:r>
        <w:rPr>
          <w:rFonts w:ascii="Arial" w:cs="Arial" w:eastAsia="Arial" w:hAnsi="Arial"/>
          <w:sz w:val="18"/>
          <w:szCs w:val="18"/>
          <w:color w:val="auto"/>
        </w:rPr>
        <w:t>this could prevent or delay marketing approval of our product candidates, restrict or regulate post-approval activities and affect our ability to commercialize our product candidates, if approved. In markets outside of the United States and European Union, reimbursement and healthcare payment systems vary significantly by country, and many countries have instituted price ceilings on specific products and therapies.</w:t>
      </w:r>
    </w:p>
    <w:p>
      <w:pPr>
        <w:spacing w:after="0" w:line="170" w:lineRule="exact"/>
        <w:rPr>
          <w:sz w:val="20"/>
          <w:szCs w:val="20"/>
          <w:color w:val="auto"/>
        </w:rPr>
      </w:pPr>
    </w:p>
    <w:p>
      <w:pPr>
        <w:ind w:left="120" w:right="180" w:firstLine="551"/>
        <w:spacing w:after="0" w:line="245"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or judicial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280" w:lineRule="exact"/>
        <w:rPr>
          <w:sz w:val="20"/>
          <w:szCs w:val="20"/>
          <w:color w:val="auto"/>
        </w:rPr>
      </w:pPr>
    </w:p>
    <w:p>
      <w:pPr>
        <w:ind w:left="120" w:right="40"/>
        <w:spacing w:after="0" w:line="260"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due to unfavorable pricing regulations and/or third-party coverage and reimbursement policies, we may not be able to offer such products at competitive prices which would seriously harm our business.</w:t>
      </w:r>
    </w:p>
    <w:p>
      <w:pPr>
        <w:spacing w:after="0" w:line="43"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The regulations that govern marketing approvals, pricing and reimbursement for new drugs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180"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A primary trend in the U.S. healthcare industry and elsewhere is cost containment. Government authorities and other third-party payors have attempted to control costs by limiting coverage and the amount of reimbursement for particular medications. Government authorities currently impose mandatory discounts for certain patient groups, such as Medicare, Medicaid and Veterans Affairs (VA) hospitals, and may seek to increase such discounts at any time. Future regulation may negatively impact the price of our products, if approved. Increasingly, other third-party payors are requiring that drug companies provide them with predetermined discounts from list prices and are challenging the prices charged for medical products. For gene therapy and other products administered under the supervision of a physician, obtaining coverage and adequate reimbursement may be particularly difficult because of the higher prices often associated with such drugs. We cannot be sure that reimbursement will be available for any product candidate that we commercialize and, if reimbursement is available, that the level of reimbursement will be sufficient.</w:t>
      </w:r>
    </w:p>
    <w:p>
      <w:pPr>
        <w:spacing w:after="0" w:line="180"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Reimbursement may impact the demand for, or the price of, any product candidate for which we obtain marketing approval. In order to get reimbursement, physicians may need to show that patients have superior treatment outcomes with our products compared to standard of care drugs, including lower-priced generic versions of standard of care drugs. If reimbursement is not available or is available only at limited levels, we may not be able to successfully commercialize any product candidate for which we obtain marketing approval. In the United States, no uniform policy of coverage</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5" w:right="4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48" w:lineRule="auto"/>
        <w:rPr>
          <w:sz w:val="20"/>
          <w:szCs w:val="20"/>
          <w:color w:val="auto"/>
        </w:rPr>
      </w:pPr>
      <w:r>
        <w:rPr>
          <w:rFonts w:ascii="Arial" w:cs="Arial" w:eastAsia="Arial" w:hAnsi="Arial"/>
          <w:sz w:val="18"/>
          <w:szCs w:val="18"/>
          <w:color w:val="auto"/>
        </w:rPr>
        <w:t>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w:t>
      </w:r>
    </w:p>
    <w:p>
      <w:pPr>
        <w:spacing w:after="0" w:line="170"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There may be significant delays in obtaining reimbursement for newly approved drugs, and coverage may be more limited than the purposes for which the medicine is approved by the FDA, EMA or other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products we may develop could seriously harm our business.</w:t>
      </w:r>
    </w:p>
    <w:p>
      <w:pPr>
        <w:spacing w:after="0" w:line="284" w:lineRule="exact"/>
        <w:rPr>
          <w:sz w:val="20"/>
          <w:szCs w:val="20"/>
          <w:color w:val="auto"/>
        </w:rPr>
      </w:pPr>
    </w:p>
    <w:p>
      <w:pPr>
        <w:ind w:left="120" w:right="740"/>
        <w:spacing w:after="0" w:line="285" w:lineRule="auto"/>
        <w:rPr>
          <w:sz w:val="20"/>
          <w:szCs w:val="20"/>
          <w:color w:val="auto"/>
        </w:rPr>
      </w:pPr>
      <w:r>
        <w:rPr>
          <w:rFonts w:ascii="Arial" w:cs="Arial" w:eastAsia="Arial" w:hAnsi="Arial"/>
          <w:sz w:val="18"/>
          <w:szCs w:val="18"/>
          <w:b w:val="1"/>
          <w:bCs w:val="1"/>
          <w:i w:val="1"/>
          <w:iCs w:val="1"/>
          <w:color w:val="auto"/>
        </w:rPr>
        <w:t>Even if we obtain FDA approval of any of our product candidates, we may never obtain approval or commercialize such products outside of the United States, which would limit our ability to realize their full market potential.</w:t>
      </w:r>
    </w:p>
    <w:p>
      <w:pPr>
        <w:spacing w:after="0" w:line="21"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spacing w:after="0" w:line="291" w:lineRule="exact"/>
        <w:rPr>
          <w:sz w:val="20"/>
          <w:szCs w:val="20"/>
          <w:color w:val="auto"/>
        </w:rPr>
      </w:pPr>
    </w:p>
    <w:p>
      <w:pPr>
        <w:ind w:left="120" w:right="60"/>
        <w:spacing w:after="0" w:line="285" w:lineRule="auto"/>
        <w:rPr>
          <w:sz w:val="20"/>
          <w:szCs w:val="20"/>
          <w:color w:val="auto"/>
        </w:rPr>
      </w:pPr>
      <w:r>
        <w:rPr>
          <w:rFonts w:ascii="Arial" w:cs="Arial" w:eastAsia="Arial" w:hAnsi="Arial"/>
          <w:sz w:val="18"/>
          <w:szCs w:val="18"/>
          <w:b w:val="1"/>
          <w:bCs w:val="1"/>
          <w:i w:val="1"/>
          <w:iCs w:val="1"/>
          <w:color w:val="auto"/>
        </w:rPr>
        <w:t>We currently have no sales organization. If we are unable to establish sales capabilities on our own or through third parties, we may not be able to market and sell any products effectively, if approved, or generate product revenue.</w:t>
      </w:r>
    </w:p>
    <w:p>
      <w:pPr>
        <w:spacing w:after="0" w:line="21"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We currently do not have a marketing or sales organization. In order to commercialize any product, if approved, in the United States and foreign jurisdictions, we must build our marketing, sales, distribution, managerial and other non-technical capabilities or make arrangements with third parties to perform these services, and we may not be successful in doing so. In advance of any of our product candidates receiving regulatory approval, we expect to establish a sales organization with technical</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60"/>
          </w:cols>
          <w:pgMar w:left="320" w:top="455" w:right="51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expertise and supporting distribution capabilities to commercialize each such product candidate, which will be expensive and time-consuming. We have no prior experience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product candidates. If we are not successful in commercializing products, either on our own or through arrangements with one or more third parties, we may not be able to generate any future product revenue and we would incur significant additional losses and our business would be seriously harmed.</w:t>
      </w:r>
    </w:p>
    <w:p>
      <w:pPr>
        <w:spacing w:after="0" w:line="257"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 and seriously harm our business.</w:t>
      </w:r>
    </w:p>
    <w:p>
      <w:pPr>
        <w:spacing w:after="0" w:line="43"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Such laws include:</w:t>
      </w:r>
    </w:p>
    <w:p>
      <w:pPr>
        <w:spacing w:after="0" w:line="76" w:lineRule="exact"/>
        <w:rPr>
          <w:sz w:val="20"/>
          <w:szCs w:val="20"/>
          <w:color w:val="auto"/>
        </w:rPr>
      </w:pPr>
    </w:p>
    <w:p>
      <w:pPr>
        <w:ind w:left="880" w:hanging="224"/>
        <w:spacing w:after="0" w:line="243"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any U.S. federal healthcare program, such as Medicare and Medicaid. A person or entity does not need to have actual knowledge of the statute or specific intent to violate it in order to have committed a violation;</w:t>
      </w:r>
    </w:p>
    <w:p>
      <w:pPr>
        <w:spacing w:after="0" w:line="38" w:lineRule="exact"/>
        <w:rPr>
          <w:rFonts w:ascii="Arial" w:cs="Arial" w:eastAsia="Arial" w:hAnsi="Arial"/>
          <w:sz w:val="18"/>
          <w:szCs w:val="18"/>
          <w:color w:val="auto"/>
        </w:rPr>
      </w:pPr>
    </w:p>
    <w:p>
      <w:pPr>
        <w:ind w:left="880" w:right="80" w:hanging="224"/>
        <w:spacing w:after="0" w:line="239"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the U.S. federal civil and criminal false claims and civil monetary penalties laws, including the civil federal False Claims Act, which can be enforced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which prohibit, among other things, individuals or entities from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Pharmaceutical manufacturers can cause false claims to be presented to the U.S. federal government by engaging in impermissible marketing practices, such as the off-label promotion of a product for an indication for which it has not received FDA approval. In addition, the government may assert that a claim including items and services resulting from a violation of the U.S. federal Anti-Kickback Statute constitutes a false or fraudulent claim for purposes of the civil False Claims Act;</w:t>
      </w:r>
    </w:p>
    <w:p>
      <w:pPr>
        <w:spacing w:after="0" w:line="44" w:lineRule="exact"/>
        <w:rPr>
          <w:rFonts w:ascii="Arial" w:cs="Arial" w:eastAsia="Arial" w:hAnsi="Arial"/>
          <w:sz w:val="18"/>
          <w:szCs w:val="18"/>
          <w:color w:val="auto"/>
        </w:rPr>
      </w:pPr>
    </w:p>
    <w:p>
      <w:pPr>
        <w:jc w:val="both"/>
        <w:ind w:left="880" w:right="420" w:hanging="224"/>
        <w:spacing w:after="0" w:line="255"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(HIPAA), which imposes criminal and civil liability for, among other things, knowingly and willfully executing, or attempting to execute, a scheme to defraud any healthcare benefit program, or knowingly and</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55" w:right="47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160"/>
        <w:spacing w:after="0" w:line="248" w:lineRule="auto"/>
        <w:rPr>
          <w:sz w:val="20"/>
          <w:szCs w:val="20"/>
          <w:color w:val="auto"/>
        </w:rPr>
      </w:pPr>
      <w:r>
        <w:rPr>
          <w:rFonts w:ascii="Arial" w:cs="Arial" w:eastAsia="Arial" w:hAnsi="Arial"/>
          <w:sz w:val="18"/>
          <w:szCs w:val="18"/>
          <w:color w:val="auto"/>
        </w:rPr>
        <w:t>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healthcare fraud statute implemented under HIPAA or specific intent to violate it in order to have committed a violation;</w:t>
      </w:r>
    </w:p>
    <w:p>
      <w:pPr>
        <w:spacing w:after="0" w:line="76" w:lineRule="exact"/>
        <w:rPr>
          <w:sz w:val="20"/>
          <w:szCs w:val="20"/>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FDCA, which prohibits, among other things, the adulteration or misbranding of drugs, biologics and medical devices;</w:t>
      </w:r>
    </w:p>
    <w:p>
      <w:pPr>
        <w:spacing w:after="0" w:line="117" w:lineRule="exact"/>
        <w:rPr>
          <w:rFonts w:ascii="Arial" w:cs="Arial" w:eastAsia="Arial" w:hAnsi="Arial"/>
          <w:sz w:val="18"/>
          <w:szCs w:val="18"/>
          <w:color w:val="auto"/>
        </w:rPr>
      </w:pPr>
    </w:p>
    <w:p>
      <w:pPr>
        <w:ind w:left="880" w:right="80" w:hanging="224"/>
        <w:spacing w:after="0" w:line="276"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U.S. Public Health Service Act, which prohibits, among other things, the introduction into interstate commerce of a biological product unless a biologics license is in effect for that product;</w:t>
      </w:r>
    </w:p>
    <w:p>
      <w:pPr>
        <w:spacing w:after="0" w:line="50" w:lineRule="exact"/>
        <w:rPr>
          <w:rFonts w:ascii="Arial" w:cs="Arial" w:eastAsia="Arial" w:hAnsi="Arial"/>
          <w:sz w:val="18"/>
          <w:szCs w:val="18"/>
          <w:color w:val="auto"/>
        </w:rPr>
      </w:pPr>
    </w:p>
    <w:p>
      <w:pPr>
        <w:ind w:left="880" w:right="20" w:hanging="224"/>
        <w:spacing w:after="0" w:line="241"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U.S. Physician Payments Sunshine Act and its implementing regulations, which requires certain manufacturers of drugs, devices, biologics and medical supplies that are reimbursable under Medicare, Medicaid, or the Children’s Health Insurance Program, with specific exceptions, to report annually to CMS information related to certain payments and other transfers of value to physicians and teaching hospitals, as well as ownership and investment interests held by physicians and their immediate family members. Beginning in 2022, applicable manufacturers also will be required to report such information regarding payments and transfers of value provided during the previous year to certain other healthcare providers, including physician assistants, nurse practitioners, clinical nurse specialists, certified nurse anesthetists, and certified nurse midwives;</w:t>
      </w:r>
    </w:p>
    <w:p>
      <w:pPr>
        <w:spacing w:after="0" w:line="84" w:lineRule="exact"/>
        <w:rPr>
          <w:rFonts w:ascii="Arial" w:cs="Arial" w:eastAsia="Arial" w:hAnsi="Arial"/>
          <w:sz w:val="18"/>
          <w:szCs w:val="18"/>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and local laws requiring the registration of pharmaceutical sales representatives; and</w:t>
      </w:r>
    </w:p>
    <w:p>
      <w:pPr>
        <w:spacing w:after="0" w:line="85" w:lineRule="exact"/>
        <w:rPr>
          <w:rFonts w:ascii="Arial" w:cs="Arial" w:eastAsia="Arial" w:hAnsi="Arial"/>
          <w:sz w:val="18"/>
          <w:szCs w:val="18"/>
          <w:color w:val="auto"/>
        </w:rPr>
      </w:pPr>
    </w:p>
    <w:p>
      <w:pPr>
        <w:ind w:left="880" w:right="40" w:hanging="224"/>
        <w:spacing w:after="0" w:line="276"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similar healthcare laws in the European Union and other jurisdictions, including reporting requirements detailing interactions with and payments to healthcare providers.</w:t>
      </w:r>
    </w:p>
    <w:p>
      <w:pPr>
        <w:spacing w:after="0" w:line="145"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color w:val="auto"/>
        </w:rPr>
        <w:t>We may also be subject to additional federal laws, such as the U.S. Foreign Corrupt Practices Act of 1977, as amended,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and federal consumer protection and unfair competition laws, which broadly regulate marketplace activities and activities that potentially harm consumers.</w:t>
      </w:r>
    </w:p>
    <w:p>
      <w:pPr>
        <w:spacing w:after="0" w:line="174" w:lineRule="exact"/>
        <w:rPr>
          <w:sz w:val="20"/>
          <w:szCs w:val="20"/>
          <w:color w:val="auto"/>
        </w:rPr>
      </w:pPr>
    </w:p>
    <w:p>
      <w:pPr>
        <w:ind w:left="120" w:right="240" w:firstLine="551"/>
        <w:spacing w:after="0" w:line="243" w:lineRule="auto"/>
        <w:rPr>
          <w:sz w:val="20"/>
          <w:szCs w:val="20"/>
          <w:color w:val="auto"/>
        </w:rPr>
      </w:pPr>
      <w:r>
        <w:rPr>
          <w:rFonts w:ascii="Arial" w:cs="Arial" w:eastAsia="Arial" w:hAnsi="Arial"/>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including certain of our advisory board arrangements with physicians, some of whom are compensated in the form of stock or stock options,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5" w:right="47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use and generate materials that may expose us to material liability.</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Our research programs involve the use of hazardous materials and chemicals. We are subject to foreign, federal, state and local environmental and health and safety laws and regulations governing, among other matters, the use, manufacture, handling, storage and disposal of hazardous materials and waste products such as human tissue samples that may have the potential to transmit diseases.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spacing w:after="0" w:line="284" w:lineRule="exact"/>
        <w:rPr>
          <w:sz w:val="20"/>
          <w:szCs w:val="20"/>
          <w:color w:val="auto"/>
        </w:rPr>
      </w:pPr>
    </w:p>
    <w:p>
      <w:pPr>
        <w:ind w:left="120" w:right="320"/>
        <w:spacing w:after="0" w:line="285" w:lineRule="auto"/>
        <w:rPr>
          <w:sz w:val="20"/>
          <w:szCs w:val="20"/>
          <w:color w:val="auto"/>
        </w:rPr>
      </w:pPr>
      <w:r>
        <w:rPr>
          <w:rFonts w:ascii="Arial" w:cs="Arial" w:eastAsia="Arial" w:hAnsi="Arial"/>
          <w:sz w:val="18"/>
          <w:szCs w:val="18"/>
          <w:b w:val="1"/>
          <w:bCs w:val="1"/>
          <w:i w:val="1"/>
          <w:iCs w:val="1"/>
          <w:color w:val="auto"/>
        </w:rPr>
        <w:t>Compliance with governmental regulations regarding the treatment of animals used in research could increase our operating costs, which would adversely affect the commercialization of our products.</w:t>
      </w:r>
    </w:p>
    <w:p>
      <w:pPr>
        <w:spacing w:after="0" w:line="21"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The Animal Welfare Act (AWA) is the federal law that covers the treatment of certain animals used in research. Currently, the AWA imposes a wide variety of specific regulations that govern the humane handling, care, treatment and transportation of certain animals by producers and users of research animals, most notably relating to personnel, facilities, sanitation, cage size, and feeding, watering and shipping conditions. Third parties with whom we contract are subject to registration, inspections and reporting requirements under the AWA. Furthermore, some states have their own regulations, including general anti-cruelty legislation, which establish certain standards in handling animals. Comparable rules, regulations, and or obligations exist in many foreign jurisdictions. If we or our contractors fail to comply with regulations concerning the treatment of animals used in research, we may be subject to fines and penalties and adverse publicity, and our operations could be adversely affected.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14"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b w:val="1"/>
          <w:bCs w:val="1"/>
          <w:i w:val="1"/>
          <w:iCs w:val="1"/>
          <w:color w:val="auto"/>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43" w:lineRule="exact"/>
        <w:rPr>
          <w:sz w:val="20"/>
          <w:szCs w:val="20"/>
          <w:color w:val="auto"/>
        </w:rPr>
      </w:pPr>
    </w:p>
    <w:p>
      <w:pPr>
        <w:ind w:left="120" w:right="300" w:firstLine="551"/>
        <w:spacing w:after="0" w:line="276" w:lineRule="auto"/>
        <w:rPr>
          <w:sz w:val="20"/>
          <w:szCs w:val="20"/>
          <w:color w:val="auto"/>
        </w:rPr>
      </w:pPr>
      <w:r>
        <w:rPr>
          <w:rFonts w:ascii="Arial" w:cs="Arial" w:eastAsia="Arial" w:hAnsi="Arial"/>
          <w:sz w:val="18"/>
          <w:szCs w:val="18"/>
          <w:color w:val="auto"/>
        </w:rPr>
        <w:t>We currently rely and expect to continue to rely on third parties, such as CROs, clinical data management organizations, clinical data assessments and analysis organizations, medical institutions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5" w:right="4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and clinical investigators, to conduct some aspects of our research, preclinical testing and clinical trials. Any of these third parties may terminate their engagements with us or be unable to fulfill their contractual obligations. If we need to enter into alternative arrangements, it would delay our product development activities.</w:t>
      </w:r>
    </w:p>
    <w:p>
      <w:pPr>
        <w:spacing w:after="0" w:line="164" w:lineRule="exact"/>
        <w:rPr>
          <w:sz w:val="20"/>
          <w:szCs w:val="20"/>
          <w:color w:val="auto"/>
        </w:rPr>
      </w:pPr>
    </w:p>
    <w:p>
      <w:pPr>
        <w:ind w:left="120" w:right="80" w:firstLine="551"/>
        <w:spacing w:after="0" w:line="241" w:lineRule="auto"/>
        <w:rPr>
          <w:sz w:val="20"/>
          <w:szCs w:val="20"/>
          <w:color w:val="auto"/>
        </w:rPr>
      </w:pPr>
      <w:r>
        <w:rPr>
          <w:rFonts w:ascii="Arial" w:cs="Arial" w:eastAsia="Arial" w:hAnsi="Arial"/>
          <w:sz w:val="18"/>
          <w:szCs w:val="18"/>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GCP for conducting, recording and reporting the results of clinical trials to assure that data and reported results are credible, reproducible and accurate and that the rights, integrity and confidentiality of trial participants are protected. We are also required to register ongoing clinical trials and to post the results of completed clinical trials on a government-sponsored database within certain timeframes. Failure to do so can result in fines, adverse publicity and civil and criminal sanctions.</w:t>
      </w:r>
    </w:p>
    <w:p>
      <w:pPr>
        <w:spacing w:after="0" w:line="179" w:lineRule="exact"/>
        <w:rPr>
          <w:sz w:val="20"/>
          <w:szCs w:val="20"/>
          <w:color w:val="auto"/>
        </w:rPr>
      </w:pPr>
    </w:p>
    <w:p>
      <w:pPr>
        <w:ind w:left="120" w:right="160" w:firstLine="551"/>
        <w:spacing w:after="0" w:line="248" w:lineRule="auto"/>
        <w:rPr>
          <w:sz w:val="20"/>
          <w:szCs w:val="20"/>
          <w:color w:val="auto"/>
        </w:rPr>
      </w:pPr>
      <w:r>
        <w:rPr>
          <w:rFonts w:ascii="Arial" w:cs="Arial" w:eastAsia="Arial" w:hAnsi="Arial"/>
          <w:sz w:val="18"/>
          <w:szCs w:val="18"/>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spacing w:after="0" w:line="170" w:lineRule="exact"/>
        <w:rPr>
          <w:sz w:val="20"/>
          <w:szCs w:val="20"/>
          <w:color w:val="auto"/>
        </w:rPr>
      </w:pPr>
    </w:p>
    <w:p>
      <w:pPr>
        <w:ind w:left="120" w:right="240" w:firstLine="551"/>
        <w:spacing w:after="0" w:line="255"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product candidates, producing additional losses and depriving us of potential product revenue.</w:t>
      </w:r>
    </w:p>
    <w:p>
      <w:pPr>
        <w:spacing w:after="0" w:line="272" w:lineRule="exact"/>
        <w:rPr>
          <w:sz w:val="20"/>
          <w:szCs w:val="20"/>
          <w:color w:val="auto"/>
        </w:rPr>
      </w:pPr>
    </w:p>
    <w:p>
      <w:pPr>
        <w:ind w:left="120" w:right="420"/>
        <w:spacing w:after="0" w:line="260" w:lineRule="auto"/>
        <w:rPr>
          <w:sz w:val="20"/>
          <w:szCs w:val="20"/>
          <w:color w:val="auto"/>
        </w:rPr>
      </w:pPr>
      <w:r>
        <w:rPr>
          <w:rFonts w:ascii="Arial" w:cs="Arial" w:eastAsia="Arial" w:hAnsi="Arial"/>
          <w:sz w:val="18"/>
          <w:szCs w:val="18"/>
          <w:b w:val="1"/>
          <w:bCs w:val="1"/>
          <w:i w:val="1"/>
          <w:iCs w:val="1"/>
          <w:color w:val="auto"/>
        </w:rPr>
        <w:t>We may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spacing w:after="0" w:line="4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have sought, and may in the future seek third-party collaborators for the research, development and commercialization of certain of the product candidates we may develop. Our likely collaborators for any other collaboration arrangements include large and mid-size pharmaceutical companies, regional, national and international pharmaceutical companies, biotechnology companies and academic institutions.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Collaborations involving our product candidates we may develop, pose the following risks to us:</w:t>
      </w:r>
    </w:p>
    <w:p>
      <w:pPr>
        <w:spacing w:after="0" w:line="117" w:lineRule="exact"/>
        <w:rPr>
          <w:sz w:val="20"/>
          <w:szCs w:val="20"/>
          <w:color w:val="auto"/>
        </w:rPr>
      </w:pPr>
    </w:p>
    <w:p>
      <w:pPr>
        <w:ind w:left="880" w:right="900" w:hanging="224"/>
        <w:spacing w:after="0" w:line="276"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generally have significant discretion in determining the efforts and resources that they will apply to these collaborations;</w:t>
      </w:r>
    </w:p>
    <w:p>
      <w:pPr>
        <w:spacing w:after="0" w:line="50" w:lineRule="exact"/>
        <w:rPr>
          <w:rFonts w:ascii="Arial" w:cs="Arial" w:eastAsia="Arial" w:hAnsi="Arial"/>
          <w:sz w:val="18"/>
          <w:szCs w:val="18"/>
          <w:color w:val="auto"/>
        </w:rPr>
      </w:pPr>
    </w:p>
    <w:p>
      <w:pPr>
        <w:ind w:left="880" w:right="200" w:hanging="224"/>
        <w:spacing w:after="0" w:line="248"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or defend intellectual property or proprietary rights relating to our product candidates or may use our proprietary information in such a way as to expose us to potential litigation or other intellectual property related proceedings, including proceedings challenging the scope, ownership, validity and enforceability of our intellectual property;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5" w:right="4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340" w:hanging="224"/>
        <w:spacing w:after="0" w:line="255"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 candidates that result from our collaboration with them, and in such cases, we may not have the exclusive right to commercialize such intellectual property or such product candidates;</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collaborations;</w:t>
      </w:r>
    </w:p>
    <w:p>
      <w:pPr>
        <w:spacing w:after="0" w:line="117" w:lineRule="exact"/>
        <w:rPr>
          <w:rFonts w:ascii="Arial" w:cs="Arial" w:eastAsia="Arial" w:hAnsi="Arial"/>
          <w:sz w:val="18"/>
          <w:szCs w:val="18"/>
          <w:color w:val="auto"/>
        </w:rPr>
      </w:pPr>
    </w:p>
    <w:p>
      <w:pPr>
        <w:ind w:left="880" w:right="240" w:hanging="224"/>
        <w:spacing w:after="0" w:line="276"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need the cooperation of our collaborators to enforce or defend any intellectual property we contribute to or that arises out of our collaborations, which may not be provided to us;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17" w:lineRule="exact"/>
        <w:rPr>
          <w:rFonts w:ascii="Arial" w:cs="Arial" w:eastAsia="Arial" w:hAnsi="Arial"/>
          <w:sz w:val="18"/>
          <w:szCs w:val="18"/>
          <w:color w:val="auto"/>
        </w:rPr>
      </w:pPr>
    </w:p>
    <w:p>
      <w:pPr>
        <w:ind w:left="880" w:right="40" w:hanging="224"/>
        <w:spacing w:after="0" w:line="255"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69" w:lineRule="exact"/>
        <w:rPr>
          <w:rFonts w:ascii="Arial" w:cs="Arial" w:eastAsia="Arial" w:hAnsi="Arial"/>
          <w:sz w:val="18"/>
          <w:szCs w:val="18"/>
          <w:color w:val="auto"/>
        </w:rPr>
      </w:pPr>
    </w:p>
    <w:p>
      <w:pPr>
        <w:ind w:left="880" w:hanging="224"/>
        <w:spacing w:after="0" w:line="248"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may decide not to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75" w:lineRule="exact"/>
        <w:rPr>
          <w:rFonts w:ascii="Arial" w:cs="Arial" w:eastAsia="Arial" w:hAnsi="Arial"/>
          <w:sz w:val="18"/>
          <w:szCs w:val="18"/>
          <w:color w:val="auto"/>
        </w:rPr>
      </w:pPr>
    </w:p>
    <w:p>
      <w:pPr>
        <w:ind w:left="880" w:right="440" w:hanging="224"/>
        <w:spacing w:after="0" w:line="306" w:lineRule="auto"/>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stop a clinical trial or abandon a product candidate, repeat or conduct new clinical trials, or require a new formulation of a product candidate for clinical testing;</w:t>
      </w:r>
    </w:p>
    <w:p>
      <w:pPr>
        <w:spacing w:after="0" w:line="28" w:lineRule="exact"/>
        <w:rPr>
          <w:rFonts w:ascii="Arial" w:cs="Arial" w:eastAsia="Arial" w:hAnsi="Arial"/>
          <w:sz w:val="17"/>
          <w:szCs w:val="17"/>
          <w:color w:val="auto"/>
        </w:rPr>
      </w:pPr>
    </w:p>
    <w:p>
      <w:pPr>
        <w:ind w:left="880" w:right="120" w:hanging="224"/>
        <w:spacing w:after="0" w:line="255"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9"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 candidates may not commit sufficient resources to the marketing and distribution of such product candidates;</w:t>
      </w:r>
    </w:p>
    <w:p>
      <w:pPr>
        <w:spacing w:after="0" w:line="50" w:lineRule="exact"/>
        <w:rPr>
          <w:rFonts w:ascii="Arial" w:cs="Arial" w:eastAsia="Arial" w:hAnsi="Arial"/>
          <w:sz w:val="18"/>
          <w:szCs w:val="18"/>
          <w:color w:val="auto"/>
        </w:rPr>
      </w:pPr>
    </w:p>
    <w:p>
      <w:pPr>
        <w:ind w:left="880" w:right="340" w:hanging="224"/>
        <w:spacing w:after="0" w:line="276"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if we undergo a change of control;</w:t>
      </w:r>
    </w:p>
    <w:p>
      <w:pPr>
        <w:spacing w:after="0" w:line="50"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may undergo a change of control and the new owners may decide to take the collaboration in a direction which is not in our best interest;</w:t>
      </w:r>
    </w:p>
    <w:p>
      <w:pPr>
        <w:spacing w:after="0" w:line="50" w:lineRule="exact"/>
        <w:rPr>
          <w:rFonts w:ascii="Arial" w:cs="Arial" w:eastAsia="Arial" w:hAnsi="Arial"/>
          <w:sz w:val="18"/>
          <w:szCs w:val="18"/>
          <w:color w:val="auto"/>
        </w:rPr>
      </w:pPr>
    </w:p>
    <w:p>
      <w:pPr>
        <w:ind w:left="880" w:right="80" w:hanging="224"/>
        <w:spacing w:after="0" w:line="255"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may become party to a business combination transaction and the continued pursuit and emphasis on our development or commercialization program by the resulting entity under our existing collaboration could be delayed, diminished or terminated;</w:t>
      </w:r>
    </w:p>
    <w:p>
      <w:pPr>
        <w:spacing w:after="0" w:line="69" w:lineRule="exact"/>
        <w:rPr>
          <w:rFonts w:ascii="Arial" w:cs="Arial" w:eastAsia="Arial" w:hAnsi="Arial"/>
          <w:sz w:val="18"/>
          <w:szCs w:val="18"/>
          <w:color w:val="auto"/>
        </w:rPr>
      </w:pPr>
    </w:p>
    <w:p>
      <w:pPr>
        <w:ind w:left="880" w:right="160" w:hanging="224"/>
        <w:spacing w:after="0" w:line="255"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may become bankrupt, which may significantly delay our research or development programs, or may cause us to lose access to valuable technology, devices, materials, know-how or intellectual property of the collaborator relating to our products and product candidates;</w:t>
      </w:r>
    </w:p>
    <w:p>
      <w:pPr>
        <w:spacing w:after="0" w:line="69" w:lineRule="exact"/>
        <w:rPr>
          <w:rFonts w:ascii="Arial" w:cs="Arial" w:eastAsia="Arial" w:hAnsi="Arial"/>
          <w:sz w:val="18"/>
          <w:szCs w:val="18"/>
          <w:color w:val="auto"/>
        </w:rPr>
      </w:pPr>
    </w:p>
    <w:p>
      <w:pPr>
        <w:ind w:left="880" w:right="1000" w:hanging="224"/>
        <w:spacing w:after="0" w:line="276"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key personnel at our collaborators may leave, which could negatively impact our ability to productively work with our collaborators;</w:t>
      </w:r>
    </w:p>
    <w:p>
      <w:pPr>
        <w:spacing w:after="0" w:line="50"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collaborations may require us to incur short and long-term expenditures, issue securities that dilute our stockholders, or disrupt our management and business;</w:t>
      </w:r>
    </w:p>
    <w:p>
      <w:pPr>
        <w:spacing w:after="0" w:line="50" w:lineRule="exact"/>
        <w:rPr>
          <w:rFonts w:ascii="Arial" w:cs="Arial" w:eastAsia="Arial" w:hAnsi="Arial"/>
          <w:sz w:val="18"/>
          <w:szCs w:val="18"/>
          <w:color w:val="auto"/>
        </w:rPr>
      </w:pPr>
    </w:p>
    <w:p>
      <w:pPr>
        <w:ind w:left="880" w:right="80" w:hanging="224"/>
        <w:spacing w:after="0" w:line="276"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or our Therapeutic Vector Evolution platform technology; and</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80"/>
          </w:cols>
          <w:pgMar w:left="320" w:top="455" w:right="49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140" w:hanging="224"/>
        <w:spacing w:after="0" w:line="276"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collaboration agreements may not lead to development or commercialization of product candidates in the most efficient manner or at all.</w:t>
      </w:r>
    </w:p>
    <w:p>
      <w:pPr>
        <w:spacing w:after="0" w:line="145"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 which could seriously harm our business.</w:t>
      </w:r>
    </w:p>
    <w:p>
      <w:pPr>
        <w:spacing w:after="0" w:line="176" w:lineRule="exact"/>
        <w:rPr>
          <w:sz w:val="20"/>
          <w:szCs w:val="20"/>
          <w:color w:val="auto"/>
        </w:rPr>
      </w:pPr>
    </w:p>
    <w:p>
      <w:pPr>
        <w:ind w:left="120" w:right="180" w:firstLine="551"/>
        <w:spacing w:after="0" w:line="239" w:lineRule="auto"/>
        <w:rPr>
          <w:sz w:val="20"/>
          <w:szCs w:val="20"/>
          <w:color w:val="auto"/>
        </w:rPr>
      </w:pPr>
      <w:r>
        <w:rPr>
          <w:rFonts w:ascii="Arial" w:cs="Arial" w:eastAsia="Arial" w:hAnsi="Arial"/>
          <w:sz w:val="18"/>
          <w:szCs w:val="18"/>
          <w:color w:val="auto"/>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10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Our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those of our licensors will result in additional patents being issued or that issued patents will afford sufficient protection against competitors with similar technology, nor can there be any assurance that the patents issued will not be infringed, designed around or invalidated by third parties. Even issued patents may later be found invalid or unenforceable or may be modified or revoked in proceedings instituted by third parties before various patent offices or in courts. Further, we have one pending patent application (patent no. 14/774,972), that was made with government support, that may be subject, under certain circumstances, to march-in-rights under 35 U.S.C. 203, which is a right that allows the government, in certain limited circumstances, to force a party with a license to intellectual property funded, at least in part, by the government, to grant a license to such property to another entity. This patent was made with the support of U.C. Berkeley and relates to our A101 vector. The degree of future protection for</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5" w:right="4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100"/>
        <w:spacing w:after="0" w:line="248" w:lineRule="auto"/>
        <w:rPr>
          <w:sz w:val="20"/>
          <w:szCs w:val="20"/>
          <w:color w:val="auto"/>
        </w:rPr>
      </w:pPr>
      <w:r>
        <w:rPr>
          <w:rFonts w:ascii="Arial" w:cs="Arial" w:eastAsia="Arial" w:hAnsi="Arial"/>
          <w:sz w:val="18"/>
          <w:szCs w:val="18"/>
          <w:color w:val="auto"/>
        </w:rPr>
        <w:t>our proprietary rights is uncertain. Only limited protection may be available and may not adequately protect our rights or permit us to gain or keep any competitive advantage. If we do not adequately protect our intellectual property and proprietary technology, competitors may be able to use our product candidates and proprietary technologies and erode or negate any competitive advantage we may have, which could seriously harm our business.</w:t>
      </w:r>
    </w:p>
    <w:p>
      <w:pPr>
        <w:spacing w:after="0" w:line="170"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We and our licensors have applied, and we intend to continue applying, for patents covering aspects of our product candidates, proprietary technologies and their uses that we deem appropriate. However, we may not be able to apply for patents on certain aspects of our current or future product candidates, proprietary technologies and their uses in a timely fashion, at a reasonable cost, in all jurisdictions, or at all, and any potential patent coverage we obtain may not be sufficient to prevent substantial competition.</w:t>
      </w:r>
    </w:p>
    <w:p>
      <w:pPr>
        <w:spacing w:after="0" w:line="170"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actual or potential future collaborators or licensors will be successful in protecting our product candidates, proprietary technologies and their uses by obtaining and defending patents. These risks and uncertainties include the following:</w:t>
      </w:r>
    </w:p>
    <w:p>
      <w:pPr>
        <w:spacing w:after="0" w:line="69" w:lineRule="exact"/>
        <w:rPr>
          <w:sz w:val="20"/>
          <w:szCs w:val="20"/>
          <w:color w:val="auto"/>
        </w:rPr>
      </w:pPr>
    </w:p>
    <w:p>
      <w:pPr>
        <w:ind w:left="880" w:right="40" w:hanging="224"/>
        <w:spacing w:after="0" w:line="248"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U.S. Patent and Trademark Office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117" w:lineRule="exact"/>
        <w:rPr>
          <w:rFonts w:ascii="Arial" w:cs="Arial" w:eastAsia="Arial" w:hAnsi="Arial"/>
          <w:sz w:val="18"/>
          <w:szCs w:val="18"/>
          <w:color w:val="auto"/>
        </w:rPr>
      </w:pPr>
    </w:p>
    <w:p>
      <w:pPr>
        <w:ind w:left="880" w:right="720" w:hanging="224"/>
        <w:spacing w:after="0" w:line="276"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circumvented, found to be unenforceable or otherwise may not provide any competitive advantage;</w:t>
      </w:r>
    </w:p>
    <w:p>
      <w:pPr>
        <w:spacing w:after="0" w:line="50" w:lineRule="exact"/>
        <w:rPr>
          <w:rFonts w:ascii="Arial" w:cs="Arial" w:eastAsia="Arial" w:hAnsi="Arial"/>
          <w:sz w:val="18"/>
          <w:szCs w:val="18"/>
          <w:color w:val="auto"/>
        </w:rPr>
      </w:pPr>
    </w:p>
    <w:p>
      <w:pPr>
        <w:ind w:left="880" w:right="60" w:hanging="224"/>
        <w:spacing w:after="0" w:line="255"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69" w:lineRule="exact"/>
        <w:rPr>
          <w:rFonts w:ascii="Arial" w:cs="Arial" w:eastAsia="Arial" w:hAnsi="Arial"/>
          <w:sz w:val="18"/>
          <w:szCs w:val="18"/>
          <w:color w:val="auto"/>
        </w:rPr>
      </w:pPr>
    </w:p>
    <w:p>
      <w:pPr>
        <w:ind w:left="880" w:right="160" w:hanging="224"/>
        <w:spacing w:after="0" w:line="248"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 parties may have designed around our claims or developed technologies that may be related or competitive to our platform, may have filed or may file patent applications and may have received or may receive patents that overlap or conflict with our patent applications, either by claiming the same methods or devices or by claiming subject matter that could dominate our patent position;</w:t>
      </w:r>
    </w:p>
    <w:p>
      <w:pPr>
        <w:spacing w:after="0" w:line="75" w:lineRule="exact"/>
        <w:rPr>
          <w:rFonts w:ascii="Arial" w:cs="Arial" w:eastAsia="Arial" w:hAnsi="Arial"/>
          <w:sz w:val="18"/>
          <w:szCs w:val="18"/>
          <w:color w:val="auto"/>
        </w:rPr>
      </w:pPr>
    </w:p>
    <w:p>
      <w:pPr>
        <w:ind w:left="880" w:right="120" w:hanging="224"/>
        <w:spacing w:after="0" w:line="276"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successful opposition to any patents owned by or licensed to us could deprive us of rights necessary for the practice of our technologies or the successful commercialization of any products or product candidates that we may develop;</w:t>
      </w:r>
    </w:p>
    <w:p>
      <w:pPr>
        <w:spacing w:after="0" w:line="50" w:lineRule="exact"/>
        <w:rPr>
          <w:rFonts w:ascii="Arial" w:cs="Arial" w:eastAsia="Arial" w:hAnsi="Arial"/>
          <w:sz w:val="18"/>
          <w:szCs w:val="18"/>
          <w:color w:val="auto"/>
        </w:rPr>
      </w:pPr>
    </w:p>
    <w:p>
      <w:pPr>
        <w:ind w:left="880" w:right="340" w:hanging="224"/>
        <w:spacing w:after="0" w:line="255"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because patent applications in the United States and most other countries are confidential for a period of time after filing, we cannot be certain that we or our licensors were the first to file any patent application related to our product candidates, proprietary technologies and their uses;</w:t>
      </w:r>
    </w:p>
    <w:p>
      <w:pPr>
        <w:spacing w:after="0" w:line="69" w:lineRule="exact"/>
        <w:rPr>
          <w:rFonts w:ascii="Arial" w:cs="Arial" w:eastAsia="Arial" w:hAnsi="Arial"/>
          <w:sz w:val="18"/>
          <w:szCs w:val="18"/>
          <w:color w:val="auto"/>
        </w:rPr>
      </w:pPr>
    </w:p>
    <w:p>
      <w:pPr>
        <w:ind w:left="880" w:right="80" w:hanging="224"/>
        <w:spacing w:after="0" w:line="255"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interference proceeding can be provoked by a third party or instituted by the USPTO to determine who was the first to invent any of the subject matter covered by the patent claims of our applications for any application with an effective filing date before March 16, 2013;</w:t>
      </w:r>
    </w:p>
    <w:p>
      <w:pPr>
        <w:spacing w:after="0" w:line="69" w:lineRule="exact"/>
        <w:rPr>
          <w:rFonts w:ascii="Arial" w:cs="Arial" w:eastAsia="Arial" w:hAnsi="Arial"/>
          <w:sz w:val="18"/>
          <w:szCs w:val="18"/>
          <w:color w:val="auto"/>
        </w:rPr>
      </w:pPr>
    </w:p>
    <w:p>
      <w:pPr>
        <w:ind w:left="880" w:right="280" w:hanging="224"/>
        <w:spacing w:after="0" w:line="255"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80"/>
          </w:cols>
          <w:pgMar w:left="320" w:top="455" w:right="49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520" w:hanging="224"/>
        <w:spacing w:after="0" w:line="276"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145" w:lineRule="exact"/>
        <w:rPr>
          <w:sz w:val="20"/>
          <w:szCs w:val="20"/>
          <w:color w:val="auto"/>
        </w:rPr>
      </w:pPr>
    </w:p>
    <w:p>
      <w:pPr>
        <w:ind w:left="120" w:right="60" w:firstLine="551"/>
        <w:spacing w:after="0" w:line="241" w:lineRule="auto"/>
        <w:rPr>
          <w:sz w:val="20"/>
          <w:szCs w:val="20"/>
          <w:color w:val="auto"/>
        </w:rPr>
      </w:pPr>
      <w:r>
        <w:rPr>
          <w:rFonts w:ascii="Arial" w:cs="Arial" w:eastAsia="Arial" w:hAnsi="Arial"/>
          <w:sz w:val="18"/>
          <w:szCs w:val="18"/>
          <w:color w:val="auto"/>
        </w:rPr>
        <w:t>The patent prosecution process is also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contract manufacturers, consultants and other third parties, any of these parties may breach such agreements and disclose such output before a patent application is filed, thereby jeopardizing our ability to seek patent protection.</w:t>
      </w:r>
    </w:p>
    <w:p>
      <w:pPr>
        <w:spacing w:after="0" w:line="179"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 xml:space="preserve">The patent position of biopharmaceutical companies generally is highly uncertain, involves complex legal and factual questions, and has been the subject of much litigation in recent years. Moreover, the issuance of a patent is not conclusive as to its inventorship, scope, validity or enforceability, and our patents, if issued, patents obtained by our collaborators or the patent rights that we license from others, may be challenged in the courts or patent offices in the United States and abroad. Once granted, patents may remain open to opposition, interference, re-examination,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nullification or derivation action in court or before patent offices or similar proceedings for a given period after allowance or grant, during which time third parties can raise objections against such initial grant. Such challenges may result in loss of exclusivity or freedom to operate or in patent claims being narrowed, invalidated or held unenforceable, in whole or in part, which could limit our ability to stop others from using or commercializing similar or identical products or product candidates, or limit the duration of the patent protection of our product candidates.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183" w:lineRule="exact"/>
        <w:rPr>
          <w:sz w:val="20"/>
          <w:szCs w:val="20"/>
          <w:color w:val="auto"/>
        </w:rPr>
      </w:pPr>
    </w:p>
    <w:p>
      <w:pPr>
        <w:ind w:left="120" w:right="240" w:firstLine="551"/>
        <w:spacing w:after="0" w:line="248" w:lineRule="auto"/>
        <w:rPr>
          <w:sz w:val="20"/>
          <w:szCs w:val="20"/>
          <w:color w:val="auto"/>
        </w:rPr>
      </w:pPr>
      <w:r>
        <w:rPr>
          <w:rFonts w:ascii="Arial" w:cs="Arial" w:eastAsia="Arial" w:hAnsi="Arial"/>
          <w:sz w:val="18"/>
          <w:szCs w:val="18"/>
          <w:color w:val="auto"/>
        </w:rPr>
        <w:t>Our ability to enforce our patent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We may not prevail in any lawsuits that we initiate and the damages or other remedies awarded if we were to prevail may not be commercially meaningful.</w:t>
      </w:r>
    </w:p>
    <w:p>
      <w:pPr>
        <w:spacing w:after="0" w:line="170"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our product candidates are invalidated or found unenforceable, or if a court found that valid, enforceable patents held by third parties covered one or more of our product candidates, our competitive position could be harmed or we could be required to incur significant expenses to enforce or defend our rights. If we initiate lawsuits to protect or enforce our patents, or litigate against third-party claims, such proceedings would be expensive and would divert the attention of our management and technical personnel.</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117" w:lineRule="exact"/>
        <w:rPr>
          <w:sz w:val="20"/>
          <w:szCs w:val="20"/>
          <w:color w:val="auto"/>
        </w:rPr>
      </w:pPr>
    </w:p>
    <w:p>
      <w:pPr>
        <w:ind w:left="880" w:right="420" w:hanging="224"/>
        <w:spacing w:after="0" w:line="276"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of our patents, or any of our pending patent applications, if issued, or those of our licensors, will include claims having a scope sufficient to protect our product candidates;</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5" w:right="4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of our pending patent applications or those of our licensors may issue as patents;</w:t>
      </w:r>
    </w:p>
    <w:p>
      <w:pPr>
        <w:spacing w:after="0" w:line="117" w:lineRule="exact"/>
        <w:rPr>
          <w:rFonts w:ascii="Arial" w:cs="Arial" w:eastAsia="Arial" w:hAnsi="Arial"/>
          <w:sz w:val="18"/>
          <w:szCs w:val="18"/>
          <w:color w:val="auto"/>
        </w:rPr>
      </w:pPr>
    </w:p>
    <w:p>
      <w:pPr>
        <w:ind w:left="880" w:right="200" w:hanging="224"/>
        <w:spacing w:after="0" w:line="276"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will not or may not be able to make, use, offer to sell, or sell products that are the same as or similar to our own but that are not covered by the claims of the patents that we own or license;</w:t>
      </w:r>
    </w:p>
    <w:p>
      <w:pPr>
        <w:spacing w:after="0" w:line="50" w:lineRule="exact"/>
        <w:rPr>
          <w:rFonts w:ascii="Arial" w:cs="Arial" w:eastAsia="Arial" w:hAnsi="Arial"/>
          <w:sz w:val="18"/>
          <w:szCs w:val="18"/>
          <w:color w:val="auto"/>
        </w:rPr>
      </w:pPr>
    </w:p>
    <w:p>
      <w:pPr>
        <w:ind w:left="880" w:right="380" w:hanging="224"/>
        <w:spacing w:after="0" w:line="276"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 candidates on a substantial scale, if approved, before the relevant patents that we own or license expire;</w:t>
      </w:r>
    </w:p>
    <w:p>
      <w:pPr>
        <w:spacing w:after="0" w:line="50" w:lineRule="exact"/>
        <w:rPr>
          <w:rFonts w:ascii="Arial" w:cs="Arial" w:eastAsia="Arial" w:hAnsi="Arial"/>
          <w:sz w:val="18"/>
          <w:szCs w:val="18"/>
          <w:color w:val="auto"/>
        </w:rPr>
      </w:pPr>
    </w:p>
    <w:p>
      <w:pPr>
        <w:ind w:left="880" w:right="60" w:hanging="224"/>
        <w:spacing w:after="0" w:line="276"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or our licensors were the first to make the inventions covered by each of the patents and pending patent applications that we own or license;</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or our licensors were the first to file patent applications for these inventions;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the patents we own or license;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of the patents we own or license will be found to ultimately be valid and enforceable;</w:t>
      </w:r>
    </w:p>
    <w:p>
      <w:pPr>
        <w:spacing w:after="0" w:line="117" w:lineRule="exact"/>
        <w:rPr>
          <w:rFonts w:ascii="Arial" w:cs="Arial" w:eastAsia="Arial" w:hAnsi="Arial"/>
          <w:sz w:val="18"/>
          <w:szCs w:val="18"/>
          <w:color w:val="auto"/>
        </w:rPr>
      </w:pPr>
    </w:p>
    <w:p>
      <w:pPr>
        <w:ind w:left="880" w:right="100" w:hanging="224"/>
        <w:spacing w:after="0" w:line="276"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patents issued to us or our licensors will provide a basis for an exclusive market for our commercially viable products or will provide us with any competitive advantages;</w:t>
      </w:r>
    </w:p>
    <w:p>
      <w:pPr>
        <w:spacing w:after="0" w:line="50" w:lineRule="exact"/>
        <w:rPr>
          <w:rFonts w:ascii="Arial" w:cs="Arial" w:eastAsia="Arial" w:hAnsi="Arial"/>
          <w:sz w:val="18"/>
          <w:szCs w:val="18"/>
          <w:color w:val="auto"/>
        </w:rPr>
      </w:pPr>
    </w:p>
    <w:p>
      <w:pPr>
        <w:ind w:left="880" w:right="120" w:hanging="224"/>
        <w:spacing w:after="0" w:line="276"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third party may not challenge the patents we own or license and, if challenged, a court would hold that such patents are valid, enforceable and infringed;</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develop or in-license additional proprietary technologies that are patentable;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patents of others will not have an adverse effect on our business;</w:t>
      </w:r>
    </w:p>
    <w:p>
      <w:pPr>
        <w:spacing w:after="0" w:line="117" w:lineRule="exact"/>
        <w:rPr>
          <w:rFonts w:ascii="Arial" w:cs="Arial" w:eastAsia="Arial" w:hAnsi="Arial"/>
          <w:sz w:val="18"/>
          <w:szCs w:val="18"/>
          <w:color w:val="auto"/>
        </w:rPr>
      </w:pPr>
    </w:p>
    <w:p>
      <w:pPr>
        <w:ind w:left="880" w:right="20" w:hanging="224"/>
        <w:spacing w:after="0" w:line="255"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commercial activities or products will not infringe upon the patents of others.</w:t>
      </w:r>
    </w:p>
    <w:p>
      <w:pPr>
        <w:spacing w:after="0" w:line="21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Where we obtain licenses from or collaborate with third parties, in some circumstances, we may not have the right to control the preparation, filing and prosecution of patent applications, or to maintain the patents, covering technology that we license from third parties, or such activities, if controlled by us, may require the input of such third parties. We may also require the cooperation of our licensors and collaborators to enforce any licensed patent rights, and such cooperation may not be provided. Therefore, these patents and patent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or expiration of licensed patents or patent applications, could seriously harm our business.</w:t>
      </w:r>
    </w:p>
    <w:p>
      <w:pPr>
        <w:spacing w:after="0" w:line="180" w:lineRule="exact"/>
        <w:rPr>
          <w:sz w:val="20"/>
          <w:szCs w:val="20"/>
          <w:color w:val="auto"/>
        </w:rPr>
      </w:pPr>
    </w:p>
    <w:p>
      <w:pPr>
        <w:ind w:left="120" w:right="80" w:firstLine="551"/>
        <w:spacing w:after="0" w:line="241" w:lineRule="auto"/>
        <w:rPr>
          <w:sz w:val="20"/>
          <w:szCs w:val="20"/>
          <w:color w:val="auto"/>
        </w:rPr>
      </w:pPr>
      <w:r>
        <w:rPr>
          <w:rFonts w:ascii="Arial" w:cs="Arial" w:eastAsia="Arial" w:hAnsi="Arial"/>
          <w:sz w:val="18"/>
          <w:szCs w:val="18"/>
          <w:color w:val="auto"/>
        </w:rPr>
        <w:t>Furthermore, our owned and in-licensed intellectual property rights may be subject to a reservation of rights by one or more third parties. For example, the research resulting in certain of our in-licensed patent rights and technology was funded in part by the U.S.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5" w:right="47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8" w:lineRule="auto"/>
        <w:rPr>
          <w:sz w:val="20"/>
          <w:szCs w:val="20"/>
          <w:color w:val="auto"/>
        </w:rPr>
      </w:pPr>
      <w:r>
        <w:rPr>
          <w:rFonts w:ascii="Arial" w:cs="Arial" w:eastAsia="Arial" w:hAnsi="Arial"/>
          <w:sz w:val="18"/>
          <w:szCs w:val="18"/>
          <w:color w:val="auto"/>
        </w:rPr>
        <w:t>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such rights could seriously harm our business.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lives of our patents may not be sufficient to effectively protect our product candidates and business.</w:t>
      </w:r>
    </w:p>
    <w:p>
      <w:pPr>
        <w:spacing w:after="0" w:line="104"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Patents have a limited lifespan. In the United States, the natural expiration of a patent is generally 20 years after its first effective non-provisional filing date. Although various extensions may be available, the life of a patent, and the protection it affords, is limited. Even if patents covering our product candidates, proprietary technologies and their uses are obtained, once the patent life has expired, we may be open to competition. In addition, although upon issuance in the United States a patent’s life can be extended based on certain delays caused by the USPTO and clinical development, this extension can be reduced or eliminated based on certain delays caused by the patent applicant during patent prosecution. Given the amount of time required for the development, testing and regulatory review of new product candidates, patents protecting such candidates might expire before or shortly after such candidates are commercialized. If we do not have sufficient patent life to protect our product candidates, proprietary technologies and their uses, our business would be seriously harmed.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would be seriously harmed.</w:t>
      </w:r>
    </w:p>
    <w:p>
      <w:pPr>
        <w:spacing w:after="0" w:line="104" w:lineRule="exact"/>
        <w:rPr>
          <w:sz w:val="20"/>
          <w:szCs w:val="20"/>
          <w:color w:val="auto"/>
        </w:rPr>
      </w:pPr>
    </w:p>
    <w:p>
      <w:pPr>
        <w:ind w:left="120" w:right="20" w:firstLine="551"/>
        <w:spacing w:after="0" w:line="252" w:lineRule="auto"/>
        <w:rPr>
          <w:sz w:val="20"/>
          <w:szCs w:val="20"/>
          <w:color w:val="auto"/>
        </w:rPr>
      </w:pPr>
      <w:r>
        <w:rPr>
          <w:rFonts w:ascii="Arial" w:cs="Arial" w:eastAsia="Arial" w:hAnsi="Arial"/>
          <w:sz w:val="17"/>
          <w:szCs w:val="17"/>
          <w:color w:val="auto"/>
        </w:rPr>
        <w:t>We rely on the protection of our trade secrets, including unpatented know-how, technology and other proprietary information to maintain our competitive position. We have taken steps to protect our trade secrets and unpatented know-how, including entering into confidentiality agreements with third parties, and confidential information and inventions agreements with employees and consultants. In addition to contractual measures, we try to protect the confidential nature of our proprietary information using commonly accepted physical and technological security measures. Despite these efforts, we cannot provide any assurances that all such agreements have been duly executed, and any of these parties may breach the agreements and disclose our proprietary information, including our trade secrets, and we may not be able to obtain adequate remedies for such breaches. In addition, such security measures may not provide adequate protection for our proprietary information, for example, in the case of misappropriation of a trade secret by an employee, consultant, customer or third party with authorized access. Our security measures may not prevent an employee, consultant, collaborator or customer or third party from misappropriating our trade secrets and providing them to a competitor, and recourse we take against such misconduct may not provide an adequate remedy to protect our interests fully. Monitoring unauthorized uses and disclosures is difficult, and we do not know whether the steps we have taken to protect our proprietary technologies will be effective. Unauthorized parties may also attempt to copy or reverse engineer certain aspects of our product candidates that we consider proprietary. Enforcing a claim that a party illegally disclosed or misappropriated a trade secret can be difficult, expensive and time-consuming, and the outcome is unpredictable. Even though we use commonly accepted security measures, the criteria for protection of trade secrets can vary among different jurisdictions.</w:t>
      </w:r>
    </w:p>
    <w:p>
      <w:pPr>
        <w:spacing w:after="0" w:line="175"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In addition, some courts inside and outside the United States are less willing or unwilling to protect trade secrets. Moreover, third parties may still obtain this information or may come upon this or similar information independently, and we would have no right to prevent them from using that technology or information to compete with us. Trade secrets will over time be disseminated within the industry through independent development, the publication of journal articles and the movement of personnel skilled in the art from company to company or academic to industry scientific positions.</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5" w:right="4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Though our agreements with third parties typically restrict the ability of our employees, collaborators, licensors, third-party contractors and consultants to publish data potentially relating to our trade secrets, our agreements may contain certain limited publication rights. If any of our trade secrets were to be lawfully obtained or independently developed by a competitor, we would have no right to prevent such competitor from using that technology or information to compete with us, which could harm our competitive position. Because from time to time we have relied on, and in future expect to rely on third parties in the development, manufacture, and distribution of our product candidates and provision of our services, we must, at times, share trade secrets with them. Despite employing the contractual and other security precautions described above, the need to share trade secrets increases the risk that such trade secrets become known by our competitors, are inadvertently incorporated into the technology of others, or are disclosed or used in violation of these agreements.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91" w:lineRule="exact"/>
        <w:rPr>
          <w:sz w:val="20"/>
          <w:szCs w:val="20"/>
          <w:color w:val="auto"/>
        </w:rPr>
      </w:pPr>
    </w:p>
    <w:p>
      <w:pPr>
        <w:ind w:left="120" w:right="340"/>
        <w:spacing w:after="0" w:line="260" w:lineRule="auto"/>
        <w:rPr>
          <w:sz w:val="20"/>
          <w:szCs w:val="20"/>
          <w:color w:val="auto"/>
        </w:rPr>
      </w:pPr>
      <w:r>
        <w:rPr>
          <w:rFonts w:ascii="Arial" w:cs="Arial" w:eastAsia="Arial" w:hAnsi="Arial"/>
          <w:sz w:val="18"/>
          <w:szCs w:val="18"/>
          <w:b w:val="1"/>
          <w:bCs w:val="1"/>
          <w:i w:val="1"/>
          <w:iCs w:val="1"/>
          <w:color w:val="auto"/>
        </w:rPr>
        <w:t>Our rights to develop and commercialize our product candidates are subject in part to the terms and conditions of licenses granted to us by others, and the patent protection, prosecution and enforcement for some of our product candidates may be dependent on our licensors.</w:t>
      </w:r>
    </w:p>
    <w:p>
      <w:pPr>
        <w:spacing w:after="0" w:line="43"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We currently are reliant upon licenses of certain patent rights and proprietary technology from third parties that are important or necessary to the development of our technology, including technology related to our product candidates. For example, we rely on our exclusive license agreements with U.C. Berkeley for all of our rights with respect to the intellectual property covering certain compositions of matter and methods of use of certain AAV variants related to our research candidates in lead optimization stage. These and other licenses we may enter into in the future may not provide adequate rights to use such intellectual property and technology in all relevant fields of use or in all territories in which we may wish to develop or commercialize our technology and product candidates in the future. As a result, we may not be able to develop and commercialize our technology and product candidates in fields of use and territories for which we are not granted rights pursuant to such licenses.</w:t>
      </w:r>
    </w:p>
    <w:p>
      <w:pPr>
        <w:spacing w:after="0" w:line="180" w:lineRule="exact"/>
        <w:rPr>
          <w:sz w:val="20"/>
          <w:szCs w:val="20"/>
          <w:color w:val="auto"/>
        </w:rPr>
      </w:pPr>
    </w:p>
    <w:p>
      <w:pPr>
        <w:ind w:left="120" w:right="60" w:firstLine="551"/>
        <w:spacing w:after="0" w:line="276" w:lineRule="auto"/>
        <w:rPr>
          <w:sz w:val="20"/>
          <w:szCs w:val="20"/>
          <w:color w:val="auto"/>
        </w:rPr>
      </w:pPr>
      <w:r>
        <w:rPr>
          <w:rFonts w:ascii="Arial" w:cs="Arial" w:eastAsia="Arial" w:hAnsi="Arial"/>
          <w:sz w:val="18"/>
          <w:szCs w:val="18"/>
          <w:color w:val="auto"/>
        </w:rPr>
        <w:t>Licenses to additional third-party technology that may be required for our development programs may not be available in the future or may not be available on commercially reasonable terms, which could seriously harm our business.</w:t>
      </w:r>
    </w:p>
    <w:p>
      <w:pPr>
        <w:spacing w:after="0" w:line="145" w:lineRule="exact"/>
        <w:rPr>
          <w:sz w:val="20"/>
          <w:szCs w:val="20"/>
          <w:color w:val="auto"/>
        </w:rPr>
      </w:pPr>
    </w:p>
    <w:p>
      <w:pPr>
        <w:ind w:left="120" w:right="160" w:firstLine="551"/>
        <w:spacing w:after="0" w:line="239" w:lineRule="auto"/>
        <w:rPr>
          <w:sz w:val="20"/>
          <w:szCs w:val="20"/>
          <w:color w:val="auto"/>
        </w:rPr>
      </w:pPr>
      <w:r>
        <w:rPr>
          <w:rFonts w:ascii="Arial" w:cs="Arial" w:eastAsia="Arial" w:hAnsi="Arial"/>
          <w:sz w:val="18"/>
          <w:szCs w:val="18"/>
          <w:color w:val="auto"/>
        </w:rPr>
        <w:t>In some circumstances, we may not have the right to control the preparation, filing, prosecution and enforcement of patent applications, or to maintain the patents, covering technology that we license from third parties. In addition, some of our agreements with our licensors require us to obtain consent from the licensor before we can enforce patent rights, and our licensor may withhold such consent or may not provide it on a timely basis. Therefore, we cannot be certain that our licensors or collaborators will prosecute, maintain, enforce and defend such intellectual property rights in a manner consistent with the best interests of our business, including by taking reasonable measures to protect the confidentiality of know-how and trade secrets, or by paying all applicable prosecution and maintenance fees related to intellectual property registrations for any of our product candidates. We also cannot be certain that our licensors have drafted or prosecuted the patents and patent applications licensed to us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5" w:right="47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740"/>
        <w:spacing w:after="0" w:line="276" w:lineRule="auto"/>
        <w:rPr>
          <w:sz w:val="20"/>
          <w:szCs w:val="20"/>
          <w:color w:val="auto"/>
        </w:rPr>
      </w:pPr>
      <w:r>
        <w:rPr>
          <w:rFonts w:ascii="Arial" w:cs="Arial" w:eastAsia="Arial" w:hAnsi="Arial"/>
          <w:sz w:val="18"/>
          <w:szCs w:val="18"/>
          <w:color w:val="auto"/>
        </w:rPr>
        <w:t>ability to develop and commercialize products or product candidates may be adversely affected and we may be unable to prevent competitors from making, using and selling competing products.</w:t>
      </w:r>
    </w:p>
    <w:p>
      <w:pPr>
        <w:spacing w:after="0" w:line="14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Our current licenses, and our future licenses likely will, impose various royalty payments, milestones, and other obligations on us. If we fail to comply with any of these obligations, we may be required to pay damages and the licensor may have the right to terminate the license. Termination by the licensor would cause us to lose valuable rights, and could prevent us from developing and commercializing our product candidates and proprietary technologies. Our business would be seriously harmed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Furthermore, if any current or future licenses terminate, or if the underlying patents fail to provide the intended exclusivity, competitors or other third parties may gain the freedom to seek regulatory approval of, and to market, products identical to ours.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royalty obligations we would be required to pay on the sales of future products, if any, the amounts may be significant. The amount of our future royalty obligations will depend on the technology and intellectual property we use in product candidates that we successfully develop and commercialize, if any. Therefore, even if we successfully develop and commercialize any product candidates, we may be unable to achieve or maintain profitability.</w:t>
      </w:r>
    </w:p>
    <w:p>
      <w:pPr>
        <w:spacing w:after="0" w:line="285" w:lineRule="exact"/>
        <w:rPr>
          <w:sz w:val="20"/>
          <w:szCs w:val="20"/>
          <w:color w:val="auto"/>
        </w:rPr>
      </w:pPr>
    </w:p>
    <w:p>
      <w:pPr>
        <w:ind w:left="120" w:right="160"/>
        <w:spacing w:after="0" w:line="285" w:lineRule="auto"/>
        <w:rPr>
          <w:sz w:val="20"/>
          <w:szCs w:val="20"/>
          <w:color w:val="auto"/>
        </w:rPr>
      </w:pPr>
      <w:r>
        <w:rPr>
          <w:rFonts w:ascii="Arial" w:cs="Arial" w:eastAsia="Arial" w:hAnsi="Arial"/>
          <w:sz w:val="18"/>
          <w:szCs w:val="18"/>
          <w:b w:val="1"/>
          <w:bCs w:val="1"/>
          <w:i w:val="1"/>
          <w:iCs w:val="1"/>
          <w:color w:val="auto"/>
        </w:rPr>
        <w:t>If our trademarks and trade names, whether registered in the future or unregistered now, are not adequately protected, then we may not be able to build name recognition in our markets of interest and our business may be adversely affected.</w:t>
      </w:r>
    </w:p>
    <w:p>
      <w:pPr>
        <w:spacing w:after="0" w:line="21"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Any trademarks we may register in the future or any current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the extent any are registered,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seriously harm our business.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5" w:right="4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04" w:lineRule="exact"/>
        <w:rPr>
          <w:sz w:val="20"/>
          <w:szCs w:val="20"/>
          <w:color w:val="auto"/>
        </w:rPr>
      </w:pPr>
    </w:p>
    <w:p>
      <w:pPr>
        <w:ind w:left="120" w:right="380" w:firstLine="551"/>
        <w:spacing w:after="0" w:line="27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0" w:lineRule="exact"/>
        <w:rPr>
          <w:sz w:val="20"/>
          <w:szCs w:val="20"/>
          <w:color w:val="auto"/>
        </w:rPr>
      </w:pPr>
    </w:p>
    <w:p>
      <w:pPr>
        <w:ind w:left="880" w:right="480" w:hanging="224"/>
        <w:spacing w:after="0" w:line="276"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others may be able to make gene therapy products that are similar to our product candidates or utilize similar gene therapy technology but that are not covered by the claims of the patents that we own or have exclusively licensed;</w:t>
      </w:r>
    </w:p>
    <w:p>
      <w:pPr>
        <w:spacing w:after="0" w:line="50" w:lineRule="exact"/>
        <w:rPr>
          <w:rFonts w:ascii="Arial" w:cs="Arial" w:eastAsia="Arial" w:hAnsi="Arial"/>
          <w:sz w:val="18"/>
          <w:szCs w:val="18"/>
          <w:color w:val="auto"/>
        </w:rPr>
      </w:pPr>
    </w:p>
    <w:p>
      <w:pPr>
        <w:ind w:left="880" w:right="120" w:hanging="224"/>
        <w:spacing w:after="0" w:line="276"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or our licensors or future collaborators might not have been the first to make the inventions covered by the issued patents or pending patent applications that we own or have exclusively licensed;</w:t>
      </w:r>
    </w:p>
    <w:p>
      <w:pPr>
        <w:spacing w:after="0" w:line="50" w:lineRule="exact"/>
        <w:rPr>
          <w:rFonts w:ascii="Arial" w:cs="Arial" w:eastAsia="Arial" w:hAnsi="Arial"/>
          <w:sz w:val="18"/>
          <w:szCs w:val="18"/>
          <w:color w:val="auto"/>
        </w:rPr>
      </w:pPr>
    </w:p>
    <w:p>
      <w:pPr>
        <w:ind w:left="880" w:right="760" w:hanging="224"/>
        <w:spacing w:after="0" w:line="276"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or our licensors or future collaborators might not have been the first to file patent applications covering certain of our inventions;</w:t>
      </w:r>
    </w:p>
    <w:p>
      <w:pPr>
        <w:spacing w:after="0" w:line="50" w:lineRule="exact"/>
        <w:rPr>
          <w:rFonts w:ascii="Arial" w:cs="Arial" w:eastAsia="Arial" w:hAnsi="Arial"/>
          <w:sz w:val="18"/>
          <w:szCs w:val="18"/>
          <w:color w:val="auto"/>
        </w:rPr>
      </w:pPr>
    </w:p>
    <w:p>
      <w:pPr>
        <w:ind w:left="880" w:right="180" w:hanging="224"/>
        <w:spacing w:after="0" w:line="276"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17" w:lineRule="exact"/>
        <w:rPr>
          <w:rFonts w:ascii="Arial" w:cs="Arial" w:eastAsia="Arial" w:hAnsi="Arial"/>
          <w:sz w:val="18"/>
          <w:szCs w:val="18"/>
          <w:color w:val="auto"/>
        </w:rPr>
      </w:pPr>
    </w:p>
    <w:p>
      <w:pPr>
        <w:ind w:left="880" w:right="100" w:hanging="224"/>
        <w:spacing w:after="0" w:line="276"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be held invalid or unenforceable, as a result of legal challenges by our competitors;</w:t>
      </w:r>
    </w:p>
    <w:p>
      <w:pPr>
        <w:spacing w:after="0" w:line="50"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Should any of these events occur, they could seriously harm our business.</w:t>
      </w:r>
    </w:p>
    <w:p>
      <w:pPr>
        <w:spacing w:after="0" w:line="320" w:lineRule="exact"/>
        <w:rPr>
          <w:sz w:val="20"/>
          <w:szCs w:val="20"/>
          <w:color w:val="auto"/>
        </w:rPr>
      </w:pPr>
    </w:p>
    <w:p>
      <w:pPr>
        <w:ind w:left="120" w:right="340"/>
        <w:spacing w:after="0" w:line="285"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our products.</w:t>
      </w:r>
    </w:p>
    <w:p>
      <w:pPr>
        <w:spacing w:after="0" w:line="21" w:lineRule="exact"/>
        <w:rPr>
          <w:sz w:val="20"/>
          <w:szCs w:val="20"/>
          <w:color w:val="auto"/>
        </w:rPr>
      </w:pPr>
    </w:p>
    <w:p>
      <w:pPr>
        <w:ind w:left="120" w:right="260" w:firstLine="551"/>
        <w:spacing w:after="0" w:line="248" w:lineRule="auto"/>
        <w:rPr>
          <w:sz w:val="20"/>
          <w:szCs w:val="20"/>
          <w:color w:val="auto"/>
        </w:rPr>
      </w:pPr>
      <w:r>
        <w:rPr>
          <w:rFonts w:ascii="Arial" w:cs="Arial" w:eastAsia="Arial" w:hAnsi="Arial"/>
          <w:sz w:val="18"/>
          <w:szCs w:val="18"/>
          <w:color w:val="auto"/>
        </w:rPr>
        <w:t>Any future collaborations that we enter into may not be successful, such as our collaboration agreements with Pfizer that was terminated in 2018 and with AstraZeneca that concluded in 2020 without AstraZeneca exercising its option. The success of our collaboration arrangements will depend heavily on the efforts and activities of our collaborators. Collaborations are subject to numerous risks, which may include that:</w:t>
      </w:r>
    </w:p>
    <w:p>
      <w:pPr>
        <w:spacing w:after="0" w:line="76" w:lineRule="exact"/>
        <w:rPr>
          <w:sz w:val="20"/>
          <w:szCs w:val="20"/>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collaborations;</w:t>
      </w:r>
    </w:p>
    <w:p>
      <w:pPr>
        <w:spacing w:after="0" w:line="117" w:lineRule="exact"/>
        <w:rPr>
          <w:rFonts w:ascii="Arial" w:cs="Arial" w:eastAsia="Arial" w:hAnsi="Arial"/>
          <w:sz w:val="18"/>
          <w:szCs w:val="18"/>
          <w:color w:val="auto"/>
        </w:rPr>
      </w:pPr>
    </w:p>
    <w:p>
      <w:pPr>
        <w:ind w:left="880" w:right="200" w:hanging="224"/>
        <w:spacing w:after="0" w:line="248"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75" w:lineRule="exact"/>
        <w:rPr>
          <w:rFonts w:ascii="Arial" w:cs="Arial" w:eastAsia="Arial" w:hAnsi="Arial"/>
          <w:sz w:val="18"/>
          <w:szCs w:val="18"/>
          <w:color w:val="auto"/>
        </w:rPr>
      </w:pPr>
    </w:p>
    <w:p>
      <w:pPr>
        <w:ind w:left="880" w:right="160" w:hanging="224"/>
        <w:spacing w:after="0" w:line="276"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and product candidates that compete directly or indirectly with our product candidates;</w:t>
      </w:r>
    </w:p>
    <w:p>
      <w:pPr>
        <w:spacing w:after="0" w:line="50" w:lineRule="exact"/>
        <w:rPr>
          <w:rFonts w:ascii="Arial" w:cs="Arial" w:eastAsia="Arial" w:hAnsi="Arial"/>
          <w:sz w:val="18"/>
          <w:szCs w:val="18"/>
          <w:color w:val="auto"/>
        </w:rPr>
      </w:pPr>
    </w:p>
    <w:p>
      <w:pPr>
        <w:ind w:left="880" w:right="380" w:hanging="224"/>
        <w:spacing w:after="0" w:line="276"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and product candidates may not commit sufficient resources to or otherwise not perform satisfactorily in carrying out these activities;</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5" w:right="4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17" w:lineRule="exact"/>
        <w:rPr>
          <w:rFonts w:ascii="Arial" w:cs="Arial" w:eastAsia="Arial" w:hAnsi="Arial"/>
          <w:sz w:val="18"/>
          <w:szCs w:val="18"/>
          <w:color w:val="auto"/>
        </w:rPr>
      </w:pPr>
    </w:p>
    <w:p>
      <w:pPr>
        <w:ind w:left="880" w:right="80" w:hanging="224"/>
        <w:spacing w:after="0" w:line="255"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9" w:lineRule="exact"/>
        <w:rPr>
          <w:rFonts w:ascii="Arial" w:cs="Arial" w:eastAsia="Arial" w:hAnsi="Arial"/>
          <w:sz w:val="18"/>
          <w:szCs w:val="18"/>
          <w:color w:val="auto"/>
        </w:rPr>
      </w:pPr>
    </w:p>
    <w:p>
      <w:pPr>
        <w:jc w:val="both"/>
        <w:ind w:left="880" w:right="800" w:hanging="224"/>
        <w:spacing w:after="0" w:line="255"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disputes may arise between us and a collaborator that causes the delay or termination of the research, development or commercialization of our current or future product candidates or that results in costly litigation or arbitration that diverts management attention and resources;</w:t>
      </w:r>
    </w:p>
    <w:p>
      <w:pPr>
        <w:spacing w:after="0" w:line="69" w:lineRule="exact"/>
        <w:rPr>
          <w:rFonts w:ascii="Arial" w:cs="Arial" w:eastAsia="Arial" w:hAnsi="Arial"/>
          <w:sz w:val="18"/>
          <w:szCs w:val="18"/>
          <w:color w:val="auto"/>
        </w:rPr>
      </w:pPr>
    </w:p>
    <w:p>
      <w:pPr>
        <w:ind w:left="880" w:right="340" w:hanging="224"/>
        <w:spacing w:after="0" w:line="255"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adversely affect the price of our common stock and may result in a need for additional capital to pursue further development or commercialization of the applicable current or future product candidates;</w:t>
      </w:r>
    </w:p>
    <w:p>
      <w:pPr>
        <w:spacing w:after="0" w:line="69" w:lineRule="exact"/>
        <w:rPr>
          <w:rFonts w:ascii="Arial" w:cs="Arial" w:eastAsia="Arial" w:hAnsi="Arial"/>
          <w:sz w:val="18"/>
          <w:szCs w:val="18"/>
          <w:color w:val="auto"/>
        </w:rPr>
      </w:pPr>
    </w:p>
    <w:p>
      <w:pPr>
        <w:ind w:left="880" w:right="300" w:hanging="224"/>
        <w:spacing w:after="0" w:line="306" w:lineRule="auto"/>
        <w:tabs>
          <w:tab w:leader="none" w:pos="8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collaborators may own or co-own intellectual property covering our product candidates that results from our collaborating with them, and in such cases, we would not have the exclusive right to develop or commercialize such intellectual property; and</w:t>
      </w:r>
    </w:p>
    <w:p>
      <w:pPr>
        <w:spacing w:after="0" w:line="28" w:lineRule="exact"/>
        <w:rPr>
          <w:rFonts w:ascii="Arial" w:cs="Arial" w:eastAsia="Arial" w:hAnsi="Arial"/>
          <w:sz w:val="17"/>
          <w:szCs w:val="17"/>
          <w:color w:val="auto"/>
        </w:rPr>
      </w:pPr>
    </w:p>
    <w:p>
      <w:pPr>
        <w:ind w:left="880" w:right="60" w:hanging="224"/>
        <w:spacing w:after="0" w:line="276"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Operations</w:t>
      </w:r>
    </w:p>
    <w:p>
      <w:pPr>
        <w:spacing w:after="0" w:line="214" w:lineRule="exact"/>
        <w:rPr>
          <w:sz w:val="20"/>
          <w:szCs w:val="20"/>
          <w:color w:val="auto"/>
        </w:rPr>
      </w:pPr>
    </w:p>
    <w:p>
      <w:pPr>
        <w:ind w:left="120" w:right="660"/>
        <w:spacing w:after="0" w:line="285"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21"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Our ability to compete in the highly competitive biotechnology and pharmaceutical industries depends upon our ability to attract, motivate and retain highly qualified managerial, scientific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p>
    <w:p>
      <w:pPr>
        <w:spacing w:after="0" w:line="170" w:lineRule="exact"/>
        <w:rPr>
          <w:sz w:val="20"/>
          <w:szCs w:val="20"/>
          <w:color w:val="auto"/>
        </w:rPr>
      </w:pPr>
    </w:p>
    <w:p>
      <w:pPr>
        <w:ind w:left="120" w:right="80" w:firstLine="551"/>
        <w:spacing w:after="0" w:line="248" w:lineRule="auto"/>
        <w:rPr>
          <w:sz w:val="20"/>
          <w:szCs w:val="20"/>
          <w:color w:val="auto"/>
        </w:rPr>
      </w:pPr>
      <w:r>
        <w:rPr>
          <w:rFonts w:ascii="Arial" w:cs="Arial" w:eastAsia="Arial" w:hAnsi="Arial"/>
          <w:sz w:val="18"/>
          <w:szCs w:val="18"/>
          <w:color w:val="auto"/>
        </w:rPr>
        <w:t>We conduct our operations at our facilities in Emeryville, California,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p>
    <w:p>
      <w:pPr>
        <w:spacing w:after="0" w:line="170"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To induce valuable employees to remain at our company, in addition to salary and cash incentives, we have provided stock option grants. The value to employees of these equity grants that vest over time may be significantly affected by movements in our stock price that are beyond our control, and may at any time be insufficient to counteract more lucrative offers from other companies. In addition, our employees are employed at-will, which means that any of our employees could leave our employment at any time, with or without notice. If we are unable to attract, incentivize and retain quality personnel on acceptable terms, or at all, it could seriously harm our business.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will need to grow the size and capabilities of our organization, and we may experience difficulties in managing this growth.</w:t>
      </w:r>
    </w:p>
    <w:p>
      <w:pPr>
        <w:spacing w:after="0" w:line="104" w:lineRule="exact"/>
        <w:rPr>
          <w:sz w:val="20"/>
          <w:szCs w:val="20"/>
          <w:color w:val="auto"/>
        </w:rPr>
      </w:pPr>
    </w:p>
    <w:p>
      <w:pPr>
        <w:ind w:left="120" w:right="100" w:firstLine="551"/>
        <w:spacing w:after="0" w:line="276" w:lineRule="auto"/>
        <w:rPr>
          <w:sz w:val="20"/>
          <w:szCs w:val="20"/>
          <w:color w:val="auto"/>
        </w:rPr>
      </w:pPr>
      <w:r>
        <w:rPr>
          <w:rFonts w:ascii="Arial" w:cs="Arial" w:eastAsia="Arial" w:hAnsi="Arial"/>
          <w:sz w:val="18"/>
          <w:szCs w:val="18"/>
          <w:color w:val="auto"/>
        </w:rPr>
        <w:t>As of September 30, 2020, we had 78 full-time employees. As our development plans and strategies develop, and as we transition into operating as a public company, we must add a significant</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5" w:right="4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76" w:lineRule="auto"/>
        <w:rPr>
          <w:sz w:val="20"/>
          <w:szCs w:val="20"/>
          <w:color w:val="auto"/>
        </w:rPr>
      </w:pPr>
      <w:r>
        <w:rPr>
          <w:rFonts w:ascii="Arial" w:cs="Arial" w:eastAsia="Arial" w:hAnsi="Arial"/>
          <w:sz w:val="18"/>
          <w:szCs w:val="18"/>
          <w:color w:val="auto"/>
        </w:rPr>
        <w:t>number of additional managerial, operational, financial and other personnel. Future growth will impose significant added responsibilities on members of management, including:</w:t>
      </w:r>
    </w:p>
    <w:p>
      <w:pPr>
        <w:spacing w:after="0" w:line="50" w:lineRule="exact"/>
        <w:rPr>
          <w:sz w:val="20"/>
          <w:szCs w:val="20"/>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identifying, recruiting, integrating, retaining and motivating additional employees;</w:t>
      </w:r>
    </w:p>
    <w:p>
      <w:pPr>
        <w:spacing w:after="0" w:line="117" w:lineRule="exact"/>
        <w:rPr>
          <w:rFonts w:ascii="Arial" w:cs="Arial" w:eastAsia="Arial" w:hAnsi="Arial"/>
          <w:sz w:val="18"/>
          <w:szCs w:val="18"/>
          <w:color w:val="auto"/>
        </w:rPr>
      </w:pPr>
    </w:p>
    <w:p>
      <w:pPr>
        <w:ind w:left="880" w:right="300" w:hanging="224"/>
        <w:spacing w:after="0" w:line="276"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FDA review process for our current and future product candidates, while complying with our contractual obligations to contractors and other third parties;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expanding our operational, financial and management controls, reporting systems and procedures;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managing increasing operational and managerial complexity.</w:t>
      </w:r>
    </w:p>
    <w:p>
      <w:pPr>
        <w:spacing w:after="0" w:line="212" w:lineRule="exact"/>
        <w:rPr>
          <w:sz w:val="20"/>
          <w:szCs w:val="20"/>
          <w:color w:val="auto"/>
        </w:rPr>
      </w:pPr>
    </w:p>
    <w:p>
      <w:pPr>
        <w:ind w:left="120" w:right="120" w:firstLine="551"/>
        <w:spacing w:after="0" w:line="255" w:lineRule="auto"/>
        <w:rPr>
          <w:sz w:val="20"/>
          <w:szCs w:val="20"/>
          <w:color w:val="auto"/>
        </w:rPr>
      </w:pPr>
      <w:r>
        <w:rPr>
          <w:rFonts w:ascii="Arial" w:cs="Arial" w:eastAsia="Arial" w:hAnsi="Arial"/>
          <w:sz w:val="18"/>
          <w:szCs w:val="18"/>
          <w:color w:val="auto"/>
        </w:rPr>
        <w:t>Our future financial performance and 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manage these growth activities.</w:t>
      </w:r>
    </w:p>
    <w:p>
      <w:pPr>
        <w:spacing w:after="0" w:line="164" w:lineRule="exact"/>
        <w:rPr>
          <w:sz w:val="20"/>
          <w:szCs w:val="20"/>
          <w:color w:val="auto"/>
        </w:rPr>
      </w:pPr>
    </w:p>
    <w:p>
      <w:pPr>
        <w:ind w:left="120" w:right="140" w:firstLine="551"/>
        <w:spacing w:after="0" w:line="258" w:lineRule="auto"/>
        <w:rPr>
          <w:sz w:val="20"/>
          <w:szCs w:val="20"/>
          <w:color w:val="auto"/>
        </w:rPr>
      </w:pPr>
      <w:r>
        <w:rPr>
          <w:rFonts w:ascii="Arial" w:cs="Arial" w:eastAsia="Arial" w:hAnsi="Arial"/>
          <w:sz w:val="17"/>
          <w:szCs w:val="17"/>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163" w:lineRule="exact"/>
        <w:rPr>
          <w:sz w:val="20"/>
          <w:szCs w:val="20"/>
          <w:color w:val="auto"/>
        </w:rPr>
      </w:pPr>
    </w:p>
    <w:p>
      <w:pPr>
        <w:ind w:left="120" w:right="360" w:firstLine="551"/>
        <w:spacing w:after="0" w:line="255"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our product candidates and, accordingly, may not achieve our research, development and commercialization goals.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04" w:lineRule="exact"/>
        <w:rPr>
          <w:sz w:val="20"/>
          <w:szCs w:val="20"/>
          <w:color w:val="auto"/>
        </w:rPr>
      </w:pPr>
    </w:p>
    <w:p>
      <w:pPr>
        <w:ind w:left="120" w:firstLine="551"/>
        <w:spacing w:after="0" w:line="255"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Portions of our future clinical trials may be conducted outside of the United States and unfavorable economic conditions resulting in the weakening of the U.S. dollar would make those clinical trials more costly to operate. Furthermore, a severe or prolonged economic downturn, including a recession or depression resulting from the current COVID-19 pandemic or political disruption could result in a variety of risks to our business, including weakened demand for our product candidates or any future product candidates, if approved, and our ability to raise additional capital when needed on acceptable terms, if at all. A weak or declining economy or political disruption, including any international trade disputes, could also strain our manufacturers or suppliers, possibly resulting in supply disruption, or cause our customers to delay making payments for our potential products. Any of the foregoing could seriously harm our business, and we cannot anticipate all of the ways in which the political or economic climate and financial market conditions could seriously harm our business.</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5" w:right="4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160"/>
        <w:spacing w:after="0" w:line="260"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this prospectus may prove to be inaccurate, and even if the markets in which we compete achieve the forecasted growth, our business may not grow at similar rates, or at all.</w:t>
      </w:r>
    </w:p>
    <w:p>
      <w:pPr>
        <w:spacing w:after="0" w:line="43"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Market opportunity estimates and growth forecasts included in this prospectus are subject to significant uncertainty and are based on assumptions and estimates which may not prove to be accurate. The estimates and forecasts included in this prospectus relating to size and expected growth of our target market may prove to be inaccurate. Even if the markets in which we compete meet the size estimates and growth forecasts included in this prospectus, our business may not grow at similar rates, or at all. Our growth is subject to many factors, including our success in implementing our business strategy, which is subject to many risks and uncertainties.</w:t>
      </w:r>
    </w:p>
    <w:p>
      <w:pPr>
        <w:spacing w:after="0" w:line="280" w:lineRule="exact"/>
        <w:rPr>
          <w:sz w:val="20"/>
          <w:szCs w:val="20"/>
          <w:color w:val="auto"/>
        </w:rPr>
      </w:pPr>
    </w:p>
    <w:p>
      <w:pPr>
        <w:ind w:left="120" w:right="440"/>
        <w:spacing w:after="0" w:line="285" w:lineRule="auto"/>
        <w:rPr>
          <w:sz w:val="20"/>
          <w:szCs w:val="20"/>
          <w:color w:val="auto"/>
        </w:rPr>
      </w:pPr>
      <w:r>
        <w:rPr>
          <w:rFonts w:ascii="Arial" w:cs="Arial" w:eastAsia="Arial" w:hAnsi="Arial"/>
          <w:sz w:val="18"/>
          <w:szCs w:val="18"/>
          <w:b w:val="1"/>
          <w:bCs w:val="1"/>
          <w:i w:val="1"/>
          <w:iCs w:val="1"/>
          <w:color w:val="auto"/>
        </w:rPr>
        <w:t>If we engage in acquisitions or strategic partnerships, this may increase our capital requirements, dilute our stockholders, cause us to incur debt or assume contingent liabilities and subject us to other risks.</w:t>
      </w:r>
    </w:p>
    <w:p>
      <w:pPr>
        <w:spacing w:after="0" w:line="21" w:lineRule="exact"/>
        <w:rPr>
          <w:sz w:val="20"/>
          <w:szCs w:val="20"/>
          <w:color w:val="auto"/>
        </w:rPr>
      </w:pPr>
    </w:p>
    <w:p>
      <w:pPr>
        <w:ind w:left="120" w:right="280" w:firstLine="551"/>
        <w:spacing w:after="0" w:line="255" w:lineRule="auto"/>
        <w:rPr>
          <w:sz w:val="20"/>
          <w:szCs w:val="20"/>
          <w:color w:val="auto"/>
        </w:rPr>
      </w:pPr>
      <w:r>
        <w:rPr>
          <w:rFonts w:ascii="Arial" w:cs="Arial" w:eastAsia="Arial" w:hAnsi="Arial"/>
          <w:sz w:val="18"/>
          <w:szCs w:val="18"/>
          <w:color w:val="auto"/>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p>
    <w:p>
      <w:pPr>
        <w:spacing w:after="0" w:line="69" w:lineRule="exact"/>
        <w:rPr>
          <w:sz w:val="20"/>
          <w:szCs w:val="20"/>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assumption of indebtedness or contingent liabilities;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issuance of our equity securities which would result in dilution to our stockholders;</w:t>
      </w:r>
    </w:p>
    <w:p>
      <w:pPr>
        <w:spacing w:after="0" w:line="117" w:lineRule="exact"/>
        <w:rPr>
          <w:rFonts w:ascii="Arial" w:cs="Arial" w:eastAsia="Arial" w:hAnsi="Arial"/>
          <w:sz w:val="18"/>
          <w:szCs w:val="18"/>
          <w:color w:val="auto"/>
        </w:rPr>
      </w:pPr>
    </w:p>
    <w:p>
      <w:pPr>
        <w:ind w:left="880" w:right="160" w:hanging="224"/>
        <w:spacing w:after="0" w:line="276"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assimilation of operations, intellectual property, products and product candidates of an acquired company, including difficulties associated with integrating new personnel;</w:t>
      </w:r>
    </w:p>
    <w:p>
      <w:pPr>
        <w:spacing w:after="0" w:line="50" w:lineRule="exact"/>
        <w:rPr>
          <w:rFonts w:ascii="Arial" w:cs="Arial" w:eastAsia="Arial" w:hAnsi="Arial"/>
          <w:sz w:val="18"/>
          <w:szCs w:val="18"/>
          <w:color w:val="auto"/>
        </w:rPr>
      </w:pPr>
    </w:p>
    <w:p>
      <w:pPr>
        <w:ind w:left="880" w:right="40" w:hanging="224"/>
        <w:spacing w:after="0" w:line="276"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candidates and initiatives in pursuing such an acquisition or strategic partnership;</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17" w:lineRule="exact"/>
        <w:rPr>
          <w:rFonts w:ascii="Arial" w:cs="Arial" w:eastAsia="Arial" w:hAnsi="Arial"/>
          <w:sz w:val="18"/>
          <w:szCs w:val="18"/>
          <w:color w:val="auto"/>
        </w:rPr>
      </w:pPr>
    </w:p>
    <w:p>
      <w:pPr>
        <w:ind w:left="880" w:right="460" w:hanging="224"/>
        <w:spacing w:after="0" w:line="276"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50"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145" w:lineRule="exact"/>
        <w:rPr>
          <w:sz w:val="20"/>
          <w:szCs w:val="20"/>
          <w:color w:val="auto"/>
        </w:rPr>
      </w:pPr>
    </w:p>
    <w:p>
      <w:pPr>
        <w:ind w:left="120" w:right="300" w:firstLine="551"/>
        <w:spacing w:after="0" w:line="276" w:lineRule="auto"/>
        <w:rPr>
          <w:sz w:val="20"/>
          <w:szCs w:val="20"/>
          <w:color w:val="auto"/>
        </w:rPr>
      </w:pPr>
      <w:r>
        <w:rPr>
          <w:rFonts w:ascii="Arial" w:cs="Arial" w:eastAsia="Arial" w:hAnsi="Arial"/>
          <w:sz w:val="18"/>
          <w:szCs w:val="18"/>
          <w:color w:val="auto"/>
        </w:rPr>
        <w:t>In addition, if we undertake such a transaction, we may incur large one-time expenses and acquire intangible assets that could result in significant future amortization expense.</w:t>
      </w:r>
    </w:p>
    <w:p>
      <w:pPr>
        <w:spacing w:after="0" w:line="253" w:lineRule="exact"/>
        <w:rPr>
          <w:sz w:val="20"/>
          <w:szCs w:val="20"/>
          <w:color w:val="auto"/>
        </w:rPr>
      </w:pPr>
    </w:p>
    <w:p>
      <w:pPr>
        <w:ind w:left="120" w:right="700"/>
        <w:spacing w:after="0" w:line="285" w:lineRule="auto"/>
        <w:rPr>
          <w:sz w:val="20"/>
          <w:szCs w:val="20"/>
          <w:color w:val="auto"/>
        </w:rPr>
      </w:pPr>
      <w:r>
        <w:rPr>
          <w:rFonts w:ascii="Arial" w:cs="Arial" w:eastAsia="Arial" w:hAnsi="Arial"/>
          <w:sz w:val="18"/>
          <w:szCs w:val="18"/>
          <w:b w:val="1"/>
          <w:bCs w:val="1"/>
          <w:i w:val="1"/>
          <w:iCs w:val="1"/>
          <w:color w:val="auto"/>
        </w:rPr>
        <w:t>Our information technology systems, or those used by our third-party research institution collaborators, CROs or other contractors or consultants, may fail or suffer security breaches and other disruptions.</w:t>
      </w:r>
    </w:p>
    <w:p>
      <w:pPr>
        <w:spacing w:after="0" w:line="21"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We have experienced cyberattacks, including a phishing attack in September 2019 in which the email account of a single non-officer employee was compromised. Our security controls detected the compromise, and we were able to block the unauthorized access, but not before the attacker was able to use the account to send out additional phishing emails. We do not believe the phishing attack was a material incursion because, among other reasons, we believe that none of our data was accessed or compromised, and we have not incurred any related material remediation costs. Despite the</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20"/>
          </w:cols>
          <w:pgMar w:left="320" w:top="455" w:right="5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implementation of security measures like those that detected the phishing attack, our internal information technology systems and those of our collaborators, future CROs and other contractors and consultants may be vulnerable to damage from computer viruses, natural disasters, terrorism, war, telecommunication and electrical failures, hacking, cyberattacks, phishing attacks and other social engineering schemes, denial or degradation of service attacks, unauthorized access or use,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The costs to us to investigate and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negative publicity and other harm to our business and our competitive position. Although to our knowledge we have not experienced any such material system failure or security breach to date, if such an event were to occur and cause interruptions in our operations, it could result in a material disruption of our development programs and our business operations, whether due to a loss, corruption or unauthorized disclosure of our trade secrets, personal data or other proprietary or sensitive information or other similar disruptions.</w:t>
      </w:r>
    </w:p>
    <w:p>
      <w:pPr>
        <w:spacing w:after="0" w:line="177"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For example, the loss of clinical trial data from completed, ongoing or future clinical trials could result in delays in our regulatory approval efforts and significantly increase our costs to recover or reproduce the data. If a security breach or other incident were to result in the unauthorized access to or unauthorized use, disclosure, release or other processing of clinical trial data or personal data, it may be necessary to notify individuals, governmental authorities, supervisory bodies, the media, and other parties pursuant to privacy and security laws. Likewise, we rely on our third-party research institution collaborators for research and development of our product candidates and other third parties for the manufacture of our product candidates and to conduct clinical trials, and similar events relating to their information technology systems could also seriously harm our business. Any security compromise affecting us, our partners or our industry, whether real or perceived, could harm our reputation, erode confidence in the effectiveness of our security measures, and lead to regulatory scrutiny. To the extent that any disruption or security breach were to result in a loss of, or damage to, our data or systems, or inappropriate disclosure of confidential or proprietary or personal information, we could incur liability, our competitive position could be harmed, and the further development and commercialization of our product candidates could be delayed.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disruptions could seriously harm our business.</w:t>
      </w:r>
    </w:p>
    <w:p>
      <w:pPr>
        <w:spacing w:after="0" w:line="104" w:lineRule="exact"/>
        <w:rPr>
          <w:sz w:val="20"/>
          <w:szCs w:val="20"/>
          <w:color w:val="auto"/>
        </w:rPr>
      </w:pPr>
    </w:p>
    <w:p>
      <w:pPr>
        <w:ind w:left="120" w:right="80" w:firstLine="551"/>
        <w:spacing w:after="0" w:line="243" w:lineRule="auto"/>
        <w:rPr>
          <w:sz w:val="20"/>
          <w:szCs w:val="20"/>
          <w:color w:val="auto"/>
        </w:rPr>
      </w:pPr>
      <w:r>
        <w:rPr>
          <w:rFonts w:ascii="Arial" w:cs="Arial" w:eastAsia="Arial" w:hAnsi="Arial"/>
          <w:sz w:val="18"/>
          <w:szCs w:val="18"/>
          <w:color w:val="auto"/>
        </w:rPr>
        <w:t>Our operations, and those of our CROs, CMOs,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business.</w:t>
      </w:r>
    </w:p>
    <w:p>
      <w:pPr>
        <w:spacing w:after="0" w:line="174" w:lineRule="exact"/>
        <w:rPr>
          <w:sz w:val="20"/>
          <w:szCs w:val="20"/>
          <w:color w:val="auto"/>
        </w:rPr>
      </w:pPr>
    </w:p>
    <w:p>
      <w:pPr>
        <w:ind w:left="120" w:right="260" w:firstLine="551"/>
        <w:spacing w:after="0" w:line="243" w:lineRule="auto"/>
        <w:rPr>
          <w:sz w:val="20"/>
          <w:szCs w:val="20"/>
          <w:color w:val="auto"/>
        </w:rPr>
      </w:pPr>
      <w:r>
        <w:rPr>
          <w:rFonts w:ascii="Arial" w:cs="Arial" w:eastAsia="Arial" w:hAnsi="Arial"/>
          <w:sz w:val="18"/>
          <w:szCs w:val="18"/>
          <w:color w:val="auto"/>
        </w:rPr>
        <w:t>All of our operations including our corporate headquarters are located in multiple facilities in Emeryville, California. Damage or extended periods of interruption to our corporate, development or research facilities due to fire, earthquake and other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could be seriously harmed by such delays and interruption.</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00"/>
          </w:cols>
          <w:pgMar w:left="320" w:top="455" w:right="47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80"/>
        <w:spacing w:after="0" w:line="285" w:lineRule="auto"/>
        <w:rPr>
          <w:sz w:val="20"/>
          <w:szCs w:val="20"/>
          <w:color w:val="auto"/>
        </w:rPr>
      </w:pPr>
      <w:r>
        <w:rPr>
          <w:rFonts w:ascii="Arial" w:cs="Arial" w:eastAsia="Arial" w:hAnsi="Arial"/>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21"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United States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seriously harm our business.</w:t>
      </w:r>
    </w:p>
    <w:p>
      <w:pPr>
        <w:spacing w:after="0" w:line="17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As our operations and business grow, we may become subject to or affected by new or additional data protection laws and regulations and face increased scrutiny or attention from regulatory authorities. In the United States, HIPAA, as amended by the Health Information Technology for Economic and Clinical Health Act of 2009, and regulations implemented thereunder, imposes, among other things, certain standards on certain health care providers, health plans, and health care clearinghouses, known as covered entities, as well as their business associates that perform certain services that involve creating, receiving, maintaining or transmitting individually identifiable health information for or on behalf of such covered entities. Entities that are found to be in violation of HIPAA as the result of a breach of unsecured protected health information,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Such laws and regulations will be subject to interpretation by various courts and other governmental authorities, thus creating potentially complex compliance issues for us and our future customers and strategic partners. In addition, California enacted the California Consumer Privacy Act (CCPA) on June 28, 2018, which went into effect on January 1, 2020. The CCPA creates individual privacy rights for California consumers and increases the privacy and security obligations of entities handling certain personal data.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In the event that we are subject to or affected by HIPAA, the CCPA or other domestic privacy and data protection laws, any liability from failure to comply with the requirements of these laws could adversely affect our financial condition. In Europe, the GDPR went into effect in May 2018 and introduces strict requirements for processing the personal data of individuals within the European Economic Area (EEA) and the United Kingdom. The law is also developing rapidly and, in July 2020, the Court of Justice of the European Union limited how organizations could lawfully transfer personal data from the EU to the U.S. by invalidating the EU-U.S. Privacy Shield as a basis for transfers of personal data from the EU to the U.S. and raising questions about the continued validity of one of the primary alternatives to the EU-U.S. Privacy Shield, namely the European Commission’s Standard Contractual Clauses. At present, there are few, if any, viable alternatives to the EU-U.S. Privacy Shield and the Standard Contractual Clauses. Inability to transfer personal information from the European Union, Switzerland or United Kingdom to the United States or elsewhere, may restrict our activities in those jurisdictions and limit our ability to provide our products and services in those</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5" w:right="4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48" w:lineRule="auto"/>
        <w:rPr>
          <w:sz w:val="20"/>
          <w:szCs w:val="20"/>
          <w:color w:val="auto"/>
        </w:rPr>
      </w:pPr>
      <w:r>
        <w:rPr>
          <w:rFonts w:ascii="Arial" w:cs="Arial" w:eastAsia="Arial" w:hAnsi="Arial"/>
          <w:sz w:val="18"/>
          <w:szCs w:val="18"/>
          <w:color w:val="auto"/>
        </w:rPr>
        <w:t xml:space="preserve">jurisdictions. Companies that must comply with the GDPR face increased compliance obligations and risk, including more robust regulatory enforcement of data protection requirements and potential fines for noncompliance of up to </w:t>
      </w:r>
      <w:r>
        <w:rPr>
          <w:rFonts w:ascii="Times New Roman" w:cs="Times New Roman" w:eastAsia="Times New Roman" w:hAnsi="Times New Roman"/>
          <w:sz w:val="18"/>
          <w:szCs w:val="18"/>
          <w:color w:val="auto"/>
        </w:rPr>
        <w:t>€</w:t>
      </w:r>
      <w:r>
        <w:rPr>
          <w:rFonts w:ascii="Arial" w:cs="Arial" w:eastAsia="Arial" w:hAnsi="Arial"/>
          <w:sz w:val="18"/>
          <w:szCs w:val="18"/>
          <w:color w:val="auto"/>
        </w:rPr>
        <w:t>20 million or 4% of the annual global revenues of the noncompliant company, whichever is greater. Relatedly, following the departure of the United Kingdom from the EU after the expiry of the transition period, the United Kingdom will operate a separate but similar regime to the EU, which allows for fines of up to £17.5 million or 4% of the total worldwide annual turnover of the preceding financial year.</w:t>
      </w:r>
    </w:p>
    <w:p>
      <w:pPr>
        <w:spacing w:after="0" w:line="172"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CROs, collaborators, or other third parties to comply with such requirements or adequately address privacy and security concerns, even if unfounded, could result in additional cost and liability to us, damage our reputation, and seriously harm our business.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04" w:lineRule="exact"/>
        <w:rPr>
          <w:sz w:val="20"/>
          <w:szCs w:val="20"/>
          <w:color w:val="auto"/>
        </w:rPr>
      </w:pPr>
    </w:p>
    <w:p>
      <w:pPr>
        <w:ind w:left="120" w:right="180" w:firstLine="551"/>
        <w:spacing w:after="0" w:line="239" w:lineRule="auto"/>
        <w:rPr>
          <w:sz w:val="20"/>
          <w:szCs w:val="20"/>
          <w:color w:val="auto"/>
        </w:rPr>
      </w:pPr>
      <w:r>
        <w:rPr>
          <w:rFonts w:ascii="Arial" w:cs="Arial" w:eastAsia="Arial" w:hAnsi="Arial"/>
          <w:sz w:val="18"/>
          <w:szCs w:val="18"/>
          <w:color w:val="auto"/>
        </w:rPr>
        <w:t>Under Sections 382 and 383 of the United States Internal Revenue Code of 1986, as amended (the Code), if a corporation undergoes an “ownership change” (generally defined as a greater than 50-percentage-point cumulative change (by value) in the equity ownership of certain stockholders over a rolling three-year period), the corporation’s ability to use its pre-change net operating loss carryforwards (NOLs) and other pre-change tax attributes to offset its post-change taxable income or taxes may be limited. If finalized, Treasury Regulations currently proposed under Section 382 of the Code may further limit our ability to utilize our pre-change NOLs or other pre-change tax attributes if we undergo a future ownership change. We have experienced ownership changes in the past. We may also experience ownership changes as a result of this offering or as a result of subsequent shifts in our stock ownership, some of which are outside our control. As a result, our ability to use our NOLs and other pre-change tax attributes to offset post-change taxable income or taxes may be subject to limitation. We will be unable to use our NOLs or other tax attributes if we do not attain profitability sufficient to offset our available NOLs or other tax attributes prior to their expiration, to the extent subject to expiration.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may seriously harm our business.</w:t>
      </w:r>
    </w:p>
    <w:p>
      <w:pPr>
        <w:spacing w:after="0" w:line="104" w:lineRule="exact"/>
        <w:rPr>
          <w:sz w:val="20"/>
          <w:szCs w:val="20"/>
          <w:color w:val="auto"/>
        </w:rPr>
      </w:pPr>
    </w:p>
    <w:p>
      <w:pPr>
        <w:ind w:left="120" w:right="300" w:firstLine="551"/>
        <w:spacing w:after="0" w:line="248"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affect the tax treatment of any of our future domestic and foreign earnings. Any new taxes could adversely affect our domestic and international business operations, and our business and financial performance. Further, existing tax laws, statutes, rules, regulations or ordinances could be interpreted, changed, modified or applied adversely to us.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214" w:lineRule="exact"/>
        <w:rPr>
          <w:sz w:val="20"/>
          <w:szCs w:val="20"/>
          <w:color w:val="auto"/>
        </w:rPr>
      </w:pPr>
    </w:p>
    <w:p>
      <w:pPr>
        <w:ind w:left="120" w:right="60"/>
        <w:spacing w:after="0" w:line="285" w:lineRule="auto"/>
        <w:rPr>
          <w:sz w:val="20"/>
          <w:szCs w:val="20"/>
          <w:color w:val="auto"/>
        </w:rPr>
      </w:pPr>
      <w:r>
        <w:rPr>
          <w:rFonts w:ascii="Arial" w:cs="Arial" w:eastAsia="Arial" w:hAnsi="Arial"/>
          <w:sz w:val="18"/>
          <w:szCs w:val="18"/>
          <w:b w:val="1"/>
          <w:bCs w:val="1"/>
          <w:i w:val="1"/>
          <w:iCs w:val="1"/>
          <w:color w:val="auto"/>
        </w:rPr>
        <w:t>We do not know whether an active market will develop for our common stock or what the market price of our common stock will be, and, as a result, it may be difficult for you to sell your shares of our common stock.</w:t>
      </w:r>
    </w:p>
    <w:p>
      <w:pPr>
        <w:spacing w:after="0" w:line="21" w:lineRule="exact"/>
        <w:rPr>
          <w:sz w:val="20"/>
          <w:szCs w:val="20"/>
          <w:color w:val="auto"/>
        </w:rPr>
      </w:pPr>
    </w:p>
    <w:p>
      <w:pPr>
        <w:ind w:left="120" w:right="220" w:firstLine="551"/>
        <w:spacing w:after="0" w:line="276" w:lineRule="auto"/>
        <w:rPr>
          <w:sz w:val="20"/>
          <w:szCs w:val="20"/>
          <w:color w:val="auto"/>
        </w:rPr>
      </w:pPr>
      <w:r>
        <w:rPr>
          <w:rFonts w:ascii="Arial" w:cs="Arial" w:eastAsia="Arial" w:hAnsi="Arial"/>
          <w:sz w:val="18"/>
          <w:szCs w:val="18"/>
          <w:color w:val="auto"/>
        </w:rPr>
        <w:t>Before this offering, there was no public trading market for our common stock. If an active market for our common stock does not develop or is not sustained, it may be difficult for you to sell your</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5" w:right="4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20"/>
        <w:spacing w:after="0" w:line="248" w:lineRule="auto"/>
        <w:rPr>
          <w:sz w:val="20"/>
          <w:szCs w:val="20"/>
          <w:color w:val="auto"/>
        </w:rPr>
      </w:pPr>
      <w:r>
        <w:rPr>
          <w:rFonts w:ascii="Arial" w:cs="Arial" w:eastAsia="Arial" w:hAnsi="Arial"/>
          <w:sz w:val="18"/>
          <w:szCs w:val="18"/>
          <w:color w:val="auto"/>
        </w:rPr>
        <w:t>shares of our common stock at an attractive price, or at all.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including those identified in this “Risk Factors” section, the price of our common stock may fall.</w:t>
      </w:r>
    </w:p>
    <w:p>
      <w:pPr>
        <w:spacing w:after="0" w:line="278" w:lineRule="exact"/>
        <w:rPr>
          <w:sz w:val="20"/>
          <w:szCs w:val="20"/>
          <w:color w:val="auto"/>
        </w:rPr>
      </w:pPr>
    </w:p>
    <w:p>
      <w:pPr>
        <w:ind w:left="120" w:right="60"/>
        <w:spacing w:after="0" w:line="285" w:lineRule="auto"/>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 purchasing shares in this offering.</w:t>
      </w:r>
    </w:p>
    <w:p>
      <w:pPr>
        <w:spacing w:after="0" w:line="21" w:lineRule="exact"/>
        <w:rPr>
          <w:sz w:val="20"/>
          <w:szCs w:val="20"/>
          <w:color w:val="auto"/>
        </w:rPr>
      </w:pPr>
    </w:p>
    <w:p>
      <w:pPr>
        <w:ind w:left="120" w:right="160" w:firstLine="551"/>
        <w:spacing w:after="0" w:line="248" w:lineRule="auto"/>
        <w:rPr>
          <w:sz w:val="20"/>
          <w:szCs w:val="20"/>
          <w:color w:val="auto"/>
        </w:rPr>
      </w:pPr>
      <w:r>
        <w:rPr>
          <w:rFonts w:ascii="Arial" w:cs="Arial" w:eastAsia="Arial" w:hAnsi="Arial"/>
          <w:sz w:val="18"/>
          <w:szCs w:val="18"/>
          <w:color w:val="auto"/>
        </w:rPr>
        <w:t>The initial public offering price for our common stock was determined through negotiations with the underwriters. This initial public offering price may differ from the market price of our common stock after the offering. As a result, you may not be able to sell your common stock at or above the initial public offering price. Some of the factors that may cause the market price of our common stock to fluctuate include:</w:t>
      </w:r>
    </w:p>
    <w:p>
      <w:pPr>
        <w:spacing w:after="0" w:line="76" w:lineRule="exact"/>
        <w:rPr>
          <w:sz w:val="20"/>
          <w:szCs w:val="20"/>
          <w:color w:val="auto"/>
        </w:rPr>
      </w:pPr>
    </w:p>
    <w:p>
      <w:pPr>
        <w:ind w:left="880" w:hanging="224"/>
        <w:spacing w:after="0" w:line="276"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results from, and any delays in, our clinical trials for our clinical-stage product candidates or any other future clinical development programs, including any delays related to the COVID-19 pandemic;</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failure or discontinuation of any of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failure to develop our Therapeutic Vector Evolution platform technology;</w:t>
      </w:r>
    </w:p>
    <w:p>
      <w:pPr>
        <w:spacing w:after="0" w:line="117" w:lineRule="exact"/>
        <w:rPr>
          <w:rFonts w:ascii="Arial" w:cs="Arial" w:eastAsia="Arial" w:hAnsi="Arial"/>
          <w:sz w:val="18"/>
          <w:szCs w:val="18"/>
          <w:color w:val="auto"/>
        </w:rPr>
      </w:pPr>
    </w:p>
    <w:p>
      <w:pPr>
        <w:ind w:left="880" w:right="240" w:hanging="224"/>
        <w:spacing w:after="0" w:line="276"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results of preclinical studies, clinical trials or regulatory approvals of product candidates of our competitors, or announcements about new research programs or product candidates of our competitors;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commencement of litigation;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level of expenses related to any of the research programs or product candidates that we may develop;</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117" w:lineRule="exact"/>
        <w:rPr>
          <w:rFonts w:ascii="Arial" w:cs="Arial" w:eastAsia="Arial" w:hAnsi="Arial"/>
          <w:sz w:val="18"/>
          <w:szCs w:val="18"/>
          <w:color w:val="auto"/>
        </w:rPr>
      </w:pPr>
    </w:p>
    <w:p>
      <w:pPr>
        <w:ind w:left="880" w:right="540" w:hanging="224"/>
        <w:spacing w:after="0" w:line="276"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5" w:right="4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1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Further, the stock market in general has been highly volatile due to the COVID-19 pandemic and political uncertainty in the United States. Broad market and industry factors may seriously affect the market price of our common stock, regardless of our actual operating performance. These fluctuations may be even more pronounced in the trading market for our stock shortly following this offering.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284" w:lineRule="exact"/>
        <w:rPr>
          <w:sz w:val="20"/>
          <w:szCs w:val="20"/>
          <w:color w:val="auto"/>
        </w:rPr>
      </w:pPr>
    </w:p>
    <w:p>
      <w:pPr>
        <w:ind w:left="120" w:right="80"/>
        <w:spacing w:after="0" w:line="285"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21" w:lineRule="exact"/>
        <w:rPr>
          <w:sz w:val="20"/>
          <w:szCs w:val="20"/>
          <w:color w:val="auto"/>
        </w:rPr>
      </w:pPr>
    </w:p>
    <w:p>
      <w:pPr>
        <w:ind w:left="120" w:firstLine="551"/>
        <w:spacing w:after="0" w:line="263" w:lineRule="auto"/>
        <w:rPr>
          <w:sz w:val="20"/>
          <w:szCs w:val="20"/>
          <w:color w:val="auto"/>
        </w:rPr>
      </w:pPr>
      <w:r>
        <w:rPr>
          <w:rFonts w:ascii="Arial" w:cs="Arial" w:eastAsia="Arial" w:hAnsi="Arial"/>
          <w:sz w:val="17"/>
          <w:szCs w:val="17"/>
          <w:color w:val="auto"/>
        </w:rPr>
        <w:t>The trading market for our common stock will rely in part on the research and reports that industry or financial analysts publish about us or our business. We do not currently have and may never obtain research coverage by industry or financial analysts. If no or few analysts commence coverage of us, the trading price of our stock could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65" w:lineRule="exact"/>
        <w:rPr>
          <w:sz w:val="20"/>
          <w:szCs w:val="20"/>
          <w:color w:val="auto"/>
        </w:rPr>
      </w:pPr>
    </w:p>
    <w:p>
      <w:pPr>
        <w:ind w:left="120" w:right="40"/>
        <w:spacing w:after="0" w:line="314" w:lineRule="auto"/>
        <w:rPr>
          <w:sz w:val="20"/>
          <w:szCs w:val="20"/>
          <w:color w:val="auto"/>
        </w:rPr>
      </w:pPr>
      <w:r>
        <w:rPr>
          <w:rFonts w:ascii="Arial" w:cs="Arial" w:eastAsia="Arial" w:hAnsi="Arial"/>
          <w:sz w:val="17"/>
          <w:szCs w:val="17"/>
          <w:b w:val="1"/>
          <w:bCs w:val="1"/>
          <w:i w:val="1"/>
          <w:iCs w:val="1"/>
          <w:color w:val="auto"/>
        </w:rPr>
        <w:t>A significant portion of our total outstanding shares is restricted from immediate resale but may be sold into the market in the near future, which could cause the market price of our common stock to decline significantly, even if our business is doing well.</w:t>
      </w:r>
    </w:p>
    <w:p>
      <w:pPr>
        <w:spacing w:after="0" w:line="2"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upon the expiration of the market standoff and lock-up agreements, the early release of these agreements or the perception in the market that the holders of a large number of shares of our common stock intend to sell shares, could reduce the market price of our common stock. After this offering and after giving effect to the automatic conversion of 11,575,984 outstanding shares of our redeemable convertible preferred stock into 11,575,984 shares of our common stock immediately prior to the completion of this offering, we will have 25,233,726 shares of our common stock outstanding based on 5,257,742 shares of our common stock outstanding as of September 30, 2020. Of these shares, the 8,400,000 shares we are selling in this offering may be resold in the public market immediately, unless purchased by our affiliates. The remaining 16,833,726 shares, or 66.7% of our outstanding shares after this offering, are currently prohibited or otherwise restricted under securities laws, market standoff agreements entered into by our stockholders with us, or lock-up agreements entered into by our stockholders with the underwriters. However, subject to applicable securities law restrictions and excluding shares of restricted stock that will remain unvested, prohibitions and restrictions on the sale of these shares in the public market will be lifted beginning 180 days after the date of this prospectus. Goldman Sachs &amp; Co. LLC, BofA Securities, Inc. and Evercore Group L.L.C. may, in their sole discretion, release all or some portion of the shares subject to lock-up agreements at any time and for any reason. Shares issued upon the exercise of stock options outstanding under our equity incentive plans, or pursuant to future awards granted under those plans, will become available for sale in the public market to the extent permitted by the provisions of</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5" w:right="4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60"/>
        <w:spacing w:after="0" w:line="255" w:lineRule="auto"/>
        <w:rPr>
          <w:sz w:val="20"/>
          <w:szCs w:val="20"/>
          <w:color w:val="auto"/>
        </w:rPr>
      </w:pPr>
      <w:r>
        <w:rPr>
          <w:rFonts w:ascii="Arial" w:cs="Arial" w:eastAsia="Arial" w:hAnsi="Arial"/>
          <w:sz w:val="18"/>
          <w:szCs w:val="18"/>
          <w:color w:val="auto"/>
        </w:rPr>
        <w:t>applicable vesting schedules, any applicable market standoff and lock-up agreements, and Rule 144 and Rule 701 under the Securities Act of 1933, as amended (the Securities Act). See the section of this prospectus titled “Shares Eligible for Future Sale” for additional information.</w:t>
      </w:r>
    </w:p>
    <w:p>
      <w:pPr>
        <w:spacing w:after="0" w:line="164" w:lineRule="exact"/>
        <w:rPr>
          <w:sz w:val="20"/>
          <w:szCs w:val="20"/>
          <w:color w:val="auto"/>
        </w:rPr>
      </w:pPr>
    </w:p>
    <w:p>
      <w:pPr>
        <w:ind w:left="120" w:right="100" w:firstLine="551"/>
        <w:spacing w:after="0" w:line="241" w:lineRule="auto"/>
        <w:rPr>
          <w:sz w:val="20"/>
          <w:szCs w:val="20"/>
          <w:color w:val="auto"/>
        </w:rPr>
      </w:pPr>
      <w:r>
        <w:rPr>
          <w:rFonts w:ascii="Arial" w:cs="Arial" w:eastAsia="Arial" w:hAnsi="Arial"/>
          <w:sz w:val="18"/>
          <w:szCs w:val="18"/>
          <w:color w:val="auto"/>
        </w:rPr>
        <w:t>Moreover, after this offering, holders of an aggregate of 11.6 million shares of our common stock will have rights, subject to conditions, to require us to file registration statements covering their shares or to include their shares in registration statements that we may file for ourselves or other stockholders. We also plan to register all shares of our common stock that we may issue under our equity compensation plans. Once we register these shares, they can be freely sold in the public market upon issuance and once vested, subject to volume limitations applicable to affiliates and the lock-up agreements described in the section of this prospectus titled “Underwriters.” If any of these additional shares are sold, or if it is perceived that they will be sold, in the public market, the market price of our common stock could decline.</w:t>
      </w:r>
    </w:p>
    <w:p>
      <w:pPr>
        <w:spacing w:after="0" w:line="287" w:lineRule="exact"/>
        <w:rPr>
          <w:sz w:val="20"/>
          <w:szCs w:val="20"/>
          <w:color w:val="auto"/>
        </w:rPr>
      </w:pPr>
    </w:p>
    <w:p>
      <w:pPr>
        <w:ind w:left="120" w:right="400"/>
        <w:spacing w:after="0" w:line="285"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21"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We will seek additional capital through one or a combination of public and private equity offerings, debt financings, strategic partnerships and alliances and licensing arrangements.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any future offerings. To the extent that we raise additional capital through the sale of equity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291" w:lineRule="exact"/>
        <w:rPr>
          <w:sz w:val="20"/>
          <w:szCs w:val="20"/>
          <w:color w:val="auto"/>
        </w:rPr>
      </w:pPr>
    </w:p>
    <w:p>
      <w:pPr>
        <w:ind w:left="120"/>
        <w:spacing w:after="0" w:line="285" w:lineRule="auto"/>
        <w:rPr>
          <w:sz w:val="20"/>
          <w:szCs w:val="20"/>
          <w:color w:val="auto"/>
        </w:rPr>
      </w:pPr>
      <w:r>
        <w:rPr>
          <w:rFonts w:ascii="Arial" w:cs="Arial" w:eastAsia="Arial" w:hAnsi="Arial"/>
          <w:sz w:val="18"/>
          <w:szCs w:val="18"/>
          <w:b w:val="1"/>
          <w:bCs w:val="1"/>
          <w:i w:val="1"/>
          <w:iCs w:val="1"/>
          <w:color w:val="auto"/>
        </w:rPr>
        <w:t>Insiders will continue to have substantial influence over us after this offering, which could limit your ability to affect the outcome of key transactions, including a change of control.</w:t>
      </w:r>
    </w:p>
    <w:p>
      <w:pPr>
        <w:spacing w:after="0" w:line="21" w:lineRule="exact"/>
        <w:rPr>
          <w:sz w:val="20"/>
          <w:szCs w:val="20"/>
          <w:color w:val="auto"/>
        </w:rPr>
      </w:pPr>
    </w:p>
    <w:p>
      <w:pPr>
        <w:jc w:val="both"/>
        <w:ind w:left="120" w:right="60" w:firstLine="551"/>
        <w:spacing w:after="0" w:line="245" w:lineRule="auto"/>
        <w:rPr>
          <w:sz w:val="20"/>
          <w:szCs w:val="20"/>
          <w:color w:val="auto"/>
        </w:rPr>
      </w:pPr>
      <w:r>
        <w:rPr>
          <w:rFonts w:ascii="Arial" w:cs="Arial" w:eastAsia="Arial" w:hAnsi="Arial"/>
          <w:sz w:val="18"/>
          <w:szCs w:val="18"/>
          <w:color w:val="auto"/>
        </w:rPr>
        <w:t>After this offering, our directors, executive officers, holders of more than 5% of our outstanding stock and their respective affiliates will beneficially own shares representing approximately 48.9% of our outstanding common stock.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280" w:lineRule="exact"/>
        <w:rPr>
          <w:sz w:val="20"/>
          <w:szCs w:val="20"/>
          <w:color w:val="auto"/>
        </w:rPr>
      </w:pPr>
    </w:p>
    <w:p>
      <w:pPr>
        <w:ind w:left="120" w:right="160"/>
        <w:spacing w:after="0" w:line="260"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as a result of the reduced disclosure and governance requirements applicable to emerging growth companies and smaller reporting companies, our common stock may be less attractive to investors.</w:t>
      </w:r>
    </w:p>
    <w:p>
      <w:pPr>
        <w:spacing w:after="0" w:line="43" w:lineRule="exact"/>
        <w:rPr>
          <w:sz w:val="20"/>
          <w:szCs w:val="20"/>
          <w:color w:val="auto"/>
        </w:rPr>
      </w:pPr>
    </w:p>
    <w:p>
      <w:pPr>
        <w:jc w:val="both"/>
        <w:ind w:left="120" w:right="220" w:firstLine="551"/>
        <w:spacing w:after="0" w:line="255" w:lineRule="auto"/>
        <w:rPr>
          <w:sz w:val="20"/>
          <w:szCs w:val="20"/>
          <w:color w:val="auto"/>
        </w:rPr>
      </w:pPr>
      <w:r>
        <w:rPr>
          <w:rFonts w:ascii="Arial" w:cs="Arial" w:eastAsia="Arial" w:hAnsi="Arial"/>
          <w:sz w:val="18"/>
          <w:szCs w:val="18"/>
          <w:color w:val="auto"/>
        </w:rPr>
        <w:t>We are an “emerging growth company,” as defined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reduced disclosure obligations</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5" w:right="4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40"/>
        <w:spacing w:after="0" w:line="241" w:lineRule="auto"/>
        <w:rPr>
          <w:sz w:val="20"/>
          <w:szCs w:val="20"/>
          <w:color w:val="auto"/>
        </w:rPr>
      </w:pPr>
      <w:r>
        <w:rPr>
          <w:rFonts w:ascii="Arial" w:cs="Arial" w:eastAsia="Arial" w:hAnsi="Arial"/>
          <w:sz w:val="18"/>
          <w:szCs w:val="18"/>
          <w:color w:val="auto"/>
        </w:rPr>
        <w:t>regarding executive compensation in our periodic reports and proxy statements, and exemptions from the requirements of holding a nonbinding advisory vote on executive compensation and stockholder approval of any golden parachute payments not previously approved. In addition, as an “emerging growth company” the JOBS Act allows us to delay adoption of new or revised accounting pronouncements applicable to public companies until such pronouncements are made applicable to private companies. We have elected to use this extended transition period under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179"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the last day of the year following the fifth anniversary of the consummation of this offering, (2) the last day of the year in which we have total annual gross revenue of at least $1.07 billion, (3) the last day of the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176" w:lineRule="exact"/>
        <w:rPr>
          <w:sz w:val="20"/>
          <w:szCs w:val="20"/>
          <w:color w:val="auto"/>
        </w:rPr>
      </w:pPr>
    </w:p>
    <w:p>
      <w:pPr>
        <w:ind w:left="120" w:right="240" w:firstLine="551"/>
        <w:spacing w:after="0" w:line="245"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which would allow us to continue to take advantage of many of the same exemptions from disclosure requirements, including, among other things, not being required to comply with the auditor attestation requirements of Section 404 of the Sarbanes-Oxley Act, presenting only the two most recent fiscal years of audited financial statements in our Annual Report on Form 10-K and reduced disclosure obligations regarding executive compensation in this prospectus and our periodic reports and proxy statements.</w:t>
      </w:r>
    </w:p>
    <w:p>
      <w:pPr>
        <w:spacing w:after="0" w:line="280"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b w:val="1"/>
          <w:bCs w:val="1"/>
          <w:i w:val="1"/>
          <w:iCs w:val="1"/>
          <w:color w:val="auto"/>
        </w:rPr>
        <w:t>We will incur significant costs as a result of operating as a public company, and our management will devote substantial time to new compliance initiatives. We may fail to comply with the rules that apply to public companies, including Section 404 of the Sarbanes-Oxley Act of 2002, which could result in sanctions or other penalties that would seriously harm our business.</w:t>
      </w:r>
    </w:p>
    <w:p>
      <w:pPr>
        <w:spacing w:after="0" w:line="43"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We will incur significant legal, accounting and other expenses as a public company, including costs resulting from public company reporting obligations under the Exchange Act and regulations regarding corporate governance practices. The listing requirements of the Nasdaq Global Select Market and the rules of the Securities and Exchange Commission (SEC) require that we satisfy certain corporate governance requirements relating to director independence, filing annual and interim reports, stockholder meetings, approvals and voting, soliciting proxies, conflicts of interest and a code of conduct. Our management and other personnel will need to devote a substantial amount of time to ensure that we comply with all of these requirements. Moreover, the reporting requirements, rules and regulations will increase our legal and financial compliance costs and will make some activities more time-consuming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5" w:right="4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After this offering, we will be subject to Section 404 of The Sarbanes-Oxley Act of 2002 (Section 404) and the related rules of the SEC, which generally require our management and independent registered public accounting firm to report on the effectiveness of our internal control over financial reporting. Beginning with the second annual report that we will be required to file with the SEC, Section 404 requires an annual management assessment of the effectiveness of our internal control over financial reporting. However, for so long as we remain an emerging growth company as defined in the JOBS Act, we intend to take advantage of certain exemptions from various reporting requirements that are applicable to public companies that are not emerging growth companies, including, but not limited to, not being required to comply with the auditor attestation requirements of Section 404. Once we are no longer an emerging growth company or, if prior to such date, we opt to no longer take advantage of the applicable exemption, we will be required to include an opinion from our independent registered public accounting firm on the effectiveness of our internal controls over financial reporting.</w:t>
      </w:r>
    </w:p>
    <w:p>
      <w:pPr>
        <w:spacing w:after="0" w:line="176"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To date, we have never conducted a review of our internal control for the purpose of providing the reports required by these rules. During the course of our review and testing,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will be required to file accurate and timely quarterly and annual reports with the SEC under the Exchange Act. In order to report our results of operations and financial statements on an accurate and timely basis, we will depend in part on CROs to provide timely and accurate notice of their costs to us. Any failure to report our financial results on an accurate and timely basis could result in sanctions, lawsuits, delisting of our shares from the Nasdaq Global Select Market or other adverse consequences that would seriously harm our business.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Purchasers in this offering will experience immediate and substantial dilution in the book value of their investment.</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The initial public offering price of our common stock is substantially higher than the pro forma net tangible book value per share of our common stock before giving effect to this offering. Accordingly, if you purchase our common stock in this offering, you will incur immediate substantial dilution of $13.23 per share, based on the initial public offering price of $23.00 per share, and our pro forma net tangible book value as of September 30, 2020. In addition, following this offering, purchasers in this offering will have contributed approximately 51.1% of the total gross consideration paid by stockholders to us to purchase shares of our common stock, through September 30, 2020, but will own only approximately 33.3% of the shares of our common stock outstanding immediately after this offering. Furthermore, if the underwriters exercise their option to purchase additional shares, or outstanding options and warrants are exercised, you could experience further dilution. For a further description of the dilution that you will experience immediately after this offering, see the section titled “Dilution.”</w:t>
      </w:r>
    </w:p>
    <w:p>
      <w:pPr>
        <w:spacing w:after="0" w:line="284" w:lineRule="exact"/>
        <w:rPr>
          <w:sz w:val="20"/>
          <w:szCs w:val="20"/>
          <w:color w:val="auto"/>
        </w:rPr>
      </w:pPr>
    </w:p>
    <w:p>
      <w:pPr>
        <w:ind w:left="120" w:right="140"/>
        <w:spacing w:after="0" w:line="260" w:lineRule="auto"/>
        <w:rPr>
          <w:sz w:val="20"/>
          <w:szCs w:val="20"/>
          <w:color w:val="auto"/>
        </w:rPr>
      </w:pPr>
      <w:r>
        <w:rPr>
          <w:rFonts w:ascii="Arial" w:cs="Arial" w:eastAsia="Arial" w:hAnsi="Arial"/>
          <w:sz w:val="18"/>
          <w:szCs w:val="18"/>
          <w:b w:val="1"/>
          <w:bCs w:val="1"/>
          <w:i w:val="1"/>
          <w:iCs w:val="1"/>
          <w:color w:val="auto"/>
        </w:rPr>
        <w:t>Delaware law and provisions in our certificate of incorporation and bylaws that will become effective upon the closing of this offering might discourage, delay, or prevent a change in control of our company or changes in our management and, therefore, depress the trading price of our common stock.</w:t>
      </w:r>
    </w:p>
    <w:p>
      <w:pPr>
        <w:spacing w:after="0" w:line="43"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color w:val="auto"/>
        </w:rPr>
        <w:t>Provisions in our certificate of incorporation and bylaws that will become effective upon the closing of this offering may discourage, delay, or prevent a merger, acquisition, or other change in control that stockholders may consider favorable, including transactions in which you might otherwise</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5" w:right="4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 will:</w:t>
      </w:r>
    </w:p>
    <w:p>
      <w:pPr>
        <w:spacing w:after="0" w:line="69" w:lineRule="exact"/>
        <w:rPr>
          <w:sz w:val="20"/>
          <w:szCs w:val="20"/>
          <w:color w:val="auto"/>
        </w:rPr>
      </w:pPr>
    </w:p>
    <w:p>
      <w:pPr>
        <w:ind w:left="880" w:hanging="224"/>
        <w:spacing w:after="0" w:line="276"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eliminate cumulative voting in the election of directors;</w:t>
      </w:r>
    </w:p>
    <w:p>
      <w:pPr>
        <w:spacing w:after="0" w:line="117" w:lineRule="exact"/>
        <w:rPr>
          <w:rFonts w:ascii="Arial" w:cs="Arial" w:eastAsia="Arial" w:hAnsi="Arial"/>
          <w:sz w:val="18"/>
          <w:szCs w:val="18"/>
          <w:color w:val="auto"/>
        </w:rPr>
      </w:pPr>
    </w:p>
    <w:p>
      <w:pPr>
        <w:ind w:left="880" w:right="400" w:hanging="224"/>
        <w:spacing w:after="0" w:line="276"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authorize our board of directors to issue shares of preferred stock and determine the price and other terms of those shares, including preferences and voting rights, without stockholder approval;</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our board of directors with the exclusive right to elect a director to fill a vacancy or newly created directorship;</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permit stockholders to only take actions at a duly called annual or special meeting and not by written consent;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prohibit stockholders from calling a special meeting of stockholders;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for a staggered board, which will result in only a few directors being up for re-election in each calendar year;</w:t>
      </w:r>
    </w:p>
    <w:p>
      <w:pPr>
        <w:spacing w:after="0" w:line="117" w:lineRule="exact"/>
        <w:rPr>
          <w:rFonts w:ascii="Arial" w:cs="Arial" w:eastAsia="Arial" w:hAnsi="Arial"/>
          <w:sz w:val="18"/>
          <w:szCs w:val="18"/>
          <w:color w:val="auto"/>
        </w:rPr>
      </w:pPr>
    </w:p>
    <w:p>
      <w:pPr>
        <w:ind w:left="880" w:right="680" w:hanging="224"/>
        <w:spacing w:after="0" w:line="276"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require that stockholders give advance notice to nominate directors or submit proposals for consideration at stockholder meetings;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authorize our board of directors, by a majority vote, to amend the bylaws;</w:t>
      </w:r>
    </w:p>
    <w:p>
      <w:pPr>
        <w:spacing w:after="0" w:line="117" w:lineRule="exact"/>
        <w:rPr>
          <w:rFonts w:ascii="Arial" w:cs="Arial" w:eastAsia="Arial" w:hAnsi="Arial"/>
          <w:sz w:val="18"/>
          <w:szCs w:val="18"/>
          <w:color w:val="auto"/>
        </w:rPr>
      </w:pPr>
    </w:p>
    <w:p>
      <w:pPr>
        <w:ind w:left="880" w:right="260" w:hanging="224"/>
        <w:spacing w:after="0" w:line="276"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require the affirmative vote of at least 66 2/3% or more of the outstanding shares of our common stock to amend many of the provisions described above; and</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limit the liability of, and provide indemnification to, our directors and officers.</w:t>
      </w:r>
    </w:p>
    <w:p>
      <w:pPr>
        <w:spacing w:after="0" w:line="212" w:lineRule="exact"/>
        <w:rPr>
          <w:sz w:val="20"/>
          <w:szCs w:val="20"/>
          <w:color w:val="auto"/>
        </w:rPr>
      </w:pPr>
    </w:p>
    <w:p>
      <w:pPr>
        <w:ind w:left="120" w:right="200" w:firstLine="551"/>
        <w:spacing w:after="0" w:line="268" w:lineRule="auto"/>
        <w:rPr>
          <w:sz w:val="20"/>
          <w:szCs w:val="20"/>
          <w:color w:val="auto"/>
        </w:rPr>
      </w:pPr>
      <w:r>
        <w:rPr>
          <w:rFonts w:ascii="Arial" w:cs="Arial" w:eastAsia="Arial" w:hAnsi="Arial"/>
          <w:sz w:val="17"/>
          <w:szCs w:val="17"/>
          <w:color w:val="auto"/>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53" w:lineRule="exact"/>
        <w:rPr>
          <w:sz w:val="20"/>
          <w:szCs w:val="20"/>
          <w:color w:val="auto"/>
        </w:rPr>
      </w:pPr>
    </w:p>
    <w:p>
      <w:pPr>
        <w:jc w:val="both"/>
        <w:ind w:left="120" w:right="160" w:firstLine="551"/>
        <w:spacing w:after="0" w:line="255"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272" w:lineRule="exact"/>
        <w:rPr>
          <w:sz w:val="20"/>
          <w:szCs w:val="20"/>
          <w:color w:val="auto"/>
        </w:rPr>
      </w:pPr>
    </w:p>
    <w:p>
      <w:pPr>
        <w:ind w:left="120" w:right="80"/>
        <w:spacing w:after="0" w:line="285"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21" w:lineRule="exact"/>
        <w:rPr>
          <w:sz w:val="20"/>
          <w:szCs w:val="20"/>
          <w:color w:val="auto"/>
        </w:rPr>
      </w:pPr>
    </w:p>
    <w:p>
      <w:pPr>
        <w:ind w:left="120" w:right="340" w:firstLine="551"/>
        <w:spacing w:after="0" w:line="276"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that we will indemnify our directors and officers, in each case to the fullest extent permitted by Delaware law.</w:t>
      </w:r>
    </w:p>
    <w:p>
      <w:pPr>
        <w:spacing w:after="0" w:line="7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60"/>
          </w:cols>
          <w:pgMar w:left="320" w:top="455" w:right="51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660" w:firstLine="551"/>
        <w:spacing w:after="0" w:line="255"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to be effective immediately prior to the completion of this offering and our indemnification agreements that we have entered into with our directors and officers will provide that:</w:t>
      </w:r>
    </w:p>
    <w:p>
      <w:pPr>
        <w:spacing w:after="0" w:line="69" w:lineRule="exact"/>
        <w:rPr>
          <w:sz w:val="20"/>
          <w:szCs w:val="20"/>
          <w:color w:val="auto"/>
        </w:rPr>
      </w:pPr>
    </w:p>
    <w:p>
      <w:pPr>
        <w:ind w:left="880" w:hanging="224"/>
        <w:spacing w:after="0" w:line="245"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77" w:lineRule="exact"/>
        <w:rPr>
          <w:rFonts w:ascii="Arial" w:cs="Arial" w:eastAsia="Arial" w:hAnsi="Arial"/>
          <w:sz w:val="18"/>
          <w:szCs w:val="18"/>
          <w:color w:val="auto"/>
        </w:rPr>
      </w:pPr>
    </w:p>
    <w:p>
      <w:pPr>
        <w:ind w:left="880" w:right="620" w:hanging="224"/>
        <w:spacing w:after="0" w:line="276"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50" w:lineRule="exact"/>
        <w:rPr>
          <w:rFonts w:ascii="Arial" w:cs="Arial" w:eastAsia="Arial" w:hAnsi="Arial"/>
          <w:sz w:val="18"/>
          <w:szCs w:val="18"/>
          <w:color w:val="auto"/>
        </w:rPr>
      </w:pPr>
    </w:p>
    <w:p>
      <w:pPr>
        <w:ind w:left="880" w:right="60" w:hanging="224"/>
        <w:spacing w:after="0" w:line="255"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69" w:lineRule="exact"/>
        <w:rPr>
          <w:rFonts w:ascii="Arial" w:cs="Arial" w:eastAsia="Arial" w:hAnsi="Arial"/>
          <w:sz w:val="18"/>
          <w:szCs w:val="18"/>
          <w:color w:val="auto"/>
        </w:rPr>
      </w:pPr>
    </w:p>
    <w:p>
      <w:pPr>
        <w:ind w:left="880" w:right="540" w:hanging="224"/>
        <w:spacing w:after="0" w:line="255"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69" w:lineRule="exact"/>
        <w:rPr>
          <w:rFonts w:ascii="Arial" w:cs="Arial" w:eastAsia="Arial" w:hAnsi="Arial"/>
          <w:sz w:val="18"/>
          <w:szCs w:val="18"/>
          <w:color w:val="auto"/>
        </w:rPr>
      </w:pPr>
    </w:p>
    <w:p>
      <w:pPr>
        <w:ind w:left="880" w:right="160" w:hanging="224"/>
        <w:spacing w:after="0" w:line="306" w:lineRule="auto"/>
        <w:tabs>
          <w:tab w:leader="none" w:pos="8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28" w:lineRule="exact"/>
        <w:rPr>
          <w:rFonts w:ascii="Arial" w:cs="Arial" w:eastAsia="Arial" w:hAnsi="Arial"/>
          <w:sz w:val="17"/>
          <w:szCs w:val="17"/>
          <w:color w:val="auto"/>
        </w:rPr>
      </w:pPr>
    </w:p>
    <w:p>
      <w:pPr>
        <w:ind w:left="880" w:right="660" w:hanging="224"/>
        <w:spacing w:after="0" w:line="276"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253" w:lineRule="exact"/>
        <w:rPr>
          <w:sz w:val="20"/>
          <w:szCs w:val="20"/>
          <w:color w:val="auto"/>
        </w:rPr>
      </w:pPr>
    </w:p>
    <w:p>
      <w:pPr>
        <w:jc w:val="both"/>
        <w:ind w:left="120" w:right="60"/>
        <w:spacing w:after="0" w:line="282" w:lineRule="auto"/>
        <w:rPr>
          <w:sz w:val="20"/>
          <w:szCs w:val="20"/>
          <w:color w:val="auto"/>
        </w:rPr>
      </w:pPr>
      <w:r>
        <w:rPr>
          <w:rFonts w:ascii="Arial" w:cs="Arial" w:eastAsia="Arial" w:hAnsi="Arial"/>
          <w:sz w:val="17"/>
          <w:szCs w:val="17"/>
          <w:b w:val="1"/>
          <w:bCs w:val="1"/>
          <w:i w:val="1"/>
          <w:iCs w:val="1"/>
          <w:color w:val="auto"/>
        </w:rPr>
        <w:t>Our amended and restated certificate of incorporation and amended and restated bylaws will provide that the Court of Chancery of the State of Delaware will be the exclusive forum for certain disputes between us and our stockholders, which could limit our stockholders’ ability to obtain a favorable judicial forum for disputes with us or our directors, officers or employees.</w:t>
      </w:r>
    </w:p>
    <w:p>
      <w:pPr>
        <w:spacing w:after="0" w:line="26"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that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will also provide that the federal district courts of the United States of America will be the exclusive forum for the resolution of any complaint asserting a cause of action against us or any of our directors, officers, employees or agents and arising under the Securities Act. Nothing in our amended and restated certificate of incorporation and amended and restated bylaws precludes stockholders that assert claims under the Exchange Act from bringing such claims in state or federal court, subject to applicable law.</w:t>
      </w:r>
    </w:p>
    <w:p>
      <w:pPr>
        <w:spacing w:after="0" w:line="177" w:lineRule="exact"/>
        <w:rPr>
          <w:sz w:val="20"/>
          <w:szCs w:val="20"/>
          <w:color w:val="auto"/>
        </w:rPr>
      </w:pPr>
    </w:p>
    <w:p>
      <w:pPr>
        <w:ind w:left="120" w:right="120" w:firstLine="551"/>
        <w:spacing w:after="0" w:line="276"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any of our directors, officers, other employees or</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5" w:right="4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stockholders, which may discourage lawsuits with respect to such claims,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 choice of forum provision that will be contained in our amended and restated certificate of incorporation and amended and restated bylaws to be inapplicable or unenforceable in an action, we may incur additional costs associated with resolving such action in other jurisdictions, which could seriously harm our business.</w:t>
      </w:r>
    </w:p>
    <w:p>
      <w:pPr>
        <w:spacing w:after="0" w:line="284" w:lineRule="exact"/>
        <w:rPr>
          <w:sz w:val="20"/>
          <w:szCs w:val="20"/>
          <w:color w:val="auto"/>
        </w:rPr>
      </w:pPr>
    </w:p>
    <w:p>
      <w:pPr>
        <w:ind w:left="120" w:right="240"/>
        <w:spacing w:after="0" w:line="285"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21"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We do not currently intend to pay any cash dividends on our common stock for the foreseeable future. We currently intend to invest our future earnings, if any, to fund our growth. Therefore, you are not likely to receive any dividends on your common stock for the foreseeable future.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 Factors</w:t>
      </w:r>
    </w:p>
    <w:p>
      <w:pPr>
        <w:spacing w:after="0" w:line="214" w:lineRule="exact"/>
        <w:rPr>
          <w:sz w:val="20"/>
          <w:szCs w:val="20"/>
          <w:color w:val="auto"/>
        </w:rPr>
      </w:pPr>
    </w:p>
    <w:p>
      <w:pPr>
        <w:ind w:left="120" w:right="620"/>
        <w:spacing w:after="0" w:line="285" w:lineRule="auto"/>
        <w:rPr>
          <w:sz w:val="20"/>
          <w:szCs w:val="20"/>
          <w:color w:val="auto"/>
        </w:rPr>
      </w:pPr>
      <w:r>
        <w:rPr>
          <w:rFonts w:ascii="Arial" w:cs="Arial" w:eastAsia="Arial" w:hAnsi="Arial"/>
          <w:sz w:val="18"/>
          <w:szCs w:val="18"/>
          <w:b w:val="1"/>
          <w:bCs w:val="1"/>
          <w:i w:val="1"/>
          <w:iCs w:val="1"/>
          <w:color w:val="auto"/>
        </w:rPr>
        <w:t>Any legal proceedings or claims against us could be costly and time-consuming to defend and could harm our reputation regardless of the outcome.</w:t>
      </w:r>
    </w:p>
    <w:p>
      <w:pPr>
        <w:spacing w:after="0" w:line="21"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We are and may in the future become subject to legal proceedings and claims that arise in the ordinary course of business, such as disputes or employment claims made by our current or former employees. Any litigation, whether meritorious or not, could harm our reputation, will increase our costs and may divert management’s attention, time and resources, which may in turn seriously harm our business.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and could seriously harm our business.</w:t>
      </w:r>
    </w:p>
    <w:p>
      <w:pPr>
        <w:spacing w:after="0" w:line="174" w:lineRule="exact"/>
        <w:rPr>
          <w:sz w:val="20"/>
          <w:szCs w:val="20"/>
          <w:color w:val="auto"/>
        </w:rPr>
      </w:pPr>
    </w:p>
    <w:p>
      <w:pPr>
        <w:ind w:left="120" w:right="1240"/>
        <w:spacing w:after="0" w:line="285"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21"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when and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cease commercialization of our product candidates. Even successful defense would require significant financial and management resources. Regardless of the merits or eventual outcome, liability claims may result in:</w:t>
      </w:r>
    </w:p>
    <w:p>
      <w:pPr>
        <w:spacing w:after="0" w:line="86"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decreased or interrupted demand for our products;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5" w:right="45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12" w:lineRule="exact"/>
        <w:rPr>
          <w:sz w:val="20"/>
          <w:szCs w:val="20"/>
          <w:color w:val="auto"/>
        </w:rPr>
      </w:pPr>
    </w:p>
    <w:p>
      <w:pPr>
        <w:ind w:left="120" w:right="80" w:firstLine="551"/>
        <w:spacing w:after="0" w:line="243" w:lineRule="auto"/>
        <w:rPr>
          <w:sz w:val="20"/>
          <w:szCs w:val="20"/>
          <w:color w:val="auto"/>
        </w:rPr>
      </w:pPr>
      <w:r>
        <w:rPr>
          <w:rFonts w:ascii="Arial" w:cs="Arial" w:eastAsia="Arial" w:hAnsi="Arial"/>
          <w:sz w:val="18"/>
          <w:szCs w:val="18"/>
          <w:color w:val="auto"/>
        </w:rPr>
        <w:t>Our inability to obtain sufficient product liability insurance at an acceptable cost to protect against potential product liability claims could prevent or inhibit the commercialization of products we develop, alone or with collaborators.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282" w:lineRule="exact"/>
        <w:rPr>
          <w:sz w:val="20"/>
          <w:szCs w:val="20"/>
          <w:color w:val="auto"/>
        </w:rPr>
      </w:pPr>
    </w:p>
    <w:p>
      <w:pPr>
        <w:jc w:val="both"/>
        <w:ind w:left="120" w:right="500"/>
        <w:spacing w:after="0" w:line="314" w:lineRule="auto"/>
        <w:rPr>
          <w:sz w:val="20"/>
          <w:szCs w:val="20"/>
          <w:color w:val="auto"/>
        </w:rPr>
      </w:pPr>
      <w:r>
        <w:rPr>
          <w:rFonts w:ascii="Arial" w:cs="Arial" w:eastAsia="Arial" w:hAnsi="Arial"/>
          <w:sz w:val="17"/>
          <w:szCs w:val="17"/>
          <w:b w:val="1"/>
          <w:bCs w:val="1"/>
          <w:i w:val="1"/>
          <w:iCs w:val="1"/>
          <w:color w:val="auto"/>
        </w:rPr>
        <w:t>Our employees, independent contractors, consultants, research or commercial partners or collaborators and vendors may engage in misconduct or other improper activities, including noncompliance with regulatory standards and requirements.</w:t>
      </w:r>
    </w:p>
    <w:p>
      <w:pPr>
        <w:spacing w:after="0" w:line="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are exposed to the risk of fraud, misconduct or other illegal activity by our employees, independent contractors, consultants, research or commercial partners or other collaborators, including the foundations we work with, and vendors. Misconduct by these parties could include intentional, reckless and negligent conduct that fails to: comply with the laws of the FDA, EMA and other comparable foreign regulatory authorities; provide true, complete and accurate information to the FDA, EMA and other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In addition, we are subject to the risk that a person or</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80"/>
          </w:cols>
          <w:pgMar w:left="320" w:top="455" w:right="49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140"/>
        <w:spacing w:after="0" w:line="255" w:lineRule="auto"/>
        <w:rPr>
          <w:sz w:val="20"/>
          <w:szCs w:val="20"/>
          <w:color w:val="auto"/>
        </w:rPr>
      </w:pPr>
      <w:r>
        <w:rPr>
          <w:rFonts w:ascii="Arial" w:cs="Arial" w:eastAsia="Arial" w:hAnsi="Arial"/>
          <w:sz w:val="18"/>
          <w:szCs w:val="18"/>
          <w:color w:val="auto"/>
        </w:rPr>
        <w:t>government could allege such fraud or other misconduct, even if none occurred. If any such actions are instituted against us, and we are not successful in defending ourselves or asserting our rights, those actions could seriously harm our business, including the imposition of significant fines or other sanctions.</w:t>
      </w:r>
    </w:p>
    <w:p>
      <w:pPr>
        <w:spacing w:after="0" w:line="272" w:lineRule="exact"/>
        <w:rPr>
          <w:sz w:val="20"/>
          <w:szCs w:val="20"/>
          <w:color w:val="auto"/>
        </w:rPr>
      </w:pPr>
    </w:p>
    <w:p>
      <w:pPr>
        <w:ind w:left="120" w:right="460"/>
        <w:spacing w:after="0" w:line="285" w:lineRule="auto"/>
        <w:rPr>
          <w:sz w:val="20"/>
          <w:szCs w:val="20"/>
          <w:color w:val="auto"/>
        </w:rPr>
      </w:pPr>
      <w:r>
        <w:rPr>
          <w:rFonts w:ascii="Arial" w:cs="Arial" w:eastAsia="Arial" w:hAnsi="Arial"/>
          <w:sz w:val="18"/>
          <w:szCs w:val="18"/>
          <w:b w:val="1"/>
          <w:bCs w:val="1"/>
          <w:i w:val="1"/>
          <w:iCs w:val="1"/>
          <w:color w:val="auto"/>
        </w:rPr>
        <w:t>If we or any contract manufacturers and suppliers we engage fail to comply with environmental, health, and safety laws and regulations, we could become subject to fines or penalties or incur costs that could seriously harm our business.</w:t>
      </w:r>
    </w:p>
    <w:p>
      <w:pPr>
        <w:spacing w:after="0" w:line="21"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180"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seriously harm our business.</w:t>
      </w:r>
    </w:p>
    <w:p>
      <w:pPr>
        <w:spacing w:after="0" w:line="284" w:lineRule="exact"/>
        <w:rPr>
          <w:sz w:val="20"/>
          <w:szCs w:val="20"/>
          <w:color w:val="auto"/>
        </w:rPr>
      </w:pPr>
    </w:p>
    <w:p>
      <w:pPr>
        <w:ind w:left="120" w:right="260"/>
        <w:spacing w:after="0" w:line="285" w:lineRule="auto"/>
        <w:rPr>
          <w:sz w:val="20"/>
          <w:szCs w:val="20"/>
          <w:color w:val="auto"/>
        </w:rPr>
      </w:pPr>
      <w:r>
        <w:rPr>
          <w:rFonts w:ascii="Arial" w:cs="Arial" w:eastAsia="Arial" w:hAnsi="Arial"/>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21" w:lineRule="exact"/>
        <w:rPr>
          <w:sz w:val="20"/>
          <w:szCs w:val="20"/>
          <w:color w:val="auto"/>
        </w:rPr>
      </w:pPr>
    </w:p>
    <w:p>
      <w:pPr>
        <w:ind w:left="120" w:right="100" w:firstLine="551"/>
        <w:spacing w:after="0" w:line="239" w:lineRule="auto"/>
        <w:rPr>
          <w:sz w:val="20"/>
          <w:szCs w:val="20"/>
          <w:color w:val="auto"/>
        </w:rPr>
      </w:pPr>
      <w:r>
        <w:rPr>
          <w:rFonts w:ascii="Arial" w:cs="Arial" w:eastAsia="Arial" w:hAnsi="Arial"/>
          <w:sz w:val="18"/>
          <w:szCs w:val="18"/>
          <w:color w:val="auto"/>
        </w:rPr>
        <w:t>Reliance on third parties to conduct clinical trials, assist in research and development and to manufacture our product candidates, will at times require us to share trade secrets with them. We seek to protect our proprietary technology by in part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seriously harm our business.</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40"/>
          </w:cols>
          <w:pgMar w:left="320" w:top="455" w:right="4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320"/>
        <w:spacing w:after="0" w:line="260" w:lineRule="auto"/>
        <w:rPr>
          <w:sz w:val="20"/>
          <w:szCs w:val="20"/>
          <w:color w:val="auto"/>
        </w:rPr>
      </w:pPr>
      <w:r>
        <w:rPr>
          <w:rFonts w:ascii="Arial" w:cs="Arial" w:eastAsia="Arial" w:hAnsi="Arial"/>
          <w:sz w:val="18"/>
          <w:szCs w:val="18"/>
          <w:b w:val="1"/>
          <w:bCs w:val="1"/>
          <w:i w:val="1"/>
          <w:iCs w:val="1"/>
          <w:color w:val="auto"/>
        </w:rPr>
        <w:t>We may fail to comply with any of our obligations under existing or future agreements pursuant to which we license or have otherwise acquired intellectual property rights or technology, which could result in the loss of rights or technology that are material to our business.</w:t>
      </w:r>
    </w:p>
    <w:p>
      <w:pPr>
        <w:spacing w:after="0" w:line="43"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We are party to various agreements that we depend on to operate our business. Our rights to use currently licensed intellectual property, or intellectual property to be licensed in the future, are or will be subject to the continuation of and our compliance with the terms of these agreements. These agreements are complex, and certain provisions in such agreements may be susceptible to multiple interpretations which could lead to disputes, including but not limited to those regarding:</w:t>
      </w:r>
    </w:p>
    <w:p>
      <w:pPr>
        <w:spacing w:after="0" w:line="76" w:lineRule="exact"/>
        <w:rPr>
          <w:sz w:val="20"/>
          <w:szCs w:val="20"/>
          <w:color w:val="auto"/>
        </w:rPr>
      </w:pPr>
    </w:p>
    <w:p>
      <w:pPr>
        <w:ind w:left="880" w:hanging="224"/>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880" w:right="100" w:hanging="224"/>
        <w:spacing w:after="0" w:line="276"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extent to which our proprietary technology and product candidates infringe on intellectual property of the licensor that is not subject to the licensing agreement;</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sublicensing of patent and other rights;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880" w:right="40" w:hanging="224"/>
        <w:spacing w:after="0" w:line="276"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creation or use of intellectual property by us or our counterparties, alone or jointly;</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scope and duration of our payment obligations;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rights upon termination of such agreement;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scope and duration of exclusivity obligations of each party to the agreement.</w:t>
      </w:r>
    </w:p>
    <w:p>
      <w:pPr>
        <w:spacing w:after="0" w:line="212" w:lineRule="exact"/>
        <w:rPr>
          <w:sz w:val="20"/>
          <w:szCs w:val="20"/>
          <w:color w:val="auto"/>
        </w:rPr>
      </w:pPr>
    </w:p>
    <w:p>
      <w:pPr>
        <w:ind w:left="120" w:right="300" w:firstLine="551"/>
        <w:spacing w:after="0" w:line="248" w:lineRule="auto"/>
        <w:rPr>
          <w:sz w:val="20"/>
          <w:szCs w:val="20"/>
          <w:color w:val="auto"/>
        </w:rPr>
      </w:pPr>
      <w:r>
        <w:rPr>
          <w:rFonts w:ascii="Arial" w:cs="Arial" w:eastAsia="Arial" w:hAnsi="Arial"/>
          <w:sz w:val="18"/>
          <w:szCs w:val="18"/>
          <w:color w:val="auto"/>
        </w:rPr>
        <w:t>The resolution of any contractual interpretation dispute that may arise, if unfavorable to us, could seriously harm our business. Such resolution could narrow what we believe to be the scope of our rights to the relevant intellectual property or technology, increase what we believe to be our financial or other obligations under the relevant agreement, or decrease the third party’s financial or other obligations under the relevant agreement.</w:t>
      </w:r>
    </w:p>
    <w:p>
      <w:pPr>
        <w:spacing w:after="0" w:line="170"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If disputes over intellectual property rights that we have licensed or acquired from third parties prevent or impair our ability to maintain our current license agreements on acceptable terms, we may be unable to successfully develop and commercialize the affected product candidates. If we fail to comply with our obligations under current or future license agreements, these agreements may be terminated or the scope of our rights under them may be reduced and we might be unable to develop, manufacture or market any product that is licensed under these agreements.</w:t>
      </w:r>
    </w:p>
    <w:p>
      <w:pPr>
        <w:spacing w:after="0" w:line="280" w:lineRule="exact"/>
        <w:rPr>
          <w:sz w:val="20"/>
          <w:szCs w:val="20"/>
          <w:color w:val="auto"/>
        </w:rPr>
      </w:pPr>
    </w:p>
    <w:p>
      <w:pPr>
        <w:ind w:left="120" w:right="140"/>
        <w:spacing w:after="0" w:line="285" w:lineRule="auto"/>
        <w:rPr>
          <w:sz w:val="20"/>
          <w:szCs w:val="20"/>
          <w:color w:val="auto"/>
        </w:rPr>
      </w:pPr>
      <w:r>
        <w:rPr>
          <w:rFonts w:ascii="Arial" w:cs="Arial" w:eastAsia="Arial" w:hAnsi="Arial"/>
          <w:sz w:val="18"/>
          <w:szCs w:val="18"/>
          <w:b w:val="1"/>
          <w:bCs w:val="1"/>
          <w:i w:val="1"/>
          <w:iCs w:val="1"/>
          <w:color w:val="auto"/>
        </w:rPr>
        <w:t>Litigation or other proceedings or third-party claims of intellectual property infringement could require us to spend significant time and money and could prevent us from selling our products.</w:t>
      </w:r>
    </w:p>
    <w:p>
      <w:pPr>
        <w:spacing w:after="0" w:line="21"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Our commercial success depends significantly on our ability to operate without infringing the patents and other proprietary rights of third parties. However, our research, development and commercialization activities may be subject to claims that we infringe or otherwise violate patents or other intellectual property rights owned or controlled by third parties. Claims by third parties that we infringe their proprietary rights may result in liability for damages or prevent or delay our developmental and commercialization efforts. We cannot assure you that our operations do not, or will not in the future, infringe existing or future patents or other proprietary rights of third parties.</w:t>
      </w:r>
    </w:p>
    <w:p>
      <w:pPr>
        <w:spacing w:after="0" w:line="172" w:lineRule="exact"/>
        <w:rPr>
          <w:sz w:val="20"/>
          <w:szCs w:val="20"/>
          <w:color w:val="auto"/>
        </w:rPr>
      </w:pPr>
    </w:p>
    <w:p>
      <w:pPr>
        <w:jc w:val="both"/>
        <w:ind w:left="120" w:right="220" w:firstLine="551"/>
        <w:spacing w:after="0" w:line="255" w:lineRule="auto"/>
        <w:rPr>
          <w:sz w:val="20"/>
          <w:szCs w:val="20"/>
          <w:color w:val="auto"/>
        </w:rPr>
      </w:pPr>
      <w:r>
        <w:rPr>
          <w:rFonts w:ascii="Arial" w:cs="Arial" w:eastAsia="Arial" w:hAnsi="Arial"/>
          <w:sz w:val="18"/>
          <w:szCs w:val="18"/>
          <w:color w:val="auto"/>
        </w:rPr>
        <w:t>Third parties may have or obtain patents or other proprietary rights that could limit our ability to make, use, sell, offer for sale or import our product candidates and future approved products, if any, or impair our competitive position. There is a substantial amount of litigation, both within and outside the</w:t>
      </w:r>
    </w:p>
    <w:p>
      <w:pPr>
        <w:spacing w:after="0" w:line="9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40"/>
          </w:cols>
          <w:pgMar w:left="320" w:top="455" w:right="5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43" w:lineRule="auto"/>
        <w:rPr>
          <w:sz w:val="20"/>
          <w:szCs w:val="20"/>
          <w:color w:val="auto"/>
        </w:rPr>
      </w:pPr>
      <w:r>
        <w:rPr>
          <w:rFonts w:ascii="Arial" w:cs="Arial" w:eastAsia="Arial" w:hAnsi="Arial"/>
          <w:sz w:val="18"/>
          <w:szCs w:val="18"/>
          <w:color w:val="auto"/>
        </w:rPr>
        <w:t xml:space="preserve">United States, involving patent and other intellectual property rights in the biotechnology and pharmaceutical industries, including patent infringement lawsuits, interferences, oppositions,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proceedings and post-grant review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spacing w:after="0" w:line="174" w:lineRule="exact"/>
        <w:rPr>
          <w:sz w:val="20"/>
          <w:szCs w:val="20"/>
          <w:color w:val="auto"/>
        </w:rPr>
      </w:pPr>
    </w:p>
    <w:p>
      <w:pPr>
        <w:ind w:left="120" w:right="140" w:firstLine="551"/>
        <w:spacing w:after="0" w:line="241" w:lineRule="auto"/>
        <w:rPr>
          <w:sz w:val="20"/>
          <w:szCs w:val="20"/>
          <w:color w:val="auto"/>
        </w:rPr>
      </w:pPr>
      <w:r>
        <w:rPr>
          <w:rFonts w:ascii="Arial" w:cs="Arial" w:eastAsia="Arial" w:hAnsi="Arial"/>
          <w:sz w:val="18"/>
          <w:szCs w:val="18"/>
          <w:color w:val="auto"/>
        </w:rPr>
        <w:t>Furthermore,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Further, we may incorrectly determine that our technologies or product candidates are not covered by a third-party patent or may incorrectly predict whether a third party’s pending patent application will issue with claims of relevant scope. Our determination of the expiration date of any patent in the United States or abroad that we consider relevant may be incorrect, which may negatively impact our ability to develop and market our product candidates.</w:t>
      </w:r>
    </w:p>
    <w:p>
      <w:pPr>
        <w:spacing w:after="0" w:line="179"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As the biotechnology industry expands and more patents are issued, the risk increases that our product candidates may be subject to claims of infringement of the patent rights of third parties.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 candidates. We do not always conduct independent reviews of pending patent applications of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U.S. applications that will not be filed outside the United States can remain confidential until patents issue.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technologies, our product candidates or the use of our product candidates. As such, there may be applications of others now pending or recently revived patents of which we are unaware. These applications may later result in issued patents, or the revival of previously abandoned patents, that will prevent, limit or otherwise interfere with our ability to make, use or sell our product candidates. As a result, we may be unaware of third-party patents that may be infringed by commercialization of our product candidates, and cannot be certain that we were the first to file a patent application related to a product candidate or technology. Moreover, because patent applications can take many years to issue, there may be currently 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Any claims of patent infringement asserted by third parties would be time consuming and could:</w:t>
      </w:r>
    </w:p>
    <w:p>
      <w:pPr>
        <w:spacing w:after="0" w:line="84" w:lineRule="exact"/>
        <w:rPr>
          <w:sz w:val="20"/>
          <w:szCs w:val="20"/>
          <w:color w:val="auto"/>
        </w:rPr>
      </w:pPr>
    </w:p>
    <w:p>
      <w:pPr>
        <w:ind w:left="880" w:hanging="224"/>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result in costly litigation;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117" w:lineRule="exact"/>
        <w:rPr>
          <w:rFonts w:ascii="Arial" w:cs="Arial" w:eastAsia="Arial" w:hAnsi="Arial"/>
          <w:sz w:val="18"/>
          <w:szCs w:val="18"/>
          <w:color w:val="auto"/>
        </w:rPr>
      </w:pPr>
    </w:p>
    <w:p>
      <w:pPr>
        <w:ind w:left="880" w:right="60" w:hanging="224"/>
        <w:spacing w:after="0" w:line="276"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prevent us from commercializing our product candidates until the asserted patent expires or is held finally invalid or not infringed in a court of law;</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00"/>
          </w:cols>
          <w:pgMar w:left="320" w:top="455" w:right="47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17" w:lineRule="exact"/>
        <w:rPr>
          <w:rFonts w:ascii="Arial" w:cs="Arial" w:eastAsia="Arial" w:hAnsi="Arial"/>
          <w:sz w:val="18"/>
          <w:szCs w:val="18"/>
          <w:color w:val="auto"/>
        </w:rPr>
      </w:pPr>
    </w:p>
    <w:p>
      <w:pPr>
        <w:ind w:left="880" w:right="240" w:hanging="224"/>
        <w:spacing w:after="0" w:line="276" w:lineRule="auto"/>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require us to pay damages to the party whose intellectual property rights we may be found to be infringing, which may include treble damages if we are found to have been willfully infringing such intellectual property;</w:t>
      </w:r>
    </w:p>
    <w:p>
      <w:pPr>
        <w:spacing w:after="0" w:line="50" w:lineRule="exact"/>
        <w:rPr>
          <w:rFonts w:ascii="Arial" w:cs="Arial" w:eastAsia="Arial" w:hAnsi="Arial"/>
          <w:sz w:val="18"/>
          <w:szCs w:val="18"/>
          <w:color w:val="auto"/>
        </w:rPr>
      </w:pPr>
    </w:p>
    <w:p>
      <w:pPr>
        <w:ind w:left="880" w:right="120" w:hanging="224"/>
        <w:spacing w:after="0" w:line="276" w:lineRule="auto"/>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require us to pay the attorney’s fees and costs of litigation to the party whose intellectual property rights we may be found to be infringing; and/or</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 which may not be available on commercially reasonable terms, or at all.</w:t>
      </w:r>
    </w:p>
    <w:p>
      <w:pPr>
        <w:spacing w:after="0" w:line="212"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Although no third party has asserted a claim of patent infringement against us as of the date of this prospectus, others may hold proprietary rights that could prevent our product candidates or any future products from being marketed. Any patent-related legal action against us claiming damages and seeking to enjoin commercial activities relating to our product candidates or proprietary technologies could subject us to potential liability for damages, including treble damages if we were determined to willfully infringe, and require us to obtain a license to manufacture or market our product candidates or any future products. Defense of these claims, regardless of their merit, would involve substantial litigation expense and would be time-consuming and a substantial diversion of management and employee resources from our business. We cannot predict whether we would prevail in any such actions or that any license required under any of these patents would be made available on commercially acceptable terms, if at all. Even if such licenses are available, we could incur substantial costs related to royalty payments for licenses obtained from third parties, which could negatively affect our gross margins, and the rights may be non-exclusive, which could give our competitors access to the same technology or intellectual property rights licensed to us. In addition, we cannot be certain that we could redesign our product candidates or proprietary technologies to avoid infringement, if necessary, or on a cost-effective basis. Accordingly, an adverse determination in a judicial or administrative proceeding, or the failure to obtain necessary licenses, could prevent us from developing and commercializing our product candidates or any future products which could seriously harm our business. In addition, intellectual property litigation, regardless of its outcome, may cause negative publicity and could prohibit us from marketing or otherwise commercializing our product candidates and technology.</w:t>
      </w:r>
    </w:p>
    <w:p>
      <w:pPr>
        <w:spacing w:after="0" w:line="188" w:lineRule="exact"/>
        <w:rPr>
          <w:sz w:val="20"/>
          <w:szCs w:val="20"/>
          <w:color w:val="auto"/>
        </w:rPr>
      </w:pPr>
    </w:p>
    <w:p>
      <w:pPr>
        <w:ind w:left="120" w:right="200" w:firstLine="551"/>
        <w:spacing w:after="0" w:line="243" w:lineRule="auto"/>
        <w:rPr>
          <w:sz w:val="20"/>
          <w:szCs w:val="20"/>
          <w:color w:val="auto"/>
        </w:rPr>
      </w:pPr>
      <w:r>
        <w:rPr>
          <w:rFonts w:ascii="Arial" w:cs="Arial" w:eastAsia="Arial" w:hAnsi="Arial"/>
          <w:sz w:val="18"/>
          <w:szCs w:val="18"/>
          <w:color w:val="auto"/>
        </w:rPr>
        <w:t>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Also, we may be obligated under our agreements with our collaborators, licensors, suppliers and others to indemnify and hold them harmless for damages arising from intellectual property infringement by us.</w:t>
      </w:r>
    </w:p>
    <w:p>
      <w:pPr>
        <w:spacing w:after="0" w:line="282" w:lineRule="exact"/>
        <w:rPr>
          <w:sz w:val="20"/>
          <w:szCs w:val="20"/>
          <w:color w:val="auto"/>
        </w:rPr>
      </w:pPr>
    </w:p>
    <w:p>
      <w:pPr>
        <w:ind w:left="120"/>
        <w:spacing w:after="0" w:line="285"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 Further, our issued patents could be found invalid or unenforceable if challenged.</w:t>
      </w:r>
    </w:p>
    <w:p>
      <w:pPr>
        <w:spacing w:after="0" w:line="21"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Competitors may infringe our intellectual property rights or those of our licensors. To prevent infringement or unauthorized use, we may be required to file infringement claims, which can be expensive and time-consuming. In addition, in a patent infringement proceeding, a court or administrative tribunal may decide that a patent we own or license is not valid, is unenforceable and/or is not infringed. If we or any of our potential future collaborators were to initiate legal proceedings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80"/>
          </w:cols>
          <w:pgMar w:left="320" w:top="455" w:right="49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against a third party to enforce a patent directed at one of our product candidates,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or non-enablement. Grounds for an unenforceability assertion could include an allegation that someone connected with prosecution of the patent withheld relevant information from the USPTO or made a misleading statement during prosecution. Third parties may also raise similar claims before the USPTO, even outside the context of litigation. Similar mechanisms for challenging the validity and enforceability of a patent exist in foreign patent offices and may result in the revocation, cancellation, or amendment of any foreign patents we hold in the future. The outcome following legal assertions of invalidity and unenforceability is unpredictable, and prior art could render our patents or those of our licensors invalid. If a defendant were to prevail on a legal assertion of invalidity and/or unenforceability, we could lose at least part, and perhaps all, of the patent protection on an affected product candidate. Such a loss of patent protection would seriously harm our business.</w:t>
      </w:r>
    </w:p>
    <w:p>
      <w:pPr>
        <w:spacing w:after="0" w:line="176"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Interference or derivation proceedings provoked by third parties or brought by us or declared by the USPTO, or equivalent actions brought in foreign jurisdictions,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seriously harmed if the prevailing party does not offer us a license on commercially reasonable terms or at all, or if a non-exclusive license is offered and our competitors gain access to the same technology.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176"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and seriously harm our business.</w:t>
      </w:r>
    </w:p>
    <w:p>
      <w:pPr>
        <w:spacing w:after="0" w:line="176" w:lineRule="exact"/>
        <w:rPr>
          <w:sz w:val="20"/>
          <w:szCs w:val="20"/>
          <w:color w:val="auto"/>
        </w:rPr>
      </w:pPr>
    </w:p>
    <w:p>
      <w:pPr>
        <w:ind w:left="120" w:right="120" w:firstLine="551"/>
        <w:spacing w:after="0" w:line="248"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00"/>
          </w:cols>
          <w:pgMar w:left="320" w:top="455" w:right="47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20"/>
        <w:spacing w:after="0" w:line="285"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our product candidates through acquisitions and licenses.</w:t>
      </w:r>
    </w:p>
    <w:p>
      <w:pPr>
        <w:spacing w:after="0" w:line="21"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We currently have rights to the intellectual property, through licenses from third parties and under patents that we own, to develop our product candidates. Because our programs may require the use of proprietary rights held by third parties, the growth of our business will depend in part on our ability to acquire, license or use these proprietary rights. We may be unable to acquire or 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180" w:lineRule="exact"/>
        <w:rPr>
          <w:sz w:val="20"/>
          <w:szCs w:val="20"/>
          <w:color w:val="auto"/>
        </w:rPr>
      </w:pPr>
    </w:p>
    <w:p>
      <w:pPr>
        <w:ind w:left="120" w:right="120" w:firstLine="551"/>
        <w:spacing w:after="0" w:line="243" w:lineRule="auto"/>
        <w:rPr>
          <w:sz w:val="20"/>
          <w:szCs w:val="20"/>
          <w:color w:val="auto"/>
        </w:rPr>
      </w:pPr>
      <w:r>
        <w:rPr>
          <w:rFonts w:ascii="Arial" w:cs="Arial" w:eastAsia="Arial" w:hAnsi="Arial"/>
          <w:sz w:val="18"/>
          <w:szCs w:val="18"/>
          <w:color w:val="auto"/>
        </w:rPr>
        <w:t>We have collaborated with, and are currently collaborating with, U.S. academic institutions and may in the future collaborate with U.S. and foreign academic institutions to accelerate our preclinical research or development under written agreements with these institutions.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w:t>
      </w:r>
    </w:p>
    <w:p>
      <w:pPr>
        <w:spacing w:after="0" w:line="174" w:lineRule="exact"/>
        <w:rPr>
          <w:sz w:val="20"/>
          <w:szCs w:val="20"/>
          <w:color w:val="auto"/>
        </w:rPr>
      </w:pPr>
    </w:p>
    <w:p>
      <w:pPr>
        <w:ind w:left="120" w:right="240" w:firstLine="551"/>
        <w:spacing w:after="0" w:line="306" w:lineRule="auto"/>
        <w:rPr>
          <w:sz w:val="20"/>
          <w:szCs w:val="20"/>
          <w:color w:val="auto"/>
        </w:rPr>
      </w:pPr>
      <w:r>
        <w:rPr>
          <w:rFonts w:ascii="Arial" w:cs="Arial" w:eastAsia="Arial" w:hAnsi="Arial"/>
          <w:sz w:val="17"/>
          <w:szCs w:val="17"/>
          <w:color w:val="auto"/>
        </w:rPr>
        <w:t>If we are unable to successfully obtain rights to required third-party intellectual property rights or maintain the existing intellectual property rights we have, we may have to abandon development of that program and our business could be seriously harmed.</w:t>
      </w:r>
    </w:p>
    <w:p>
      <w:pPr>
        <w:spacing w:after="0" w:line="231" w:lineRule="exact"/>
        <w:rPr>
          <w:sz w:val="20"/>
          <w:szCs w:val="20"/>
          <w:color w:val="auto"/>
        </w:rPr>
      </w:pPr>
    </w:p>
    <w:p>
      <w:pPr>
        <w:ind w:left="120" w:right="300"/>
        <w:spacing w:after="0" w:line="260"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our employees or consultants have wrongfully used or disclosed alleged confidential information or trade secrets of their former or concurrent employers or former or current clients.</w:t>
      </w:r>
    </w:p>
    <w:p>
      <w:pPr>
        <w:spacing w:after="0" w:line="4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As is common in the biotechnology and biopharmaceutical industries,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biotechnology or biopharmaceutical companies, including our competitors or potential competitors. Although we try to ensure that our employees and consultants do not use the proprietary information or know-how of others in their work for us, we may become subject to claims that we, our employees or a consultant inadvertently or otherwise used or disclosed trade secrets or other information proprietary to their former employers or their former or current clients. We may also be subject to claims that patents and applications we have filed to protect inventions of our employees or consultants, even those related to one or more of our product candidates, are rightfully owned by their former or concurrent employer or former or current client. Litigation may be necessary to defend against these claims. If we fail in defending any such claims, in addition to paying monetary damages, we may lose valuable intellectual property rights, which could seriously harm our business. Even if we are successful in defending against these claims, litigation could result in substantial costs and be a distraction to our management and other employees.</w:t>
      </w:r>
    </w:p>
    <w:p>
      <w:pPr>
        <w:spacing w:after="0" w:line="1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00"/>
          </w:cols>
          <w:pgMar w:left="320" w:top="455" w:right="47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0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Our agreements with employees and consultants provide that any inventions conceived by an individual in the course of rendering services to us shall be our exclusive property. Although our policy is to have all such individuals complete these agreements, we may not obtain these agreements in all circumstances, and individuals with whom we have these agreements may not comply with their terms. The assignment of intellectual property may not be self-executing and despite such agreement, such inventions may become assigned to third parties. In the event of unauthorized use or disclosure of our trade secrets or proprietary information, these agreements, even if obtained, may not provide meaningful protection, particularly for our trade secrets or other confidential information. We may also be subject to claims that former employees, consultants, or other third parties have an ownership interest in our patents or other intellectual property. In addition, we may face claims by third parties that our agreements with employees or consultants obligating them to assign intellectual property to us are ineffective or in conflict with prior or competing contractual obligations of assignment, which could result in ownership disputes regarding intellectual property we have developed or will develop and interfere with our ability to capture the commercial value of such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seriously harm our business. Even if we are successful in defending against such claims, litigation could result in substantial costs and distraction to our management and other employees.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seriously harmed.</w:t>
      </w:r>
    </w:p>
    <w:p>
      <w:pPr>
        <w:spacing w:after="0" w:line="10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Depending upon the timing, duration and specifics of FDA marketing approval of any of our product candidates, one or more of our U.S. patents may be eligible for limited patent term restoration under the Drug Price Competition and Patent Term Restoration Act of 1984, also known as the Hatch-Waxman Amendments. The Hatch-Waxman Amendments permit a patent restoration term of up to five years as compensation for patent term lost during product development and the FDA regulatory review process. The Hatch-Waxman Act allows a maximum of one patent to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of the applicable product, and our business may be seriously harmed.</w:t>
      </w:r>
    </w:p>
    <w:p>
      <w:pPr>
        <w:spacing w:after="0" w:line="288" w:lineRule="exact"/>
        <w:rPr>
          <w:sz w:val="20"/>
          <w:szCs w:val="20"/>
          <w:color w:val="auto"/>
        </w:rPr>
      </w:pPr>
    </w:p>
    <w:p>
      <w:pPr>
        <w:ind w:left="120"/>
        <w:spacing w:after="0" w:line="285" w:lineRule="auto"/>
        <w:rPr>
          <w:sz w:val="20"/>
          <w:szCs w:val="20"/>
          <w:color w:val="auto"/>
        </w:rPr>
      </w:pPr>
      <w:r>
        <w:rPr>
          <w:rFonts w:ascii="Arial" w:cs="Arial" w:eastAsia="Arial" w:hAnsi="Arial"/>
          <w:sz w:val="18"/>
          <w:szCs w:val="18"/>
          <w:b w:val="1"/>
          <w:bCs w:val="1"/>
          <w:i w:val="1"/>
          <w:iCs w:val="1"/>
          <w:color w:val="auto"/>
        </w:rPr>
        <w:t>Changes in patent law in the United States or in other countries could diminish the value of patents in general, thereby impairing our ability to protect our product candidates.</w:t>
      </w:r>
    </w:p>
    <w:p>
      <w:pPr>
        <w:spacing w:after="0" w:line="21" w:lineRule="exact"/>
        <w:rPr>
          <w:sz w:val="20"/>
          <w:szCs w:val="20"/>
          <w:color w:val="auto"/>
        </w:rPr>
      </w:pPr>
    </w:p>
    <w:p>
      <w:pPr>
        <w:ind w:left="120" w:right="140" w:firstLine="551"/>
        <w:spacing w:after="0" w:line="276" w:lineRule="auto"/>
        <w:rPr>
          <w:sz w:val="20"/>
          <w:szCs w:val="20"/>
          <w:color w:val="auto"/>
        </w:rPr>
      </w:pPr>
      <w:r>
        <w:rPr>
          <w:rFonts w:ascii="Arial" w:cs="Arial" w:eastAsia="Arial" w:hAnsi="Arial"/>
          <w:sz w:val="18"/>
          <w:szCs w:val="18"/>
          <w:color w:val="auto"/>
        </w:rPr>
        <w:t>Our patent rights may be affected by developments or uncertainty in the U.S. or foreign patent statutes, patent case laws, USPTO rules and regulations or in the rules and regulations of foreign patent offices.</w:t>
      </w:r>
    </w:p>
    <w:p>
      <w:pPr>
        <w:spacing w:after="0" w:line="145" w:lineRule="exact"/>
        <w:rPr>
          <w:sz w:val="20"/>
          <w:szCs w:val="20"/>
          <w:color w:val="auto"/>
        </w:rPr>
      </w:pPr>
    </w:p>
    <w:p>
      <w:pPr>
        <w:ind w:left="120" w:right="580" w:firstLine="551"/>
        <w:spacing w:after="0" w:line="276" w:lineRule="auto"/>
        <w:rPr>
          <w:sz w:val="20"/>
          <w:szCs w:val="20"/>
          <w:color w:val="auto"/>
        </w:rPr>
      </w:pPr>
      <w:r>
        <w:rPr>
          <w:rFonts w:ascii="Arial" w:cs="Arial" w:eastAsia="Arial" w:hAnsi="Arial"/>
          <w:sz w:val="18"/>
          <w:szCs w:val="18"/>
          <w:color w:val="auto"/>
        </w:rPr>
        <w:t>There are a number of recent changes to the U.S. patent laws that may have a significant impact on our ability to protect our technology and enforce our intellectual property rights. For example, on</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5" w:right="45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52" w:lineRule="auto"/>
        <w:rPr>
          <w:sz w:val="20"/>
          <w:szCs w:val="20"/>
          <w:color w:val="auto"/>
        </w:rPr>
      </w:pPr>
      <w:r>
        <w:rPr>
          <w:rFonts w:ascii="Arial" w:cs="Arial" w:eastAsia="Arial" w:hAnsi="Arial"/>
          <w:sz w:val="17"/>
          <w:szCs w:val="17"/>
          <w:color w:val="auto"/>
        </w:rPr>
        <w:t xml:space="preserve">September 16, 2011, the Leahy-Smith America Invents Act (Leahy-Smith Act) was signed into law. The Leahy-Smith Act includes a number of significant changes to the U.S. patent law. These include provisions that affect the way patent applications will be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opposition, derivation,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 This could have a negative impact on some of our intellectual property and could increase uncertainties surrounding obtaining and enforcement or defense of our issued patents. In addition, Congress may pass patent reform legislation that is unfavorable to us. The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would weaken our ability to obtain new patents or to enforce our existing patents and patents we might obtain in the future. Similarly, statutory or judicial changes to the patent laws of other countries may increase the uncertainties and costs surrounding the prosecution of patent applications and the enforcement or defense of issued patents. Complying with these laws and regulations could limit our ability to obtain new patents in the future that may be important for our business.</w:t>
      </w:r>
    </w:p>
    <w:p>
      <w:pPr>
        <w:spacing w:after="0" w:line="200" w:lineRule="exact"/>
        <w:rPr>
          <w:sz w:val="20"/>
          <w:szCs w:val="20"/>
          <w:color w:val="auto"/>
        </w:rPr>
      </w:pP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04"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Filing, prosecuting and defending all current and future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76"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The legal systems of many foreign countries do not favor the enforcement of patents and other intellectual property protection, which could make it difficult for us to stop the infringement of our patents or marketing of competing products in violation of our proprietary rights. For example, some foreign countries have compulsory licensing laws under which a patent owner must grant licenses to third parties. In addition, some countries limit the enforceability of patents against third parties, including government agencies or government contractors. In these countries, patents may provide limited or no benefit.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5" w:right="45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00"/>
        <w:spacing w:after="0" w:line="255" w:lineRule="auto"/>
        <w:rPr>
          <w:sz w:val="20"/>
          <w:szCs w:val="20"/>
          <w:color w:val="auto"/>
        </w:rPr>
      </w:pPr>
      <w:r>
        <w:rPr>
          <w:rFonts w:ascii="Arial" w:cs="Arial" w:eastAsia="Arial" w:hAnsi="Arial"/>
          <w:sz w:val="18"/>
          <w:szCs w:val="18"/>
          <w:color w:val="auto"/>
        </w:rPr>
        <w:t>inadequate to obtain a significant commercial advantage from the intellectual property that we develop or license. If we or any of our licensors is forced to grant a license to third parties with respect to any patents relevant to our business, our business may be seriously harmed.</w:t>
      </w:r>
    </w:p>
    <w:p>
      <w:pPr>
        <w:spacing w:after="0" w:line="272" w:lineRule="exact"/>
        <w:rPr>
          <w:sz w:val="20"/>
          <w:szCs w:val="20"/>
          <w:color w:val="auto"/>
        </w:rPr>
      </w:pPr>
    </w:p>
    <w:p>
      <w:pPr>
        <w:ind w:left="120" w:right="480"/>
        <w:spacing w:after="0" w:line="260"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43" w:lineRule="exact"/>
        <w:rPr>
          <w:sz w:val="20"/>
          <w:szCs w:val="20"/>
          <w:color w:val="auto"/>
        </w:rPr>
      </w:pPr>
    </w:p>
    <w:p>
      <w:pPr>
        <w:ind w:left="120" w:right="80" w:firstLine="551"/>
        <w:spacing w:after="0" w:line="255" w:lineRule="auto"/>
        <w:rPr>
          <w:sz w:val="20"/>
          <w:szCs w:val="20"/>
          <w:color w:val="auto"/>
        </w:rPr>
      </w:pPr>
      <w:r>
        <w:rPr>
          <w:rFonts w:ascii="Arial" w:cs="Arial" w:eastAsia="Arial" w:hAnsi="Arial"/>
          <w:sz w:val="17"/>
          <w:szCs w:val="17"/>
          <w:color w:val="auto"/>
        </w:rPr>
        <w:t>The USPTO and various foreign governmental patent agencies require compliance with a number of procedural, documentary, fee payment and other provisions during the patent process. 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employ reputable professionals and rely on such third parties to help us comply with these requirements and effect payment of these fees with respect to the patents and patent applications that we own, and if we license intellectual property we may have to rely upon our licensors to comply with these requirements and effect payment of these fees with respect to any patents and patent applications that we license.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0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We cannot specify with certainty the uses of the majority of the net proceeds we will receive from this offering. Our management will have broad discretion in the application of the net proceeds, including for any of the purposes described in the section of this prospectus titled “Use of Proceeds.” Our management may spend a portion or all of the net proceeds from this offering in ways that our stockholders may not desire or that may not yield a favorable return. The failure by our management to apply these funds effectively could seriously harm our business. Pending their use, we may invest the net proceeds from this offering in a manner that does not produce income or that loses value.</w:t>
      </w:r>
    </w:p>
    <w:p>
      <w:pPr>
        <w:spacing w:after="0" w:line="282" w:lineRule="exact"/>
        <w:rPr>
          <w:sz w:val="20"/>
          <w:szCs w:val="20"/>
          <w:color w:val="auto"/>
        </w:rPr>
      </w:pPr>
    </w:p>
    <w:p>
      <w:pPr>
        <w:ind w:left="120" w:right="620"/>
        <w:spacing w:after="0" w:line="285" w:lineRule="auto"/>
        <w:rPr>
          <w:sz w:val="20"/>
          <w:szCs w:val="20"/>
          <w:color w:val="auto"/>
        </w:rPr>
      </w:pPr>
      <w:r>
        <w:rPr>
          <w:rFonts w:ascii="Arial" w:cs="Arial" w:eastAsia="Arial" w:hAnsi="Arial"/>
          <w:sz w:val="18"/>
          <w:szCs w:val="18"/>
          <w:b w:val="1"/>
          <w:bCs w:val="1"/>
          <w:i w:val="1"/>
          <w:iCs w:val="1"/>
          <w:color w:val="auto"/>
        </w:rPr>
        <w:t>Participation in this offering by our existing stockholders and/or their affiliated entities may reduce the public float for our common stock.</w:t>
      </w:r>
    </w:p>
    <w:p>
      <w:pPr>
        <w:spacing w:after="0" w:line="21"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To the extent certain of our existing stockholders and their affiliated entities participate in this offering, such purchases would reduce the non-affiliate public float of our shares, meaning the number of shares of our common stock that are not held by officers, directors and controlling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55" w:right="4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4"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This prospectus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84" w:lineRule="exact"/>
        <w:rPr>
          <w:sz w:val="20"/>
          <w:szCs w:val="20"/>
          <w:color w:val="auto"/>
        </w:rPr>
      </w:pPr>
    </w:p>
    <w:p>
      <w:pPr>
        <w:ind w:left="880" w:right="340" w:hanging="224"/>
        <w:spacing w:after="0" w:line="276"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success, cost and timing of our development activities, preclinical studies and clinical trials, including our clinical trials for 4D-310, 4D-125 and 4D-110;</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timing of IND-enabling studies and results from such studies, including our IND-enabling studies in 4D-150 and 4D-710;</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timing and success of lead optimization for our product candidates in lead optimization, including for 4D-135;</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translation of our preclinical results and data into future clinical trials in humans;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timing of any manufacturing runs for materials to be used in patient trials;</w:t>
      </w:r>
    </w:p>
    <w:p>
      <w:pPr>
        <w:spacing w:after="0" w:line="117" w:lineRule="exact"/>
        <w:rPr>
          <w:rFonts w:ascii="Arial" w:cs="Arial" w:eastAsia="Arial" w:hAnsi="Arial"/>
          <w:sz w:val="18"/>
          <w:szCs w:val="18"/>
          <w:color w:val="auto"/>
        </w:rPr>
      </w:pPr>
    </w:p>
    <w:p>
      <w:pPr>
        <w:ind w:left="880" w:right="620" w:hanging="224"/>
        <w:spacing w:after="0" w:line="276"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number, size and design of our planned clinical trials, and what regulatory authorities may require to obtain marketing approval</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potential effects of the COVID-19 pandemic on our preclinical and clinical programs and business;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117" w:lineRule="exact"/>
        <w:rPr>
          <w:rFonts w:ascii="Arial" w:cs="Arial" w:eastAsia="Arial" w:hAnsi="Arial"/>
          <w:sz w:val="18"/>
          <w:szCs w:val="18"/>
          <w:color w:val="auto"/>
        </w:rPr>
      </w:pPr>
    </w:p>
    <w:p>
      <w:pPr>
        <w:ind w:left="880" w:right="240" w:hanging="224"/>
        <w:spacing w:after="0" w:line="276"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any approved product candidate;</w:t>
      </w:r>
    </w:p>
    <w:p>
      <w:pPr>
        <w:spacing w:after="0" w:line="50" w:lineRule="exact"/>
        <w:rPr>
          <w:rFonts w:ascii="Arial" w:cs="Arial" w:eastAsia="Arial" w:hAnsi="Arial"/>
          <w:sz w:val="18"/>
          <w:szCs w:val="18"/>
          <w:color w:val="auto"/>
        </w:rPr>
      </w:pPr>
    </w:p>
    <w:p>
      <w:pPr>
        <w:ind w:left="880" w:right="900" w:hanging="224"/>
        <w:spacing w:after="0" w:line="276"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develop and commercialize our product candidates;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success of competing products or platform technologies that are or may become available;</w:t>
      </w:r>
    </w:p>
    <w:p>
      <w:pPr>
        <w:spacing w:after="0" w:line="117" w:lineRule="exact"/>
        <w:rPr>
          <w:rFonts w:ascii="Arial" w:cs="Arial" w:eastAsia="Arial" w:hAnsi="Arial"/>
          <w:sz w:val="18"/>
          <w:szCs w:val="18"/>
          <w:color w:val="auto"/>
        </w:rPr>
      </w:pPr>
    </w:p>
    <w:p>
      <w:pPr>
        <w:ind w:left="880" w:right="360" w:hanging="224"/>
        <w:spacing w:after="0" w:line="276"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plans and ability to establish sales, marketing and distribution infrastructure to commercialize any product candidates for which we obtain approval;</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product candidates;</w:t>
      </w:r>
    </w:p>
    <w:p>
      <w:pPr>
        <w:spacing w:after="0" w:line="117"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if approved for commercial use, and our ability to serve those markets;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foreign countries;</w:t>
      </w:r>
    </w:p>
    <w:p>
      <w:pPr>
        <w:spacing w:after="0" w:line="117" w:lineRule="exact"/>
        <w:rPr>
          <w:rFonts w:ascii="Arial" w:cs="Arial" w:eastAsia="Arial" w:hAnsi="Arial"/>
          <w:sz w:val="18"/>
          <w:szCs w:val="18"/>
          <w:color w:val="auto"/>
        </w:rPr>
      </w:pPr>
    </w:p>
    <w:p>
      <w:pPr>
        <w:ind w:left="880" w:right="220" w:hanging="224"/>
        <w:spacing w:after="0" w:line="276"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expected potential benefits of strategic collaboration agreements, including our relationships with Roche and uniQure, and our ability to attract collaborators with development, regulatory and commercialization expertise;</w:t>
      </w:r>
    </w:p>
    <w:p>
      <w:pPr>
        <w:spacing w:after="0" w:line="50" w:lineRule="exact"/>
        <w:rPr>
          <w:rFonts w:ascii="Arial" w:cs="Arial" w:eastAsia="Arial" w:hAnsi="Arial"/>
          <w:sz w:val="18"/>
          <w:szCs w:val="18"/>
          <w:color w:val="auto"/>
        </w:rPr>
      </w:pPr>
    </w:p>
    <w:p>
      <w:pPr>
        <w:ind w:left="880" w:right="60" w:hanging="224"/>
        <w:spacing w:after="0" w:line="276"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 and technology;</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00"/>
          </w:cols>
          <w:pgMar w:left="320" w:top="455" w:right="47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potential claims relating to our intellectual property and third-party intellectual property;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attract and retain key managerial, scientific and medical personnel;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qualify as an emerging growth company under the JOBS Act;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anticipated use of the proceeds from this offering;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section titled “Risk Factors.”</w:t>
      </w:r>
    </w:p>
    <w:p>
      <w:pPr>
        <w:spacing w:after="0" w:line="21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These forward-looking statements are based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As a result, any or all of our forward-looking statements in this prospectus may turn out to be inaccurate. Factors that may cause actual results to differ materially from current expectations include, among other things, those listed under the section titled “Risk Factors” and elsewhere in this prospectus. Potential investors are urged to consider these factors carefully in evaluating the forward-looking statements. These forward-looking statements speak only as of the date of this prospectus.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 after the date of this prospectus. See the section titled “Where You Can Find More Information.”</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20"/>
          </w:cols>
          <w:pgMar w:left="320" w:top="455" w:right="55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INDUSTRY AND MARKET DATA</w:t>
      </w:r>
    </w:p>
    <w:p>
      <w:pPr>
        <w:spacing w:after="0" w:line="21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This prospectus contains estimates, projections and other information concerning our industry, our business, and the markets for our product candidates, including data regarding the estimated patient population and market size for our product candidates,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60"/>
          </w:cols>
          <w:pgMar w:left="320" w:top="455" w:right="51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14"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We estimate that the net proceeds from the issuance and sale of 8,400,000 shares of our common stock in this offering will be approximately $176.6 million, or approximately $203.5 million if the underwriters exercise their option to purchase additional shares in full, based on the initial public offering price of $23.00 per share, after deducting the underwriting discounts and commissions and estimated offering expenses payable by us.</w:t>
      </w:r>
    </w:p>
    <w:p>
      <w:pPr>
        <w:spacing w:after="0" w:line="170" w:lineRule="exact"/>
        <w:rPr>
          <w:sz w:val="20"/>
          <w:szCs w:val="20"/>
          <w:color w:val="auto"/>
        </w:rPr>
      </w:pPr>
    </w:p>
    <w:p>
      <w:pPr>
        <w:ind w:left="120" w:right="300" w:firstLine="551"/>
        <w:spacing w:after="0" w:line="255" w:lineRule="auto"/>
        <w:rPr>
          <w:sz w:val="20"/>
          <w:szCs w:val="20"/>
          <w:color w:val="auto"/>
        </w:rPr>
      </w:pPr>
      <w:r>
        <w:rPr>
          <w:rFonts w:ascii="Arial" w:cs="Arial" w:eastAsia="Arial" w:hAnsi="Arial"/>
          <w:sz w:val="18"/>
          <w:szCs w:val="18"/>
          <w:color w:val="auto"/>
        </w:rPr>
        <w:t>The principal purposes of this offering are to obtain additional capital to support our operations, to create a public market for our common stock and to facilitate our future access to the public equity markets. We currently intend to use the net proceeds from this offering, together with our existing cash and cash equivalents, as follows:</w:t>
      </w:r>
    </w:p>
    <w:p>
      <w:pPr>
        <w:spacing w:after="0" w:line="69" w:lineRule="exact"/>
        <w:rPr>
          <w:sz w:val="20"/>
          <w:szCs w:val="20"/>
          <w:color w:val="auto"/>
        </w:rPr>
      </w:pPr>
    </w:p>
    <w:p>
      <w:pPr>
        <w:ind w:left="880" w:right="320" w:hanging="224"/>
        <w:spacing w:after="0" w:line="276"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$65.0 million to $70.0 million to fund our ongoing and planned clinical and preclinical development of our product candidates, including ongoing clinical trials for 4D-310 and 4D-125 and IND-enabling study activities for 4D-150 and 4D-710;</w:t>
      </w:r>
    </w:p>
    <w:p>
      <w:pPr>
        <w:spacing w:after="0" w:line="50" w:lineRule="exact"/>
        <w:rPr>
          <w:rFonts w:ascii="Arial" w:cs="Arial" w:eastAsia="Arial" w:hAnsi="Arial"/>
          <w:sz w:val="18"/>
          <w:szCs w:val="18"/>
          <w:color w:val="auto"/>
        </w:rPr>
      </w:pPr>
    </w:p>
    <w:p>
      <w:pPr>
        <w:ind w:left="880" w:right="880" w:hanging="224"/>
        <w:spacing w:after="0" w:line="276"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$30.0 million to $35.0 million to fund the further development and expansion of our pipeline including to complete lead optimization and IND-enabling studies for 4D-135, and potentially other research candidates;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$5.0 million to $10.0 million to fund the continued expansion of our manufacturing capabilities and facilities;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remaining amounts for working capital and other general corporate purposes.</w:t>
      </w:r>
    </w:p>
    <w:p>
      <w:pPr>
        <w:spacing w:after="0" w:line="212" w:lineRule="exact"/>
        <w:rPr>
          <w:sz w:val="20"/>
          <w:szCs w:val="20"/>
          <w:color w:val="auto"/>
        </w:rPr>
      </w:pPr>
    </w:p>
    <w:p>
      <w:pPr>
        <w:ind w:left="120" w:right="180" w:firstLine="551"/>
        <w:spacing w:after="0" w:line="255" w:lineRule="auto"/>
        <w:rPr>
          <w:sz w:val="20"/>
          <w:szCs w:val="20"/>
          <w:color w:val="auto"/>
        </w:rPr>
      </w:pPr>
      <w:r>
        <w:rPr>
          <w:rFonts w:ascii="Arial" w:cs="Arial" w:eastAsia="Arial" w:hAnsi="Arial"/>
          <w:sz w:val="18"/>
          <w:szCs w:val="18"/>
          <w:color w:val="auto"/>
        </w:rPr>
        <w:t>Based on our current operating plan, we estimate that our current cash and cash equivalents, together with the estimated net proceeds from this offering, will be sufficient to fund our operating expenses and capital expenditure requirements at least into the fourth quarter of 2022. In particular, we expect that these capital resources will be sufficient to fund:</w:t>
      </w:r>
    </w:p>
    <w:p>
      <w:pPr>
        <w:spacing w:after="0" w:line="69" w:lineRule="exact"/>
        <w:rPr>
          <w:sz w:val="20"/>
          <w:szCs w:val="20"/>
          <w:color w:val="auto"/>
        </w:rPr>
      </w:pPr>
    </w:p>
    <w:p>
      <w:pPr>
        <w:ind w:left="880" w:right="60" w:hanging="224"/>
        <w:spacing w:after="0" w:line="255" w:lineRule="auto"/>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ongoing Phase 1/2 clinical trial for 4D-125 through our anticipated initial clinical data in 2021, our ongoing Phase 1 clinical trial for 4D-110 through our anticipated initial clinical data in 2022 and our ongoing Phase 1/2 clinical trial for 4D-310 through our anticipated initial clinical data in 2021; and</w:t>
      </w:r>
    </w:p>
    <w:p>
      <w:pPr>
        <w:spacing w:after="0" w:line="69" w:lineRule="exact"/>
        <w:rPr>
          <w:rFonts w:ascii="Arial" w:cs="Arial" w:eastAsia="Arial" w:hAnsi="Arial"/>
          <w:sz w:val="18"/>
          <w:szCs w:val="18"/>
          <w:color w:val="auto"/>
        </w:rPr>
      </w:pPr>
    </w:p>
    <w:p>
      <w:pPr>
        <w:ind w:left="880" w:right="60" w:hanging="224"/>
        <w:spacing w:after="0" w:line="276" w:lineRule="auto"/>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ongoing IND-enabling study activities for 4D-150 and 4D-710 through our anticipated IND submission and Phase 1/2 clinical trial initiation for each of these product candidates in the second half of 2021.</w:t>
      </w:r>
    </w:p>
    <w:p>
      <w:pPr>
        <w:spacing w:after="0" w:line="145"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The amounts and timing of our actual expenditures and the extent of our research and development activities may vary significantly depending on numerous factors, including the progress of our development efforts, the status of and results from any preclinical or clinical trials we may commence in the future, our ability to take advantage of expedited programs or to obtain regulatory approval for any other product candidates we may identify and pursue, the timing and costs associated with the manufacture and supply of any other product candidates we may identify and pursue for clinical development or commercialization, and any unforeseen cash needs. As a result, our management will retain broad discretion over the allocation of the net proceeds from this offering.</w:t>
      </w:r>
    </w:p>
    <w:p>
      <w:pPr>
        <w:spacing w:after="0" w:line="174" w:lineRule="exact"/>
        <w:rPr>
          <w:sz w:val="20"/>
          <w:szCs w:val="20"/>
          <w:color w:val="auto"/>
        </w:rPr>
      </w:pPr>
    </w:p>
    <w:p>
      <w:pPr>
        <w:ind w:left="120" w:firstLine="551"/>
        <w:spacing w:after="0" w:line="306" w:lineRule="auto"/>
        <w:rPr>
          <w:sz w:val="20"/>
          <w:szCs w:val="20"/>
          <w:color w:val="auto"/>
        </w:rPr>
      </w:pPr>
      <w:r>
        <w:rPr>
          <w:rFonts w:ascii="Arial" w:cs="Arial" w:eastAsia="Arial" w:hAnsi="Arial"/>
          <w:sz w:val="17"/>
          <w:szCs w:val="17"/>
          <w:color w:val="auto"/>
        </w:rPr>
        <w:t>We may also use a portion of the remaining net proceeds and our existing cash and cash equivalents to in-license, acquire, or invest in complementary businesses, technologies, products or assets. However, we have no current commitments or obligations to do so.</w:t>
      </w:r>
    </w:p>
    <w:p>
      <w:pPr>
        <w:spacing w:after="0" w:line="123" w:lineRule="exact"/>
        <w:rPr>
          <w:sz w:val="20"/>
          <w:szCs w:val="20"/>
          <w:color w:val="auto"/>
        </w:rPr>
      </w:pPr>
    </w:p>
    <w:p>
      <w:pPr>
        <w:ind w:left="120" w:right="460" w:firstLine="551"/>
        <w:spacing w:after="0" w:line="276" w:lineRule="auto"/>
        <w:rPr>
          <w:sz w:val="20"/>
          <w:szCs w:val="20"/>
          <w:color w:val="auto"/>
        </w:rPr>
      </w:pPr>
      <w:r>
        <w:rPr>
          <w:rFonts w:ascii="Arial" w:cs="Arial" w:eastAsia="Arial" w:hAnsi="Arial"/>
          <w:sz w:val="18"/>
          <w:szCs w:val="18"/>
          <w:color w:val="auto"/>
        </w:rPr>
        <w:t>This expected use of the net proceeds from this offering represents our intentions based upon our current plans and business conditions. As of the date of this prospectus, we cannot predict with</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00"/>
          </w:cols>
          <w:pgMar w:left="320" w:top="455" w:right="47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certainty all of the particular uses for the net proceeds to be received upon the completion of this offering or the amounts that we will actually spend on the uses set forth above. If we receive any additional proceeds from this offering, we expect to use such proceeds on a proportional basis to the categories described above (other than funding for manufacturing capabilities and facilities).</w:t>
      </w:r>
    </w:p>
    <w:p>
      <w:pPr>
        <w:spacing w:after="0" w:line="164" w:lineRule="exact"/>
        <w:rPr>
          <w:sz w:val="20"/>
          <w:szCs w:val="20"/>
          <w:color w:val="auto"/>
        </w:rPr>
      </w:pPr>
    </w:p>
    <w:p>
      <w:pPr>
        <w:ind w:left="120" w:right="220" w:firstLine="551"/>
        <w:spacing w:after="0" w:line="276" w:lineRule="auto"/>
        <w:rPr>
          <w:sz w:val="20"/>
          <w:szCs w:val="20"/>
          <w:color w:val="auto"/>
        </w:rPr>
      </w:pPr>
      <w:r>
        <w:rPr>
          <w:rFonts w:ascii="Arial" w:cs="Arial" w:eastAsia="Arial" w:hAnsi="Arial"/>
          <w:sz w:val="18"/>
          <w:szCs w:val="18"/>
          <w:color w:val="auto"/>
        </w:rPr>
        <w:t>Pending their use, we intend to invest the net proceeds of this offering in a variety of capital-preservation investments, including short and intermediate-term, interest-bearing, investment-grade securities, and government securities.</w:t>
      </w:r>
    </w:p>
    <w:p>
      <w:pPr>
        <w:spacing w:after="0" w:line="7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00"/>
          </w:cols>
          <w:pgMar w:left="320" w:top="455" w:right="57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DIVIDEND POLICY</w:t>
      </w:r>
    </w:p>
    <w:p>
      <w:pPr>
        <w:spacing w:after="0" w:line="214"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80"/>
          </w:cols>
          <w:pgMar w:left="320" w:top="455" w:right="49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cash and cash equivalents and capitalization as of September 30, 2020:</w:t>
      </w:r>
    </w:p>
    <w:p>
      <w:pPr>
        <w:spacing w:after="0" w:line="117" w:lineRule="exact"/>
        <w:rPr>
          <w:sz w:val="20"/>
          <w:szCs w:val="20"/>
          <w:color w:val="auto"/>
        </w:rPr>
      </w:pPr>
    </w:p>
    <w:p>
      <w:pPr>
        <w:ind w:left="880" w:hanging="224"/>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7" w:lineRule="exact"/>
        <w:rPr>
          <w:rFonts w:ascii="Arial" w:cs="Arial" w:eastAsia="Arial" w:hAnsi="Arial"/>
          <w:sz w:val="18"/>
          <w:szCs w:val="18"/>
          <w:color w:val="auto"/>
        </w:rPr>
      </w:pPr>
    </w:p>
    <w:p>
      <w:pPr>
        <w:ind w:left="880" w:right="380" w:hanging="224"/>
        <w:spacing w:after="0" w:line="248"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 a pro forma basis to give effect to: (i) the automatic conversion of 11,575,984 shares of our outstanding redeemable convertible preferred stock as of September 30, 2020 into an equivalent number of shares of our common stock immediately prior to the completion of this offering, and (ii) the filing and effectiveness of our amended and restated certificate of incorporation, which will occur, in each case, immediately prior to the completion of this offering; and</w:t>
      </w:r>
    </w:p>
    <w:p>
      <w:pPr>
        <w:spacing w:after="0" w:line="75" w:lineRule="exact"/>
        <w:rPr>
          <w:rFonts w:ascii="Arial" w:cs="Arial" w:eastAsia="Arial" w:hAnsi="Arial"/>
          <w:sz w:val="18"/>
          <w:szCs w:val="18"/>
          <w:color w:val="auto"/>
        </w:rPr>
      </w:pPr>
    </w:p>
    <w:p>
      <w:pPr>
        <w:ind w:left="880" w:right="220" w:hanging="224"/>
        <w:spacing w:after="0" w:line="255"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 a pro forma as adjusted basis to give further effect to sale and issuance of 8,400,000 shares of our common stock in this offering, at the initial public offering price of $23.00 per share, after deducting the underwriting discounts and commissions and estimated offering expenses payable by us.</w:t>
      </w:r>
    </w:p>
    <w:p>
      <w:pPr>
        <w:spacing w:after="0" w:line="164" w:lineRule="exact"/>
        <w:rPr>
          <w:sz w:val="20"/>
          <w:szCs w:val="20"/>
          <w:color w:val="auto"/>
        </w:rPr>
      </w:pPr>
    </w:p>
    <w:p>
      <w:pPr>
        <w:jc w:val="both"/>
        <w:ind w:left="120" w:right="20" w:firstLine="551"/>
        <w:spacing w:after="0" w:line="255" w:lineRule="auto"/>
        <w:rPr>
          <w:sz w:val="20"/>
          <w:szCs w:val="20"/>
          <w:color w:val="auto"/>
        </w:rPr>
      </w:pPr>
      <w:r>
        <w:rPr>
          <w:rFonts w:ascii="Arial" w:cs="Arial" w:eastAsia="Arial" w:hAnsi="Arial"/>
          <w:sz w:val="18"/>
          <w:szCs w:val="18"/>
          <w:color w:val="auto"/>
        </w:rPr>
        <w:t>You should read this information together with our financial statements and related notes included elsewhere in this prospectus and the information set forth in the sections titled “Selected Financial Data” and “Management’s Discussion and Analysis of Financial Condition and Results of Operations.”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7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7"/>
          </w:tcPr>
          <w:p>
            <w:pPr>
              <w:jc w:val="center"/>
              <w:ind w:left="515"/>
              <w:spacing w:after="0"/>
              <w:rPr>
                <w:sz w:val="20"/>
                <w:szCs w:val="20"/>
                <w:color w:val="auto"/>
              </w:rPr>
            </w:pPr>
            <w:r>
              <w:rPr>
                <w:rFonts w:ascii="Arial" w:cs="Arial" w:eastAsia="Arial" w:hAnsi="Arial"/>
                <w:sz w:val="14"/>
                <w:szCs w:val="14"/>
                <w:b w:val="1"/>
                <w:bCs w:val="1"/>
                <w:color w:val="auto"/>
              </w:rPr>
              <w:t>As of September 30, 2020</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7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7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561"/>
              <w:spacing w:after="0"/>
              <w:rPr>
                <w:sz w:val="20"/>
                <w:szCs w:val="20"/>
                <w:color w:val="auto"/>
              </w:rPr>
            </w:pPr>
            <w:r>
              <w:rPr>
                <w:rFonts w:ascii="Arial" w:cs="Arial" w:eastAsia="Arial" w:hAnsi="Arial"/>
                <w:sz w:val="14"/>
                <w:szCs w:val="14"/>
                <w:b w:val="1"/>
                <w:bCs w:val="1"/>
                <w:color w:val="auto"/>
              </w:rPr>
              <w:t>Actual</w:t>
            </w:r>
          </w:p>
        </w:tc>
        <w:tc>
          <w:tcPr>
            <w:tcW w:w="10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Pro Forma</w:t>
            </w:r>
          </w:p>
        </w:tc>
        <w:tc>
          <w:tcPr>
            <w:tcW w:w="20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40"/>
        </w:trPr>
        <w:tc>
          <w:tcPr>
            <w:tcW w:w="75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60" w:type="dxa"/>
            <w:vAlign w:val="bottom"/>
            <w:tcBorders>
              <w:top w:val="single" w:sz="8" w:color="auto"/>
            </w:tcBorders>
            <w:gridSpan w:val="8"/>
          </w:tcPr>
          <w:p>
            <w:pPr>
              <w:jc w:val="center"/>
              <w:ind w:right="30"/>
              <w:spacing w:after="0" w:line="141" w:lineRule="exact"/>
              <w:rPr>
                <w:sz w:val="20"/>
                <w:szCs w:val="20"/>
                <w:color w:val="auto"/>
              </w:rPr>
            </w:pPr>
            <w:r>
              <w:rPr>
                <w:rFonts w:ascii="Arial" w:cs="Arial" w:eastAsia="Arial" w:hAnsi="Arial"/>
                <w:sz w:val="14"/>
                <w:szCs w:val="14"/>
                <w:b w:val="1"/>
                <w:bCs w:val="1"/>
                <w:color w:val="auto"/>
              </w:rPr>
              <w:t>(in thousands, except share and per</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share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amounts)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1"/>
              <w:spacing w:after="0" w:line="202" w:lineRule="exact"/>
              <w:rPr>
                <w:sz w:val="20"/>
                <w:szCs w:val="20"/>
                <w:color w:val="auto"/>
              </w:rPr>
            </w:pPr>
            <w:r>
              <w:rPr>
                <w:rFonts w:ascii="Arial" w:cs="Arial" w:eastAsia="Arial" w:hAnsi="Arial"/>
                <w:sz w:val="18"/>
                <w:szCs w:val="18"/>
                <w:color w:val="auto"/>
              </w:rPr>
              <w:t>88,755</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88,755</w:t>
            </w:r>
          </w:p>
        </w:tc>
        <w:tc>
          <w:tcPr>
            <w:tcW w:w="3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265,351</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color w:val="auto"/>
              </w:rPr>
              <w:t>Redeemable convertible preferred stock, $0.0001 par value: 11,575,984 shares authorized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5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80"/>
              <w:spacing w:after="0" w:line="202" w:lineRule="exact"/>
              <w:rPr>
                <w:sz w:val="20"/>
                <w:szCs w:val="20"/>
                <w:color w:val="auto"/>
              </w:rPr>
            </w:pPr>
            <w:r>
              <w:rPr>
                <w:rFonts w:ascii="Arial" w:cs="Arial" w:eastAsia="Arial" w:hAnsi="Arial"/>
                <w:sz w:val="18"/>
                <w:szCs w:val="18"/>
                <w:color w:val="auto"/>
              </w:rPr>
              <w:t>and 11,575,984 issued and outstanding, actual; no shares authorized, issued or</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520" w:type="dxa"/>
            <w:vAlign w:val="bottom"/>
          </w:tcPr>
          <w:p>
            <w:pPr>
              <w:ind w:left="180"/>
              <w:spacing w:after="0"/>
              <w:rPr>
                <w:sz w:val="20"/>
                <w:szCs w:val="20"/>
                <w:color w:val="auto"/>
              </w:rPr>
            </w:pPr>
            <w:r>
              <w:rPr>
                <w:rFonts w:ascii="Arial" w:cs="Arial" w:eastAsia="Arial" w:hAnsi="Arial"/>
                <w:sz w:val="18"/>
                <w:szCs w:val="18"/>
                <w:color w:val="auto"/>
              </w:rPr>
              <w:t>outstanding, pro forma or pro forma as adjusted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1"/>
              <w:spacing w:after="0"/>
              <w:rPr>
                <w:sz w:val="20"/>
                <w:szCs w:val="20"/>
                <w:color w:val="auto"/>
              </w:rPr>
            </w:pPr>
            <w:r>
              <w:rPr>
                <w:rFonts w:ascii="Arial" w:cs="Arial" w:eastAsia="Arial" w:hAnsi="Arial"/>
                <w:sz w:val="18"/>
                <w:szCs w:val="18"/>
                <w:color w:val="auto"/>
              </w:rPr>
              <w:t>175,448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(deficit) equity:</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7520" w:type="dxa"/>
            <w:vAlign w:val="bottom"/>
          </w:tcPr>
          <w:p>
            <w:pPr>
              <w:ind w:left="360"/>
              <w:spacing w:after="0" w:line="180" w:lineRule="exact"/>
              <w:rPr>
                <w:sz w:val="20"/>
                <w:szCs w:val="20"/>
                <w:color w:val="auto"/>
              </w:rPr>
            </w:pPr>
            <w:r>
              <w:rPr>
                <w:rFonts w:ascii="Arial" w:cs="Arial" w:eastAsia="Arial" w:hAnsi="Arial"/>
                <w:sz w:val="18"/>
                <w:szCs w:val="18"/>
                <w:color w:val="auto"/>
              </w:rPr>
              <w:t>Preferred stock, $0.0001 per value: no shares authorized, issued and outstanding,</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540"/>
              <w:spacing w:after="0" w:line="202" w:lineRule="exact"/>
              <w:rPr>
                <w:sz w:val="20"/>
                <w:szCs w:val="20"/>
                <w:color w:val="auto"/>
              </w:rPr>
            </w:pPr>
            <w:r>
              <w:rPr>
                <w:rFonts w:ascii="Arial" w:cs="Arial" w:eastAsia="Arial" w:hAnsi="Arial"/>
                <w:sz w:val="18"/>
                <w:szCs w:val="18"/>
                <w:color w:val="auto"/>
              </w:rPr>
              <w:t>actual; 10,000,000 authorized and no shares issued or outstanding, pro forma and</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520" w:type="dxa"/>
            <w:vAlign w:val="bottom"/>
          </w:tcPr>
          <w:p>
            <w:pPr>
              <w:ind w:left="540"/>
              <w:spacing w:after="0"/>
              <w:rPr>
                <w:sz w:val="20"/>
                <w:szCs w:val="20"/>
                <w:color w:val="auto"/>
              </w:rPr>
            </w:pPr>
            <w:r>
              <w:rPr>
                <w:rFonts w:ascii="Arial" w:cs="Arial" w:eastAsia="Arial" w:hAnsi="Arial"/>
                <w:sz w:val="18"/>
                <w:szCs w:val="18"/>
                <w:color w:val="auto"/>
              </w:rPr>
              <w:t>pro forma as adjusted</w:t>
            </w:r>
          </w:p>
        </w:tc>
        <w:tc>
          <w:tcPr>
            <w:tcW w:w="120" w:type="dxa"/>
            <w:vAlign w:val="bottom"/>
          </w:tcPr>
          <w:p>
            <w:pPr>
              <w:spacing w:after="0"/>
              <w:rPr>
                <w:sz w:val="19"/>
                <w:szCs w:val="19"/>
                <w:color w:val="auto"/>
              </w:rPr>
            </w:pPr>
          </w:p>
        </w:tc>
        <w:tc>
          <w:tcPr>
            <w:tcW w:w="1160" w:type="dxa"/>
            <w:vAlign w:val="bottom"/>
            <w:gridSpan w:val="2"/>
          </w:tcPr>
          <w:p>
            <w:pPr>
              <w:jc w:val="right"/>
              <w:ind w:right="3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0"/>
        </w:trPr>
        <w:tc>
          <w:tcPr>
            <w:tcW w:w="7520" w:type="dxa"/>
            <w:vAlign w:val="bottom"/>
            <w:shd w:val="clear" w:color="auto" w:fill="CCEEFF"/>
          </w:tcPr>
          <w:p>
            <w:pPr>
              <w:ind w:left="360"/>
              <w:spacing w:after="0" w:line="180" w:lineRule="exact"/>
              <w:rPr>
                <w:sz w:val="20"/>
                <w:szCs w:val="20"/>
                <w:color w:val="auto"/>
              </w:rPr>
            </w:pPr>
            <w:r>
              <w:rPr>
                <w:rFonts w:ascii="Arial" w:cs="Arial" w:eastAsia="Arial" w:hAnsi="Arial"/>
                <w:sz w:val="18"/>
                <w:szCs w:val="18"/>
                <w:color w:val="auto"/>
              </w:rPr>
              <w:t>Common stock, $0.0001 par value: 20,866,244 shares authorized; 5,257,742 shares</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issued and outstanding, actual; 300,000,000 shares authorized, pro forma and pro</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forma as adjusted; 16,833,726 shares issued and outstanding, pro forma;</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25,233,726 shares issued and outstanding, pro forma as adjusted</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7520" w:type="dxa"/>
            <w:vAlign w:val="bottom"/>
          </w:tcPr>
          <w:p>
            <w:pPr>
              <w:ind w:left="360"/>
              <w:spacing w:after="0" w:line="202" w:lineRule="exact"/>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7"/>
                <w:szCs w:val="17"/>
                <w:color w:val="auto"/>
              </w:rPr>
            </w:pPr>
          </w:p>
        </w:tc>
        <w:tc>
          <w:tcPr>
            <w:tcW w:w="1160" w:type="dxa"/>
            <w:vAlign w:val="bottom"/>
            <w:gridSpan w:val="2"/>
          </w:tcPr>
          <w:p>
            <w:pPr>
              <w:jc w:val="right"/>
              <w:ind w:right="361"/>
              <w:spacing w:after="0" w:line="202" w:lineRule="exact"/>
              <w:rPr>
                <w:sz w:val="20"/>
                <w:szCs w:val="20"/>
                <w:color w:val="auto"/>
              </w:rPr>
            </w:pPr>
            <w:r>
              <w:rPr>
                <w:rFonts w:ascii="Arial" w:cs="Arial" w:eastAsia="Arial" w:hAnsi="Arial"/>
                <w:sz w:val="18"/>
                <w:szCs w:val="18"/>
                <w:color w:val="auto"/>
              </w:rPr>
              <w:t>9,839</w:t>
            </w:r>
          </w:p>
        </w:tc>
        <w:tc>
          <w:tcPr>
            <w:tcW w:w="100" w:type="dxa"/>
            <w:vAlign w:val="bottom"/>
          </w:tcPr>
          <w:p>
            <w:pPr>
              <w:spacing w:after="0"/>
              <w:rPr>
                <w:sz w:val="17"/>
                <w:szCs w:val="17"/>
                <w:color w:val="auto"/>
              </w:rPr>
            </w:pPr>
          </w:p>
        </w:tc>
        <w:tc>
          <w:tcPr>
            <w:tcW w:w="9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185,286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361,861</w:t>
            </w:r>
          </w:p>
        </w:tc>
        <w:tc>
          <w:tcPr>
            <w:tcW w:w="0" w:type="dxa"/>
            <w:vAlign w:val="bottom"/>
          </w:tcPr>
          <w:p>
            <w:pPr>
              <w:spacing w:after="0"/>
              <w:rPr>
                <w:sz w:val="1"/>
                <w:szCs w:val="1"/>
                <w:color w:val="auto"/>
              </w:rPr>
            </w:pPr>
          </w:p>
        </w:tc>
      </w:tr>
      <w:tr>
        <w:trPr>
          <w:trHeight w:val="202"/>
        </w:trPr>
        <w:tc>
          <w:tcPr>
            <w:tcW w:w="7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1"/>
              <w:spacing w:after="0" w:line="202" w:lineRule="exact"/>
              <w:rPr>
                <w:sz w:val="20"/>
                <w:szCs w:val="20"/>
                <w:color w:val="auto"/>
              </w:rPr>
            </w:pPr>
            <w:r>
              <w:rPr>
                <w:rFonts w:ascii="Arial" w:cs="Arial" w:eastAsia="Arial" w:hAnsi="Arial"/>
                <w:sz w:val="18"/>
                <w:szCs w:val="18"/>
                <w:color w:val="auto"/>
                <w:w w:val="98"/>
              </w:rPr>
              <w:t>(115,132)</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5"/>
              </w:rPr>
              <w:t>(115,132)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(115,132)</w:t>
            </w:r>
          </w:p>
        </w:tc>
        <w:tc>
          <w:tcPr>
            <w:tcW w:w="0" w:type="dxa"/>
            <w:vAlign w:val="bottom"/>
          </w:tcPr>
          <w:p>
            <w:pPr>
              <w:spacing w:after="0"/>
              <w:rPr>
                <w:sz w:val="1"/>
                <w:szCs w:val="1"/>
                <w:color w:val="auto"/>
              </w:rPr>
            </w:pPr>
          </w:p>
        </w:tc>
      </w:tr>
      <w:tr>
        <w:trPr>
          <w:trHeight w:val="217"/>
        </w:trPr>
        <w:tc>
          <w:tcPr>
            <w:tcW w:w="7520" w:type="dxa"/>
            <w:vAlign w:val="bottom"/>
          </w:tcPr>
          <w:p>
            <w:pPr>
              <w:spacing w:after="0"/>
              <w:rPr>
                <w:sz w:val="20"/>
                <w:szCs w:val="20"/>
                <w:color w:val="auto"/>
              </w:rPr>
            </w:pPr>
            <w:r>
              <w:rPr>
                <w:rFonts w:ascii="Arial" w:cs="Arial" w:eastAsia="Arial" w:hAnsi="Arial"/>
                <w:sz w:val="18"/>
                <w:szCs w:val="18"/>
                <w:color w:val="auto"/>
              </w:rPr>
              <w:t>Total stockholders’ (deficit) equity</w:t>
            </w: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(105,292</w:t>
            </w:r>
          </w:p>
        </w:tc>
        <w:tc>
          <w:tcPr>
            <w:tcW w:w="440" w:type="dxa"/>
            <w:vAlign w:val="bottom"/>
          </w:tcPr>
          <w:p>
            <w:pPr>
              <w:jc w:val="right"/>
              <w:ind w:right="30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70,156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246,732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capitalization</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1"/>
              <w:spacing w:after="0" w:line="202" w:lineRule="exact"/>
              <w:rPr>
                <w:sz w:val="20"/>
                <w:szCs w:val="20"/>
                <w:color w:val="auto"/>
              </w:rPr>
            </w:pPr>
            <w:r>
              <w:rPr>
                <w:rFonts w:ascii="Arial" w:cs="Arial" w:eastAsia="Arial" w:hAnsi="Arial"/>
                <w:sz w:val="18"/>
                <w:szCs w:val="18"/>
                <w:color w:val="auto"/>
              </w:rPr>
              <w:t>70,156</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70,156</w:t>
            </w:r>
          </w:p>
        </w:tc>
        <w:tc>
          <w:tcPr>
            <w:tcW w:w="3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246,732</w:t>
            </w:r>
          </w:p>
        </w:tc>
        <w:tc>
          <w:tcPr>
            <w:tcW w:w="0" w:type="dxa"/>
            <w:vAlign w:val="bottom"/>
          </w:tcPr>
          <w:p>
            <w:pPr>
              <w:spacing w:after="0"/>
              <w:rPr>
                <w:sz w:val="1"/>
                <w:szCs w:val="1"/>
                <w:color w:val="auto"/>
              </w:rPr>
            </w:pPr>
          </w:p>
        </w:tc>
      </w:tr>
      <w:tr>
        <w:trPr>
          <w:trHeight w:val="20"/>
        </w:trPr>
        <w:tc>
          <w:tcPr>
            <w:tcW w:w="7520" w:type="dxa"/>
            <w:vAlign w:val="bottom"/>
            <w:vMerge w:val="restart"/>
          </w:tcPr>
          <w:p>
            <w:pPr>
              <w:ind w:left="5400"/>
              <w:spacing w:after="0"/>
              <w:rPr>
                <w:sz w:val="20"/>
                <w:szCs w:val="20"/>
                <w:color w:val="auto"/>
              </w:rPr>
            </w:pPr>
            <w:r>
              <w:rPr>
                <w:rFonts w:ascii="Arial" w:cs="Arial" w:eastAsia="Arial" w:hAnsi="Arial"/>
                <w:sz w:val="18"/>
                <w:szCs w:val="18"/>
                <w:color w:val="auto"/>
              </w:rPr>
              <w:t>90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7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140" w:firstLine="551"/>
        <w:spacing w:after="0" w:line="255" w:lineRule="auto"/>
        <w:rPr>
          <w:sz w:val="20"/>
          <w:szCs w:val="20"/>
          <w:color w:val="auto"/>
        </w:rPr>
      </w:pPr>
      <w:r>
        <w:rPr>
          <w:rFonts w:ascii="Arial" w:cs="Arial" w:eastAsia="Arial" w:hAnsi="Arial"/>
          <w:sz w:val="18"/>
          <w:szCs w:val="18"/>
          <w:color w:val="auto"/>
        </w:rPr>
        <w:t>The number of shares of our common stock issued and outstanding pro forma and pro forma adjusted in the table above is based on 16,833,726 shares of our common stock (including our redeemable convertible preferred stock on an as-converted basis) outstanding as of September 30, 2020, and excludes:</w:t>
      </w:r>
    </w:p>
    <w:p>
      <w:pPr>
        <w:spacing w:after="0" w:line="69" w:lineRule="exact"/>
        <w:rPr>
          <w:sz w:val="20"/>
          <w:szCs w:val="20"/>
          <w:color w:val="auto"/>
        </w:rPr>
      </w:pPr>
    </w:p>
    <w:p>
      <w:pPr>
        <w:ind w:left="880" w:right="660" w:hanging="224"/>
        <w:spacing w:after="0" w:line="276"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2,928,321 shares of our common stock issuable upon the exercise of stock options to purchase common stock that were outstanding as of September 30, 2020, with a weighted-average exercise price of $9.11 per share;</w:t>
      </w:r>
    </w:p>
    <w:p>
      <w:pPr>
        <w:spacing w:after="0" w:line="50" w:lineRule="exact"/>
        <w:rPr>
          <w:rFonts w:ascii="Arial" w:cs="Arial" w:eastAsia="Arial" w:hAnsi="Arial"/>
          <w:sz w:val="18"/>
          <w:szCs w:val="18"/>
          <w:color w:val="auto"/>
        </w:rPr>
      </w:pPr>
    </w:p>
    <w:p>
      <w:pPr>
        <w:ind w:left="880" w:right="80" w:hanging="224"/>
        <w:spacing w:after="0" w:line="276"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68,669 shares of our common stock issuable upon the exercise of outstanding warrants, with a weighted-average exercise price of $1.85 per share;</w:t>
      </w:r>
    </w:p>
    <w:p>
      <w:pPr>
        <w:spacing w:after="0" w:line="50" w:lineRule="exact"/>
        <w:rPr>
          <w:rFonts w:ascii="Arial" w:cs="Arial" w:eastAsia="Arial" w:hAnsi="Arial"/>
          <w:sz w:val="18"/>
          <w:szCs w:val="18"/>
          <w:color w:val="auto"/>
        </w:rPr>
      </w:pPr>
    </w:p>
    <w:p>
      <w:pPr>
        <w:ind w:left="880" w:right="160" w:hanging="224"/>
        <w:spacing w:after="0" w:line="276"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499,000 shares of our common stock issuable upon the exercise of stock options to purchase common stock that were granted after September 30, 2020, each with an exercise price of $18.66 per share;</w:t>
      </w:r>
    </w:p>
    <w:p>
      <w:pPr>
        <w:spacing w:after="0" w:line="50" w:lineRule="exact"/>
        <w:rPr>
          <w:rFonts w:ascii="Arial" w:cs="Arial" w:eastAsia="Arial" w:hAnsi="Arial"/>
          <w:sz w:val="18"/>
          <w:szCs w:val="18"/>
          <w:color w:val="auto"/>
        </w:rPr>
      </w:pPr>
    </w:p>
    <w:p>
      <w:pPr>
        <w:ind w:left="880" w:right="300" w:hanging="224"/>
        <w:spacing w:after="0" w:line="276"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30,000 shares of our common stock issuable upon the exercise of a warrant to purchase common stock that was issued after September 30, 2020, with an exercise price of $18.00 per share;</w:t>
      </w:r>
    </w:p>
    <w:p>
      <w:pPr>
        <w:spacing w:after="0" w:line="50" w:lineRule="exact"/>
        <w:rPr>
          <w:rFonts w:ascii="Arial" w:cs="Arial" w:eastAsia="Arial" w:hAnsi="Arial"/>
          <w:sz w:val="18"/>
          <w:szCs w:val="18"/>
          <w:color w:val="auto"/>
        </w:rPr>
      </w:pPr>
    </w:p>
    <w:p>
      <w:pPr>
        <w:ind w:left="880" w:right="160" w:hanging="224"/>
        <w:spacing w:after="0" w:line="276"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41,897 shares of our common stock reserved for issuance pursuant to future awards under our 2015 Equity Incentive Plan (the Plan) and associated amendments as of September 30, 2020;</w:t>
      </w:r>
    </w:p>
    <w:p>
      <w:pPr>
        <w:spacing w:after="0" w:line="50" w:lineRule="exact"/>
        <w:rPr>
          <w:rFonts w:ascii="Arial" w:cs="Arial" w:eastAsia="Arial" w:hAnsi="Arial"/>
          <w:sz w:val="18"/>
          <w:szCs w:val="18"/>
          <w:color w:val="auto"/>
        </w:rPr>
      </w:pPr>
    </w:p>
    <w:p>
      <w:pPr>
        <w:ind w:left="880" w:right="140" w:hanging="224"/>
        <w:spacing w:after="0" w:line="255"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2,606,546 shares of our common stock reserved for issuance pursuant to future awards under our 2020 Equity Incentive Award Plan (the 2020 Plan), as well as any automatic increases in the number of shares of our common stock reserved for future issuance under this plan, which became effective immediately prior to the completion of this offering; and</w:t>
      </w:r>
    </w:p>
    <w:p>
      <w:pPr>
        <w:spacing w:after="0" w:line="69" w:lineRule="exact"/>
        <w:rPr>
          <w:rFonts w:ascii="Arial" w:cs="Arial" w:eastAsia="Arial" w:hAnsi="Arial"/>
          <w:sz w:val="18"/>
          <w:szCs w:val="18"/>
          <w:color w:val="auto"/>
        </w:rPr>
      </w:pPr>
    </w:p>
    <w:p>
      <w:pPr>
        <w:ind w:left="880" w:hanging="224"/>
        <w:spacing w:after="0" w:line="255"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252,337 shares of our common stock reserved for issuance pursuant to future awards under our 2020 Employee Stock Purchase Plan (the ESPP), as well as any automatic increases in the number of shares of our common stock reserved for future issuance under this plan, which became effective immediately prior to the completion of this offering.</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5" w:right="45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106" w:lineRule="exact"/>
        <w:rPr>
          <w:sz w:val="20"/>
          <w:szCs w:val="20"/>
          <w:color w:val="auto"/>
        </w:rPr>
      </w:pPr>
    </w:p>
    <w:p>
      <w:pPr>
        <w:jc w:val="both"/>
        <w:ind w:left="120" w:right="300" w:firstLine="551"/>
        <w:spacing w:after="0" w:line="255" w:lineRule="auto"/>
        <w:rPr>
          <w:sz w:val="20"/>
          <w:szCs w:val="20"/>
          <w:color w:val="auto"/>
        </w:rPr>
      </w:pPr>
      <w:r>
        <w:rPr>
          <w:rFonts w:ascii="Arial" w:cs="Arial" w:eastAsia="Arial" w:hAnsi="Arial"/>
          <w:sz w:val="18"/>
          <w:szCs w:val="18"/>
          <w:color w:val="auto"/>
        </w:rPr>
        <w:t>If you invest in our common stock in this offering, your interest will be immediately diluted to the extent of the difference between the initial public offering price per share of our common stock in this offering and the pro forma as adjusted net tangible book value per share of our common stock immediately after the completion of this offering.</w:t>
      </w:r>
    </w:p>
    <w:p>
      <w:pPr>
        <w:spacing w:after="0" w:line="164" w:lineRule="exact"/>
        <w:rPr>
          <w:sz w:val="20"/>
          <w:szCs w:val="20"/>
          <w:color w:val="auto"/>
        </w:rPr>
      </w:pPr>
    </w:p>
    <w:p>
      <w:pPr>
        <w:ind w:left="120" w:right="40" w:firstLine="551"/>
        <w:spacing w:after="0" w:line="255" w:lineRule="auto"/>
        <w:rPr>
          <w:sz w:val="20"/>
          <w:szCs w:val="20"/>
          <w:color w:val="auto"/>
        </w:rPr>
      </w:pPr>
      <w:r>
        <w:rPr>
          <w:rFonts w:ascii="Arial" w:cs="Arial" w:eastAsia="Arial" w:hAnsi="Arial"/>
          <w:sz w:val="18"/>
          <w:szCs w:val="18"/>
          <w:color w:val="auto"/>
        </w:rPr>
        <w:t>As of September 30, 2020, our historical net tangible book value (deficit) was $(105.4) million, or $(20.04) per share of our common stock. Our historical net tangible book value (deficit) per share represents total tangible assets less total liabilities and redeemable convertible preferred stock divided by the number of shares of our common stock outstanding on September 30, 2020.</w:t>
      </w:r>
    </w:p>
    <w:p>
      <w:pPr>
        <w:spacing w:after="0" w:line="164" w:lineRule="exact"/>
        <w:rPr>
          <w:sz w:val="20"/>
          <w:szCs w:val="20"/>
          <w:color w:val="auto"/>
        </w:rPr>
      </w:pPr>
    </w:p>
    <w:p>
      <w:pPr>
        <w:ind w:left="120" w:right="140" w:firstLine="551"/>
        <w:spacing w:after="0" w:line="245" w:lineRule="auto"/>
        <w:rPr>
          <w:sz w:val="20"/>
          <w:szCs w:val="20"/>
          <w:color w:val="auto"/>
        </w:rPr>
      </w:pPr>
      <w:r>
        <w:rPr>
          <w:rFonts w:ascii="Arial" w:cs="Arial" w:eastAsia="Arial" w:hAnsi="Arial"/>
          <w:sz w:val="18"/>
          <w:szCs w:val="18"/>
          <w:color w:val="auto"/>
        </w:rPr>
        <w:t>Our pro forma net tangible book value as of September 30, 2020, before giving effect to this offering, was $70.1 million, or $4.16 per share of our common stock. Pro forma net tangible book value represents our historical net tangible book value (deficit), before the issuance and sale of shares in this offering, and gives effect to the automatic conversion of 11,575,984 shares of our outstanding redeemable convertible preferred stock as of September 30, 2020 into an equivalent number of shares of our common stock immediately prior to the completion of this offering.</w:t>
      </w:r>
    </w:p>
    <w:p>
      <w:pPr>
        <w:spacing w:after="0" w:line="172" w:lineRule="exact"/>
        <w:rPr>
          <w:sz w:val="20"/>
          <w:szCs w:val="20"/>
          <w:color w:val="auto"/>
        </w:rPr>
      </w:pPr>
    </w:p>
    <w:p>
      <w:pPr>
        <w:ind w:left="120" w:right="140" w:firstLine="551"/>
        <w:spacing w:after="0" w:line="245" w:lineRule="auto"/>
        <w:rPr>
          <w:sz w:val="20"/>
          <w:szCs w:val="20"/>
          <w:color w:val="auto"/>
        </w:rPr>
      </w:pPr>
      <w:r>
        <w:rPr>
          <w:rFonts w:ascii="Arial" w:cs="Arial" w:eastAsia="Arial" w:hAnsi="Arial"/>
          <w:sz w:val="18"/>
          <w:szCs w:val="18"/>
          <w:color w:val="auto"/>
        </w:rPr>
        <w:t>Our pro forma as adjusted net tangible book value represents our pro forma net tangible book value, plus the effect of the sale of 8,400,000 shares of our common stock in this offering at the initial public offering price of $23.00 per share, after deducting the underwriting discounts and commissions and estimated offering expenses payable by us. We determine dilution per share to investors participating in this offering by subtracting pro forma as adjusted net tangible book value per share after this offering from the initial public offering price per share paid by investors participating in this offering.</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8200" w:type="dxa"/>
            <w:vAlign w:val="bottom"/>
          </w:tcPr>
          <w:p>
            <w:pPr>
              <w:ind w:left="540"/>
              <w:spacing w:after="0"/>
              <w:rPr>
                <w:sz w:val="20"/>
                <w:szCs w:val="20"/>
                <w:color w:val="auto"/>
              </w:rPr>
            </w:pPr>
            <w:r>
              <w:rPr>
                <w:rFonts w:ascii="Arial" w:cs="Arial" w:eastAsia="Arial" w:hAnsi="Arial"/>
                <w:sz w:val="18"/>
                <w:szCs w:val="18"/>
                <w:color w:val="auto"/>
              </w:rPr>
              <w:t>The following table illustrates this per share dilution:</w:t>
            </w: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25"/>
        </w:trPr>
        <w:tc>
          <w:tcPr>
            <w:tcW w:w="8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8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Initial public offering price per share</w:t>
            </w:r>
          </w:p>
        </w:tc>
        <w:tc>
          <w:tcPr>
            <w:tcW w:w="2820" w:type="dxa"/>
            <w:vAlign w:val="bottom"/>
            <w:gridSpan w:val="5"/>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$23.00</w:t>
            </w:r>
          </w:p>
        </w:tc>
      </w:tr>
      <w:tr>
        <w:trPr>
          <w:trHeight w:val="203"/>
        </w:trPr>
        <w:tc>
          <w:tcPr>
            <w:tcW w:w="8200" w:type="dxa"/>
            <w:vAlign w:val="bottom"/>
          </w:tcPr>
          <w:p>
            <w:pPr>
              <w:ind w:left="360"/>
              <w:spacing w:after="0" w:line="202" w:lineRule="exact"/>
              <w:rPr>
                <w:sz w:val="20"/>
                <w:szCs w:val="20"/>
                <w:color w:val="auto"/>
              </w:rPr>
            </w:pPr>
            <w:r>
              <w:rPr>
                <w:rFonts w:ascii="Arial" w:cs="Arial" w:eastAsia="Arial" w:hAnsi="Arial"/>
                <w:sz w:val="18"/>
                <w:szCs w:val="18"/>
                <w:color w:val="auto"/>
              </w:rPr>
              <w:t>Historical net tangible book value (deficit) per share as of September 30, 2020</w:t>
            </w:r>
          </w:p>
        </w:tc>
        <w:tc>
          <w:tcPr>
            <w:tcW w:w="220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$(20.04)</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2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 forma increase in historical net tangible book value (deficit) per share</w:t>
            </w:r>
          </w:p>
        </w:tc>
        <w:tc>
          <w:tcPr>
            <w:tcW w:w="220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24.20</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8200" w:type="dxa"/>
            <w:vAlign w:val="bottom"/>
          </w:tcPr>
          <w:p>
            <w:pPr>
              <w:ind w:left="360"/>
              <w:spacing w:after="0"/>
              <w:rPr>
                <w:sz w:val="20"/>
                <w:szCs w:val="20"/>
                <w:color w:val="auto"/>
              </w:rPr>
            </w:pPr>
            <w:r>
              <w:rPr>
                <w:rFonts w:ascii="Arial" w:cs="Arial" w:eastAsia="Arial" w:hAnsi="Arial"/>
                <w:sz w:val="18"/>
                <w:szCs w:val="18"/>
                <w:color w:val="auto"/>
              </w:rPr>
              <w:t>Pro forma net tangible book value per share as of September 30, 2020</w:t>
            </w:r>
          </w:p>
        </w:tc>
        <w:tc>
          <w:tcPr>
            <w:tcW w:w="112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82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Increase in pro forma net tangible book value per share attributable to new investors</w:t>
            </w:r>
          </w:p>
        </w:tc>
        <w:tc>
          <w:tcPr>
            <w:tcW w:w="220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5.61</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Pro forma as adjusted net tangible book value per share</w:t>
            </w:r>
          </w:p>
        </w:tc>
        <w:tc>
          <w:tcPr>
            <w:tcW w:w="1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w:t>
            </w:r>
          </w:p>
        </w:tc>
        <w:tc>
          <w:tcPr>
            <w:tcW w:w="60" w:type="dxa"/>
            <w:vAlign w:val="bottom"/>
          </w:tcPr>
          <w:p>
            <w:pPr>
              <w:spacing w:after="0"/>
              <w:rPr>
                <w:sz w:val="18"/>
                <w:szCs w:val="18"/>
                <w:color w:val="auto"/>
              </w:rPr>
            </w:pPr>
          </w:p>
        </w:tc>
      </w:tr>
      <w:tr>
        <w:trPr>
          <w:trHeight w:val="203"/>
        </w:trPr>
        <w:tc>
          <w:tcPr>
            <w:tcW w:w="8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per share to new investors participating in this offering</w:t>
            </w:r>
          </w:p>
        </w:tc>
        <w:tc>
          <w:tcPr>
            <w:tcW w:w="2820" w:type="dxa"/>
            <w:vAlign w:val="bottom"/>
            <w:gridSpan w:val="5"/>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13.23</w:t>
            </w:r>
          </w:p>
        </w:tc>
      </w:tr>
      <w:tr>
        <w:trPr>
          <w:trHeight w:val="20"/>
        </w:trPr>
        <w:tc>
          <w:tcPr>
            <w:tcW w:w="8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left="120" w:right="40" w:firstLine="551"/>
        <w:spacing w:after="0" w:line="255" w:lineRule="auto"/>
        <w:rPr>
          <w:sz w:val="20"/>
          <w:szCs w:val="20"/>
          <w:color w:val="auto"/>
        </w:rPr>
      </w:pPr>
      <w:r>
        <w:rPr>
          <w:rFonts w:ascii="Arial" w:cs="Arial" w:eastAsia="Arial" w:hAnsi="Arial"/>
          <w:sz w:val="18"/>
          <w:szCs w:val="18"/>
          <w:color w:val="auto"/>
        </w:rPr>
        <w:t>If the underwriters fully exercise their option to purchase additional shares, pro forma as adjusted net tangible book value after this offering would be $10.33 per share, the increase in pro forma as adjusted net tangible book value per share to existing stockholders would be $6.17 per share, and the decrease in dilution to investors in this offering would be $0.56 per share.</w:t>
      </w:r>
    </w:p>
    <w:p>
      <w:pPr>
        <w:spacing w:after="0" w:line="164"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To the extent that outstanding options with an exercise price per share that is less than the pro forma as adjusted net tangible book value per share are exercised, new investors will experience further dilution. 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pacing w:after="0" w:line="172" w:lineRule="exact"/>
        <w:rPr>
          <w:sz w:val="20"/>
          <w:szCs w:val="20"/>
          <w:color w:val="auto"/>
        </w:rPr>
      </w:pPr>
    </w:p>
    <w:p>
      <w:pPr>
        <w:ind w:left="120" w:right="20" w:firstLine="551"/>
        <w:spacing w:after="0" w:line="276" w:lineRule="auto"/>
        <w:rPr>
          <w:sz w:val="20"/>
          <w:szCs w:val="20"/>
          <w:color w:val="auto"/>
        </w:rPr>
      </w:pPr>
      <w:r>
        <w:rPr>
          <w:rFonts w:ascii="Arial" w:cs="Arial" w:eastAsia="Arial" w:hAnsi="Arial"/>
          <w:sz w:val="18"/>
          <w:szCs w:val="18"/>
          <w:color w:val="auto"/>
        </w:rPr>
        <w:t>The following table shows, as of September 30, 2020, on a pro forma as adjusted basis, the number of shares of our common stock purchased from us, the total consideration paid to us and the</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40"/>
          </w:cols>
          <w:pgMar w:left="320" w:top="455" w:right="4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average price paid per share by existing stockholders and by new investors purchasing common stock in this offering, at the initial public offering price of $23.00 per share, before deducting the underwriting discounts and commissions and estimated offering expenses payable by us (in thousands, except share and per share amounts and percentages):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2360" w:type="dxa"/>
            <w:vAlign w:val="bottom"/>
            <w:gridSpan w:val="4"/>
            <w:vMerge w:val="restart"/>
          </w:tcPr>
          <w:p>
            <w:pPr>
              <w:jc w:val="right"/>
              <w:ind w:right="820"/>
              <w:spacing w:after="0"/>
              <w:rPr>
                <w:sz w:val="20"/>
                <w:szCs w:val="20"/>
                <w:color w:val="auto"/>
              </w:rPr>
            </w:pPr>
            <w:r>
              <w:rPr>
                <w:rFonts w:ascii="Arial" w:cs="Arial" w:eastAsia="Arial" w:hAnsi="Arial"/>
                <w:sz w:val="14"/>
                <w:szCs w:val="14"/>
                <w:b w:val="1"/>
                <w:bCs w:val="1"/>
                <w:color w:val="auto"/>
              </w:rPr>
              <w:t>Shares Purchased</w:t>
            </w:r>
          </w:p>
        </w:tc>
        <w:tc>
          <w:tcPr>
            <w:tcW w:w="2540" w:type="dxa"/>
            <w:vAlign w:val="bottom"/>
            <w:gridSpan w:val="4"/>
            <w:vMerge w:val="restart"/>
          </w:tcPr>
          <w:p>
            <w:pPr>
              <w:jc w:val="right"/>
              <w:ind w:right="860"/>
              <w:spacing w:after="0"/>
              <w:rPr>
                <w:sz w:val="20"/>
                <w:szCs w:val="20"/>
                <w:color w:val="auto"/>
              </w:rPr>
            </w:pPr>
            <w:r>
              <w:rPr>
                <w:rFonts w:ascii="Arial" w:cs="Arial" w:eastAsia="Arial" w:hAnsi="Arial"/>
                <w:sz w:val="14"/>
                <w:szCs w:val="14"/>
                <w:b w:val="1"/>
                <w:bCs w:val="1"/>
                <w:color w:val="auto"/>
              </w:rPr>
              <w:t>Total Consideration</w:t>
            </w:r>
          </w:p>
        </w:tc>
        <w:tc>
          <w:tcPr>
            <w:tcW w:w="7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4"/>
        </w:trPr>
        <w:tc>
          <w:tcPr>
            <w:tcW w:w="5360" w:type="dxa"/>
            <w:vAlign w:val="bottom"/>
          </w:tcPr>
          <w:p>
            <w:pPr>
              <w:spacing w:after="0"/>
              <w:rPr>
                <w:sz w:val="14"/>
                <w:szCs w:val="14"/>
                <w:color w:val="auto"/>
              </w:rPr>
            </w:pPr>
          </w:p>
        </w:tc>
        <w:tc>
          <w:tcPr>
            <w:tcW w:w="2360" w:type="dxa"/>
            <w:vAlign w:val="bottom"/>
            <w:gridSpan w:val="4"/>
            <w:vMerge w:val="continue"/>
          </w:tcPr>
          <w:p>
            <w:pPr>
              <w:spacing w:after="0"/>
              <w:rPr>
                <w:sz w:val="14"/>
                <w:szCs w:val="14"/>
                <w:color w:val="auto"/>
              </w:rPr>
            </w:pPr>
          </w:p>
        </w:tc>
        <w:tc>
          <w:tcPr>
            <w:tcW w:w="2540" w:type="dxa"/>
            <w:vAlign w:val="bottom"/>
            <w:gridSpan w:val="4"/>
            <w:vMerge w:val="continue"/>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0"/>
        </w:trPr>
        <w:tc>
          <w:tcPr>
            <w:tcW w:w="53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gridSpan w:val="3"/>
          </w:tcPr>
          <w:p>
            <w:pPr>
              <w:jc w:val="center"/>
              <w:ind w:right="60"/>
              <w:spacing w:after="0" w:line="141" w:lineRule="exact"/>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177"/>
        </w:trPr>
        <w:tc>
          <w:tcPr>
            <w:tcW w:w="53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Number</w:t>
            </w:r>
          </w:p>
        </w:tc>
        <w:tc>
          <w:tcPr>
            <w:tcW w:w="34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w:t>
            </w:r>
          </w:p>
        </w:tc>
        <w:tc>
          <w:tcPr>
            <w:tcW w:w="5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Amount</w:t>
            </w:r>
          </w:p>
        </w:tc>
        <w:tc>
          <w:tcPr>
            <w:tcW w:w="36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w:t>
            </w:r>
          </w:p>
        </w:tc>
        <w:tc>
          <w:tcPr>
            <w:tcW w:w="5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Share</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Existing stockholders</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16,833,726</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rPr>
              <w:t>66.7%</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$184,967,743</w:t>
            </w:r>
          </w:p>
        </w:tc>
        <w:tc>
          <w:tcPr>
            <w:tcW w:w="3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rPr>
              <w:t>48.9%</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10.99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New investors participating in this offering</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8,400,000</w:t>
            </w:r>
          </w:p>
        </w:tc>
        <w:tc>
          <w:tcPr>
            <w:tcW w:w="340" w:type="dxa"/>
            <w:vAlign w:val="bottom"/>
          </w:tcPr>
          <w:p>
            <w:pPr>
              <w:spacing w:after="0"/>
              <w:rPr>
                <w:sz w:val="17"/>
                <w:szCs w:val="17"/>
                <w:color w:val="auto"/>
              </w:rPr>
            </w:pPr>
          </w:p>
        </w:tc>
        <w:tc>
          <w:tcPr>
            <w:tcW w:w="10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33.3</w:t>
            </w:r>
          </w:p>
        </w:tc>
        <w:tc>
          <w:tcPr>
            <w:tcW w:w="14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193,200,000</w:t>
            </w:r>
          </w:p>
        </w:tc>
        <w:tc>
          <w:tcPr>
            <w:tcW w:w="10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51.1</w:t>
            </w:r>
          </w:p>
        </w:tc>
        <w:tc>
          <w:tcPr>
            <w:tcW w:w="120" w:type="dxa"/>
            <w:vAlign w:val="bottom"/>
          </w:tcPr>
          <w:p>
            <w:pPr>
              <w:spacing w:after="0"/>
              <w:rPr>
                <w:sz w:val="17"/>
                <w:szCs w:val="17"/>
                <w:color w:val="auto"/>
              </w:rPr>
            </w:pP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25,233,726</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100%</w:t>
            </w:r>
          </w:p>
        </w:tc>
        <w:tc>
          <w:tcPr>
            <w:tcW w:w="14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378,167,743</w:t>
            </w:r>
          </w:p>
        </w:tc>
        <w:tc>
          <w:tcPr>
            <w:tcW w:w="10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160" w:firstLine="551"/>
        <w:spacing w:after="0" w:line="306" w:lineRule="auto"/>
        <w:rPr>
          <w:sz w:val="20"/>
          <w:szCs w:val="20"/>
          <w:color w:val="auto"/>
        </w:rPr>
      </w:pPr>
      <w:r>
        <w:rPr>
          <w:rFonts w:ascii="Arial" w:cs="Arial" w:eastAsia="Arial" w:hAnsi="Arial"/>
          <w:sz w:val="17"/>
          <w:szCs w:val="17"/>
          <w:color w:val="auto"/>
        </w:rPr>
        <w:t>If the underwriters were to fully exercise their option to purchase additional shares, the percentage of shares of our common stock held by existing investors would be 63.5%, and the percentage of shares of our common stock held by new investors would be 36.5%.</w:t>
      </w:r>
    </w:p>
    <w:p>
      <w:pPr>
        <w:spacing w:after="0" w:line="123"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The foregoing tables and calculations (other than the historical net tangible book value calculation) are based on 16,833,726 shares of our common stock (including our redeemable convertible preferred stock on an as-converted basis) outstanding as of September 30, 2020, and excludes:</w:t>
      </w:r>
    </w:p>
    <w:p>
      <w:pPr>
        <w:spacing w:after="0" w:line="69" w:lineRule="exact"/>
        <w:rPr>
          <w:sz w:val="20"/>
          <w:szCs w:val="20"/>
          <w:color w:val="auto"/>
        </w:rPr>
      </w:pPr>
    </w:p>
    <w:p>
      <w:pPr>
        <w:ind w:left="880" w:right="680" w:hanging="224"/>
        <w:spacing w:after="0" w:line="276"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2,928,321 shares of our common stock issuable upon the exercise of stock options to purchase common stock that were outstanding as of September 30, 2020, with a weighted-average exercise price of $9.11 per share;</w:t>
      </w:r>
    </w:p>
    <w:p>
      <w:pPr>
        <w:spacing w:after="0" w:line="50" w:lineRule="exact"/>
        <w:rPr>
          <w:rFonts w:ascii="Arial" w:cs="Arial" w:eastAsia="Arial" w:hAnsi="Arial"/>
          <w:sz w:val="18"/>
          <w:szCs w:val="18"/>
          <w:color w:val="auto"/>
        </w:rPr>
      </w:pPr>
    </w:p>
    <w:p>
      <w:pPr>
        <w:ind w:left="880" w:right="100" w:hanging="224"/>
        <w:spacing w:after="0" w:line="276"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68,669 shares of our common stock issuable upon the exercise of outstanding warrants, with a weighted-average exercise price of $1.85 per share;</w:t>
      </w:r>
    </w:p>
    <w:p>
      <w:pPr>
        <w:spacing w:after="0" w:line="50" w:lineRule="exact"/>
        <w:rPr>
          <w:rFonts w:ascii="Arial" w:cs="Arial" w:eastAsia="Arial" w:hAnsi="Arial"/>
          <w:sz w:val="18"/>
          <w:szCs w:val="18"/>
          <w:color w:val="auto"/>
        </w:rPr>
      </w:pPr>
    </w:p>
    <w:p>
      <w:pPr>
        <w:ind w:left="880" w:right="180" w:hanging="224"/>
        <w:spacing w:after="0" w:line="276"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499,000 shares of our common stock issuable upon the exercise of stock options to purchase common stock that were granted after September 30, 2020, each with an exercise price of $18.66 per share;</w:t>
      </w:r>
    </w:p>
    <w:p>
      <w:pPr>
        <w:spacing w:after="0" w:line="50" w:lineRule="exact"/>
        <w:rPr>
          <w:rFonts w:ascii="Arial" w:cs="Arial" w:eastAsia="Arial" w:hAnsi="Arial"/>
          <w:sz w:val="18"/>
          <w:szCs w:val="18"/>
          <w:color w:val="auto"/>
        </w:rPr>
      </w:pPr>
    </w:p>
    <w:p>
      <w:pPr>
        <w:ind w:left="880" w:right="320" w:hanging="224"/>
        <w:spacing w:after="0" w:line="276"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30,000 shares of our common stock issuable upon the exercise of a warrant to purchase common stock that was issued after September 30, 2020, with an exercise price of $18.00 per share;</w:t>
      </w:r>
    </w:p>
    <w:p>
      <w:pPr>
        <w:spacing w:after="0" w:line="50" w:lineRule="exact"/>
        <w:rPr>
          <w:rFonts w:ascii="Arial" w:cs="Arial" w:eastAsia="Arial" w:hAnsi="Arial"/>
          <w:sz w:val="18"/>
          <w:szCs w:val="18"/>
          <w:color w:val="auto"/>
        </w:rPr>
      </w:pPr>
    </w:p>
    <w:p>
      <w:pPr>
        <w:ind w:left="880" w:right="180" w:hanging="224"/>
        <w:spacing w:after="0" w:line="276"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41,897 shares of our common stock reserved for issuance pursuant to future awards under our 2015 Equity Incentive Plan (the Plan) and associated amendments as of September 30, 2020;</w:t>
      </w:r>
    </w:p>
    <w:p>
      <w:pPr>
        <w:spacing w:after="0" w:line="50" w:lineRule="exact"/>
        <w:rPr>
          <w:rFonts w:ascii="Arial" w:cs="Arial" w:eastAsia="Arial" w:hAnsi="Arial"/>
          <w:sz w:val="18"/>
          <w:szCs w:val="18"/>
          <w:color w:val="auto"/>
        </w:rPr>
      </w:pPr>
    </w:p>
    <w:p>
      <w:pPr>
        <w:ind w:left="880" w:right="140" w:hanging="224"/>
        <w:spacing w:after="0" w:line="255"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2,606,546 shares of our common stock reserved for issuance pursuant to future awards under our 2020 Equity Incentive Award Plan (the 2020 Plan), as well as any automatic increases in the number of shares of our common stock reserved for future issuance under this plan, which became effective immediately prior to the completion of this offering; and</w:t>
      </w:r>
    </w:p>
    <w:p>
      <w:pPr>
        <w:spacing w:after="0" w:line="69" w:lineRule="exact"/>
        <w:rPr>
          <w:rFonts w:ascii="Arial" w:cs="Arial" w:eastAsia="Arial" w:hAnsi="Arial"/>
          <w:sz w:val="18"/>
          <w:szCs w:val="18"/>
          <w:color w:val="auto"/>
        </w:rPr>
      </w:pPr>
    </w:p>
    <w:p>
      <w:pPr>
        <w:ind w:left="880" w:right="20" w:hanging="224"/>
        <w:spacing w:after="0" w:line="255"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252,337 shares of our common stock reserved for issuance pursuant to future awards under our 2020 Employee Stock Purchase Plan (the ESPP), as well as any automatic increases in the number of shares of our common stock reserved for future issuance under this plan, which became effective immediately prior to the completion of this offering.</w:t>
      </w:r>
    </w:p>
    <w:p>
      <w:pPr>
        <w:spacing w:after="0" w:line="164" w:lineRule="exact"/>
        <w:rPr>
          <w:sz w:val="20"/>
          <w:szCs w:val="20"/>
          <w:color w:val="auto"/>
        </w:rPr>
      </w:pPr>
    </w:p>
    <w:p>
      <w:pPr>
        <w:ind w:left="120" w:right="260" w:firstLine="551"/>
        <w:spacing w:after="0" w:line="245" w:lineRule="auto"/>
        <w:rPr>
          <w:sz w:val="20"/>
          <w:szCs w:val="20"/>
          <w:color w:val="auto"/>
        </w:rPr>
      </w:pPr>
      <w:r>
        <w:rPr>
          <w:rFonts w:ascii="Arial" w:cs="Arial" w:eastAsia="Arial" w:hAnsi="Arial"/>
          <w:sz w:val="18"/>
          <w:szCs w:val="18"/>
          <w:color w:val="auto"/>
        </w:rPr>
        <w:t>To the extent that outstanding options or warrants are exercised, new options or other securities are issued under our equity incentive plans, or we issue additional shares of our common stock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40"/>
          </w:cols>
          <w:pgMar w:left="320" w:top="455" w:right="4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FINANCIAL DATA</w:t>
      </w:r>
    </w:p>
    <w:p>
      <w:pPr>
        <w:spacing w:after="0" w:line="106"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The following tables present our selected financial data for the periods and as of the dates indicated. We derived the selected statements of operations and comprehensive loss data for the years ended December 31, 2018 and 2019 and the selected balance sheet data as of December 31, 2018 and 2019 from our audited financial statements included elsewhere in this prospectus. We derived the selected statements of operations and comprehensive loss data for the nine months ended September 30, 2019 and 2020 and the selected balance sheet data as of September 30, 2020 from our unaudited interim financial statements that are included elsewhere in this prospectus. Our unaudited interim financial statements are prepared on the same basis as our audited financial statements and include, in the opinion of management, all adjustments, consisting of normal recurring adjustments, that are necessary for the fair statement of the financial information set forth in those financial statements. Our historical results are not necessarily indicative of the results that may be expected in the future and our historical results for the nine months ended September 30, 2020 are not necessarily indicative of the results that may be expected for the remainder of 2020. You should read this data together with our financial statements and related notes included elsewhere in this prospectus and the information under the section titled “Management’s Discussion and Analysis of Financial Condition and Results of Operations.”</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60" w:type="dxa"/>
            <w:vAlign w:val="bottom"/>
            <w:gridSpan w:val="6"/>
          </w:tcPr>
          <w:p>
            <w:pPr>
              <w:jc w:val="right"/>
              <w:ind w:right="144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25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7"/>
        </w:trPr>
        <w:tc>
          <w:tcPr>
            <w:tcW w:w="5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gridSpan w:val="6"/>
          </w:tcPr>
          <w:p>
            <w:pPr>
              <w:jc w:val="right"/>
              <w:ind w:right="13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252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5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80" w:type="dxa"/>
            <w:vAlign w:val="bottom"/>
            <w:gridSpan w:val="7"/>
          </w:tcPr>
          <w:p>
            <w:pPr>
              <w:jc w:val="right"/>
              <w:ind w:right="140"/>
              <w:spacing w:after="0" w:line="155" w:lineRule="exact"/>
              <w:rPr>
                <w:sz w:val="20"/>
                <w:szCs w:val="20"/>
                <w:color w:val="auto"/>
              </w:rPr>
            </w:pPr>
            <w:r>
              <w:rPr>
                <w:rFonts w:ascii="Arial" w:cs="Arial" w:eastAsia="Arial" w:hAnsi="Arial"/>
                <w:sz w:val="14"/>
                <w:szCs w:val="14"/>
                <w:b w:val="1"/>
                <w:bCs w:val="1"/>
                <w:color w:val="auto"/>
              </w:rPr>
              <w:t>(in thousands, except share and per share data)</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510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Statements of Operations and</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 Data:</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Revenue: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Collaboration and license revenue</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8,987</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6,960</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4,930</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14,340</w:t>
            </w:r>
          </w:p>
        </w:tc>
        <w:tc>
          <w:tcPr>
            <w:tcW w:w="0" w:type="dxa"/>
            <w:vAlign w:val="bottom"/>
          </w:tcPr>
          <w:p>
            <w:pPr>
              <w:spacing w:after="0"/>
              <w:rPr>
                <w:sz w:val="1"/>
                <w:szCs w:val="1"/>
                <w:color w:val="auto"/>
              </w:rPr>
            </w:pPr>
          </w:p>
        </w:tc>
      </w:tr>
      <w:tr>
        <w:trPr>
          <w:trHeight w:val="203"/>
        </w:trPr>
        <w:tc>
          <w:tcPr>
            <w:tcW w:w="5100" w:type="dxa"/>
            <w:vAlign w:val="bottom"/>
          </w:tcPr>
          <w:p>
            <w:pPr>
              <w:ind w:left="360"/>
              <w:spacing w:after="0" w:line="202" w:lineRule="exact"/>
              <w:rPr>
                <w:sz w:val="20"/>
                <w:szCs w:val="20"/>
                <w:color w:val="auto"/>
              </w:rPr>
            </w:pPr>
            <w:r>
              <w:rPr>
                <w:rFonts w:ascii="Arial" w:cs="Arial" w:eastAsia="Arial" w:hAnsi="Arial"/>
                <w:sz w:val="18"/>
                <w:szCs w:val="18"/>
                <w:color w:val="auto"/>
              </w:rPr>
              <w:t>Collaboration and license revenue, related parties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5,143</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26</w:t>
            </w:r>
          </w:p>
        </w:tc>
        <w:tc>
          <w:tcPr>
            <w:tcW w:w="100" w:type="dxa"/>
            <w:vAlign w:val="bottom"/>
          </w:tcPr>
          <w:p>
            <w:pPr>
              <w:spacing w:after="0"/>
              <w:rPr>
                <w:sz w:val="17"/>
                <w:szCs w:val="17"/>
                <w:color w:val="auto"/>
              </w:rPr>
            </w:pPr>
          </w:p>
        </w:tc>
        <w:tc>
          <w:tcPr>
            <w:tcW w:w="13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26</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14,130</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6,986</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4,956</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14,589</w:t>
            </w:r>
          </w:p>
        </w:tc>
        <w:tc>
          <w:tcPr>
            <w:tcW w:w="0" w:type="dxa"/>
            <w:vAlign w:val="bottom"/>
          </w:tcPr>
          <w:p>
            <w:pPr>
              <w:spacing w:after="0"/>
              <w:rPr>
                <w:sz w:val="1"/>
                <w:szCs w:val="1"/>
                <w:color w:val="auto"/>
              </w:rPr>
            </w:pP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18,362</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38,718</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26,359</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40,433</w:t>
            </w:r>
          </w:p>
        </w:tc>
        <w:tc>
          <w:tcPr>
            <w:tcW w:w="0" w:type="dxa"/>
            <w:vAlign w:val="bottom"/>
          </w:tcPr>
          <w:p>
            <w:pPr>
              <w:spacing w:after="0"/>
              <w:rPr>
                <w:sz w:val="1"/>
                <w:szCs w:val="1"/>
                <w:color w:val="auto"/>
              </w:rPr>
            </w:pPr>
          </w:p>
        </w:tc>
      </w:tr>
      <w:tr>
        <w:trPr>
          <w:trHeight w:val="203"/>
        </w:trPr>
        <w:tc>
          <w:tcPr>
            <w:tcW w:w="5100" w:type="dxa"/>
            <w:vAlign w:val="bottom"/>
          </w:tcPr>
          <w:p>
            <w:pPr>
              <w:ind w:left="360"/>
              <w:spacing w:after="0" w:line="202" w:lineRule="exact"/>
              <w:rPr>
                <w:sz w:val="20"/>
                <w:szCs w:val="20"/>
                <w:color w:val="auto"/>
              </w:rPr>
            </w:pPr>
            <w:r>
              <w:rPr>
                <w:rFonts w:ascii="Arial" w:cs="Arial" w:eastAsia="Arial" w:hAnsi="Arial"/>
                <w:sz w:val="18"/>
                <w:szCs w:val="18"/>
                <w:color w:val="auto"/>
              </w:rPr>
              <w:t>Acquired in-process research and development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5,137</w:t>
            </w:r>
          </w:p>
        </w:tc>
        <w:tc>
          <w:tcPr>
            <w:tcW w:w="100" w:type="dxa"/>
            <w:vAlign w:val="bottom"/>
          </w:tcPr>
          <w:p>
            <w:pPr>
              <w:spacing w:after="0"/>
              <w:rPr>
                <w:sz w:val="17"/>
                <w:szCs w:val="17"/>
                <w:color w:val="auto"/>
              </w:rPr>
            </w:pPr>
          </w:p>
        </w:tc>
        <w:tc>
          <w:tcPr>
            <w:tcW w:w="13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5,137</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6,167</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13,895</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7,936</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10,398</w:t>
            </w:r>
          </w:p>
        </w:tc>
        <w:tc>
          <w:tcPr>
            <w:tcW w:w="0" w:type="dxa"/>
            <w:vAlign w:val="bottom"/>
          </w:tcPr>
          <w:p>
            <w:pPr>
              <w:spacing w:after="0"/>
              <w:rPr>
                <w:sz w:val="1"/>
                <w:szCs w:val="1"/>
                <w:color w:val="auto"/>
              </w:rPr>
            </w:pPr>
          </w:p>
        </w:tc>
      </w:tr>
      <w:tr>
        <w:trPr>
          <w:trHeight w:val="216"/>
        </w:trPr>
        <w:tc>
          <w:tcPr>
            <w:tcW w:w="51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24,529</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57,750</w:t>
            </w:r>
          </w:p>
        </w:tc>
        <w:tc>
          <w:tcPr>
            <w:tcW w:w="5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39,432</w:t>
            </w:r>
          </w:p>
        </w:tc>
        <w:tc>
          <w:tcPr>
            <w:tcW w:w="5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(10,399)</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(50,764)</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(34,476)</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(36,242)</w:t>
            </w:r>
          </w:p>
        </w:tc>
        <w:tc>
          <w:tcPr>
            <w:tcW w:w="0" w:type="dxa"/>
            <w:vAlign w:val="bottom"/>
          </w:tcPr>
          <w:p>
            <w:pPr>
              <w:spacing w:after="0"/>
              <w:rPr>
                <w:sz w:val="1"/>
                <w:szCs w:val="1"/>
                <w:color w:val="auto"/>
              </w:rPr>
            </w:pP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848</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1,458</w:t>
            </w:r>
          </w:p>
        </w:tc>
        <w:tc>
          <w:tcPr>
            <w:tcW w:w="100" w:type="dxa"/>
            <w:vAlign w:val="bottom"/>
          </w:tcPr>
          <w:p>
            <w:pPr>
              <w:spacing w:after="0"/>
              <w:rPr>
                <w:sz w:val="17"/>
                <w:szCs w:val="17"/>
                <w:color w:val="auto"/>
              </w:rPr>
            </w:pPr>
          </w:p>
        </w:tc>
        <w:tc>
          <w:tcPr>
            <w:tcW w:w="13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1,285</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and comprehensive loss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(9,551)</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(49,306)</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(33,191)</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(36,146)</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1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100" w:type="dxa"/>
            <w:vAlign w:val="bottom"/>
          </w:tcPr>
          <w:p>
            <w:pPr>
              <w:ind w:left="180"/>
              <w:spacing w:after="0"/>
              <w:rPr>
                <w:sz w:val="20"/>
                <w:szCs w:val="20"/>
                <w:color w:val="auto"/>
              </w:rPr>
            </w:pPr>
            <w:r>
              <w:rPr>
                <w:rFonts w:ascii="Arial" w:cs="Arial" w:eastAsia="Arial" w:hAnsi="Arial"/>
                <w:sz w:val="18"/>
                <w:szCs w:val="18"/>
                <w:color w:val="auto"/>
              </w:rPr>
              <w:t>basic and diluted</w:t>
            </w:r>
            <w:r>
              <w:rPr>
                <w:rFonts w:ascii="Arial" w:cs="Arial" w:eastAsia="Arial" w:hAnsi="Arial"/>
                <w:sz w:val="15"/>
                <w:szCs w:val="15"/>
                <w:color w:val="auto"/>
              </w:rPr>
              <w:t>(1)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(9.59)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(6.46)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10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Weighted-average shares outstanding used in computing net</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1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loss per share attributable to common stockholders, basic</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diluted</w:t>
            </w:r>
            <w:r>
              <w:rPr>
                <w:rFonts w:ascii="Arial" w:cs="Arial" w:eastAsia="Arial" w:hAnsi="Arial"/>
                <w:sz w:val="15"/>
                <w:szCs w:val="15"/>
                <w:color w:val="auto"/>
              </w:rPr>
              <w:t>(1)</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5,049,203</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5,142,560</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9"/>
              </w:rPr>
              <w:t>5,135,622</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5,188,628</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color w:val="auto"/>
              </w:rPr>
              <w:t>Pro forma net loss per share, basic and diluted</w:t>
            </w:r>
            <w:r>
              <w:rPr>
                <w:rFonts w:ascii="Arial" w:cs="Arial" w:eastAsia="Arial" w:hAnsi="Arial"/>
                <w:sz w:val="15"/>
                <w:szCs w:val="15"/>
                <w:color w:val="auto"/>
              </w:rPr>
              <w:t>(1)</w:t>
            </w: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(3.94)</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100" w:type="dxa"/>
            <w:vAlign w:val="bottom"/>
            <w:shd w:val="clear" w:color="auto" w:fill="CCEEFF"/>
          </w:tcPr>
          <w:p>
            <w:pPr>
              <w:spacing w:after="0" w:line="173" w:lineRule="exact"/>
              <w:rPr>
                <w:sz w:val="20"/>
                <w:szCs w:val="20"/>
                <w:color w:val="auto"/>
              </w:rPr>
            </w:pPr>
            <w:r>
              <w:rPr>
                <w:rFonts w:ascii="Arial" w:cs="Arial" w:eastAsia="Arial" w:hAnsi="Arial"/>
                <w:sz w:val="18"/>
                <w:szCs w:val="18"/>
                <w:color w:val="auto"/>
              </w:rPr>
              <w:t>Weighted-average shares outstanding used in computing pro</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forma net loss per share, basic and diluted</w:t>
            </w:r>
            <w:r>
              <w:rPr>
                <w:rFonts w:ascii="Arial" w:cs="Arial" w:eastAsia="Arial" w:hAnsi="Arial"/>
                <w:sz w:val="15"/>
                <w:szCs w:val="15"/>
                <w:color w:val="auto"/>
              </w:rPr>
              <w:t>(1)</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7"/>
              </w:rPr>
              <w:t>12,518,191</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14,835,343</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jc w:val="both"/>
        <w:ind w:left="660" w:right="180" w:hanging="544"/>
        <w:spacing w:after="0" w:line="255"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See Notes 2 and 14 to our financial statements included elsewhere in this prospectus for an explanation of the calculations of our basic and diluted net loss per share attributable to common stockholders, pro forma net loss per share, and the weighted-average number of shares of our common stock used in the computation of the per share amounts.</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455" w:right="4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20" w:type="dxa"/>
            <w:vAlign w:val="bottom"/>
            <w:gridSpan w:val="2"/>
          </w:tcPr>
          <w:p>
            <w:pPr>
              <w:jc w:val="right"/>
              <w:ind w:right="1360"/>
              <w:spacing w:after="0"/>
              <w:rPr>
                <w:sz w:val="20"/>
                <w:szCs w:val="20"/>
                <w:color w:val="auto"/>
              </w:rPr>
            </w:pPr>
            <w:r>
              <w:rPr>
                <w:rFonts w:ascii="Arial" w:cs="Arial" w:eastAsia="Arial" w:hAnsi="Arial"/>
                <w:sz w:val="14"/>
                <w:szCs w:val="14"/>
                <w:b w:val="1"/>
                <w:bCs w:val="1"/>
                <w:color w:val="auto"/>
                <w:w w:val="97"/>
              </w:rPr>
              <w:t>As of</w:t>
            </w:r>
          </w:p>
        </w:tc>
        <w:tc>
          <w:tcPr>
            <w:tcW w:w="20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As of</w:t>
            </w:r>
          </w:p>
        </w:tc>
      </w:tr>
      <w:tr>
        <w:trPr>
          <w:trHeight w:val="177"/>
        </w:trPr>
        <w:tc>
          <w:tcPr>
            <w:tcW w:w="7360" w:type="dxa"/>
            <w:vAlign w:val="bottom"/>
          </w:tcPr>
          <w:p>
            <w:pPr>
              <w:spacing w:after="0"/>
              <w:rPr>
                <w:sz w:val="15"/>
                <w:szCs w:val="15"/>
                <w:color w:val="auto"/>
              </w:rPr>
            </w:pPr>
          </w:p>
        </w:tc>
        <w:tc>
          <w:tcPr>
            <w:tcW w:w="254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736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2018</w:t>
            </w:r>
          </w:p>
        </w:tc>
        <w:tc>
          <w:tcPr>
            <w:tcW w:w="1180" w:type="dxa"/>
            <w:vAlign w:val="bottom"/>
            <w:tcBorders>
              <w:top w:val="single" w:sz="8" w:color="auto"/>
              <w:bottom w:val="single" w:sz="8" w:color="auto"/>
            </w:tcBorders>
          </w:tcPr>
          <w:p>
            <w:pPr>
              <w:jc w:val="right"/>
              <w:ind w:right="117"/>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center"/>
              <w:ind w:right="11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56"/>
        </w:trPr>
        <w:tc>
          <w:tcPr>
            <w:tcW w:w="7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72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Sheet Data:</w:t>
            </w:r>
          </w:p>
        </w:tc>
        <w:tc>
          <w:tcPr>
            <w:tcW w:w="8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$ 91,761</w:t>
            </w:r>
          </w:p>
        </w:tc>
        <w:tc>
          <w:tcPr>
            <w:tcW w:w="17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$ 49,652</w:t>
            </w:r>
          </w:p>
        </w:tc>
        <w:tc>
          <w:tcPr>
            <w:tcW w:w="200" w:type="dxa"/>
            <w:vAlign w:val="bottom"/>
          </w:tcPr>
          <w:p>
            <w:pPr>
              <w:jc w:val="right"/>
              <w:ind w:right="19"/>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88,755</w:t>
            </w:r>
          </w:p>
        </w:tc>
      </w:tr>
      <w:tr>
        <w:trPr>
          <w:trHeight w:val="202"/>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86,014</w:t>
            </w:r>
          </w:p>
        </w:tc>
        <w:tc>
          <w:tcPr>
            <w:tcW w:w="17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39,553</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78,258</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96,969</w:t>
            </w:r>
          </w:p>
        </w:tc>
        <w:tc>
          <w:tcPr>
            <w:tcW w:w="17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58,234</w:t>
            </w:r>
          </w:p>
        </w:tc>
        <w:tc>
          <w:tcPr>
            <w:tcW w:w="20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98,192</w:t>
            </w: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(30,026)</w:t>
            </w:r>
          </w:p>
        </w:tc>
        <w:tc>
          <w:tcPr>
            <w:tcW w:w="17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(79,025)</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(115,132)</w:t>
            </w:r>
          </w:p>
        </w:tc>
      </w:tr>
      <w:tr>
        <w:trPr>
          <w:trHeight w:val="243"/>
        </w:trPr>
        <w:tc>
          <w:tcPr>
            <w:tcW w:w="736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820" w:type="dxa"/>
            <w:vAlign w:val="bottom"/>
          </w:tcPr>
          <w:p>
            <w:pPr>
              <w:jc w:val="right"/>
              <w:spacing w:after="0"/>
              <w:rPr>
                <w:sz w:val="20"/>
                <w:szCs w:val="20"/>
                <w:color w:val="auto"/>
              </w:rPr>
            </w:pPr>
            <w:r>
              <w:rPr>
                <w:rFonts w:ascii="Arial" w:cs="Arial" w:eastAsia="Arial" w:hAnsi="Arial"/>
                <w:sz w:val="18"/>
                <w:szCs w:val="18"/>
                <w:color w:val="auto"/>
              </w:rPr>
              <w:t>(27,587)</w:t>
            </w:r>
          </w:p>
        </w:tc>
        <w:tc>
          <w:tcPr>
            <w:tcW w:w="1720" w:type="dxa"/>
            <w:vAlign w:val="bottom"/>
            <w:gridSpan w:val="2"/>
          </w:tcPr>
          <w:p>
            <w:pPr>
              <w:jc w:val="right"/>
              <w:ind w:right="480"/>
              <w:spacing w:after="0"/>
              <w:rPr>
                <w:sz w:val="20"/>
                <w:szCs w:val="20"/>
                <w:color w:val="auto"/>
              </w:rPr>
            </w:pPr>
            <w:r>
              <w:rPr>
                <w:rFonts w:ascii="Arial" w:cs="Arial" w:eastAsia="Arial" w:hAnsi="Arial"/>
                <w:sz w:val="18"/>
                <w:szCs w:val="18"/>
                <w:color w:val="auto"/>
              </w:rPr>
              <w:t>(72,970)</w:t>
            </w:r>
          </w:p>
        </w:tc>
        <w:tc>
          <w:tcPr>
            <w:tcW w:w="20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(105,292)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7715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06" w:lineRule="exact"/>
        <w:rPr>
          <w:sz w:val="20"/>
          <w:szCs w:val="20"/>
          <w:color w:val="auto"/>
        </w:rPr>
      </w:pPr>
    </w:p>
    <w:p>
      <w:pPr>
        <w:ind w:left="660" w:right="780" w:hanging="544"/>
        <w:spacing w:after="0" w:line="276"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 See our financial statements and related notes included elsewhere in this prospectus for further details regarding our current assets and current liabilities.</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40"/>
          </w:cols>
          <w:pgMar w:left="320" w:top="455" w:right="4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84"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financial statements and related notes thereto included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section titled “Risk Factors”, our actual results could differ materially from the results described in or implied by the forward-looking statements contained in the following discussion and analysis. All amounts are expressed in thousands other than share and per share amounts. Please also see the section of this prospectus titled “Special Note Regarding Forward-Looking Statements.”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06"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We are a clinical-stage gene therapy company pioneering the development of product candidates using our targeted and evolved AAV vectors. We seek to unlock the full potential of gene therapy using our platform, Therapeutic Vector Evolution, which combines the power of directed evolution with our approximately one billion synthetic capsid sequences to invent evolved vectors for use in targeted gene therapy products. Our targeted and evolved vectors are invented with the goal of being delivered through clinically routine, well-tolerated and minimally invasive routes of administration, of transducing diseased cells in target tissues efficiently, of having reduced immunogenicity and, where relevant, of having resistance to pre-existing antibodies. We believe these key design features will help us to potentially create targeted gene therapy product candidates with improved therapeutic profiles, and address a broad range of diseases from rare to large patient populations, including those that other gene therapies are unable to address. Each of our product candidates is created with our targeted and evolved AAV vectors. Our platform is designed to be modular, in that an evolved vector invented for a given set of diseases can be equipped with different transgene payloads to treat other diseases affecting the same tissue types. We believe this modularity will help inform the clinical development of subsequent product candidates using the same vector.</w:t>
      </w:r>
    </w:p>
    <w:p>
      <w:pPr>
        <w:spacing w:after="0" w:line="176"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have built a deep portfolio of gene therapy product candidates initially focused in three therapeutic areas: ophthalmology (intravitreal vector), cardiology (intravenous vector) and pulmonology (aerosol vector). We have three product candidates that are in clinical trials. We are developing 4D-125 for the treatment of X-linked retinitis pigmentosa (XLRP), currently in Phase 1/2 clinical trial with initial clinical data expected in 2021. We are advancing 4D-110 for the treatment of choroideremia, currently in a Phase 1 clinical trial with initial clinical data expected in 2022. Roche holds an exclusive worldwide license to 4D-110 and has the exclusive option to in-license 4D-125 prior to initiation of pivotal clinical trials. We received FDA Fast Track designation for 4D-310 for the treatment of Fabry disease, which is currently in a Phase 1/2 clinical trial, with initial clinical data expected in 2021. Our two IND candidates are 4D-150 for the treatment of wet age-related macular degeneration (wet AMD), and 4D-710 for the treatment of cystic fibrosis lung disease. We expect to file the IND and to initiate clinical trials for both of these programs in the second half of 2021.</w:t>
      </w:r>
    </w:p>
    <w:p>
      <w:pPr>
        <w:spacing w:after="0" w:line="176"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From our inception in September 2013 through September 30, 2020, we have funded our operations primarily with an aggregate of $175.4 million in net proceeds from the sale and issuance of redeemable convertible preferred stock and to a lesser extent from cash received pursuant to our collaboration and license agreements. As of September 30, 2020, we had cash and cash equivalents of $88.8 million. Based on our current operating plan, we estimate that our cash and cash equivalents, together with the anticipated net proceeds from this offering, will be sufficient to fund our operating expenses and capital expenditure requirements at least into the fourth quarter of 2022. We have based this estimate</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00"/>
          </w:cols>
          <w:pgMar w:left="320" w:top="455" w:right="47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40"/>
        <w:spacing w:after="0" w:line="276" w:lineRule="auto"/>
        <w:rPr>
          <w:sz w:val="20"/>
          <w:szCs w:val="20"/>
          <w:color w:val="auto"/>
        </w:rPr>
      </w:pPr>
      <w:r>
        <w:rPr>
          <w:rFonts w:ascii="Arial" w:cs="Arial" w:eastAsia="Arial" w:hAnsi="Arial"/>
          <w:sz w:val="18"/>
          <w:szCs w:val="18"/>
          <w:color w:val="auto"/>
        </w:rPr>
        <w:t>on assumptions that may prove to be wrong, and we could exhaust our available capital resources sooner than we expect. See “Liquidity and Capital Resources.”</w:t>
      </w:r>
    </w:p>
    <w:p>
      <w:pPr>
        <w:spacing w:after="0" w:line="145" w:lineRule="exact"/>
        <w:rPr>
          <w:sz w:val="20"/>
          <w:szCs w:val="20"/>
          <w:color w:val="auto"/>
        </w:rPr>
      </w:pPr>
    </w:p>
    <w:p>
      <w:pPr>
        <w:jc w:val="both"/>
        <w:ind w:left="120" w:right="520" w:firstLine="551"/>
        <w:spacing w:after="0" w:line="255" w:lineRule="auto"/>
        <w:rPr>
          <w:sz w:val="20"/>
          <w:szCs w:val="20"/>
          <w:color w:val="auto"/>
        </w:rPr>
      </w:pPr>
      <w:r>
        <w:rPr>
          <w:rFonts w:ascii="Arial" w:cs="Arial" w:eastAsia="Arial" w:hAnsi="Arial"/>
          <w:sz w:val="18"/>
          <w:szCs w:val="18"/>
          <w:color w:val="auto"/>
        </w:rPr>
        <w:t>To date, we have devoted substantially all of our resources to building our Therapeutic Vector Evolution platform, developing manufacturing processes, assembling our core capabilities in drug development for genetic therapies and performing preclinical and clinical development of our product candidates.</w:t>
      </w:r>
    </w:p>
    <w:p>
      <w:pPr>
        <w:spacing w:after="0" w:line="164" w:lineRule="exact"/>
        <w:rPr>
          <w:sz w:val="20"/>
          <w:szCs w:val="20"/>
          <w:color w:val="auto"/>
        </w:rPr>
      </w:pPr>
    </w:p>
    <w:p>
      <w:pPr>
        <w:ind w:left="120" w:right="140" w:firstLine="551"/>
        <w:spacing w:after="0" w:line="245" w:lineRule="auto"/>
        <w:rPr>
          <w:sz w:val="20"/>
          <w:szCs w:val="20"/>
          <w:color w:val="auto"/>
        </w:rPr>
      </w:pPr>
      <w:r>
        <w:rPr>
          <w:rFonts w:ascii="Arial" w:cs="Arial" w:eastAsia="Arial" w:hAnsi="Arial"/>
          <w:sz w:val="18"/>
          <w:szCs w:val="18"/>
          <w:color w:val="auto"/>
        </w:rPr>
        <w:t>We have incurred significant operating losses and expect that our operating losses will increase significantly as we, among other things, continue to advance our product candidates through preclinical and clinical development, seek regulatory approval, and prepare for, and, if approved, proceed to commercialization; broaden and improve our platform; acquire, discover, validate and develop additional product candidates; maintain, protect and enforce our intellectual property portfolio; and hire additional personnel. In addition, upon the completion of this offering we expect to incur additional costs associated with operating as a public company.</w:t>
      </w:r>
    </w:p>
    <w:p>
      <w:pPr>
        <w:spacing w:after="0" w:line="172"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Our net losses were $9.6 million, $49.3 million, $ 33.2 million and $36.1 million for the years ended December 31, 2018 and 2019 and nine months ended September 30, 2019 and 2020, respectively. As of September 30, 2020, we had an accumulated deficit of $115.1 million. We do not expect positive cash flows from operations in the foreseeable future. We expect to continue to incur significant and increasing net operating losses for at least the next several years as we:</w:t>
      </w:r>
    </w:p>
    <w:p>
      <w:pPr>
        <w:spacing w:after="0" w:line="76" w:lineRule="exact"/>
        <w:rPr>
          <w:sz w:val="20"/>
          <w:szCs w:val="20"/>
          <w:color w:val="auto"/>
        </w:rPr>
      </w:pPr>
    </w:p>
    <w:p>
      <w:pPr>
        <w:ind w:left="880" w:hanging="224"/>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advance our product candidates through preclinical and clinical development;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seek regulatory approval, prepare for and, if approved, proceed to commercialization of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continue our research and development efforts and expand our pipeline of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attract, hire and retain additional personnel;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17" w:lineRule="exact"/>
        <w:rPr>
          <w:rFonts w:ascii="Arial" w:cs="Arial" w:eastAsia="Arial" w:hAnsi="Arial"/>
          <w:sz w:val="18"/>
          <w:szCs w:val="18"/>
          <w:color w:val="auto"/>
        </w:rPr>
      </w:pPr>
    </w:p>
    <w:p>
      <w:pPr>
        <w:ind w:left="880" w:right="460" w:hanging="224"/>
        <w:spacing w:after="0" w:line="276"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 for which we may obtain marketing approval; and</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invest in our manufacturing facility.</w:t>
      </w:r>
    </w:p>
    <w:p>
      <w:pPr>
        <w:spacing w:after="0" w:line="212" w:lineRule="exact"/>
        <w:rPr>
          <w:sz w:val="20"/>
          <w:szCs w:val="20"/>
          <w:color w:val="auto"/>
        </w:rPr>
      </w:pPr>
    </w:p>
    <w:p>
      <w:pPr>
        <w:ind w:left="120" w:right="60" w:firstLine="551"/>
        <w:spacing w:after="0" w:line="276" w:lineRule="auto"/>
        <w:rPr>
          <w:sz w:val="20"/>
          <w:szCs w:val="20"/>
          <w:color w:val="auto"/>
        </w:rPr>
      </w:pPr>
      <w:r>
        <w:rPr>
          <w:rFonts w:ascii="Arial" w:cs="Arial" w:eastAsia="Arial" w:hAnsi="Arial"/>
          <w:sz w:val="18"/>
          <w:szCs w:val="18"/>
          <w:color w:val="auto"/>
        </w:rPr>
        <w:t>Our net losses may fluctuate significantly from quarter-to-quarter and year-to-year, depending on the timing of our clinical trials and our expenditures on other research and development activities.</w:t>
      </w:r>
    </w:p>
    <w:p>
      <w:pPr>
        <w:spacing w:after="0" w:line="145"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We do not have any products approved for sale and have not generated any revenue from product sales since our inception. Our ability to generate product revenue will depend on the successful development, regulatory approval and eventual commercialization of one or more of our product candidates, if approved.</w:t>
      </w:r>
    </w:p>
    <w:p>
      <w:pPr>
        <w:spacing w:after="0" w:line="164"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We will require substantial additional funding to support our continuing operations and further the development of our product candidates. Until such time as we can generate significant revenue from product sales, if ever, we expect to finance our operations through the sale of equity, debt financings, or other capital sources, which could include income from collaborations, strategic partnerships or other strategic arrangements, for the foreseeable future. Adequate funding may not be available when needed or on terms acceptable to us, or at all. If we are unable to raise additional capital as needed,</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5" w:right="45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41" w:lineRule="auto"/>
        <w:rPr>
          <w:sz w:val="20"/>
          <w:szCs w:val="20"/>
          <w:color w:val="auto"/>
        </w:rPr>
      </w:pPr>
      <w:r>
        <w:rPr>
          <w:rFonts w:ascii="Arial" w:cs="Arial" w:eastAsia="Arial" w:hAnsi="Arial"/>
          <w:sz w:val="18"/>
          <w:szCs w:val="18"/>
          <w:color w:val="auto"/>
        </w:rPr>
        <w:t>we may have to significantly delay, scale back or discontinue development of our product candidates. Our ability to raise additional funds may be adversely impacted by potential worsening global economic conditions and the recent disruptions to, and volatility in, the credit and financial markets in the United States and worldwide resulting from the ongoing COVID-19 pandemic and otherwise.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We cannot assure you that we will ever be profitable or generate positive cash flow from operating activities.</w:t>
      </w:r>
    </w:p>
    <w:p>
      <w:pPr>
        <w:spacing w:after="0" w:line="179"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The global COVID-19 pandemic continues to rapidly evolve, and we will continue to monitor the COVID-19 situation closely. The extent of the impact of the COVID-19 pandemic on our business, operations and clinical development timelines and plans remains uncertain, and will depend on certain developments, including the duration and spread of the outbreak and its impact on our clinical trial enrollment, trial sites, CROs, third-party manufacturers, and other third parties with whom we do business, as well as its impact on regulatory authorities and our key scientific and management personnel. The ultimate impact of the COVID-19 pandemic or a similar health epidemic is highly uncertain and subject to change. To the extent possible, we are conducting business as usual, with necessary or advisable modifications to employee travel and the majority of our employees working remotely. We will continue to actively monitor the rapidly evolving situation related to the COVID-19 pandemic and may take further actions that alter our operations, including those that may be required by federal, state or local authorities, or that we determine are in the best interests of our employees and other third parties with whom we do business. At this point, the extent to which the COVID-19 pandemic may affect our business, operations and clinical development timelines and plans, including the resulting impact on our expenditures and capital needs, remains uncertain.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Results of Operations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ind w:left="120" w:right="160" w:firstLine="551"/>
        <w:spacing w:after="0" w:line="255" w:lineRule="auto"/>
        <w:rPr>
          <w:sz w:val="20"/>
          <w:szCs w:val="20"/>
          <w:color w:val="auto"/>
        </w:rPr>
      </w:pPr>
      <w:r>
        <w:rPr>
          <w:rFonts w:ascii="Arial" w:cs="Arial" w:eastAsia="Arial" w:hAnsi="Arial"/>
          <w:sz w:val="18"/>
          <w:szCs w:val="18"/>
          <w:color w:val="auto"/>
        </w:rPr>
        <w:t>Our revenue to date has been generated through payments from our collaboration and license agreements, primarily from upfront and milestone payments and expense reimbursement. We have not generated any revenue from the sale of approved products and do not expect to do so for the foreseeable future.</w:t>
      </w:r>
    </w:p>
    <w:p>
      <w:pPr>
        <w:spacing w:after="0" w:line="164" w:lineRule="exact"/>
        <w:rPr>
          <w:sz w:val="20"/>
          <w:szCs w:val="20"/>
          <w:color w:val="auto"/>
        </w:rPr>
      </w:pPr>
    </w:p>
    <w:p>
      <w:pPr>
        <w:ind w:left="120" w:right="180" w:firstLine="551"/>
        <w:spacing w:after="0" w:line="255" w:lineRule="auto"/>
        <w:rPr>
          <w:sz w:val="20"/>
          <w:szCs w:val="20"/>
          <w:color w:val="auto"/>
        </w:rPr>
      </w:pPr>
      <w:r>
        <w:rPr>
          <w:rFonts w:ascii="Arial" w:cs="Arial" w:eastAsia="Arial" w:hAnsi="Arial"/>
          <w:sz w:val="18"/>
          <w:szCs w:val="18"/>
          <w:color w:val="auto"/>
        </w:rPr>
        <w:t>In 2019, we recognized $7.0 million of revenue, principally from our agreements with Roche and AstraZeneca (previously MedImmune). For the nine months ended September 30, 2020, we recognized $14.6 million of revenue, principally from our agreements with Roche and uniQure.</w:t>
      </w:r>
    </w:p>
    <w:p>
      <w:pPr>
        <w:spacing w:after="0" w:line="69" w:lineRule="exact"/>
        <w:rPr>
          <w:sz w:val="20"/>
          <w:szCs w:val="20"/>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expect payments from Roche for reimbursement of our internal and third-party costs as well as the recognition of a</w:t>
      </w:r>
    </w:p>
    <w:p>
      <w:pPr>
        <w:spacing w:after="0" w:line="17" w:lineRule="exact"/>
        <w:rPr>
          <w:rFonts w:ascii="Arial" w:cs="Arial" w:eastAsia="Arial" w:hAnsi="Arial"/>
          <w:sz w:val="18"/>
          <w:szCs w:val="18"/>
          <w:color w:val="auto"/>
        </w:rPr>
      </w:pPr>
    </w:p>
    <w:p>
      <w:pPr>
        <w:ind w:left="880"/>
        <w:spacing w:after="0" w:line="234" w:lineRule="auto"/>
        <w:rPr>
          <w:rFonts w:ascii="Arial" w:cs="Arial" w:eastAsia="Arial" w:hAnsi="Arial"/>
          <w:sz w:val="18"/>
          <w:szCs w:val="18"/>
          <w:color w:val="auto"/>
        </w:rPr>
      </w:pPr>
      <w:r>
        <w:rPr>
          <w:rFonts w:ascii="Arial" w:cs="Arial" w:eastAsia="Arial" w:hAnsi="Arial"/>
          <w:sz w:val="18"/>
          <w:szCs w:val="18"/>
          <w:color w:val="auto"/>
        </w:rPr>
        <w:t>$21.0 million upfront payment received in 2017 and milestones received to date to be our principal drivers of revenue for the year ending December 31, 2020. Under our Collaboration and License Agreement with Roche, we are entitled to receive $5.0 million upon the release of clinical trial material for our Phase 1 clinical trial for 4D-110 to treat choroideremia, and an additional</w:t>
      </w:r>
    </w:p>
    <w:p>
      <w:pPr>
        <w:spacing w:after="0" w:line="2" w:lineRule="exact"/>
        <w:rPr>
          <w:rFonts w:ascii="Arial" w:cs="Arial" w:eastAsia="Arial" w:hAnsi="Arial"/>
          <w:sz w:val="18"/>
          <w:szCs w:val="18"/>
          <w:color w:val="auto"/>
        </w:rPr>
      </w:pPr>
    </w:p>
    <w:p>
      <w:pPr>
        <w:ind w:left="880" w:right="60"/>
        <w:spacing w:after="0" w:line="237" w:lineRule="auto"/>
        <w:rPr>
          <w:rFonts w:ascii="Arial" w:cs="Arial" w:eastAsia="Arial" w:hAnsi="Arial"/>
          <w:sz w:val="18"/>
          <w:szCs w:val="18"/>
          <w:color w:val="auto"/>
        </w:rPr>
      </w:pPr>
      <w:r>
        <w:rPr>
          <w:rFonts w:ascii="Arial" w:cs="Arial" w:eastAsia="Arial" w:hAnsi="Arial"/>
          <w:sz w:val="18"/>
          <w:szCs w:val="18"/>
          <w:color w:val="auto"/>
        </w:rPr>
        <w:t>$5.0 million upon dosing our first patient in the trial. We achieved these milestones and received these payments in the second quarter and third quarter of 2020, respectively. If Roche continues the development of 4D-110, we will be entitled to further development and approval milestone payments, and, if the product candidate is approved, royalty payments in the mid-to high-single digits on net sales and sales-based milestones. Roche also has the option to assume the development and commercialization of 4D-125 to treat XLRP prior to pivotal trial initiation in return for an option payment and assumption of all future expenses. If Roche exercises this option, we would be entitled to future milestone payments upon development of 4D-125 and, if approved, royalty payments ranging from the mid-single digits to the mid-teens on future net sales and sales-based milestones.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5" w:right="45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August 2019, we amended our agreement with uniQure to primarily eliminate the exclusivity clause that required us to work exclusively with uniQure on treatments for the central nervous system and liver and entered into a separate new collaboration and license agreement granting uniQure an exclusive license to a certain number of new AAV capsid variants that affect certain central nervous system and liver targets selected by uniQure. Neither party was required to pay monetary consideration in connection with the amendment or new agreement. We determined the incremental transaction price of the amendment and new agreement to be $5.1 million and recorded the amount as deferred revenue. We began recognizing revenue related to this in 2020 and expect to recognize revenue over the next three to four years. See Note 6 to our financial statements included elsewhere in this prospectus for further discussion regarding the accounting treatment of this transaction.</w:t>
      </w:r>
    </w:p>
    <w:p>
      <w:pPr>
        <w:spacing w:after="0" w:line="85" w:lineRule="exact"/>
        <w:rPr>
          <w:rFonts w:ascii="Arial" w:cs="Arial" w:eastAsia="Arial" w:hAnsi="Arial"/>
          <w:sz w:val="18"/>
          <w:szCs w:val="18"/>
          <w:color w:val="auto"/>
        </w:rPr>
      </w:pPr>
    </w:p>
    <w:p>
      <w:pPr>
        <w:ind w:left="880" w:right="60" w:hanging="224"/>
        <w:spacing w:after="0" w:line="255"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June 2019, the research phase of our agreement with AstraZeneca concluded, and we delivered our final report to AstraZeneca. AstraZeneca’s option to obtain the license of up to three project vector variants identified in the final report expired unexercised in the second quarter of 2020. We do not expect to recognize any revenue from AstraZeneca in 2020.</w:t>
      </w:r>
    </w:p>
    <w:p>
      <w:pPr>
        <w:spacing w:after="0" w:line="164"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Future collaboration and license revenue is highly dependent on the successful development and commercialization of products by our collaboration partners, which is uncertain, and revenue may fluctuate significantly from period to period. Additionally, we may never receive the consideration from our license agreements that is contemplated for option fees, development and sales-based milestone payments or royalties on sales of licensed products, given the contingent nature of these payments. We expect that our license revenue in 2020 will be primarily from Roche. If our agreement with Roche were terminated, it may materially impact the amount of license revenue we recognize in future periods.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Our operating expenses consist of research and development and general and administrative expenses. Personnel costs including salaries, benefits, bonuses and stock-based compensation expense, comprise a significant component of research and development and general and administrative expenses. We allocate indirect expenses associated with our facilities, information technology costs, depreciation and other overhead costs between research and development and general and administrative categories based on employee headcount and the nature of work performed by each employee.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w:t>
      </w:r>
    </w:p>
    <w:p>
      <w:pPr>
        <w:spacing w:after="0" w:line="102" w:lineRule="exact"/>
        <w:rPr>
          <w:sz w:val="20"/>
          <w:szCs w:val="20"/>
          <w:color w:val="auto"/>
        </w:rPr>
      </w:pPr>
    </w:p>
    <w:p>
      <w:pPr>
        <w:ind w:left="120" w:right="940" w:firstLine="551"/>
        <w:spacing w:after="0" w:line="276" w:lineRule="auto"/>
        <w:rPr>
          <w:sz w:val="20"/>
          <w:szCs w:val="20"/>
          <w:color w:val="auto"/>
        </w:rPr>
      </w:pPr>
      <w:r>
        <w:rPr>
          <w:rFonts w:ascii="Arial" w:cs="Arial" w:eastAsia="Arial" w:hAnsi="Arial"/>
          <w:sz w:val="18"/>
          <w:szCs w:val="18"/>
          <w:color w:val="auto"/>
        </w:rPr>
        <w:t>Our research and development expenses primarily consist of costs incurred for the discovery and preclinical and clinical development of our product candidates, which include:</w:t>
      </w:r>
    </w:p>
    <w:p>
      <w:pPr>
        <w:spacing w:after="0" w:line="50" w:lineRule="exact"/>
        <w:rPr>
          <w:sz w:val="20"/>
          <w:szCs w:val="20"/>
          <w:color w:val="auto"/>
        </w:rPr>
      </w:pPr>
    </w:p>
    <w:p>
      <w:pPr>
        <w:ind w:left="880" w:right="580" w:hanging="224"/>
        <w:spacing w:after="0" w:line="276"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salaries and personnel-related costs, including benefits, stock-based compensation and travel, for our scientific personnel performing research and development activities;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costs related to executing preclinical studies and clinical trials, including payments to CROs;</w:t>
      </w:r>
    </w:p>
    <w:p>
      <w:pPr>
        <w:spacing w:after="0" w:line="117" w:lineRule="exact"/>
        <w:rPr>
          <w:rFonts w:ascii="Arial" w:cs="Arial" w:eastAsia="Arial" w:hAnsi="Arial"/>
          <w:sz w:val="18"/>
          <w:szCs w:val="18"/>
          <w:color w:val="auto"/>
        </w:rPr>
      </w:pPr>
    </w:p>
    <w:p>
      <w:pPr>
        <w:ind w:left="880" w:right="60" w:hanging="224"/>
        <w:spacing w:after="0" w:line="276"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costs related to acquiring, developing and manufacturing materials for preclinical studies and clinical trials including payments to CMOs;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costs related to obtaining technology licenses for in-process research;</w:t>
      </w:r>
    </w:p>
    <w:p>
      <w:pPr>
        <w:spacing w:after="0" w:line="117" w:lineRule="exact"/>
        <w:rPr>
          <w:rFonts w:ascii="Arial" w:cs="Arial" w:eastAsia="Arial" w:hAnsi="Arial"/>
          <w:sz w:val="18"/>
          <w:szCs w:val="18"/>
          <w:color w:val="auto"/>
        </w:rPr>
      </w:pPr>
    </w:p>
    <w:p>
      <w:pPr>
        <w:ind w:left="880" w:right="80" w:hanging="224"/>
        <w:spacing w:after="0" w:line="276"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costs related to laboratory supplies, research materials and other costs related to development and characterization of new AAV vectors and new product candidates;</w:t>
      </w:r>
    </w:p>
    <w:p>
      <w:pPr>
        <w:spacing w:after="0" w:line="50" w:lineRule="exact"/>
        <w:rPr>
          <w:rFonts w:ascii="Arial" w:cs="Arial" w:eastAsia="Arial" w:hAnsi="Arial"/>
          <w:sz w:val="18"/>
          <w:szCs w:val="18"/>
          <w:color w:val="auto"/>
        </w:rPr>
      </w:pPr>
    </w:p>
    <w:p>
      <w:pPr>
        <w:ind w:left="880" w:right="340" w:hanging="224"/>
        <w:spacing w:after="0" w:line="276"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fees paid to consultants and other third parties who support our product candidate development, including CROs, CMOs and other service providers;</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other costs in seeking regulatory approval of our product candidates;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allocated facility-related costs, information technology costs, depreciation expense and other overhead.</w:t>
      </w:r>
    </w:p>
    <w:p>
      <w:pPr>
        <w:spacing w:after="0" w:line="212" w:lineRule="exact"/>
        <w:rPr>
          <w:sz w:val="20"/>
          <w:szCs w:val="20"/>
          <w:color w:val="auto"/>
        </w:rPr>
      </w:pPr>
    </w:p>
    <w:p>
      <w:pPr>
        <w:ind w:left="120" w:right="100" w:firstLine="551"/>
        <w:spacing w:after="0" w:line="245" w:lineRule="auto"/>
        <w:rPr>
          <w:sz w:val="20"/>
          <w:szCs w:val="20"/>
          <w:color w:val="auto"/>
        </w:rPr>
      </w:pPr>
      <w:r>
        <w:rPr>
          <w:rFonts w:ascii="Arial" w:cs="Arial" w:eastAsia="Arial" w:hAnsi="Arial"/>
          <w:sz w:val="18"/>
          <w:szCs w:val="18"/>
          <w:color w:val="auto"/>
        </w:rPr>
        <w:t>We expense all research and development costs in the periods in which they are incurred. We have entered into various agreements with CROs and CMOs. Costs of certain activities are recognized based on an evaluation of the progress to completion of specific tasks. Payments made prior to the receipt of goods or services that will be used or rendered for future research and development activities are deferred and capitalized as prepaid expenses and other current assets on our balance sheet. The capitalized amounts are recognized as expense as the goods are delivered or the related services are performed.</w:t>
      </w:r>
    </w:p>
    <w:p>
      <w:pPr>
        <w:spacing w:after="0" w:line="172"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We do not allocate our costs by product candidate, as a significant amount of research and development expenses includes internal costs, such as payroll and other personnel expenses, laboratory supplies and allocated overhead, and external costs, such as fees paid to third parties to conduct research and development activities on our behalf, none of which are tracked by product candidate. In particular, with respect to internal costs, several of our departments support multiple product candidate research and development programs, and therefore the costs cannot be allocated to a particular product candidate or development program.</w:t>
      </w:r>
    </w:p>
    <w:p>
      <w:pPr>
        <w:spacing w:after="0" w:line="17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At this time, we cannot reasonably estimate or know the nature, timing or estimated costs of the efforts that will be necessary to complete the development of, and obtain regulatory approval for, any of our product candidates. We expect our research and development expenses to increase substantially for the foreseeable future as we continue to invest in research and development activities related to developing our product candidates, as our product candidates advance into later stages of development, as we begin to conduct larger clinical trials, as we seek regulatory approvals for any product candidates that successfully complete clinical trials, and incur expenses associated with hiring additional personnel to support our research and development efforts. The process of conducting the necessary clinical research to obtain regulatory approval is costly and time-consuming, and the successful development of our product candidates is highly uncertain. Our research and development expenses may vary significantly based on factors such as:</w:t>
      </w:r>
    </w:p>
    <w:p>
      <w:pPr>
        <w:spacing w:after="0" w:line="86" w:lineRule="exact"/>
        <w:rPr>
          <w:sz w:val="20"/>
          <w:szCs w:val="20"/>
          <w:color w:val="auto"/>
        </w:rPr>
      </w:pPr>
    </w:p>
    <w:p>
      <w:pPr>
        <w:ind w:left="880" w:hanging="224"/>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number and scope of preclinical and IND-enabling studies;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phases of development of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progress and results of our research and development activities;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number of trials required for regulatory approval;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length of time required to enroll eligible subjects and initiate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number of subjects that participate in the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potential additional safety monitoring requested by regulatory agencies;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duration of subject participation in the trials and follow-up;</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cost and timing of manufacturing of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receipt of regulatory approvals from applicable regulatory authorities;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hiring and retention of research and development personnel;</w:t>
      </w:r>
    </w:p>
    <w:p>
      <w:pPr>
        <w:spacing w:after="0" w:line="117" w:lineRule="exact"/>
        <w:rPr>
          <w:rFonts w:ascii="Arial" w:cs="Arial" w:eastAsia="Arial" w:hAnsi="Arial"/>
          <w:sz w:val="18"/>
          <w:szCs w:val="18"/>
          <w:color w:val="auto"/>
        </w:rPr>
      </w:pPr>
    </w:p>
    <w:p>
      <w:pPr>
        <w:ind w:left="5480" w:right="2620" w:hanging="4824"/>
        <w:spacing w:after="0" w:line="448" w:lineRule="auto"/>
        <w:tabs>
          <w:tab w:leader="none" w:pos="87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degree to which we obtain, maintain, defend and enforce our intellectual property rights; and 100</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280" w:hanging="224"/>
        <w:spacing w:after="0" w:line="276"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extent to which we establish collaborations, strategic partnerships or other strategic arrangements and the performance of any related third parties.</w:t>
      </w:r>
    </w:p>
    <w:p>
      <w:pPr>
        <w:spacing w:after="0" w:line="145" w:lineRule="exact"/>
        <w:rPr>
          <w:sz w:val="20"/>
          <w:szCs w:val="20"/>
          <w:color w:val="auto"/>
        </w:rPr>
      </w:pPr>
    </w:p>
    <w:p>
      <w:pPr>
        <w:ind w:left="120" w:right="800" w:firstLine="551"/>
        <w:spacing w:after="0" w:line="276"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could significantly change the costs and timing associated with the development of that product candidate.</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w:t>
      </w:r>
    </w:p>
    <w:p>
      <w:pPr>
        <w:spacing w:after="0" w:line="102" w:lineRule="exact"/>
        <w:rPr>
          <w:sz w:val="20"/>
          <w:szCs w:val="20"/>
          <w:color w:val="auto"/>
        </w:rPr>
      </w:pPr>
    </w:p>
    <w:p>
      <w:pPr>
        <w:ind w:left="120" w:right="360" w:firstLine="551"/>
        <w:spacing w:after="0" w:line="245" w:lineRule="auto"/>
        <w:rPr>
          <w:sz w:val="20"/>
          <w:szCs w:val="20"/>
          <w:color w:val="auto"/>
        </w:rPr>
      </w:pPr>
      <w:r>
        <w:rPr>
          <w:rFonts w:ascii="Arial" w:cs="Arial" w:eastAsia="Arial" w:hAnsi="Arial"/>
          <w:sz w:val="18"/>
          <w:szCs w:val="18"/>
          <w:color w:val="auto"/>
        </w:rPr>
        <w:t>Our general and administrative expenses consist primarily of personnel-related expenses, including salaries, employee benefit costs and stock-based compensation expense, for our personnel in executive, finance and accounting, human resources, business development and other administrative functions. General and administrative expenses also include professional fees for legal, patent, consulting, accounting and tax services, allocated overhead, including rent, equipment, depreciation, information technology costs and utilities, and other general operating expenses not otherwise classified as research and development expenses.</w:t>
      </w:r>
    </w:p>
    <w:p>
      <w:pPr>
        <w:spacing w:after="0" w:line="172" w:lineRule="exact"/>
        <w:rPr>
          <w:sz w:val="20"/>
          <w:szCs w:val="20"/>
          <w:color w:val="auto"/>
        </w:rPr>
      </w:pPr>
    </w:p>
    <w:p>
      <w:pPr>
        <w:ind w:left="120" w:right="140" w:firstLine="551"/>
        <w:spacing w:after="0" w:line="245" w:lineRule="auto"/>
        <w:rPr>
          <w:sz w:val="20"/>
          <w:szCs w:val="20"/>
          <w:color w:val="auto"/>
        </w:rPr>
      </w:pPr>
      <w:r>
        <w:rPr>
          <w:rFonts w:ascii="Arial" w:cs="Arial" w:eastAsia="Arial" w:hAnsi="Arial"/>
          <w:sz w:val="18"/>
          <w:szCs w:val="18"/>
          <w:color w:val="auto"/>
        </w:rPr>
        <w:t>We expect our general and administrative expenses to increase in the future as we increase our headcount to support our continued research activities and development of our programs. We also expect increased personnel-related costs, patent costs for our product candidates, consulting, legal and accounting services associated with maintaining compliance with stock exchange listing and requirements of the SEC, investor relations costs, director and officer insurance premiums and other costs associated with being a public company.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04" w:lineRule="exact"/>
        <w:rPr>
          <w:sz w:val="20"/>
          <w:szCs w:val="20"/>
          <w:color w:val="auto"/>
        </w:rPr>
      </w:pPr>
    </w:p>
    <w:p>
      <w:pPr>
        <w:ind w:left="120" w:right="20" w:firstLine="551"/>
        <w:spacing w:after="0" w:line="276" w:lineRule="auto"/>
        <w:rPr>
          <w:sz w:val="20"/>
          <w:szCs w:val="20"/>
          <w:color w:val="auto"/>
        </w:rPr>
      </w:pPr>
      <w:r>
        <w:rPr>
          <w:rFonts w:ascii="Arial" w:cs="Arial" w:eastAsia="Arial" w:hAnsi="Arial"/>
          <w:sz w:val="18"/>
          <w:szCs w:val="18"/>
          <w:color w:val="auto"/>
        </w:rPr>
        <w:t>Our other income (expense) primarily consists of interest income earned on our cash equivalents and adjustments for the change in the fair value of our derivative liability which must be remeasured at each reporting period.</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Nine Months Ended September 30, 2019 and 2020</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for the periods indicated (dollars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5"/>
          </w:tcPr>
          <w:p>
            <w:pPr>
              <w:jc w:val="right"/>
              <w:ind w:right="601"/>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8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5"/>
          </w:tcPr>
          <w:p>
            <w:pPr>
              <w:jc w:val="right"/>
              <w:ind w:right="781"/>
              <w:spacing w:after="0"/>
              <w:rPr>
                <w:sz w:val="20"/>
                <w:szCs w:val="20"/>
                <w:color w:val="auto"/>
              </w:rPr>
            </w:pPr>
            <w:r>
              <w:rPr>
                <w:rFonts w:ascii="Arial" w:cs="Arial" w:eastAsia="Arial" w:hAnsi="Arial"/>
                <w:sz w:val="14"/>
                <w:szCs w:val="14"/>
                <w:b w:val="1"/>
                <w:bCs w:val="1"/>
                <w:color w:val="auto"/>
              </w:rPr>
              <w:t>September 30,</w:t>
            </w:r>
          </w:p>
        </w:tc>
        <w:tc>
          <w:tcPr>
            <w:tcW w:w="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vMerge w:val="restart"/>
          </w:tcPr>
          <w:p>
            <w:pPr>
              <w:jc w:val="right"/>
              <w:ind w:right="341"/>
              <w:spacing w:after="0"/>
              <w:rPr>
                <w:sz w:val="20"/>
                <w:szCs w:val="20"/>
                <w:color w:val="auto"/>
              </w:rPr>
            </w:pPr>
            <w:r>
              <w:rPr>
                <w:rFonts w:ascii="Arial" w:cs="Arial" w:eastAsia="Arial" w:hAnsi="Arial"/>
                <w:sz w:val="14"/>
                <w:szCs w:val="14"/>
                <w:b w:val="1"/>
                <w:bCs w:val="1"/>
                <w:color w:val="auto"/>
              </w:rPr>
              <w:t>Change</w:t>
            </w: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48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8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Revenue:</w:t>
            </w:r>
          </w:p>
        </w:tc>
        <w:tc>
          <w:tcPr>
            <w:tcW w:w="18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360"/>
              <w:spacing w:after="0" w:line="202" w:lineRule="exact"/>
              <w:rPr>
                <w:sz w:val="20"/>
                <w:szCs w:val="20"/>
                <w:color w:val="auto"/>
              </w:rPr>
            </w:pPr>
            <w:r>
              <w:rPr>
                <w:rFonts w:ascii="Arial" w:cs="Arial" w:eastAsia="Arial" w:hAnsi="Arial"/>
                <w:sz w:val="18"/>
                <w:szCs w:val="18"/>
                <w:color w:val="auto"/>
              </w:rPr>
              <w:t>Collaboration and license revenue</w:t>
            </w:r>
          </w:p>
        </w:tc>
        <w:tc>
          <w:tcPr>
            <w:tcW w:w="1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4,930</w:t>
            </w:r>
          </w:p>
        </w:tc>
        <w:tc>
          <w:tcPr>
            <w:tcW w:w="1320" w:type="dxa"/>
            <w:vAlign w:val="bottom"/>
            <w:gridSpan w:val="3"/>
          </w:tcPr>
          <w:p>
            <w:pPr>
              <w:jc w:val="right"/>
              <w:ind w:right="341"/>
              <w:spacing w:after="0" w:line="202" w:lineRule="exact"/>
              <w:rPr>
                <w:sz w:val="20"/>
                <w:szCs w:val="20"/>
                <w:color w:val="auto"/>
              </w:rPr>
            </w:pPr>
            <w:r>
              <w:rPr>
                <w:rFonts w:ascii="Arial" w:cs="Arial" w:eastAsia="Arial" w:hAnsi="Arial"/>
                <w:sz w:val="18"/>
                <w:szCs w:val="18"/>
                <w:color w:val="auto"/>
              </w:rPr>
              <w:t>$ 14,340</w:t>
            </w:r>
          </w:p>
        </w:tc>
        <w:tc>
          <w:tcPr>
            <w:tcW w:w="10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41"/>
              <w:spacing w:after="0" w:line="202" w:lineRule="exact"/>
              <w:rPr>
                <w:sz w:val="20"/>
                <w:szCs w:val="20"/>
                <w:color w:val="auto"/>
              </w:rPr>
            </w:pPr>
            <w:r>
              <w:rPr>
                <w:rFonts w:ascii="Arial" w:cs="Arial" w:eastAsia="Arial" w:hAnsi="Arial"/>
                <w:sz w:val="18"/>
                <w:szCs w:val="18"/>
                <w:color w:val="auto"/>
              </w:rPr>
              <w:t>9,410</w:t>
            </w:r>
          </w:p>
        </w:tc>
        <w:tc>
          <w:tcPr>
            <w:tcW w:w="9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Collaboration and license revenue, related parties</w:t>
            </w: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1"/>
              <w:spacing w:after="0" w:line="202" w:lineRule="exact"/>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1"/>
              <w:spacing w:after="0" w:line="202" w:lineRule="exact"/>
              <w:rPr>
                <w:sz w:val="20"/>
                <w:szCs w:val="20"/>
                <w:color w:val="auto"/>
              </w:rPr>
            </w:pPr>
            <w:r>
              <w:rPr>
                <w:rFonts w:ascii="Arial" w:cs="Arial" w:eastAsia="Arial" w:hAnsi="Arial"/>
                <w:sz w:val="18"/>
                <w:szCs w:val="18"/>
                <w:color w:val="auto"/>
              </w:rPr>
              <w:t>223</w:t>
            </w:r>
          </w:p>
        </w:tc>
        <w:tc>
          <w:tcPr>
            <w:tcW w:w="9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0"/>
        </w:trPr>
        <w:tc>
          <w:tcPr>
            <w:tcW w:w="4840" w:type="dxa"/>
            <w:vAlign w:val="bottom"/>
            <w:vMerge w:val="restart"/>
          </w:tcPr>
          <w:p>
            <w:pPr>
              <w:ind w:left="720"/>
              <w:spacing w:after="0"/>
              <w:rPr>
                <w:sz w:val="20"/>
                <w:szCs w:val="20"/>
                <w:color w:val="auto"/>
              </w:rPr>
            </w:pPr>
            <w:r>
              <w:rPr>
                <w:rFonts w:ascii="Arial" w:cs="Arial" w:eastAsia="Arial" w:hAnsi="Arial"/>
                <w:sz w:val="18"/>
                <w:szCs w:val="18"/>
                <w:color w:val="auto"/>
              </w:rPr>
              <w:t>Total revenue</w:t>
            </w:r>
          </w:p>
        </w:tc>
        <w:tc>
          <w:tcPr>
            <w:tcW w:w="1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vMerge w:val="continue"/>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4,956</w:t>
            </w:r>
          </w:p>
        </w:tc>
        <w:tc>
          <w:tcPr>
            <w:tcW w:w="24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14,589</w:t>
            </w:r>
          </w:p>
        </w:tc>
        <w:tc>
          <w:tcPr>
            <w:tcW w:w="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9,633</w:t>
            </w:r>
          </w:p>
        </w:tc>
        <w:tc>
          <w:tcPr>
            <w:tcW w:w="420" w:type="dxa"/>
            <w:vAlign w:val="bottom"/>
            <w:vMerge w:val="continue"/>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Expenses:</w:t>
            </w:r>
          </w:p>
        </w:tc>
        <w:tc>
          <w:tcPr>
            <w:tcW w:w="18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26,359</w:t>
            </w:r>
          </w:p>
        </w:tc>
        <w:tc>
          <w:tcPr>
            <w:tcW w:w="1320" w:type="dxa"/>
            <w:vAlign w:val="bottom"/>
            <w:gridSpan w:val="3"/>
          </w:tcPr>
          <w:p>
            <w:pPr>
              <w:jc w:val="right"/>
              <w:ind w:right="341"/>
              <w:spacing w:after="0" w:line="202" w:lineRule="exact"/>
              <w:rPr>
                <w:sz w:val="20"/>
                <w:szCs w:val="20"/>
                <w:color w:val="auto"/>
              </w:rPr>
            </w:pPr>
            <w:r>
              <w:rPr>
                <w:rFonts w:ascii="Arial" w:cs="Arial" w:eastAsia="Arial" w:hAnsi="Arial"/>
                <w:sz w:val="18"/>
                <w:szCs w:val="18"/>
                <w:color w:val="auto"/>
              </w:rPr>
              <w:t>40,433</w:t>
            </w:r>
          </w:p>
        </w:tc>
        <w:tc>
          <w:tcPr>
            <w:tcW w:w="100" w:type="dxa"/>
            <w:vAlign w:val="bottom"/>
          </w:tcPr>
          <w:p>
            <w:pPr>
              <w:spacing w:after="0"/>
              <w:rPr>
                <w:sz w:val="17"/>
                <w:szCs w:val="17"/>
                <w:color w:val="auto"/>
              </w:rPr>
            </w:pPr>
          </w:p>
        </w:tc>
        <w:tc>
          <w:tcPr>
            <w:tcW w:w="980" w:type="dxa"/>
            <w:vAlign w:val="bottom"/>
            <w:gridSpan w:val="2"/>
          </w:tcPr>
          <w:p>
            <w:pPr>
              <w:jc w:val="right"/>
              <w:ind w:right="341"/>
              <w:spacing w:after="0" w:line="202" w:lineRule="exact"/>
              <w:rPr>
                <w:sz w:val="20"/>
                <w:szCs w:val="20"/>
                <w:color w:val="auto"/>
              </w:rPr>
            </w:pPr>
            <w:r>
              <w:rPr>
                <w:rFonts w:ascii="Arial" w:cs="Arial" w:eastAsia="Arial" w:hAnsi="Arial"/>
                <w:sz w:val="18"/>
                <w:szCs w:val="18"/>
                <w:color w:val="auto"/>
                <w:w w:val="98"/>
              </w:rPr>
              <w:t>14,074</w:t>
            </w:r>
          </w:p>
        </w:tc>
        <w:tc>
          <w:tcPr>
            <w:tcW w:w="9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Acquired in-process research and development</w:t>
            </w: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1"/>
              <w:spacing w:after="0" w:line="202" w:lineRule="exact"/>
              <w:rPr>
                <w:sz w:val="20"/>
                <w:szCs w:val="20"/>
                <w:color w:val="auto"/>
              </w:rPr>
            </w:pPr>
            <w:r>
              <w:rPr>
                <w:rFonts w:ascii="Arial" w:cs="Arial" w:eastAsia="Arial" w:hAnsi="Arial"/>
                <w:sz w:val="18"/>
                <w:szCs w:val="18"/>
                <w:color w:val="auto"/>
              </w:rPr>
              <w:t>5,137</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1"/>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1"/>
              <w:spacing w:after="0" w:line="202" w:lineRule="exact"/>
              <w:rPr>
                <w:sz w:val="20"/>
                <w:szCs w:val="20"/>
                <w:color w:val="auto"/>
              </w:rPr>
            </w:pPr>
            <w:r>
              <w:rPr>
                <w:rFonts w:ascii="Arial" w:cs="Arial" w:eastAsia="Arial" w:hAnsi="Arial"/>
                <w:sz w:val="18"/>
                <w:szCs w:val="18"/>
                <w:color w:val="auto"/>
              </w:rPr>
              <w:t>(5,137)</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4840" w:type="dxa"/>
            <w:vAlign w:val="bottom"/>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7,936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341"/>
              <w:spacing w:after="0" w:line="202" w:lineRule="exact"/>
              <w:rPr>
                <w:sz w:val="20"/>
                <w:szCs w:val="20"/>
                <w:color w:val="auto"/>
              </w:rPr>
            </w:pPr>
            <w:r>
              <w:rPr>
                <w:rFonts w:ascii="Arial" w:cs="Arial" w:eastAsia="Arial" w:hAnsi="Arial"/>
                <w:sz w:val="18"/>
                <w:szCs w:val="18"/>
                <w:color w:val="auto"/>
              </w:rPr>
              <w:t>10,398</w:t>
            </w:r>
          </w:p>
        </w:tc>
        <w:tc>
          <w:tcPr>
            <w:tcW w:w="100" w:type="dxa"/>
            <w:vAlign w:val="bottom"/>
          </w:tcPr>
          <w:p>
            <w:pPr>
              <w:spacing w:after="0"/>
              <w:rPr>
                <w:sz w:val="17"/>
                <w:szCs w:val="17"/>
                <w:color w:val="auto"/>
              </w:rPr>
            </w:pPr>
          </w:p>
        </w:tc>
        <w:tc>
          <w:tcPr>
            <w:tcW w:w="980" w:type="dxa"/>
            <w:vAlign w:val="bottom"/>
            <w:gridSpan w:val="2"/>
          </w:tcPr>
          <w:p>
            <w:pPr>
              <w:jc w:val="right"/>
              <w:ind w:right="341"/>
              <w:spacing w:after="0" w:line="202" w:lineRule="exact"/>
              <w:rPr>
                <w:sz w:val="20"/>
                <w:szCs w:val="20"/>
                <w:color w:val="auto"/>
              </w:rPr>
            </w:pPr>
            <w:r>
              <w:rPr>
                <w:rFonts w:ascii="Arial" w:cs="Arial" w:eastAsia="Arial" w:hAnsi="Arial"/>
                <w:sz w:val="18"/>
                <w:szCs w:val="18"/>
                <w:color w:val="auto"/>
              </w:rPr>
              <w:t>2,462</w:t>
            </w:r>
          </w:p>
        </w:tc>
        <w:tc>
          <w:tcPr>
            <w:tcW w:w="9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8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operating expenses</w:t>
            </w: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39,432</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1"/>
              <w:spacing w:after="0" w:line="202" w:lineRule="exact"/>
              <w:rPr>
                <w:sz w:val="20"/>
                <w:szCs w:val="20"/>
                <w:color w:val="auto"/>
              </w:rPr>
            </w:pPr>
            <w:r>
              <w:rPr>
                <w:rFonts w:ascii="Arial" w:cs="Arial" w:eastAsia="Arial" w:hAnsi="Arial"/>
                <w:sz w:val="18"/>
                <w:szCs w:val="18"/>
                <w:color w:val="auto"/>
              </w:rPr>
              <w:t>50,831</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1"/>
              <w:spacing w:after="0" w:line="202" w:lineRule="exact"/>
              <w:rPr>
                <w:sz w:val="20"/>
                <w:szCs w:val="20"/>
                <w:color w:val="auto"/>
              </w:rPr>
            </w:pPr>
            <w:r>
              <w:rPr>
                <w:rFonts w:ascii="Arial" w:cs="Arial" w:eastAsia="Arial" w:hAnsi="Arial"/>
                <w:sz w:val="18"/>
                <w:szCs w:val="18"/>
                <w:color w:val="auto"/>
                <w:w w:val="98"/>
              </w:rPr>
              <w:t>11,399</w:t>
            </w:r>
          </w:p>
        </w:tc>
        <w:tc>
          <w:tcPr>
            <w:tcW w:w="9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color w:val="auto"/>
              </w:rPr>
              <w:t>Loss from operations</w:t>
            </w:r>
          </w:p>
        </w:tc>
        <w:tc>
          <w:tcPr>
            <w:tcW w:w="1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vMerge w:val="continue"/>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(34,476)</w:t>
            </w:r>
          </w:p>
        </w:tc>
        <w:tc>
          <w:tcPr>
            <w:tcW w:w="24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(36,242)</w:t>
            </w:r>
          </w:p>
        </w:tc>
        <w:tc>
          <w:tcPr>
            <w:tcW w:w="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(1,766)</w:t>
            </w:r>
          </w:p>
        </w:tc>
        <w:tc>
          <w:tcPr>
            <w:tcW w:w="420" w:type="dxa"/>
            <w:vAlign w:val="bottom"/>
            <w:vMerge w:val="continue"/>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Other Income (Expense)</w:t>
            </w: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1,285</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1"/>
              <w:spacing w:after="0" w:line="202" w:lineRule="exact"/>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1"/>
              <w:spacing w:after="0" w:line="202" w:lineRule="exact"/>
              <w:rPr>
                <w:sz w:val="20"/>
                <w:szCs w:val="20"/>
                <w:color w:val="auto"/>
              </w:rPr>
            </w:pPr>
            <w:r>
              <w:rPr>
                <w:rFonts w:ascii="Arial" w:cs="Arial" w:eastAsia="Arial" w:hAnsi="Arial"/>
                <w:sz w:val="18"/>
                <w:szCs w:val="18"/>
                <w:color w:val="auto"/>
              </w:rPr>
              <w:t>(1,189)</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color w:val="auto"/>
              </w:rPr>
              <w:t>Net loss and comprehensive loss</w:t>
            </w:r>
          </w:p>
        </w:tc>
        <w:tc>
          <w:tcPr>
            <w:tcW w:w="18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vMerge w:val="restart"/>
          </w:tcPr>
          <w:p>
            <w:pPr>
              <w:jc w:val="right"/>
              <w:ind w:right="28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vMerge w:val="restart"/>
          </w:tcPr>
          <w:p>
            <w:pPr>
              <w:jc w:val="right"/>
              <w:ind w:right="281"/>
              <w:spacing w:after="0"/>
              <w:rPr>
                <w:sz w:val="20"/>
                <w:szCs w:val="20"/>
                <w:color w:val="auto"/>
              </w:rPr>
            </w:pPr>
            <w:r>
              <w:rPr>
                <w:rFonts w:ascii="Arial" w:cs="Arial" w:eastAsia="Arial" w:hAnsi="Arial"/>
                <w:sz w:val="16"/>
                <w:szCs w:val="16"/>
                <w:color w:val="auto"/>
                <w:w w:val="74"/>
              </w:rPr>
              <w:t>)</w:t>
            </w: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40" w:type="dxa"/>
            <w:vAlign w:val="bottom"/>
            <w:vMerge w:val="continue"/>
          </w:tcPr>
          <w:p>
            <w:pPr>
              <w:spacing w:after="0"/>
              <w:rPr>
                <w:sz w:val="18"/>
                <w:szCs w:val="18"/>
                <w:color w:val="auto"/>
              </w:rPr>
            </w:pPr>
          </w:p>
        </w:tc>
        <w:tc>
          <w:tcPr>
            <w:tcW w:w="182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(33,191</w:t>
            </w:r>
          </w:p>
        </w:tc>
        <w:tc>
          <w:tcPr>
            <w:tcW w:w="24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(36,146</w:t>
            </w:r>
          </w:p>
        </w:tc>
        <w:tc>
          <w:tcPr>
            <w:tcW w:w="420" w:type="dxa"/>
            <w:vAlign w:val="bottom"/>
            <w:vMerge w:val="continue"/>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(2,955</w:t>
            </w:r>
          </w:p>
        </w:tc>
        <w:tc>
          <w:tcPr>
            <w:tcW w:w="420" w:type="dxa"/>
            <w:vAlign w:val="bottom"/>
            <w:vMerge w:val="continue"/>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820" w:type="dxa"/>
            <w:vAlign w:val="bottom"/>
            <w:vMerge w:val="restart"/>
          </w:tcPr>
          <w:p>
            <w:pPr>
              <w:jc w:val="right"/>
              <w:ind w:right="910"/>
              <w:spacing w:after="0"/>
              <w:rPr>
                <w:sz w:val="20"/>
                <w:szCs w:val="20"/>
                <w:color w:val="auto"/>
              </w:rPr>
            </w:pPr>
            <w:r>
              <w:rPr>
                <w:rFonts w:ascii="Arial" w:cs="Arial" w:eastAsia="Arial" w:hAnsi="Arial"/>
                <w:sz w:val="18"/>
                <w:szCs w:val="18"/>
                <w:color w:val="auto"/>
              </w:rPr>
              <w:t>101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84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w:t>
      </w:r>
    </w:p>
    <w:p>
      <w:pPr>
        <w:spacing w:after="0" w:line="102" w:lineRule="exact"/>
        <w:rPr>
          <w:sz w:val="20"/>
          <w:szCs w:val="20"/>
          <w:color w:val="auto"/>
        </w:rPr>
      </w:pPr>
    </w:p>
    <w:p>
      <w:pPr>
        <w:ind w:left="120" w:right="220" w:firstLine="551"/>
        <w:spacing w:after="0" w:line="248" w:lineRule="auto"/>
        <w:rPr>
          <w:sz w:val="20"/>
          <w:szCs w:val="20"/>
          <w:color w:val="auto"/>
        </w:rPr>
      </w:pPr>
      <w:r>
        <w:rPr>
          <w:rFonts w:ascii="Arial" w:cs="Arial" w:eastAsia="Arial" w:hAnsi="Arial"/>
          <w:sz w:val="18"/>
          <w:szCs w:val="18"/>
          <w:color w:val="auto"/>
        </w:rPr>
        <w:t>Revenue increased from $5.0 million for the nine months ended September 30, 2019 to $14.6 million for the nine months ended September 30, 2020. The increase of $9.6 million, or 194%, was due to a $9.8 million increase in revenue recognized under our Collaboration and License Agreement with Roche, which was partially offset by a decline in revenue recognized from other collaboration and license agreements.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breakout of research and development expenses for the periods indicated (dollars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22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780" w:type="dxa"/>
            <w:vAlign w:val="bottom"/>
          </w:tcPr>
          <w:p>
            <w:pPr>
              <w:spacing w:after="0"/>
              <w:rPr>
                <w:sz w:val="15"/>
                <w:szCs w:val="15"/>
                <w:color w:val="auto"/>
              </w:rPr>
            </w:pPr>
          </w:p>
        </w:tc>
        <w:tc>
          <w:tcPr>
            <w:tcW w:w="220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Change</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6780" w:type="dxa"/>
            <w:vAlign w:val="bottom"/>
          </w:tcPr>
          <w:p>
            <w:pPr>
              <w:spacing w:after="0"/>
              <w:rPr>
                <w:sz w:val="13"/>
                <w:szCs w:val="13"/>
                <w:color w:val="auto"/>
              </w:rPr>
            </w:pPr>
          </w:p>
        </w:tc>
        <w:tc>
          <w:tcPr>
            <w:tcW w:w="660" w:type="dxa"/>
            <w:vAlign w:val="bottom"/>
            <w:tcBorders>
              <w:top w:val="single" w:sz="8" w:color="auto"/>
            </w:tcBorders>
          </w:tcPr>
          <w:p>
            <w:pPr>
              <w:jc w:val="right"/>
              <w:ind w:right="98"/>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External expenses</w:t>
            </w:r>
          </w:p>
        </w:tc>
        <w:tc>
          <w:tcPr>
            <w:tcW w:w="660" w:type="dxa"/>
            <w:vAlign w:val="bottom"/>
            <w:shd w:val="clear" w:color="auto" w:fill="000000"/>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$14,257</w:t>
            </w:r>
          </w:p>
        </w:tc>
        <w:tc>
          <w:tcPr>
            <w:tcW w:w="44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$23,253</w:t>
            </w:r>
          </w:p>
        </w:tc>
        <w:tc>
          <w:tcPr>
            <w:tcW w:w="4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w w:val="93"/>
              </w:rPr>
              <w:t>8,996</w:t>
            </w:r>
          </w:p>
        </w:tc>
        <w:tc>
          <w:tcPr>
            <w:tcW w:w="460" w:type="dxa"/>
            <w:vAlign w:val="bottom"/>
            <w:vMerge w:val="continue"/>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Payroll and personnel expenses</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8,574</w:t>
            </w:r>
          </w:p>
        </w:tc>
        <w:tc>
          <w:tcPr>
            <w:tcW w:w="440" w:type="dxa"/>
            <w:vAlign w:val="bottom"/>
          </w:tcPr>
          <w:p>
            <w:pPr>
              <w:spacing w:after="0"/>
              <w:rPr>
                <w:sz w:val="17"/>
                <w:szCs w:val="17"/>
                <w:color w:val="auto"/>
              </w:rPr>
            </w:pPr>
          </w:p>
        </w:tc>
        <w:tc>
          <w:tcPr>
            <w:tcW w:w="11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11,584</w:t>
            </w:r>
          </w:p>
        </w:tc>
        <w:tc>
          <w:tcPr>
            <w:tcW w:w="120" w:type="dxa"/>
            <w:vAlign w:val="bottom"/>
          </w:tcPr>
          <w:p>
            <w:pPr>
              <w:spacing w:after="0"/>
              <w:rPr>
                <w:sz w:val="17"/>
                <w:szCs w:val="17"/>
                <w:color w:val="auto"/>
              </w:rPr>
            </w:pPr>
          </w:p>
        </w:tc>
        <w:tc>
          <w:tcPr>
            <w:tcW w:w="10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3,010</w:t>
            </w: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research and development expenses</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3,528</w:t>
            </w:r>
          </w:p>
        </w:tc>
        <w:tc>
          <w:tcPr>
            <w:tcW w:w="440" w:type="dxa"/>
            <w:vAlign w:val="bottom"/>
            <w:tcBorders>
              <w:left w:val="single" w:sz="8" w:color="CCEEFF"/>
            </w:tcBorders>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5,596</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2,068</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6780" w:type="dxa"/>
            <w:vAlign w:val="bottom"/>
            <w:vMerge w:val="restart"/>
          </w:tcPr>
          <w:p>
            <w:pPr>
              <w:ind w:left="360"/>
              <w:spacing w:after="0"/>
              <w:rPr>
                <w:sz w:val="20"/>
                <w:szCs w:val="20"/>
                <w:color w:val="auto"/>
              </w:rPr>
            </w:pPr>
            <w:r>
              <w:rPr>
                <w:rFonts w:ascii="Arial" w:cs="Arial" w:eastAsia="Arial" w:hAnsi="Arial"/>
                <w:sz w:val="18"/>
                <w:szCs w:val="18"/>
                <w:color w:val="auto"/>
              </w:rPr>
              <w:t>Total research and development expenses</w:t>
            </w:r>
          </w:p>
        </w:tc>
        <w:tc>
          <w:tcPr>
            <w:tcW w:w="66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8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26,359</w:t>
            </w:r>
          </w:p>
        </w:tc>
        <w:tc>
          <w:tcPr>
            <w:tcW w:w="44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40,433</w:t>
            </w:r>
          </w:p>
        </w:tc>
        <w:tc>
          <w:tcPr>
            <w:tcW w:w="440" w:type="dxa"/>
            <w:vAlign w:val="bottom"/>
            <w:vMerge w:val="continue"/>
          </w:tcPr>
          <w:p>
            <w:pPr>
              <w:spacing w:after="0"/>
              <w:rPr>
                <w:sz w:val="18"/>
                <w:szCs w:val="18"/>
                <w:color w:val="auto"/>
              </w:rPr>
            </w:pPr>
          </w:p>
        </w:tc>
        <w:tc>
          <w:tcPr>
            <w:tcW w:w="120" w:type="dxa"/>
            <w:vAlign w:val="bottom"/>
          </w:tcPr>
          <w:p>
            <w:pPr>
              <w:jc w:val="center"/>
              <w:spacing w:after="0"/>
              <w:rPr>
                <w:sz w:val="20"/>
                <w:szCs w:val="20"/>
                <w:color w:val="auto"/>
              </w:rPr>
            </w:pPr>
            <w:r>
              <w:rPr>
                <w:rFonts w:ascii="Arial" w:cs="Arial" w:eastAsia="Arial" w:hAnsi="Arial"/>
                <w:sz w:val="18"/>
                <w:szCs w:val="18"/>
                <w:u w:val="single" w:color="auto"/>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14,074</w:t>
            </w:r>
          </w:p>
        </w:tc>
        <w:tc>
          <w:tcPr>
            <w:tcW w:w="460" w:type="dxa"/>
            <w:vAlign w:val="bottom"/>
            <w:vMerge w:val="continue"/>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left="120" w:right="80" w:firstLine="551"/>
        <w:spacing w:after="0" w:line="276" w:lineRule="auto"/>
        <w:rPr>
          <w:sz w:val="20"/>
          <w:szCs w:val="20"/>
          <w:color w:val="auto"/>
        </w:rPr>
      </w:pPr>
      <w:r>
        <w:rPr>
          <w:rFonts w:ascii="Arial" w:cs="Arial" w:eastAsia="Arial" w:hAnsi="Arial"/>
          <w:sz w:val="18"/>
          <w:szCs w:val="18"/>
          <w:color w:val="auto"/>
        </w:rPr>
        <w:t>Research and development expenses increased from $26.4 million for the nine months ended September 30, 2019 to $40.4 million for the nine months ended September 30, 2020. The increase of $14.1 million, or 53%, was due to the following:</w:t>
      </w:r>
    </w:p>
    <w:p>
      <w:pPr>
        <w:spacing w:after="0" w:line="50" w:lineRule="exact"/>
        <w:rPr>
          <w:sz w:val="20"/>
          <w:szCs w:val="20"/>
          <w:color w:val="auto"/>
        </w:rPr>
      </w:pPr>
    </w:p>
    <w:p>
      <w:pPr>
        <w:ind w:left="880" w:right="260" w:hanging="224"/>
        <w:spacing w:after="0" w:line="276"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$9.0 million increase in external costs as we continue to develop novel vectors and identify potential product candidates and progress our preclinical studies and clinical trials;</w:t>
      </w:r>
    </w:p>
    <w:p>
      <w:pPr>
        <w:spacing w:after="0" w:line="50" w:lineRule="exact"/>
        <w:rPr>
          <w:rFonts w:ascii="Arial" w:cs="Arial" w:eastAsia="Arial" w:hAnsi="Arial"/>
          <w:sz w:val="18"/>
          <w:szCs w:val="18"/>
          <w:color w:val="auto"/>
        </w:rPr>
      </w:pPr>
    </w:p>
    <w:p>
      <w:pPr>
        <w:ind w:left="880" w:right="160" w:hanging="224"/>
        <w:spacing w:after="0" w:line="276"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$3.0 million increase in payroll and personnel expenses due to increased headcount of research and development personnel, including a $0.4 million increase in employee stock-based compensation expense; and</w:t>
      </w:r>
    </w:p>
    <w:p>
      <w:pPr>
        <w:spacing w:after="0" w:line="50" w:lineRule="exact"/>
        <w:rPr>
          <w:rFonts w:ascii="Arial" w:cs="Arial" w:eastAsia="Arial" w:hAnsi="Arial"/>
          <w:sz w:val="18"/>
          <w:szCs w:val="18"/>
          <w:color w:val="auto"/>
        </w:rPr>
      </w:pPr>
    </w:p>
    <w:p>
      <w:pPr>
        <w:ind w:left="880" w:right="100" w:hanging="224"/>
        <w:spacing w:after="0" w:line="276"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$2.1 million increase in other research and development expenses primarily for allocated overhead, including rent, equipment, depreciation, information technology costs and utilities.</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Acquired In-Process Research and Development Expenses</w:t>
      </w:r>
    </w:p>
    <w:p>
      <w:pPr>
        <w:spacing w:after="0" w:line="102" w:lineRule="exact"/>
        <w:rPr>
          <w:sz w:val="20"/>
          <w:szCs w:val="20"/>
          <w:color w:val="auto"/>
        </w:rPr>
      </w:pPr>
    </w:p>
    <w:p>
      <w:pPr>
        <w:ind w:left="120" w:right="160" w:firstLine="551"/>
        <w:spacing w:after="0" w:line="245" w:lineRule="auto"/>
        <w:rPr>
          <w:sz w:val="20"/>
          <w:szCs w:val="20"/>
          <w:color w:val="auto"/>
        </w:rPr>
      </w:pPr>
      <w:r>
        <w:rPr>
          <w:rFonts w:ascii="Arial" w:cs="Arial" w:eastAsia="Arial" w:hAnsi="Arial"/>
          <w:sz w:val="18"/>
          <w:szCs w:val="18"/>
          <w:color w:val="auto"/>
        </w:rPr>
        <w:t>We recorded acquired in-process research and development expenses of $5.1 million in the nine months ended September 30, 2019. This was due to the acquisition of in-process research and development from uniQure as a result of the execution of an Amended and Restated Collaboration and License Agreement and a separate Collaboration and License Agreement. See Note 6 to our financial statements included elsewhere in this prospectus for further discussion regarding the accounting treatment of this transaction. We do not currently expect to recognize any acquired in-process research and development expenses in 2020.</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2" w:lineRule="exact"/>
        <w:rPr>
          <w:sz w:val="20"/>
          <w:szCs w:val="20"/>
          <w:color w:val="auto"/>
        </w:rPr>
      </w:pPr>
    </w:p>
    <w:p>
      <w:pPr>
        <w:ind w:left="120" w:right="220" w:firstLine="551"/>
        <w:spacing w:after="0" w:line="276" w:lineRule="auto"/>
        <w:rPr>
          <w:sz w:val="20"/>
          <w:szCs w:val="20"/>
          <w:color w:val="auto"/>
        </w:rPr>
      </w:pPr>
      <w:r>
        <w:rPr>
          <w:rFonts w:ascii="Arial" w:cs="Arial" w:eastAsia="Arial" w:hAnsi="Arial"/>
          <w:sz w:val="18"/>
          <w:szCs w:val="18"/>
          <w:color w:val="auto"/>
        </w:rPr>
        <w:t>General and administrative expenses increased from $ 7.9 million for the nine months ended September 30, 2019 to $10.4 million for the nine months ended September 30, 2020. The increase of $2.5 million, or 31%, was primarily due to the following:</w:t>
      </w:r>
    </w:p>
    <w:p>
      <w:pPr>
        <w:spacing w:after="0" w:line="50" w:lineRule="exact"/>
        <w:rPr>
          <w:sz w:val="20"/>
          <w:szCs w:val="20"/>
          <w:color w:val="auto"/>
        </w:rPr>
      </w:pPr>
    </w:p>
    <w:p>
      <w:pPr>
        <w:ind w:left="880" w:right="100" w:hanging="224"/>
        <w:spacing w:after="0" w:line="276"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$1.6 million increase for personnel costs as a result of increased headcount of general and administrative personnel, including a $0.6 million increase in employee and nonemployee director stock-based compensation expense; and</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40"/>
          </w:cols>
          <w:pgMar w:left="320" w:top="455" w:right="43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 $0.7 million increase for allocated overhead, including rent, equipment, depreciation, information technology costs and utilities.</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Income (Expense)</w:t>
      </w:r>
    </w:p>
    <w:p>
      <w:pPr>
        <w:spacing w:after="0" w:line="102" w:lineRule="exact"/>
        <w:rPr>
          <w:sz w:val="20"/>
          <w:szCs w:val="20"/>
          <w:color w:val="auto"/>
        </w:rPr>
      </w:pPr>
    </w:p>
    <w:p>
      <w:pPr>
        <w:jc w:val="both"/>
        <w:ind w:left="120" w:right="360" w:firstLine="551"/>
        <w:spacing w:after="0" w:line="255" w:lineRule="auto"/>
        <w:rPr>
          <w:sz w:val="20"/>
          <w:szCs w:val="20"/>
          <w:color w:val="auto"/>
        </w:rPr>
      </w:pPr>
      <w:r>
        <w:rPr>
          <w:rFonts w:ascii="Arial" w:cs="Arial" w:eastAsia="Arial" w:hAnsi="Arial"/>
          <w:sz w:val="18"/>
          <w:szCs w:val="18"/>
          <w:color w:val="auto"/>
        </w:rPr>
        <w:t>Other income (expense) decreased from $1.3 million for the nine months ended September 30, 2019 to $0.1 million for the nine months ended September 30, 2020. The decrease of $1.2 million, or 93%, was primarily due to lower interest rates and lower average investment balances.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2018 and 2019</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for the periods indicated (dollars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6"/>
          </w:tcPr>
          <w:p>
            <w:pPr>
              <w:jc w:val="center"/>
              <w:ind w:right="321"/>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gridSpan w:val="6"/>
          </w:tcPr>
          <w:p>
            <w:pPr>
              <w:jc w:val="center"/>
              <w:ind w:right="321"/>
              <w:spacing w:after="0"/>
              <w:rPr>
                <w:sz w:val="20"/>
                <w:szCs w:val="20"/>
                <w:color w:val="auto"/>
              </w:rPr>
            </w:pPr>
            <w:r>
              <w:rPr>
                <w:rFonts w:ascii="Arial" w:cs="Arial" w:eastAsia="Arial" w:hAnsi="Arial"/>
                <w:sz w:val="14"/>
                <w:szCs w:val="14"/>
                <w:b w:val="1"/>
                <w:bCs w:val="1"/>
                <w:color w:val="auto"/>
              </w:rPr>
              <w:t>December 31,</w:t>
            </w:r>
          </w:p>
        </w:tc>
        <w:tc>
          <w:tcPr>
            <w:tcW w:w="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vMerge w:val="restart"/>
          </w:tcPr>
          <w:p>
            <w:pPr>
              <w:jc w:val="right"/>
              <w:ind w:right="461"/>
              <w:spacing w:after="0"/>
              <w:rPr>
                <w:sz w:val="20"/>
                <w:szCs w:val="20"/>
                <w:color w:val="auto"/>
              </w:rPr>
            </w:pPr>
            <w:r>
              <w:rPr>
                <w:rFonts w:ascii="Arial" w:cs="Arial" w:eastAsia="Arial" w:hAnsi="Arial"/>
                <w:sz w:val="14"/>
                <w:szCs w:val="14"/>
                <w:b w:val="1"/>
                <w:bCs w:val="1"/>
                <w:color w:val="auto"/>
              </w:rPr>
              <w:t>Change</w:t>
            </w: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6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3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Revenue:</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360"/>
              <w:spacing w:after="0" w:line="202" w:lineRule="exact"/>
              <w:rPr>
                <w:sz w:val="20"/>
                <w:szCs w:val="20"/>
                <w:color w:val="auto"/>
              </w:rPr>
            </w:pPr>
            <w:r>
              <w:rPr>
                <w:rFonts w:ascii="Arial" w:cs="Arial" w:eastAsia="Arial" w:hAnsi="Arial"/>
                <w:sz w:val="18"/>
                <w:szCs w:val="18"/>
                <w:color w:val="auto"/>
              </w:rPr>
              <w:t>Collaboration and license revenue</w:t>
            </w:r>
          </w:p>
        </w:tc>
        <w:tc>
          <w:tcPr>
            <w:tcW w:w="1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8,987</w:t>
            </w:r>
          </w:p>
        </w:tc>
        <w:tc>
          <w:tcPr>
            <w:tcW w:w="48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1"/>
              <w:spacing w:after="0" w:line="202" w:lineRule="exact"/>
              <w:rPr>
                <w:sz w:val="20"/>
                <w:szCs w:val="20"/>
                <w:color w:val="auto"/>
              </w:rPr>
            </w:pPr>
            <w:r>
              <w:rPr>
                <w:rFonts w:ascii="Arial" w:cs="Arial" w:eastAsia="Arial" w:hAnsi="Arial"/>
                <w:sz w:val="18"/>
                <w:szCs w:val="18"/>
                <w:color w:val="auto"/>
              </w:rPr>
              <w:t>6,960</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1"/>
              <w:spacing w:after="0" w:line="202" w:lineRule="exact"/>
              <w:rPr>
                <w:sz w:val="20"/>
                <w:szCs w:val="20"/>
                <w:color w:val="auto"/>
              </w:rPr>
            </w:pPr>
            <w:r>
              <w:rPr>
                <w:rFonts w:ascii="Arial" w:cs="Arial" w:eastAsia="Arial" w:hAnsi="Arial"/>
                <w:sz w:val="18"/>
                <w:szCs w:val="18"/>
                <w:color w:val="auto"/>
              </w:rPr>
              <w:t>(2,027)</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Collaboration and license revenue, related parties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5,143</w:t>
            </w: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61"/>
              <w:spacing w:after="0" w:line="202" w:lineRule="exact"/>
              <w:rPr>
                <w:sz w:val="20"/>
                <w:szCs w:val="20"/>
                <w:color w:val="auto"/>
              </w:rPr>
            </w:pPr>
            <w:r>
              <w:rPr>
                <w:rFonts w:ascii="Arial" w:cs="Arial" w:eastAsia="Arial" w:hAnsi="Arial"/>
                <w:sz w:val="18"/>
                <w:szCs w:val="18"/>
                <w:color w:val="auto"/>
              </w:rPr>
              <w:t>(5,117)</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720"/>
              <w:spacing w:after="0"/>
              <w:rPr>
                <w:sz w:val="20"/>
                <w:szCs w:val="20"/>
                <w:color w:val="auto"/>
              </w:rPr>
            </w:pPr>
            <w:r>
              <w:rPr>
                <w:rFonts w:ascii="Arial" w:cs="Arial" w:eastAsia="Arial" w:hAnsi="Arial"/>
                <w:sz w:val="18"/>
                <w:szCs w:val="18"/>
                <w:color w:val="auto"/>
              </w:rPr>
              <w:t>Total revenue</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14,130</w:t>
            </w:r>
          </w:p>
        </w:tc>
        <w:tc>
          <w:tcPr>
            <w:tcW w:w="2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6,986</w:t>
            </w:r>
          </w:p>
        </w:tc>
        <w:tc>
          <w:tcPr>
            <w:tcW w:w="2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(7,144)</w:t>
            </w:r>
          </w:p>
        </w:tc>
        <w:tc>
          <w:tcPr>
            <w:tcW w:w="500" w:type="dxa"/>
            <w:vAlign w:val="bottom"/>
            <w:vMerge w:val="continue"/>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Expenses:</w:t>
            </w: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18,362</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01"/>
              <w:spacing w:after="0" w:line="202" w:lineRule="exact"/>
              <w:rPr>
                <w:sz w:val="20"/>
                <w:szCs w:val="20"/>
                <w:color w:val="auto"/>
              </w:rPr>
            </w:pPr>
            <w:r>
              <w:rPr>
                <w:rFonts w:ascii="Arial" w:cs="Arial" w:eastAsia="Arial" w:hAnsi="Arial"/>
                <w:sz w:val="18"/>
                <w:szCs w:val="18"/>
                <w:color w:val="auto"/>
              </w:rPr>
              <w:t>38,718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21"/>
              <w:spacing w:after="0" w:line="202" w:lineRule="exact"/>
              <w:rPr>
                <w:sz w:val="20"/>
                <w:szCs w:val="20"/>
                <w:color w:val="auto"/>
              </w:rPr>
            </w:pPr>
            <w:r>
              <w:rPr>
                <w:rFonts w:ascii="Arial" w:cs="Arial" w:eastAsia="Arial" w:hAnsi="Arial"/>
                <w:sz w:val="18"/>
                <w:szCs w:val="18"/>
                <w:color w:val="auto"/>
              </w:rPr>
              <w:t>20,356</w:t>
            </w:r>
          </w:p>
        </w:tc>
        <w:tc>
          <w:tcPr>
            <w:tcW w:w="9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Acquired in-process research and development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1"/>
              <w:spacing w:after="0" w:line="202" w:lineRule="exact"/>
              <w:rPr>
                <w:sz w:val="20"/>
                <w:szCs w:val="20"/>
                <w:color w:val="auto"/>
              </w:rPr>
            </w:pPr>
            <w:r>
              <w:rPr>
                <w:rFonts w:ascii="Arial" w:cs="Arial" w:eastAsia="Arial" w:hAnsi="Arial"/>
                <w:sz w:val="18"/>
                <w:szCs w:val="18"/>
                <w:color w:val="auto"/>
              </w:rPr>
              <w:t>5,137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21"/>
              <w:spacing w:after="0" w:line="202" w:lineRule="exact"/>
              <w:rPr>
                <w:sz w:val="20"/>
                <w:szCs w:val="20"/>
                <w:color w:val="auto"/>
              </w:rPr>
            </w:pPr>
            <w:r>
              <w:rPr>
                <w:rFonts w:ascii="Arial" w:cs="Arial" w:eastAsia="Arial" w:hAnsi="Arial"/>
                <w:sz w:val="18"/>
                <w:szCs w:val="18"/>
                <w:color w:val="auto"/>
              </w:rPr>
              <w:t>5,137</w:t>
            </w:r>
          </w:p>
        </w:tc>
        <w:tc>
          <w:tcPr>
            <w:tcW w:w="9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360" w:type="dxa"/>
            <w:vAlign w:val="bottom"/>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6,167</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13,895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21"/>
              <w:spacing w:after="0" w:line="202" w:lineRule="exact"/>
              <w:rPr>
                <w:sz w:val="20"/>
                <w:szCs w:val="20"/>
                <w:color w:val="auto"/>
              </w:rPr>
            </w:pPr>
            <w:r>
              <w:rPr>
                <w:rFonts w:ascii="Arial" w:cs="Arial" w:eastAsia="Arial" w:hAnsi="Arial"/>
                <w:sz w:val="18"/>
                <w:szCs w:val="18"/>
                <w:color w:val="auto"/>
              </w:rPr>
              <w:t>7,728</w:t>
            </w:r>
          </w:p>
        </w:tc>
        <w:tc>
          <w:tcPr>
            <w:tcW w:w="9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24,529</w:t>
            </w: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57,750</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21"/>
              <w:spacing w:after="0" w:line="202" w:lineRule="exact"/>
              <w:rPr>
                <w:sz w:val="20"/>
                <w:szCs w:val="20"/>
                <w:color w:val="auto"/>
              </w:rPr>
            </w:pPr>
            <w:r>
              <w:rPr>
                <w:rFonts w:ascii="Arial" w:cs="Arial" w:eastAsia="Arial" w:hAnsi="Arial"/>
                <w:sz w:val="18"/>
                <w:szCs w:val="18"/>
                <w:color w:val="auto"/>
              </w:rPr>
              <w:t>33,221</w:t>
            </w:r>
          </w:p>
        </w:tc>
        <w:tc>
          <w:tcPr>
            <w:tcW w:w="9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(10,399)</w:t>
            </w:r>
          </w:p>
        </w:tc>
        <w:tc>
          <w:tcPr>
            <w:tcW w:w="2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(50,764)</w:t>
            </w:r>
          </w:p>
        </w:tc>
        <w:tc>
          <w:tcPr>
            <w:tcW w:w="2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(40,365)</w:t>
            </w:r>
          </w:p>
        </w:tc>
        <w:tc>
          <w:tcPr>
            <w:tcW w:w="500" w:type="dxa"/>
            <w:vAlign w:val="bottom"/>
            <w:vMerge w:val="continue"/>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Other Income (Expense)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848</w:t>
            </w: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1,458</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21"/>
              <w:spacing w:after="0" w:line="202" w:lineRule="exact"/>
              <w:rPr>
                <w:sz w:val="20"/>
                <w:szCs w:val="20"/>
                <w:color w:val="auto"/>
              </w:rPr>
            </w:pPr>
            <w:r>
              <w:rPr>
                <w:rFonts w:ascii="Arial" w:cs="Arial" w:eastAsia="Arial" w:hAnsi="Arial"/>
                <w:sz w:val="18"/>
                <w:szCs w:val="18"/>
                <w:color w:val="auto"/>
              </w:rPr>
              <w:t>610</w:t>
            </w:r>
          </w:p>
        </w:tc>
        <w:tc>
          <w:tcPr>
            <w:tcW w:w="9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color w:val="auto"/>
              </w:rPr>
              <w:t>Net loss and comprehensive loss</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gridSpan w:val="2"/>
            <w:vMerge w:val="restart"/>
          </w:tcPr>
          <w:p>
            <w:pPr>
              <w:jc w:val="right"/>
              <w:ind w:right="44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vMerge w:val="restart"/>
          </w:tcPr>
          <w:p>
            <w:pPr>
              <w:jc w:val="right"/>
              <w:ind w:right="141"/>
              <w:spacing w:after="0"/>
              <w:rPr>
                <w:sz w:val="20"/>
                <w:szCs w:val="20"/>
                <w:color w:val="auto"/>
              </w:rPr>
            </w:pPr>
            <w:r>
              <w:rPr>
                <w:rFonts w:ascii="Arial" w:cs="Arial" w:eastAsia="Arial" w:hAnsi="Arial"/>
                <w:sz w:val="16"/>
                <w:szCs w:val="16"/>
                <w:color w:val="auto"/>
                <w:w w:val="74"/>
              </w:rPr>
              <w:t>)</w:t>
            </w:r>
          </w:p>
        </w:tc>
        <w:tc>
          <w:tcPr>
            <w:tcW w:w="2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vMerge w:val="restart"/>
          </w:tcPr>
          <w:p>
            <w:pPr>
              <w:jc w:val="right"/>
              <w:ind w:right="361"/>
              <w:spacing w:after="0"/>
              <w:rPr>
                <w:sz w:val="20"/>
                <w:szCs w:val="20"/>
                <w:color w:val="auto"/>
              </w:rPr>
            </w:pPr>
            <w:r>
              <w:rPr>
                <w:rFonts w:ascii="Arial" w:cs="Arial" w:eastAsia="Arial" w:hAnsi="Arial"/>
                <w:sz w:val="16"/>
                <w:szCs w:val="16"/>
                <w:color w:val="auto"/>
                <w:w w:val="74"/>
              </w:rPr>
              <w:t>)</w:t>
            </w: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(9,551</w:t>
            </w:r>
          </w:p>
        </w:tc>
        <w:tc>
          <w:tcPr>
            <w:tcW w:w="50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(49,306</w:t>
            </w:r>
          </w:p>
        </w:tc>
        <w:tc>
          <w:tcPr>
            <w:tcW w:w="28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(39,755</w:t>
            </w:r>
          </w:p>
        </w:tc>
        <w:tc>
          <w:tcPr>
            <w:tcW w:w="500" w:type="dxa"/>
            <w:vAlign w:val="bottom"/>
            <w:vMerge w:val="continue"/>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decreased from $14.1 million for the year ended December 31, 2018 to $7.0 million for the year ended December 31,</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2019. The decrease of $7.1 million, or 51%, was primarily due to the following:</w:t>
      </w:r>
    </w:p>
    <w:p>
      <w:pPr>
        <w:spacing w:after="0" w:line="95" w:lineRule="exact"/>
        <w:rPr>
          <w:sz w:val="20"/>
          <w:szCs w:val="20"/>
          <w:color w:val="auto"/>
        </w:rPr>
      </w:pPr>
    </w:p>
    <w:p>
      <w:pPr>
        <w:ind w:left="880" w:right="140" w:hanging="224"/>
        <w:spacing w:after="0" w:line="276" w:lineRule="auto"/>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$5.0 million decrease in revenue recognized as a result of termination of our Collaboration and License Agreement with Pfizer in 2018;</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$1.2 million decrease in revenue recognized under our Collaboration and License Agreement with Roche;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$0.5 million decrease in revenue recognized under our Collaboration and License Agreement with AstraZeneca.</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40"/>
          </w:cols>
          <w:pgMar w:left="320" w:top="455" w:right="43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breakout of research and development expenses for the periods indicated (dollars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 Change</w:t>
            </w:r>
          </w:p>
        </w:tc>
        <w:tc>
          <w:tcPr>
            <w:tcW w:w="460" w:type="dxa"/>
            <w:vAlign w:val="bottom"/>
            <w:vMerge w:val="restart"/>
          </w:tcPr>
          <w:p>
            <w:pPr>
              <w:spacing w:after="0"/>
              <w:rPr>
                <w:sz w:val="15"/>
                <w:szCs w:val="15"/>
                <w:color w:val="auto"/>
              </w:rPr>
            </w:pP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rPr>
              <w:t>% Change</w:t>
            </w:r>
          </w:p>
        </w:tc>
        <w:tc>
          <w:tcPr>
            <w:tcW w:w="2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7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8"/>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3"/>
                <w:szCs w:val="13"/>
                <w:color w:val="auto"/>
              </w:rPr>
            </w:pPr>
          </w:p>
        </w:tc>
        <w:tc>
          <w:tcPr>
            <w:tcW w:w="440" w:type="dxa"/>
            <w:vAlign w:val="bottom"/>
            <w:tcBorders>
              <w:top w:val="single" w:sz="8" w:color="auto"/>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460" w:type="dxa"/>
            <w:vAlign w:val="bottom"/>
            <w:tcBorders>
              <w:bottom w:val="single" w:sz="8" w:color="CCEEFF"/>
            </w:tcBorders>
            <w:vMerge w:val="continue"/>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CCEE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External expenses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9,740</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$21,342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$11,602</w:t>
            </w:r>
          </w:p>
        </w:tc>
        <w:tc>
          <w:tcPr>
            <w:tcW w:w="4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Payroll and personnel expenses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4,960</w:t>
            </w:r>
          </w:p>
        </w:tc>
        <w:tc>
          <w:tcPr>
            <w:tcW w:w="44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12,206</w:t>
            </w:r>
          </w:p>
        </w:tc>
        <w:tc>
          <w:tcPr>
            <w:tcW w:w="136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7,246</w:t>
            </w: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research and development expenses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3,662</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5,170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1,508</w:t>
            </w:r>
          </w:p>
        </w:tc>
        <w:tc>
          <w:tcPr>
            <w:tcW w:w="4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360"/>
              <w:spacing w:after="0"/>
              <w:rPr>
                <w:sz w:val="20"/>
                <w:szCs w:val="20"/>
                <w:color w:val="auto"/>
              </w:rPr>
            </w:pPr>
            <w:r>
              <w:rPr>
                <w:rFonts w:ascii="Arial" w:cs="Arial" w:eastAsia="Arial" w:hAnsi="Arial"/>
                <w:sz w:val="18"/>
                <w:szCs w:val="18"/>
                <w:color w:val="auto"/>
              </w:rPr>
              <w:t>Total research and development expenses</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18,362</w:t>
            </w:r>
          </w:p>
        </w:tc>
        <w:tc>
          <w:tcPr>
            <w:tcW w:w="2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38,718</w:t>
            </w:r>
          </w:p>
        </w:tc>
        <w:tc>
          <w:tcPr>
            <w:tcW w:w="22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20,356</w:t>
            </w:r>
          </w:p>
        </w:tc>
        <w:tc>
          <w:tcPr>
            <w:tcW w:w="460" w:type="dxa"/>
            <w:vAlign w:val="bottom"/>
            <w:vMerge w:val="continue"/>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200" w:firstLine="551"/>
        <w:spacing w:after="0" w:line="276" w:lineRule="auto"/>
        <w:rPr>
          <w:sz w:val="20"/>
          <w:szCs w:val="20"/>
          <w:color w:val="auto"/>
        </w:rPr>
      </w:pPr>
      <w:r>
        <w:rPr>
          <w:rFonts w:ascii="Arial" w:cs="Arial" w:eastAsia="Arial" w:hAnsi="Arial"/>
          <w:sz w:val="18"/>
          <w:szCs w:val="18"/>
          <w:color w:val="auto"/>
        </w:rPr>
        <w:t>Research and development expenses increased from $18.4 million for the year ended December 31, 2018 to $38.7 million for the year ended December 31, 2019. The increase of $20.4 million, or 111%, was due to the following:</w:t>
      </w:r>
    </w:p>
    <w:p>
      <w:pPr>
        <w:spacing w:after="0" w:line="50" w:lineRule="exact"/>
        <w:rPr>
          <w:sz w:val="20"/>
          <w:szCs w:val="20"/>
          <w:color w:val="auto"/>
        </w:rPr>
      </w:pPr>
    </w:p>
    <w:p>
      <w:pPr>
        <w:ind w:left="880" w:right="80" w:hanging="224"/>
        <w:spacing w:after="0" w:line="276"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$11.6 million increase in external costs as we continue to develop novel vectors and identify potential product candidates and progress our preclinical studies;</w:t>
      </w:r>
    </w:p>
    <w:p>
      <w:pPr>
        <w:spacing w:after="0" w:line="50" w:lineRule="exact"/>
        <w:rPr>
          <w:rFonts w:ascii="Arial" w:cs="Arial" w:eastAsia="Arial" w:hAnsi="Arial"/>
          <w:sz w:val="18"/>
          <w:szCs w:val="18"/>
          <w:color w:val="auto"/>
        </w:rPr>
      </w:pPr>
    </w:p>
    <w:p>
      <w:pPr>
        <w:ind w:left="880" w:right="160" w:hanging="224"/>
        <w:spacing w:after="0" w:line="276"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$7.2 million increase in payroll and personnel expenses due to increased headcount of research and development personnel, including a $1.6 million increase in employee stock-based compensation expense; and</w:t>
      </w:r>
    </w:p>
    <w:p>
      <w:pPr>
        <w:spacing w:after="0" w:line="50" w:lineRule="exact"/>
        <w:rPr>
          <w:rFonts w:ascii="Arial" w:cs="Arial" w:eastAsia="Arial" w:hAnsi="Arial"/>
          <w:sz w:val="18"/>
          <w:szCs w:val="18"/>
          <w:color w:val="auto"/>
        </w:rPr>
      </w:pPr>
    </w:p>
    <w:p>
      <w:pPr>
        <w:ind w:left="880" w:right="100" w:hanging="224"/>
        <w:spacing w:after="0" w:line="276"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$1.5 million increase in other research and development expenses primarily for allocated overhead, including rent, equipment, depreciation, information technology costs and utilities.</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Acquired In-Process Research and Development Expenses</w:t>
      </w:r>
    </w:p>
    <w:p>
      <w:pPr>
        <w:spacing w:after="0" w:line="102" w:lineRule="exact"/>
        <w:rPr>
          <w:sz w:val="20"/>
          <w:szCs w:val="20"/>
          <w:color w:val="auto"/>
        </w:rPr>
      </w:pPr>
    </w:p>
    <w:p>
      <w:pPr>
        <w:ind w:left="120" w:right="160" w:firstLine="551"/>
        <w:spacing w:after="0" w:line="248" w:lineRule="auto"/>
        <w:rPr>
          <w:sz w:val="20"/>
          <w:szCs w:val="20"/>
          <w:color w:val="auto"/>
        </w:rPr>
      </w:pPr>
      <w:r>
        <w:rPr>
          <w:rFonts w:ascii="Arial" w:cs="Arial" w:eastAsia="Arial" w:hAnsi="Arial"/>
          <w:sz w:val="18"/>
          <w:szCs w:val="18"/>
          <w:color w:val="auto"/>
        </w:rPr>
        <w:t>We recorded acquired in-process research and development expenses of $5.1 million in the year ended December 31, 2019. This was due to the acquisition of in-process research and development from uniQure as a result of the execution of an Amended and Restated Collaboration and License Agreement and a separate Collaboration and License Agreement. See Note 6 to our financial statements included elsewhere in this prospectus for further discussion regarding the accounting treatment of this transaction.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2" w:lineRule="exact"/>
        <w:rPr>
          <w:sz w:val="20"/>
          <w:szCs w:val="20"/>
          <w:color w:val="auto"/>
        </w:rPr>
      </w:pPr>
    </w:p>
    <w:p>
      <w:pPr>
        <w:ind w:left="120" w:right="340" w:firstLine="551"/>
        <w:spacing w:after="0" w:line="276" w:lineRule="auto"/>
        <w:rPr>
          <w:sz w:val="20"/>
          <w:szCs w:val="20"/>
          <w:color w:val="auto"/>
        </w:rPr>
      </w:pPr>
      <w:r>
        <w:rPr>
          <w:rFonts w:ascii="Arial" w:cs="Arial" w:eastAsia="Arial" w:hAnsi="Arial"/>
          <w:sz w:val="18"/>
          <w:szCs w:val="18"/>
          <w:color w:val="auto"/>
        </w:rPr>
        <w:t>General and administrative expenses increased from $ 6.2 million for the year ended December 31, 2018 to $13.9 million for the year ended December 31, 2019. The increase of $7.7 million, or 125%, was due to the following:</w:t>
      </w:r>
    </w:p>
    <w:p>
      <w:pPr>
        <w:spacing w:after="0" w:line="50" w:lineRule="exact"/>
        <w:rPr>
          <w:sz w:val="20"/>
          <w:szCs w:val="20"/>
          <w:color w:val="auto"/>
        </w:rPr>
      </w:pPr>
    </w:p>
    <w:p>
      <w:pPr>
        <w:ind w:left="880" w:right="100" w:hanging="224"/>
        <w:spacing w:after="0" w:line="276" w:lineRule="auto"/>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$2.6 million increase for personnel costs as a result of increased headcount of general and administrative personnel, including a $0.6 million increase in employee stock-based compensation expense;</w:t>
      </w:r>
    </w:p>
    <w:p>
      <w:pPr>
        <w:spacing w:after="0" w:line="50" w:lineRule="exact"/>
        <w:rPr>
          <w:rFonts w:ascii="Arial" w:cs="Arial" w:eastAsia="Arial" w:hAnsi="Arial"/>
          <w:sz w:val="18"/>
          <w:szCs w:val="18"/>
          <w:color w:val="auto"/>
        </w:rPr>
      </w:pPr>
    </w:p>
    <w:p>
      <w:pPr>
        <w:ind w:left="880" w:right="460" w:hanging="224"/>
        <w:spacing w:after="0" w:line="276" w:lineRule="auto"/>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$2.6 million increase for public offering costs incurred for the year ended December 31, 2019, which were expensed, as a result of delays in the IPO process;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$2.1 million increase for professional services, including legal, accounting and other advisory services; and</w:t>
      </w:r>
    </w:p>
    <w:p>
      <w:pPr>
        <w:spacing w:after="0" w:line="117" w:lineRule="exact"/>
        <w:rPr>
          <w:rFonts w:ascii="Arial" w:cs="Arial" w:eastAsia="Arial" w:hAnsi="Arial"/>
          <w:sz w:val="18"/>
          <w:szCs w:val="18"/>
          <w:color w:val="auto"/>
        </w:rPr>
      </w:pPr>
    </w:p>
    <w:p>
      <w:pPr>
        <w:ind w:left="5480" w:right="80" w:hanging="4824"/>
        <w:spacing w:after="0" w:line="448" w:lineRule="auto"/>
        <w:tabs>
          <w:tab w:leader="none" w:pos="878"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$0.4 million increase for allocated overhead, including rent, equipment, depreciation, information technology costs and utilities. 104</w:t>
      </w:r>
    </w:p>
    <w:p>
      <w:pPr>
        <w:sectPr>
          <w:pgSz w:w="11900" w:h="16838" w:orient="portrait"/>
          <w:cols w:equalWidth="0" w:num="1">
            <w:col w:w="11140"/>
          </w:cols>
          <w:pgMar w:left="320" w:top="455" w:right="43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Income (Expense)</w:t>
      </w:r>
    </w:p>
    <w:p>
      <w:pPr>
        <w:spacing w:after="0" w:line="102" w:lineRule="exact"/>
        <w:rPr>
          <w:sz w:val="20"/>
          <w:szCs w:val="20"/>
          <w:color w:val="auto"/>
        </w:rPr>
      </w:pPr>
    </w:p>
    <w:p>
      <w:pPr>
        <w:ind w:left="120" w:right="360" w:firstLine="551"/>
        <w:spacing w:after="0" w:line="248" w:lineRule="auto"/>
        <w:rPr>
          <w:sz w:val="20"/>
          <w:szCs w:val="20"/>
          <w:color w:val="auto"/>
        </w:rPr>
      </w:pPr>
      <w:r>
        <w:rPr>
          <w:rFonts w:ascii="Arial" w:cs="Arial" w:eastAsia="Arial" w:hAnsi="Arial"/>
          <w:sz w:val="18"/>
          <w:szCs w:val="18"/>
          <w:color w:val="auto"/>
        </w:rPr>
        <w:t>Other income (expense) increased from $0.8 million for the year ended December 31, 2018 to $1.5 million for the year ended December 31, 2019. The increase of $0.7 million, or 88%, was primarily due to increased interest income in 2019 as a result of higher average investment balances resulting from the $84.5 million net proceeds from our Series B redeemable convertible preferred stock financing in August 2018.</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04"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As of December 31, 2019 and September 30, 2020, we had cash and cash equivalents of $49.7 million and $88.8 million, respectively. We primarily generate cash and cash equivalents from the sale of our equity securities, including from the sale of our Series B and Series C redeemable convertible preferred stock, and to a lesser extent from cash received pursuant to our collaboration and license agreements.</w:t>
      </w:r>
    </w:p>
    <w:p>
      <w:pPr>
        <w:spacing w:after="0" w:line="170" w:lineRule="exact"/>
        <w:rPr>
          <w:sz w:val="20"/>
          <w:szCs w:val="20"/>
          <w:color w:val="auto"/>
        </w:rPr>
      </w:pPr>
    </w:p>
    <w:p>
      <w:pPr>
        <w:ind w:left="120" w:right="80" w:firstLine="551"/>
        <w:spacing w:after="0" w:line="276" w:lineRule="auto"/>
        <w:rPr>
          <w:sz w:val="20"/>
          <w:szCs w:val="20"/>
          <w:color w:val="auto"/>
        </w:rPr>
      </w:pPr>
      <w:r>
        <w:rPr>
          <w:rFonts w:ascii="Arial" w:cs="Arial" w:eastAsia="Arial" w:hAnsi="Arial"/>
          <w:sz w:val="18"/>
          <w:szCs w:val="18"/>
          <w:color w:val="auto"/>
        </w:rPr>
        <w:t>In August 2018, we completed the private offering of 5,154,632 shares of our Series B redeemable convertible preferred stock at a price of $17.46 per share. The net proceeds from the offering were $84.5 million.</w:t>
      </w:r>
    </w:p>
    <w:p>
      <w:pPr>
        <w:spacing w:after="0" w:line="145"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In April and June 2020, we completed the private offering of a total of 4,200,353 shares of our Series C redeemable convertible preferred stock at a price of $18.00 per share. The net proceeds from the offering were $72.5 million. This amount included a $10.0 million investment from the Cystic Fibrosis Foundation (CFF). In return for the investment, CFF received shares of Series C redeemable convertible preferred stock, and the Company entered into a funding agreement (the Funding Agreement) with CFF. Except in certain limited circumstances, the $10.0 million received from CFF will be used to advance the development program for 4D-710. Under the terms of the Funding Agreement, the $10.0 million received from CFF is not restricted as to withdrawal or usage and is not held in any escrow or restricted accounts.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experienced recurring net losses and had an accumulated deficit of $115.1 million as of September 30, 2020.</w:t>
      </w:r>
    </w:p>
    <w:p>
      <w:pPr>
        <w:spacing w:after="0" w:line="18" w:lineRule="exact"/>
        <w:rPr>
          <w:sz w:val="20"/>
          <w:szCs w:val="20"/>
          <w:color w:val="auto"/>
        </w:rPr>
      </w:pPr>
    </w:p>
    <w:p>
      <w:pPr>
        <w:ind w:left="120" w:right="280"/>
        <w:spacing w:after="0" w:line="242" w:lineRule="auto"/>
        <w:rPr>
          <w:sz w:val="20"/>
          <w:szCs w:val="20"/>
          <w:color w:val="auto"/>
        </w:rPr>
      </w:pPr>
      <w:r>
        <w:rPr>
          <w:rFonts w:ascii="Arial" w:cs="Arial" w:eastAsia="Arial" w:hAnsi="Arial"/>
          <w:sz w:val="18"/>
          <w:szCs w:val="18"/>
          <w:color w:val="auto"/>
        </w:rPr>
        <w:t>Our transition to profitability is dependent upon the successful development, approval and commercialization of our product candidates and those of our collaboration partners and achieving a level of revenue adequate to support our cost structure. We do not expect to achieve such revenue and expect to continue to incur losses for the foreseeable future.</w:t>
      </w:r>
    </w:p>
    <w:p>
      <w:pPr>
        <w:spacing w:after="0" w:line="175" w:lineRule="exact"/>
        <w:rPr>
          <w:sz w:val="20"/>
          <w:szCs w:val="20"/>
          <w:color w:val="auto"/>
        </w:rPr>
      </w:pPr>
    </w:p>
    <w:p>
      <w:pPr>
        <w:ind w:left="120" w:right="360" w:firstLine="551"/>
        <w:spacing w:after="0" w:line="245" w:lineRule="auto"/>
        <w:rPr>
          <w:sz w:val="20"/>
          <w:szCs w:val="20"/>
          <w:color w:val="auto"/>
        </w:rPr>
      </w:pPr>
      <w:r>
        <w:rPr>
          <w:rFonts w:ascii="Arial" w:cs="Arial" w:eastAsia="Arial" w:hAnsi="Arial"/>
          <w:sz w:val="18"/>
          <w:szCs w:val="18"/>
          <w:color w:val="auto"/>
        </w:rPr>
        <w:t>We expect that our research and development and general and administrative expenses will continue to increase for the foreseeable future. Additionally, we expect our capital expenditures will increase significantly in the future for costs associated with building additional manufacturing capacity. As a result, we will need significant additional capital to fund our operations, which we may obtain through one or more equity offerings, debt financings or other third-party funding, including potential strategic alliances and licensing or collaboration arrangements.</w:t>
      </w:r>
    </w:p>
    <w:p>
      <w:pPr>
        <w:spacing w:after="0" w:line="172"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Because of the numerous risks and uncertainties associated with the development and commercialization of gene therapy product candidates, we are unable to estimate the amount of increased capital we will need to raise to support our operations and the outlays and operating expenditures necessary to complete the development of our product candidates and build additional manufacturing capacity, and we may use our available capital resources sooner than we currently expect.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00"/>
          </w:cols>
          <w:pgMar w:left="320" w:top="455" w:right="47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progress of our current and future product candidates through preclinical and clinical development;</w:t>
      </w:r>
    </w:p>
    <w:p>
      <w:pPr>
        <w:spacing w:after="0" w:line="117" w:lineRule="exact"/>
        <w:rPr>
          <w:rFonts w:ascii="Arial" w:cs="Arial" w:eastAsia="Arial" w:hAnsi="Arial"/>
          <w:sz w:val="18"/>
          <w:szCs w:val="18"/>
          <w:color w:val="auto"/>
        </w:rPr>
      </w:pPr>
    </w:p>
    <w:p>
      <w:pPr>
        <w:ind w:left="880" w:right="20" w:hanging="224"/>
        <w:spacing w:after="0" w:line="276" w:lineRule="auto"/>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potential delays in our preclinical studies and clinical trials, whether current or planned, due to the COVID-19 pandemic, or other factors;</w:t>
      </w:r>
    </w:p>
    <w:p>
      <w:pPr>
        <w:spacing w:after="0" w:line="50" w:lineRule="exact"/>
        <w:rPr>
          <w:rFonts w:ascii="Arial" w:cs="Arial" w:eastAsia="Arial" w:hAnsi="Arial"/>
          <w:sz w:val="18"/>
          <w:szCs w:val="18"/>
          <w:color w:val="auto"/>
        </w:rPr>
      </w:pPr>
    </w:p>
    <w:p>
      <w:pPr>
        <w:ind w:left="880" w:right="40" w:hanging="224"/>
        <w:spacing w:after="0" w:line="276" w:lineRule="auto"/>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expanding our manufacturing facilities and working with our contract manufacturers to scale up the manufacturing processes for our product candidates;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continuing our research and discovery activities;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continuing the development of our Therapeutic Vector Evolution platform;</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initiating and conducting additional preclinical, clinical or other studies for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changing or adding additional contract manufacturers or suppliers;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seeking regulatory approvals and marketing authorizations for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establishing sales, marketing and distribution infrastructure to commercialize any products for which we obtain approval;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acquiring or in-licensing product candidates, intellectual property and technologies;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making milestone, royalty or other payments due under any current or future collaboration or license agreements;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obtaining, maintaining, expanding, protecting and enforcing our intellectual property portfolio;</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potential delays or other issues related to our operations;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meeting the requirements and demands of being a public company;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defending against any product liability claims or other lawsuits related to our products;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impact of the COVID-19 pandemic, which may exacerbate the magnitude of the factors discussed above.</w:t>
      </w:r>
    </w:p>
    <w:p>
      <w:pPr>
        <w:spacing w:after="0" w:line="212"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We believe that our existing cash and cash equivalents, together with the anticipated net proceeds from this offering, will enable us to fund our operating expenses and capital expenditure requirements at least into the fourth quarter of 2022.</w:t>
      </w:r>
    </w:p>
    <w:p>
      <w:pPr>
        <w:spacing w:after="0" w:line="145"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Without giving effect to the anticipated net proceeds from this offering, based on our current operating plan, we expect that our existing cash and cash equivalents will not be sufficient to fund our operating expenses and capital expenditure requirements for the 12 months from the reissuance date of our financial statements for the year ended December 31, 2019 and from the issuance date of the unaudited interim financial statements for the nine months ended September 30, 2020. To finance our operations beyond that point, we will need to raise additional capital, which cannot be assured. We have concluded that this circumstance raises substantial doubt about our ability to continue as a going concern for at least one year from the date our annual and unaudited interim financial statements were available for reissuance and issuance, respectively. See Note 1 to our financial statements included elsewhere in this prospectus for additional information on our assessment. Similarly, our independent registered public accounting firm included an explanatory paragraph in its report on our reissued financial statements as of and for the year ended December 31, 2019, describing the existence of substantial doubt about our ability to continue as a going concern.</w:t>
      </w:r>
    </w:p>
    <w:p>
      <w:pPr>
        <w:spacing w:after="0" w:line="180" w:lineRule="exact"/>
        <w:rPr>
          <w:sz w:val="20"/>
          <w:szCs w:val="20"/>
          <w:color w:val="auto"/>
        </w:rPr>
      </w:pPr>
    </w:p>
    <w:p>
      <w:pPr>
        <w:ind w:left="120" w:right="180" w:firstLine="551"/>
        <w:spacing w:after="0" w:line="276" w:lineRule="auto"/>
        <w:rPr>
          <w:sz w:val="20"/>
          <w:szCs w:val="20"/>
          <w:color w:val="auto"/>
        </w:rPr>
      </w:pPr>
      <w:r>
        <w:rPr>
          <w:rFonts w:ascii="Arial" w:cs="Arial" w:eastAsia="Arial" w:hAnsi="Arial"/>
          <w:sz w:val="18"/>
          <w:szCs w:val="18"/>
          <w:color w:val="auto"/>
        </w:rPr>
        <w:t>We have based our estimates as to how long we expect we will be able to fund our operations on assumptions that may prove to be wrong, and we could use our available capital resources sooner</w:t>
      </w:r>
    </w:p>
    <w:p>
      <w:pPr>
        <w:spacing w:after="0" w:line="7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60"/>
          </w:cols>
          <w:pgMar w:left="320" w:top="455" w:right="51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than we currently expect, in which case we would be required to obtain additional financing sooner than currently projected, which may not be available to us on acceptable terms, or at all. Our failure to raise capital as and when needed would have a negative impact on our financial condition and our ability to pursue our business strategy.</w:t>
      </w:r>
    </w:p>
    <w:p>
      <w:pPr>
        <w:spacing w:after="0" w:line="16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We do not have any committed external sources of funds. Accordingly, we will be required to obtain further funding through public or private equity offerings, debt financings, collaborations and licensing arrangements or other sources to complete the clinical development for the product candidates in treatment of Fabry disease, XLRP or choroideremia or any other indication we may pursue. If we raise additional funds by issuing equity securities, our stockholders may experience dilution. Any future debt financing into which we enter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 Any debt financing or additional equity that we raise may contain terms that could adversely affect our common stockholders. Further, additional funds may not be available when we need them, on terms that are acceptable to us, or at all. Our ability to raise additional capital may be adversely impacted by potential worsening global economic conditions and the recent disruptions to and volatility in the credit and financial markets in the United States and worldwide resulting from the ongoing COVID-19 pandemic.</w:t>
      </w:r>
    </w:p>
    <w:p>
      <w:pPr>
        <w:spacing w:after="0" w:line="176"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If we are unable to obtain additional funding, we expect to delay, reduce or eliminate some or all of our research and development programs, product portfolio expansion or investment in internal manufacturing capabilities, which could adversely affect our business.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Summary Statement of Cash Flows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cash flows for the periods indicated below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jc w:val="right"/>
              <w:ind w:right="761"/>
              <w:spacing w:after="0"/>
              <w:rPr>
                <w:sz w:val="20"/>
                <w:szCs w:val="20"/>
                <w:color w:val="auto"/>
              </w:rPr>
            </w:pPr>
            <w:r>
              <w:rPr>
                <w:rFonts w:ascii="Arial" w:cs="Arial" w:eastAsia="Arial" w:hAnsi="Arial"/>
                <w:sz w:val="14"/>
                <w:szCs w:val="14"/>
                <w:b w:val="1"/>
                <w:bCs w:val="1"/>
                <w:color w:val="auto"/>
              </w:rPr>
              <w:t>Year Ended</w:t>
            </w:r>
          </w:p>
        </w:tc>
        <w:tc>
          <w:tcPr>
            <w:tcW w:w="19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Nine Months Ended</w:t>
            </w:r>
          </w:p>
        </w:tc>
      </w:tr>
      <w:tr>
        <w:trPr>
          <w:trHeight w:val="177"/>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6"/>
          </w:tcPr>
          <w:p>
            <w:pPr>
              <w:jc w:val="right"/>
              <w:ind w:right="701"/>
              <w:spacing w:after="0"/>
              <w:rPr>
                <w:sz w:val="20"/>
                <w:szCs w:val="20"/>
                <w:color w:val="auto"/>
              </w:rPr>
            </w:pPr>
            <w:r>
              <w:rPr>
                <w:rFonts w:ascii="Arial" w:cs="Arial" w:eastAsia="Arial" w:hAnsi="Arial"/>
                <w:sz w:val="14"/>
                <w:szCs w:val="14"/>
                <w:b w:val="1"/>
                <w:bCs w:val="1"/>
                <w:color w:val="auto"/>
              </w:rPr>
              <w:t>December 31,</w:t>
            </w:r>
          </w:p>
        </w:tc>
        <w:tc>
          <w:tcPr>
            <w:tcW w:w="19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September 30,</w:t>
            </w:r>
          </w:p>
        </w:tc>
      </w:tr>
      <w:tr>
        <w:trPr>
          <w:trHeight w:val="155"/>
        </w:trPr>
        <w:tc>
          <w:tcPr>
            <w:tcW w:w="69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38"/>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3"/>
                <w:szCs w:val="13"/>
                <w:color w:val="auto"/>
              </w:rPr>
            </w:pPr>
          </w:p>
        </w:tc>
        <w:tc>
          <w:tcPr>
            <w:tcW w:w="720" w:type="dxa"/>
            <w:vAlign w:val="bottom"/>
            <w:tcBorders>
              <w:top w:val="single" w:sz="8" w:color="auto"/>
            </w:tcBorders>
          </w:tcPr>
          <w:p>
            <w:pPr>
              <w:jc w:val="right"/>
              <w:ind w:right="118"/>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2"/>
          </w:tcPr>
          <w:p>
            <w:pPr>
              <w:jc w:val="right"/>
              <w:ind w:right="130"/>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96"/>
        </w:trPr>
        <w:tc>
          <w:tcPr>
            <w:tcW w:w="6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(16,252)</w:t>
            </w:r>
          </w:p>
        </w:tc>
        <w:tc>
          <w:tcPr>
            <w:tcW w:w="180" w:type="dxa"/>
            <w:vAlign w:val="bottom"/>
            <w:tcBorders>
              <w:top w:val="single" w:sz="8" w:color="CCEEFF"/>
            </w:tcBorders>
            <w:gridSpan w:val="2"/>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 (36,711)</w:t>
            </w:r>
          </w:p>
        </w:tc>
        <w:tc>
          <w:tcPr>
            <w:tcW w:w="3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$(28,025)</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$(33,410)</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696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17"/>
                <w:szCs w:val="17"/>
                <w:color w:val="auto"/>
              </w:rPr>
            </w:pPr>
          </w:p>
        </w:tc>
        <w:tc>
          <w:tcPr>
            <w:tcW w:w="8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(414)</w:t>
            </w:r>
          </w:p>
        </w:tc>
        <w:tc>
          <w:tcPr>
            <w:tcW w:w="1220" w:type="dxa"/>
            <w:vAlign w:val="bottom"/>
            <w:gridSpan w:val="3"/>
          </w:tcPr>
          <w:p>
            <w:pPr>
              <w:jc w:val="right"/>
              <w:ind w:right="201"/>
              <w:spacing w:after="0" w:line="202" w:lineRule="exact"/>
              <w:rPr>
                <w:sz w:val="20"/>
                <w:szCs w:val="20"/>
                <w:color w:val="auto"/>
              </w:rPr>
            </w:pPr>
            <w:r>
              <w:rPr>
                <w:rFonts w:ascii="Arial" w:cs="Arial" w:eastAsia="Arial" w:hAnsi="Arial"/>
                <w:sz w:val="18"/>
                <w:szCs w:val="18"/>
                <w:color w:val="auto"/>
              </w:rPr>
              <w:t>(3,203)</w:t>
            </w:r>
          </w:p>
        </w:tc>
        <w:tc>
          <w:tcPr>
            <w:tcW w:w="92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(2,726)</w:t>
            </w:r>
          </w:p>
        </w:tc>
        <w:tc>
          <w:tcPr>
            <w:tcW w:w="10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(492)</w:t>
            </w:r>
          </w:p>
        </w:tc>
      </w:tr>
      <w:tr>
        <w:trPr>
          <w:trHeight w:val="203"/>
        </w:trPr>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84,577</w:t>
            </w:r>
          </w:p>
        </w:tc>
        <w:tc>
          <w:tcPr>
            <w:tcW w:w="16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201"/>
              <w:spacing w:after="0" w:line="202" w:lineRule="exact"/>
              <w:rPr>
                <w:sz w:val="20"/>
                <w:szCs w:val="20"/>
                <w:color w:val="auto"/>
              </w:rPr>
            </w:pPr>
            <w:r>
              <w:rPr>
                <w:rFonts w:ascii="Arial" w:cs="Arial" w:eastAsia="Arial" w:hAnsi="Arial"/>
                <w:sz w:val="18"/>
                <w:szCs w:val="18"/>
                <w:color w:val="auto"/>
              </w:rPr>
              <w:t>(2,195)</w:t>
            </w:r>
          </w:p>
        </w:tc>
        <w:tc>
          <w:tcPr>
            <w:tcW w:w="920" w:type="dxa"/>
            <w:vAlign w:val="bottom"/>
            <w:gridSpan w:val="2"/>
            <w:shd w:val="clear" w:color="auto" w:fill="CCEEFF"/>
          </w:tcPr>
          <w:p>
            <w:pPr>
              <w:jc w:val="right"/>
              <w:ind w:right="61"/>
              <w:spacing w:after="0" w:line="202" w:lineRule="exact"/>
              <w:rPr>
                <w:sz w:val="20"/>
                <w:szCs w:val="20"/>
                <w:color w:val="auto"/>
              </w:rPr>
            </w:pPr>
            <w:r>
              <w:rPr>
                <w:rFonts w:ascii="Arial" w:cs="Arial" w:eastAsia="Arial" w:hAnsi="Arial"/>
                <w:sz w:val="18"/>
                <w:szCs w:val="18"/>
                <w:color w:val="auto"/>
              </w:rPr>
              <w:t>(1,525)</w:t>
            </w:r>
          </w:p>
        </w:tc>
        <w:tc>
          <w:tcPr>
            <w:tcW w:w="10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73,005</w:t>
            </w:r>
          </w:p>
        </w:tc>
      </w:tr>
      <w:tr>
        <w:trPr>
          <w:trHeight w:val="210"/>
        </w:trPr>
        <w:tc>
          <w:tcPr>
            <w:tcW w:w="696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67,911</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(42,109</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(32,276</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$ 39,103</w:t>
            </w:r>
          </w:p>
        </w:tc>
        <w:tc>
          <w:tcPr>
            <w:tcW w:w="120" w:type="dxa"/>
            <w:vAlign w:val="bottom"/>
          </w:tcPr>
          <w:p>
            <w:pPr>
              <w:spacing w:after="0"/>
              <w:rPr>
                <w:sz w:val="18"/>
                <w:szCs w:val="18"/>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04" w:lineRule="exact"/>
        <w:rPr>
          <w:sz w:val="20"/>
          <w:szCs w:val="20"/>
          <w:color w:val="auto"/>
        </w:rPr>
      </w:pPr>
    </w:p>
    <w:p>
      <w:pPr>
        <w:jc w:val="both"/>
        <w:ind w:left="120" w:right="200" w:firstLine="551"/>
        <w:spacing w:after="0" w:line="255" w:lineRule="auto"/>
        <w:rPr>
          <w:sz w:val="20"/>
          <w:szCs w:val="20"/>
          <w:color w:val="auto"/>
        </w:rPr>
      </w:pPr>
      <w:r>
        <w:rPr>
          <w:rFonts w:ascii="Arial" w:cs="Arial" w:eastAsia="Arial" w:hAnsi="Arial"/>
          <w:sz w:val="18"/>
          <w:szCs w:val="18"/>
          <w:color w:val="auto"/>
        </w:rPr>
        <w:t>Net cash used in operating activities was $33.4 million for the nine months ended September 30, 2020. This was primarily due to the net loss of $36.1 million and a decrease in deferred revenue of $2.1 million, which were partially offset by stock-based compensation expense of $3.3 million and depreciation and amortization expense of $1.1 million.</w:t>
      </w:r>
    </w:p>
    <w:p>
      <w:pPr>
        <w:spacing w:after="0" w:line="164" w:lineRule="exact"/>
        <w:rPr>
          <w:sz w:val="20"/>
          <w:szCs w:val="20"/>
          <w:color w:val="auto"/>
        </w:rPr>
      </w:pPr>
    </w:p>
    <w:p>
      <w:pPr>
        <w:ind w:left="120" w:right="260" w:firstLine="551"/>
        <w:spacing w:after="0" w:line="276" w:lineRule="auto"/>
        <w:rPr>
          <w:sz w:val="20"/>
          <w:szCs w:val="20"/>
          <w:color w:val="auto"/>
        </w:rPr>
      </w:pPr>
      <w:r>
        <w:rPr>
          <w:rFonts w:ascii="Arial" w:cs="Arial" w:eastAsia="Arial" w:hAnsi="Arial"/>
          <w:sz w:val="18"/>
          <w:szCs w:val="18"/>
          <w:color w:val="auto"/>
        </w:rPr>
        <w:t>Net cash used in operating activities was $28.0 million for the nine months ended September 30, 2019. This was primarily due to the net loss of $33.2 million, which was partially offset by the acquisition of in-process research and development of $5.1 million.</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40"/>
          </w:cols>
          <w:pgMar w:left="320" w:top="455" w:right="4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40" w:firstLine="551"/>
        <w:spacing w:after="0" w:line="248" w:lineRule="auto"/>
        <w:rPr>
          <w:sz w:val="20"/>
          <w:szCs w:val="20"/>
          <w:color w:val="auto"/>
        </w:rPr>
      </w:pPr>
      <w:r>
        <w:rPr>
          <w:rFonts w:ascii="Arial" w:cs="Arial" w:eastAsia="Arial" w:hAnsi="Arial"/>
          <w:sz w:val="18"/>
          <w:szCs w:val="18"/>
          <w:color w:val="auto"/>
        </w:rPr>
        <w:t>Net cash used in operating activities was $ 36.7 million for the year ended December 31, 2019. This was primarily due to the net loss of $49.3 million, which was partially offset by the acquisition of in-process research and development of $5.1 million, stock-based compensation expense of $3.5 million, write-off of public offering costs of $2.6 million and depreciation and amortization expense of $1.0 million.</w:t>
      </w:r>
    </w:p>
    <w:p>
      <w:pPr>
        <w:spacing w:after="0" w:line="170" w:lineRule="exact"/>
        <w:rPr>
          <w:sz w:val="20"/>
          <w:szCs w:val="20"/>
          <w:color w:val="auto"/>
        </w:rPr>
      </w:pPr>
    </w:p>
    <w:p>
      <w:pPr>
        <w:ind w:left="120" w:right="160" w:firstLine="551"/>
        <w:spacing w:after="0" w:line="255" w:lineRule="auto"/>
        <w:rPr>
          <w:sz w:val="20"/>
          <w:szCs w:val="20"/>
          <w:color w:val="auto"/>
        </w:rPr>
      </w:pPr>
      <w:r>
        <w:rPr>
          <w:rFonts w:ascii="Arial" w:cs="Arial" w:eastAsia="Arial" w:hAnsi="Arial"/>
          <w:sz w:val="18"/>
          <w:szCs w:val="18"/>
          <w:color w:val="auto"/>
        </w:rPr>
        <w:t>Net cash used in operating activities was $16.3 million for the year ended December 31, 2018. This was primarily due to the net loss of $9.6 million and a decrease in deferred revenue of $8.6 million, which were partially offset by stock-based compensation expense of $1.4 million and depreciation and amortization expense of $0.7 million.</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04" w:lineRule="exact"/>
        <w:rPr>
          <w:sz w:val="20"/>
          <w:szCs w:val="20"/>
          <w:color w:val="auto"/>
        </w:rPr>
      </w:pPr>
    </w:p>
    <w:p>
      <w:pPr>
        <w:ind w:left="120" w:right="480" w:firstLine="551"/>
        <w:spacing w:after="0" w:line="276" w:lineRule="auto"/>
        <w:rPr>
          <w:sz w:val="20"/>
          <w:szCs w:val="20"/>
          <w:color w:val="auto"/>
        </w:rPr>
      </w:pPr>
      <w:r>
        <w:rPr>
          <w:rFonts w:ascii="Arial" w:cs="Arial" w:eastAsia="Arial" w:hAnsi="Arial"/>
          <w:sz w:val="18"/>
          <w:szCs w:val="18"/>
          <w:color w:val="auto"/>
        </w:rPr>
        <w:t>Net cash used in investing activities was $0.5 million for the nine months ended September 30, 2020, all of which was used to purchase property and equipment.</w:t>
      </w:r>
    </w:p>
    <w:p>
      <w:pPr>
        <w:spacing w:after="0" w:line="145" w:lineRule="exact"/>
        <w:rPr>
          <w:sz w:val="20"/>
          <w:szCs w:val="20"/>
          <w:color w:val="auto"/>
        </w:rPr>
      </w:pPr>
    </w:p>
    <w:p>
      <w:pPr>
        <w:ind w:left="120" w:right="480" w:firstLine="551"/>
        <w:spacing w:after="0" w:line="276" w:lineRule="auto"/>
        <w:rPr>
          <w:sz w:val="20"/>
          <w:szCs w:val="20"/>
          <w:color w:val="auto"/>
        </w:rPr>
      </w:pPr>
      <w:r>
        <w:rPr>
          <w:rFonts w:ascii="Arial" w:cs="Arial" w:eastAsia="Arial" w:hAnsi="Arial"/>
          <w:sz w:val="18"/>
          <w:szCs w:val="18"/>
          <w:color w:val="auto"/>
        </w:rPr>
        <w:t>Net cash used in investing activities was $2.7 million for the nine months ended September 30, 2019, all of which was used to purchase property and equipment.</w:t>
      </w:r>
    </w:p>
    <w:p>
      <w:pPr>
        <w:spacing w:after="0" w:line="145" w:lineRule="exact"/>
        <w:rPr>
          <w:sz w:val="20"/>
          <w:szCs w:val="20"/>
          <w:color w:val="auto"/>
        </w:rPr>
      </w:pPr>
    </w:p>
    <w:p>
      <w:pPr>
        <w:ind w:left="120" w:right="380" w:firstLine="551"/>
        <w:spacing w:after="0" w:line="276" w:lineRule="auto"/>
        <w:rPr>
          <w:sz w:val="20"/>
          <w:szCs w:val="20"/>
          <w:color w:val="auto"/>
        </w:rPr>
      </w:pPr>
      <w:r>
        <w:rPr>
          <w:rFonts w:ascii="Arial" w:cs="Arial" w:eastAsia="Arial" w:hAnsi="Arial"/>
          <w:sz w:val="18"/>
          <w:szCs w:val="18"/>
          <w:color w:val="auto"/>
        </w:rPr>
        <w:t>Net cash used in investing activities was $3.2 million for the year ended December 31, 2019, all of which was used to purchase property and equipment.</w:t>
      </w:r>
    </w:p>
    <w:p>
      <w:pPr>
        <w:spacing w:after="0" w:line="145" w:lineRule="exact"/>
        <w:rPr>
          <w:sz w:val="20"/>
          <w:szCs w:val="20"/>
          <w:color w:val="auto"/>
        </w:rPr>
      </w:pPr>
    </w:p>
    <w:p>
      <w:pPr>
        <w:ind w:left="120" w:right="380" w:firstLine="551"/>
        <w:spacing w:after="0" w:line="276" w:lineRule="auto"/>
        <w:rPr>
          <w:sz w:val="20"/>
          <w:szCs w:val="20"/>
          <w:color w:val="auto"/>
        </w:rPr>
      </w:pPr>
      <w:r>
        <w:rPr>
          <w:rFonts w:ascii="Arial" w:cs="Arial" w:eastAsia="Arial" w:hAnsi="Arial"/>
          <w:sz w:val="18"/>
          <w:szCs w:val="18"/>
          <w:color w:val="auto"/>
        </w:rPr>
        <w:t>Net cash used in investing activities was $0.4 million for the year ended December 31, 2018, all of which was used to purchase property and equipment.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p>
      <w:pPr>
        <w:spacing w:after="0" w:line="104" w:lineRule="exact"/>
        <w:rPr>
          <w:sz w:val="20"/>
          <w:szCs w:val="20"/>
          <w:color w:val="auto"/>
        </w:rPr>
      </w:pPr>
    </w:p>
    <w:p>
      <w:pPr>
        <w:jc w:val="both"/>
        <w:ind w:left="120" w:right="20" w:firstLine="551"/>
        <w:spacing w:after="0" w:line="306" w:lineRule="auto"/>
        <w:rPr>
          <w:sz w:val="20"/>
          <w:szCs w:val="20"/>
          <w:color w:val="auto"/>
        </w:rPr>
      </w:pPr>
      <w:r>
        <w:rPr>
          <w:rFonts w:ascii="Arial" w:cs="Arial" w:eastAsia="Arial" w:hAnsi="Arial"/>
          <w:sz w:val="17"/>
          <w:szCs w:val="17"/>
          <w:color w:val="auto"/>
        </w:rPr>
        <w:t>Net cash provided by financing activities was $73.0 million for the nine months ended September 30, 2020, which was primarily due to $72.5 million of net proceeds received from the issuance of our Series C redeemable convertible preferred stock in April and June 2020.</w:t>
      </w:r>
    </w:p>
    <w:p>
      <w:pPr>
        <w:spacing w:after="0" w:line="123" w:lineRule="exact"/>
        <w:rPr>
          <w:sz w:val="20"/>
          <w:szCs w:val="20"/>
          <w:color w:val="auto"/>
        </w:rPr>
      </w:pPr>
    </w:p>
    <w:p>
      <w:pPr>
        <w:ind w:left="120" w:right="560" w:firstLine="551"/>
        <w:spacing w:after="0" w:line="276" w:lineRule="auto"/>
        <w:rPr>
          <w:sz w:val="20"/>
          <w:szCs w:val="20"/>
          <w:color w:val="auto"/>
        </w:rPr>
      </w:pPr>
      <w:r>
        <w:rPr>
          <w:rFonts w:ascii="Arial" w:cs="Arial" w:eastAsia="Arial" w:hAnsi="Arial"/>
          <w:sz w:val="18"/>
          <w:szCs w:val="18"/>
          <w:color w:val="auto"/>
        </w:rPr>
        <w:t>Net cash used in financing activities was $1.5 million for the nine months ended September 30, 2019, which was primarily for payments of public offering costs of $1.5 million.</w:t>
      </w:r>
    </w:p>
    <w:p>
      <w:pPr>
        <w:spacing w:after="0" w:line="145" w:lineRule="exact"/>
        <w:rPr>
          <w:sz w:val="20"/>
          <w:szCs w:val="20"/>
          <w:color w:val="auto"/>
        </w:rPr>
      </w:pPr>
    </w:p>
    <w:p>
      <w:pPr>
        <w:ind w:left="120" w:right="200" w:firstLine="551"/>
        <w:spacing w:after="0" w:line="276" w:lineRule="auto"/>
        <w:rPr>
          <w:sz w:val="20"/>
          <w:szCs w:val="20"/>
          <w:color w:val="auto"/>
        </w:rPr>
      </w:pPr>
      <w:r>
        <w:rPr>
          <w:rFonts w:ascii="Arial" w:cs="Arial" w:eastAsia="Arial" w:hAnsi="Arial"/>
          <w:sz w:val="18"/>
          <w:szCs w:val="18"/>
          <w:color w:val="auto"/>
        </w:rPr>
        <w:t>Net cash used in financing activities was $2.2 million for the year ended December 31, 2019, which was primarily for payments of public offering costs of $2.3 million.</w:t>
      </w:r>
    </w:p>
    <w:p>
      <w:pPr>
        <w:spacing w:after="0" w:line="145" w:lineRule="exact"/>
        <w:rPr>
          <w:sz w:val="20"/>
          <w:szCs w:val="20"/>
          <w:color w:val="auto"/>
        </w:rPr>
      </w:pPr>
    </w:p>
    <w:p>
      <w:pPr>
        <w:ind w:left="120" w:right="500" w:firstLine="551"/>
        <w:spacing w:after="0" w:line="276" w:lineRule="auto"/>
        <w:rPr>
          <w:sz w:val="20"/>
          <w:szCs w:val="20"/>
          <w:color w:val="auto"/>
        </w:rPr>
      </w:pPr>
      <w:r>
        <w:rPr>
          <w:rFonts w:ascii="Arial" w:cs="Arial" w:eastAsia="Arial" w:hAnsi="Arial"/>
          <w:sz w:val="18"/>
          <w:szCs w:val="18"/>
          <w:color w:val="auto"/>
        </w:rPr>
        <w:t>Net cash provided by financing activities was $84.6 million for the year ended December 31, 2018, which was primarily due to $84.5 million of net proceeds received from the issuance of our Series B redeemable convertible preferred stock in August 2018.</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06" w:lineRule="exact"/>
        <w:rPr>
          <w:sz w:val="20"/>
          <w:szCs w:val="20"/>
          <w:color w:val="auto"/>
        </w:rPr>
      </w:pPr>
    </w:p>
    <w:p>
      <w:pPr>
        <w:ind w:left="120" w:right="180" w:firstLine="551"/>
        <w:spacing w:after="0" w:line="243" w:lineRule="auto"/>
        <w:rPr>
          <w:sz w:val="20"/>
          <w:szCs w:val="20"/>
          <w:color w:val="auto"/>
        </w:rPr>
      </w:pPr>
      <w:r>
        <w:rPr>
          <w:rFonts w:ascii="Arial" w:cs="Arial" w:eastAsia="Arial" w:hAnsi="Arial"/>
          <w:sz w:val="18"/>
          <w:szCs w:val="18"/>
          <w:color w:val="auto"/>
        </w:rPr>
        <w:t>Our commitments include obligations under vendor contracts to provide research services and other purchase commitments with our vendors. In the normal course of business, we enter into services agreements with contract research organizations, contract manufacturing organizations and other third parties.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the services to be provided. These amounts are not fixed and determinable and therefore are not included in the table below.</w:t>
      </w:r>
    </w:p>
    <w:p>
      <w:pPr>
        <w:spacing w:after="0" w:line="174" w:lineRule="exact"/>
        <w:rPr>
          <w:sz w:val="20"/>
          <w:szCs w:val="20"/>
          <w:color w:val="auto"/>
        </w:rPr>
      </w:pPr>
    </w:p>
    <w:p>
      <w:pPr>
        <w:ind w:left="120" w:right="820" w:firstLine="551"/>
        <w:spacing w:after="0" w:line="276" w:lineRule="auto"/>
        <w:rPr>
          <w:sz w:val="20"/>
          <w:szCs w:val="20"/>
          <w:color w:val="auto"/>
        </w:rPr>
      </w:pPr>
      <w:r>
        <w:rPr>
          <w:rFonts w:ascii="Arial" w:cs="Arial" w:eastAsia="Arial" w:hAnsi="Arial"/>
          <w:sz w:val="18"/>
          <w:szCs w:val="18"/>
          <w:color w:val="auto"/>
        </w:rPr>
        <w:t>The following table summarizes our contractual obligations, commitments and contingencies as of December 31, 2019 (in thousands):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39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rPr>
              <w:t>Payments Due by Period</w:t>
            </w:r>
          </w:p>
        </w:tc>
        <w:tc>
          <w:tcPr>
            <w:tcW w:w="7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3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Less Than</w:t>
            </w: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More Than</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9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1-3 Years</w:t>
            </w: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3-5 Years</w:t>
            </w: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96"/>
        </w:trPr>
        <w:tc>
          <w:tcPr>
            <w:tcW w:w="3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lease payments</w:t>
            </w:r>
          </w:p>
        </w:tc>
        <w:tc>
          <w:tcPr>
            <w:tcW w:w="17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29,896</w:t>
            </w: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2,759</w:t>
            </w:r>
          </w:p>
        </w:tc>
        <w:tc>
          <w:tcPr>
            <w:tcW w:w="4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$ 5,866</w:t>
            </w:r>
          </w:p>
        </w:tc>
        <w:tc>
          <w:tcPr>
            <w:tcW w:w="4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$ 6,207</w:t>
            </w:r>
          </w:p>
        </w:tc>
        <w:tc>
          <w:tcPr>
            <w:tcW w:w="4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$ 15,064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60" w:type="dxa"/>
            <w:vAlign w:val="bottom"/>
          </w:tcPr>
          <w:p>
            <w:pPr>
              <w:ind w:left="360"/>
              <w:spacing w:after="0"/>
              <w:rPr>
                <w:sz w:val="20"/>
                <w:szCs w:val="20"/>
                <w:color w:val="auto"/>
              </w:rPr>
            </w:pPr>
            <w:r>
              <w:rPr>
                <w:rFonts w:ascii="Arial" w:cs="Arial" w:eastAsia="Arial" w:hAnsi="Arial"/>
                <w:sz w:val="18"/>
                <w:szCs w:val="18"/>
                <w:color w:val="auto"/>
              </w:rPr>
              <w:t>Total contractual obligations</w:t>
            </w:r>
          </w:p>
        </w:tc>
        <w:tc>
          <w:tcPr>
            <w:tcW w:w="1780" w:type="dxa"/>
            <w:vAlign w:val="bottom"/>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29,896</w:t>
            </w:r>
          </w:p>
        </w:tc>
        <w:tc>
          <w:tcPr>
            <w:tcW w:w="4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w:t>
            </w:r>
          </w:p>
        </w:tc>
        <w:tc>
          <w:tcPr>
            <w:tcW w:w="460" w:type="dxa"/>
            <w:vAlign w:val="bottom"/>
          </w:tcPr>
          <w:p>
            <w:pPr>
              <w:spacing w:after="0"/>
              <w:rPr>
                <w:sz w:val="18"/>
                <w:szCs w:val="18"/>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$ 5,866</w:t>
            </w:r>
          </w:p>
        </w:tc>
        <w:tc>
          <w:tcPr>
            <w:tcW w:w="4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$ 6,207</w:t>
            </w:r>
          </w:p>
        </w:tc>
        <w:tc>
          <w:tcPr>
            <w:tcW w:w="460" w:type="dxa"/>
            <w:vAlign w:val="bottom"/>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$ 15,064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108</w:t>
            </w: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396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20" w:firstLine="551"/>
        <w:spacing w:after="0" w:line="255" w:lineRule="auto"/>
        <w:rPr>
          <w:sz w:val="20"/>
          <w:szCs w:val="20"/>
          <w:color w:val="auto"/>
        </w:rPr>
      </w:pPr>
      <w:r>
        <w:rPr>
          <w:rFonts w:ascii="Arial" w:cs="Arial" w:eastAsia="Arial" w:hAnsi="Arial"/>
          <w:sz w:val="18"/>
          <w:szCs w:val="18"/>
          <w:color w:val="auto"/>
        </w:rPr>
        <w:t>In October 2018, we entered into a long-term lease for additional office and laboratory space in Emeryville, California, at a cost of $9.3 million over an 87-month term (the Second Lease). We concurrently amended our existing lease to extend the lease term to end at the same time as the Second Lease, which has a remaining cost of $4.2 million.</w:t>
      </w:r>
    </w:p>
    <w:p>
      <w:pPr>
        <w:spacing w:after="0" w:line="164"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In May 2019, we amended the Second Lease (the Second Lease Amendment) to add 17,497 square feet to the space being leased pursuant to the Second Lease. The Second Lease Amendment extended the term of the Second Lease to December 31, 2029.</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06"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This Management’s Discussion and Analysis of Financial Condition and Results of Operations is based on our financial statements, which we have prepared in accordance with accounting principles generally accepted in the United States. The preparation of our financial statements requires us to make estimates and assumptions that affect the reported amounts of assets and liabilities and the disclosure of contingent assets and liabilities at the date of our financial statements, as well as the reported revenue and expenses during the reported periods. We evaluate these estimates and assumptions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0" w:lineRule="exact"/>
        <w:rPr>
          <w:sz w:val="20"/>
          <w:szCs w:val="20"/>
          <w:color w:val="auto"/>
        </w:rPr>
      </w:pPr>
    </w:p>
    <w:p>
      <w:pPr>
        <w:ind w:left="120" w:right="120" w:firstLine="551"/>
        <w:spacing w:after="0" w:line="248" w:lineRule="auto"/>
        <w:rPr>
          <w:sz w:val="20"/>
          <w:szCs w:val="20"/>
          <w:color w:val="auto"/>
        </w:rPr>
      </w:pPr>
      <w:r>
        <w:rPr>
          <w:rFonts w:ascii="Arial" w:cs="Arial" w:eastAsia="Arial" w:hAnsi="Arial"/>
          <w:sz w:val="18"/>
          <w:szCs w:val="18"/>
          <w:color w:val="auto"/>
        </w:rPr>
        <w:t>Our significant accounting policies and recently announced accounting pronouncements, including the expected impact of such pronouncements, are described in Note 2 to our financial statements included elsewhere in this prospectus. We believe the following accounting policies are critical to the process of making significant judgments and estimates in the preparation of our financial statements and understanding and evaluating our reported financial results.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4" w:lineRule="exact"/>
        <w:rPr>
          <w:sz w:val="20"/>
          <w:szCs w:val="20"/>
          <w:color w:val="auto"/>
        </w:rPr>
      </w:pPr>
    </w:p>
    <w:p>
      <w:pPr>
        <w:ind w:left="120" w:right="240" w:firstLine="551"/>
        <w:spacing w:after="0" w:line="276" w:lineRule="auto"/>
        <w:rPr>
          <w:sz w:val="20"/>
          <w:szCs w:val="20"/>
          <w:color w:val="auto"/>
        </w:rPr>
      </w:pPr>
      <w:r>
        <w:rPr>
          <w:rFonts w:ascii="Arial" w:cs="Arial" w:eastAsia="Arial" w:hAnsi="Arial"/>
          <w:sz w:val="18"/>
          <w:szCs w:val="18"/>
          <w:color w:val="auto"/>
        </w:rPr>
        <w:t>Effective January 1, 2019, we adopted ASC 606, using the modified retrospective transition method. As a result, we changed our accounting policies for revenue recognition as detailed below.</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determine revenue recognition for arrangements within the scope of ASC 606 by performing the following five steps:</w:t>
      </w:r>
    </w:p>
    <w:p>
      <w:pPr>
        <w:spacing w:after="0" w:line="18" w:lineRule="exact"/>
        <w:rPr>
          <w:sz w:val="20"/>
          <w:szCs w:val="20"/>
          <w:color w:val="auto"/>
        </w:rPr>
      </w:pPr>
    </w:p>
    <w:p>
      <w:pPr>
        <w:ind w:left="120" w:right="20" w:hanging="4"/>
        <w:spacing w:after="0"/>
        <w:tabs>
          <w:tab w:leader="none" w:pos="33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based on estimated selling prices; and (v) recognition of revenue when (or as) we satisfy each performance obligation.</w:t>
      </w:r>
    </w:p>
    <w:p>
      <w:pPr>
        <w:spacing w:after="0" w:line="176"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Our revenue is primarily derived through our license, research, development and commercialization agreements. The terms of these types of agreements may include (i) licenses to our technology, (ii) research and development services, and (iii) services or obligations in connection with participation in research or steering committees. Payments to us under these arrangements typically include one or more of the following: nonrefundable upfront and license fees, research funding, milestone and other contingent payments to us for the achievement of defined collaboration objectives and certain preclinical, clinical, regulatory and sales-based events, as well as royalties on sales of any commercialized products. Arrangements that include upfront payments are recorded as deferred revenue upon receipt or when due and may require deferral of revenue recognition to a future period until performance obligations are met. The event-based milestone payments, royalties and cost</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40"/>
          </w:cols>
          <w:pgMar w:left="320" w:top="455" w:right="4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reimbursements represent variable consideration, and we use the most likely amount method to estimate this variable consideration. Royalty payments are recognized when earned or as the sales occur. We record cost reimbursements as accounts receivable when right to consideration is unconditional.</w:t>
      </w:r>
    </w:p>
    <w:p>
      <w:pPr>
        <w:spacing w:after="0" w:line="164"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the unit of account in ASC 606. We allocate the total transaction price to each performance obligation based on the estimated selling price and recognize revenue when, or as, the performance obligation is satisfied. We include the unconstrained amount of estimated variable consideration in the transaction price. At the end of each reporting period, we re-evaluate the estimated variable consideration included in the transaction price and any related constraint, and if necessary, adjust our estimate of the overall transaction price.</w:t>
      </w:r>
    </w:p>
    <w:p>
      <w:pPr>
        <w:spacing w:after="0" w:line="172" w:lineRule="exact"/>
        <w:rPr>
          <w:sz w:val="20"/>
          <w:szCs w:val="20"/>
          <w:color w:val="auto"/>
        </w:rPr>
      </w:pPr>
    </w:p>
    <w:p>
      <w:pPr>
        <w:jc w:val="both"/>
        <w:ind w:left="120" w:firstLine="551"/>
        <w:spacing w:after="0" w:line="255" w:lineRule="auto"/>
        <w:rPr>
          <w:sz w:val="20"/>
          <w:szCs w:val="20"/>
          <w:color w:val="auto"/>
        </w:rPr>
      </w:pPr>
      <w:r>
        <w:rPr>
          <w:rFonts w:ascii="Arial" w:cs="Arial" w:eastAsia="Arial" w:hAnsi="Arial"/>
          <w:sz w:val="18"/>
          <w:szCs w:val="18"/>
          <w:color w:val="auto"/>
        </w:rPr>
        <w:t>Prior to the adoption of ASC 606 on January 1, 2019, we recognized revenue when all of the following criteria were met: persuasive evidence of an arrangement exists; transfer of technology has been completed or services have been rendered; the price to the customer is fixed or determinable and collectability is reasonably assured.</w:t>
      </w:r>
    </w:p>
    <w:p>
      <w:pPr>
        <w:spacing w:after="0" w:line="164" w:lineRule="exact"/>
        <w:rPr>
          <w:sz w:val="20"/>
          <w:szCs w:val="20"/>
          <w:color w:val="auto"/>
        </w:rPr>
      </w:pPr>
    </w:p>
    <w:p>
      <w:pPr>
        <w:ind w:left="120" w:right="120" w:firstLine="551"/>
        <w:spacing w:after="0" w:line="248" w:lineRule="auto"/>
        <w:rPr>
          <w:sz w:val="20"/>
          <w:szCs w:val="20"/>
          <w:color w:val="auto"/>
        </w:rPr>
      </w:pPr>
      <w:r>
        <w:rPr>
          <w:rFonts w:ascii="Arial" w:cs="Arial" w:eastAsia="Arial" w:hAnsi="Arial"/>
          <w:sz w:val="18"/>
          <w:szCs w:val="18"/>
          <w:color w:val="auto"/>
        </w:rPr>
        <w:t>In arrangements involving the delivery of more than one element, each required deliverable was evaluated to determine whether it qualified as a separate unit of accounting. The determination was based on whether the deliverable had “standalone value” to the customer. If a deliverable did not qualify as a separate unit of accounting, it was combined with the other applicable undelivered item(s) within the arrangement and these combined deliverables were treated as a single unit of accounting.</w:t>
      </w:r>
    </w:p>
    <w:p>
      <w:pPr>
        <w:spacing w:after="0" w:line="170"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The arrangement’s consideration that was fixed or determinable was allocated to each separate unit of accounting based on the relative selling price methodology in accordance with the selling price hierarchy, which included vendor-specific objective evidence (VSOE) of selling price, if available, or third-party evidence of selling price if VSOE was not available, or the best estimate of selling price, if neither VSOE nor third-party evidence was available.</w:t>
      </w:r>
    </w:p>
    <w:p>
      <w:pPr>
        <w:spacing w:after="0" w:line="170" w:lineRule="exact"/>
        <w:rPr>
          <w:sz w:val="20"/>
          <w:szCs w:val="20"/>
          <w:color w:val="auto"/>
        </w:rPr>
      </w:pPr>
    </w:p>
    <w:p>
      <w:pPr>
        <w:ind w:left="120" w:right="200" w:firstLine="551"/>
        <w:spacing w:after="0" w:line="248" w:lineRule="auto"/>
        <w:rPr>
          <w:sz w:val="20"/>
          <w:szCs w:val="20"/>
          <w:color w:val="auto"/>
        </w:rPr>
      </w:pPr>
      <w:r>
        <w:rPr>
          <w:rFonts w:ascii="Arial" w:cs="Arial" w:eastAsia="Arial" w:hAnsi="Arial"/>
          <w:sz w:val="18"/>
          <w:szCs w:val="18"/>
          <w:color w:val="auto"/>
        </w:rPr>
        <w:t>Payments or reimbursements for our research and development efforts for the arrangements where such efforts were considered as deliverables were recognized as the services were performed and were presented on a gross basis. When upfront payments were received and if there was no discernible pattern of performance, we recognized revenue ratably over the associated period of performance.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04"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We estimate our accrued research and development expenses as of each balance sheet date. This process involves reviewing contracts and purchase orders with service providers, identifying services that have been performed on our behalf and estimating the level of service performed, the expected remaining period of performance and the associated expenses incurred for the service when we have not yet been invoiced or otherwise notified of actual cost. Depending on the timing of payments to the service providers and the estimated expenses incurred, we may record net prepaid or accrued research and development expenses relating to these costs.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Examples of estimated accrued research and development expenses include fees paid to:</w:t>
      </w:r>
    </w:p>
    <w:p>
      <w:pPr>
        <w:spacing w:after="0" w:line="117" w:lineRule="exact"/>
        <w:rPr>
          <w:sz w:val="20"/>
          <w:szCs w:val="20"/>
          <w:color w:val="auto"/>
        </w:rPr>
      </w:pPr>
    </w:p>
    <w:p>
      <w:pPr>
        <w:ind w:left="880" w:hanging="224"/>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CROs in connection with preclinical development and clinical studies; and</w:t>
      </w:r>
    </w:p>
    <w:p>
      <w:pPr>
        <w:spacing w:after="0" w:line="117" w:lineRule="exact"/>
        <w:rPr>
          <w:rFonts w:ascii="Arial" w:cs="Arial" w:eastAsia="Arial" w:hAnsi="Arial"/>
          <w:sz w:val="18"/>
          <w:szCs w:val="18"/>
          <w:color w:val="auto"/>
        </w:rPr>
      </w:pPr>
    </w:p>
    <w:p>
      <w:pPr>
        <w:ind w:left="880" w:right="80" w:hanging="224"/>
        <w:spacing w:after="0" w:line="276" w:lineRule="auto"/>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CMOs and other vendors related to process development and manufacturing of materials for use in preclinical development and clinical studies.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Our understanding of the status and timing of services performed relative to the actual status and timing may vary and may result in us reporting changes in estimates in any particular period. To date, there have been no material differences from our estimates to the amounts actually incurred.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left="120" w:right="140" w:firstLine="551"/>
        <w:spacing w:after="0" w:line="255" w:lineRule="auto"/>
        <w:rPr>
          <w:sz w:val="20"/>
          <w:szCs w:val="20"/>
          <w:color w:val="auto"/>
        </w:rPr>
      </w:pPr>
      <w:r>
        <w:rPr>
          <w:rFonts w:ascii="Arial" w:cs="Arial" w:eastAsia="Arial" w:hAnsi="Arial"/>
          <w:sz w:val="18"/>
          <w:szCs w:val="18"/>
          <w:color w:val="auto"/>
        </w:rPr>
        <w:t>We use a fair value-based method to account for all stock-based compensation arrangements with employees and nonemployees including stock options and stock awards. Our determination of the fair value of stock options on the date of grant utilizes the Black-Scholes option pricing model.</w:t>
      </w:r>
    </w:p>
    <w:p>
      <w:pPr>
        <w:spacing w:after="0" w:line="164" w:lineRule="exact"/>
        <w:rPr>
          <w:sz w:val="20"/>
          <w:szCs w:val="20"/>
          <w:color w:val="auto"/>
        </w:rPr>
      </w:pPr>
    </w:p>
    <w:p>
      <w:pPr>
        <w:ind w:left="120" w:right="280" w:firstLine="551"/>
        <w:spacing w:after="0" w:line="245" w:lineRule="auto"/>
        <w:rPr>
          <w:sz w:val="20"/>
          <w:szCs w:val="20"/>
          <w:color w:val="auto"/>
        </w:rPr>
      </w:pPr>
      <w:r>
        <w:rPr>
          <w:rFonts w:ascii="Arial" w:cs="Arial" w:eastAsia="Arial" w:hAnsi="Arial"/>
          <w:sz w:val="18"/>
          <w:szCs w:val="18"/>
          <w:color w:val="auto"/>
        </w:rPr>
        <w:t>The fair value of the option granted is recognized on a straight-line basis over the period during which an optionee is required to provide services in exchange for the option award, known as the requisite service period, which usually is the vesting period. Prior to January 1, 2020, the stock-based compensation expense for nonemployees was subject to remeasurement until the related vesting conditions were met. Effective January 1, 2020, the measurement date for nonemployee awards is the date of grant without changes in the fair value of the award. We account for forfeitures as they occur for both employees and nonemployees.</w:t>
      </w:r>
    </w:p>
    <w:p>
      <w:pPr>
        <w:spacing w:after="0" w:line="172" w:lineRule="exact"/>
        <w:rPr>
          <w:sz w:val="20"/>
          <w:szCs w:val="20"/>
          <w:color w:val="auto"/>
        </w:rPr>
      </w:pPr>
    </w:p>
    <w:p>
      <w:pPr>
        <w:ind w:left="120" w:right="260" w:firstLine="551"/>
        <w:spacing w:after="0" w:line="276" w:lineRule="auto"/>
        <w:rPr>
          <w:sz w:val="20"/>
          <w:szCs w:val="20"/>
          <w:color w:val="auto"/>
        </w:rPr>
      </w:pPr>
      <w:r>
        <w:rPr>
          <w:rFonts w:ascii="Arial" w:cs="Arial" w:eastAsia="Arial" w:hAnsi="Arial"/>
          <w:sz w:val="18"/>
          <w:szCs w:val="18"/>
          <w:color w:val="auto"/>
        </w:rPr>
        <w:t>Estimates of the fair value of equity awards as of the grant date using valuation models such as the Black-Scholes option pricing model are affected by assumptions with a number of complex variables.</w:t>
      </w:r>
    </w:p>
    <w:p>
      <w:pPr>
        <w:spacing w:after="0" w:line="145" w:lineRule="exact"/>
        <w:rPr>
          <w:sz w:val="20"/>
          <w:szCs w:val="20"/>
          <w:color w:val="auto"/>
        </w:rPr>
      </w:pPr>
    </w:p>
    <w:p>
      <w:pPr>
        <w:ind w:left="120" w:right="440" w:firstLine="551"/>
        <w:spacing w:after="0" w:line="248" w:lineRule="auto"/>
        <w:rPr>
          <w:sz w:val="20"/>
          <w:szCs w:val="20"/>
          <w:color w:val="auto"/>
        </w:rPr>
      </w:pPr>
      <w:r>
        <w:rPr>
          <w:rFonts w:ascii="Arial" w:cs="Arial" w:eastAsia="Arial" w:hAnsi="Arial"/>
          <w:sz w:val="18"/>
          <w:szCs w:val="18"/>
          <w:color w:val="auto"/>
        </w:rPr>
        <w:t>Changes in the following assumptions can materially affect the estimate of fair value and ultimately how much stock-based compensation expense is recognized; and the resulting change in fair value, if any, is recognized in our statement of operations and comprehensive loss during the period the related services are rendered. These inputs are subjective and generally require significant analysis and judgment to develop:</w:t>
      </w:r>
    </w:p>
    <w:p>
      <w:pPr>
        <w:spacing w:after="0" w:line="76" w:lineRule="exact"/>
        <w:rPr>
          <w:sz w:val="20"/>
          <w:szCs w:val="20"/>
          <w:color w:val="auto"/>
        </w:rPr>
      </w:pPr>
    </w:p>
    <w:p>
      <w:pPr>
        <w:jc w:val="both"/>
        <w:ind w:left="880" w:right="100" w:hanging="224"/>
        <w:spacing w:after="0" w:line="277" w:lineRule="auto"/>
        <w:tabs>
          <w:tab w:leader="none" w:pos="880" w:val="left"/>
        </w:tabs>
        <w:numPr>
          <w:ilvl w:val="0"/>
          <w:numId w:val="83"/>
        </w:numPr>
        <w:rPr>
          <w:rFonts w:ascii="Arial" w:cs="Arial" w:eastAsia="Arial" w:hAnsi="Arial"/>
          <w:sz w:val="17"/>
          <w:szCs w:val="17"/>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—The expected term for employee options is calculated using the simplified method as we do not have sufficient</w:t>
      </w:r>
      <w:r>
        <w:rPr>
          <w:rFonts w:ascii="Arial" w:cs="Arial" w:eastAsia="Arial" w:hAnsi="Arial"/>
          <w:sz w:val="17"/>
          <w:szCs w:val="17"/>
          <w:i w:val="1"/>
          <w:iCs w:val="1"/>
          <w:color w:val="auto"/>
        </w:rPr>
        <w:t xml:space="preserve"> </w:t>
      </w:r>
      <w:r>
        <w:rPr>
          <w:rFonts w:ascii="Arial" w:cs="Arial" w:eastAsia="Arial" w:hAnsi="Arial"/>
          <w:sz w:val="17"/>
          <w:szCs w:val="17"/>
          <w:color w:val="auto"/>
        </w:rPr>
        <w:t>historical information to provide a basis for estimate. The simplified method is based on the average of the vesting tranches and the contractual life of each grant. The expected term for nonemployee options is the contractual term of the options.</w:t>
      </w:r>
    </w:p>
    <w:p>
      <w:pPr>
        <w:spacing w:after="0" w:line="52" w:lineRule="exact"/>
        <w:rPr>
          <w:rFonts w:ascii="Arial" w:cs="Arial" w:eastAsia="Arial" w:hAnsi="Arial"/>
          <w:sz w:val="17"/>
          <w:szCs w:val="17"/>
          <w:color w:val="auto"/>
        </w:rPr>
      </w:pPr>
    </w:p>
    <w:p>
      <w:pPr>
        <w:ind w:left="880" w:right="20" w:hanging="224"/>
        <w:spacing w:after="0" w:line="248" w:lineRule="auto"/>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—For all stock options granted to date, the expected volatility was estimated based on a study of publicly</w:t>
      </w:r>
      <w:r>
        <w:rPr>
          <w:rFonts w:ascii="Arial" w:cs="Arial" w:eastAsia="Arial" w:hAnsi="Arial"/>
          <w:sz w:val="18"/>
          <w:szCs w:val="18"/>
          <w:i w:val="1"/>
          <w:iCs w:val="1"/>
          <w:color w:val="auto"/>
        </w:rPr>
        <w:t xml:space="preserve"> </w:t>
      </w:r>
      <w:r>
        <w:rPr>
          <w:rFonts w:ascii="Arial" w:cs="Arial" w:eastAsia="Arial" w:hAnsi="Arial"/>
          <w:sz w:val="18"/>
          <w:szCs w:val="18"/>
          <w:color w:val="auto"/>
        </w:rPr>
        <w:t>traded industry peer companies as we did not have any trading history for our common stock. We selected the peer group based on similarities in industry, stage of development, size and financial leverage with our principal business operations. For each grant, we measured historical volatility over a period equivalent to the expected term.</w:t>
      </w:r>
    </w:p>
    <w:p>
      <w:pPr>
        <w:spacing w:after="0" w:line="75" w:lineRule="exact"/>
        <w:rPr>
          <w:rFonts w:ascii="Arial" w:cs="Arial" w:eastAsia="Arial" w:hAnsi="Arial"/>
          <w:sz w:val="18"/>
          <w:szCs w:val="18"/>
          <w:color w:val="auto"/>
        </w:rPr>
      </w:pPr>
    </w:p>
    <w:p>
      <w:pPr>
        <w:ind w:left="880" w:right="160" w:hanging="224"/>
        <w:spacing w:after="0" w:line="276" w:lineRule="auto"/>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yield available on U.S. Treasury zero-coupon issues whose</w:t>
      </w:r>
      <w:r>
        <w:rPr>
          <w:rFonts w:ascii="Arial" w:cs="Arial" w:eastAsia="Arial" w:hAnsi="Arial"/>
          <w:sz w:val="18"/>
          <w:szCs w:val="18"/>
          <w:i w:val="1"/>
          <w:iCs w:val="1"/>
          <w:color w:val="auto"/>
        </w:rPr>
        <w:t xml:space="preserve"> </w:t>
      </w:r>
      <w:r>
        <w:rPr>
          <w:rFonts w:ascii="Arial" w:cs="Arial" w:eastAsia="Arial" w:hAnsi="Arial"/>
          <w:sz w:val="18"/>
          <w:szCs w:val="18"/>
          <w:color w:val="auto"/>
        </w:rPr>
        <w:t>term is similar in duration to the expected term of the respective stock option.</w:t>
      </w:r>
    </w:p>
    <w:p>
      <w:pPr>
        <w:spacing w:after="0" w:line="50" w:lineRule="exact"/>
        <w:rPr>
          <w:rFonts w:ascii="Arial" w:cs="Arial" w:eastAsia="Arial" w:hAnsi="Arial"/>
          <w:sz w:val="18"/>
          <w:szCs w:val="18"/>
          <w:color w:val="auto"/>
        </w:rPr>
      </w:pPr>
    </w:p>
    <w:p>
      <w:pPr>
        <w:ind w:left="880" w:right="720" w:hanging="224"/>
        <w:spacing w:after="0" w:line="276" w:lineRule="auto"/>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—We have not paid and do not currently anticipate paying any dividends on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Accordingly, we have estimated the dividend yield to be zero.</w:t>
      </w:r>
    </w:p>
    <w:p>
      <w:pPr>
        <w:spacing w:after="0" w:line="145"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As of September 30, 2020, the unrecognized stock-based compensation expense related to stock options was $14.7 million and is expected to be recognized as expense over a weighted-average period of approximately 3.0 years. The intrinsic value of all outstanding stock options as of September 30, 2020 was approximately $40.7 million, based on the initial public offering price of $23.00 per share, of which approximately $23.1 million related to vested options and approximately $17.6 million related to unvested options.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04" w:lineRule="exact"/>
        <w:rPr>
          <w:sz w:val="20"/>
          <w:szCs w:val="20"/>
          <w:color w:val="auto"/>
        </w:rPr>
      </w:pPr>
    </w:p>
    <w:p>
      <w:pPr>
        <w:jc w:val="both"/>
        <w:ind w:left="120" w:right="20" w:firstLine="551"/>
        <w:spacing w:after="0" w:line="255" w:lineRule="auto"/>
        <w:rPr>
          <w:sz w:val="20"/>
          <w:szCs w:val="20"/>
          <w:color w:val="auto"/>
        </w:rPr>
      </w:pPr>
      <w:r>
        <w:rPr>
          <w:rFonts w:ascii="Arial" w:cs="Arial" w:eastAsia="Arial" w:hAnsi="Arial"/>
          <w:sz w:val="18"/>
          <w:szCs w:val="18"/>
          <w:color w:val="auto"/>
        </w:rPr>
        <w:t>The estimated fair value of the common stock underlying our stock options and stock awards was determined at each grant date by our board of directors, with input from management. All options to purchase shares of our common stock are intended to be exercisable at a price per share not less than the per share fair value of our common stock underlying those options on the date of grant.</w:t>
      </w:r>
    </w:p>
    <w:p>
      <w:pPr>
        <w:spacing w:after="0" w:line="164" w:lineRule="exact"/>
        <w:rPr>
          <w:sz w:val="20"/>
          <w:szCs w:val="20"/>
          <w:color w:val="auto"/>
        </w:rPr>
      </w:pPr>
    </w:p>
    <w:p>
      <w:pPr>
        <w:jc w:val="both"/>
        <w:ind w:left="120" w:firstLine="551"/>
        <w:spacing w:after="0" w:line="255" w:lineRule="auto"/>
        <w:rPr>
          <w:sz w:val="20"/>
          <w:szCs w:val="20"/>
          <w:color w:val="auto"/>
        </w:rPr>
      </w:pPr>
      <w:r>
        <w:rPr>
          <w:rFonts w:ascii="Arial" w:cs="Arial" w:eastAsia="Arial" w:hAnsi="Arial"/>
          <w:sz w:val="18"/>
          <w:szCs w:val="18"/>
          <w:color w:val="auto"/>
        </w:rPr>
        <w:t>In the absence of a public trading market for our common stock, on each grant date, we develop an estimate of the fair value of our common stock based on the information known to us on the date of grant, upon a review of any recent events and their potential impact on the estimated fair value per share of our common stock, and in part on input from an independent third-party valuation firm.</w:t>
      </w:r>
    </w:p>
    <w:p>
      <w:pPr>
        <w:spacing w:after="0" w:line="164" w:lineRule="exact"/>
        <w:rPr>
          <w:sz w:val="20"/>
          <w:szCs w:val="20"/>
          <w:color w:val="auto"/>
        </w:rPr>
      </w:pPr>
    </w:p>
    <w:p>
      <w:pPr>
        <w:ind w:left="120" w:right="220" w:firstLine="551"/>
        <w:spacing w:after="0" w:line="255" w:lineRule="auto"/>
        <w:rPr>
          <w:sz w:val="20"/>
          <w:szCs w:val="20"/>
          <w:color w:val="auto"/>
        </w:rPr>
      </w:pPr>
      <w:r>
        <w:rPr>
          <w:rFonts w:ascii="Arial" w:cs="Arial" w:eastAsia="Arial" w:hAnsi="Arial"/>
          <w:sz w:val="18"/>
          <w:szCs w:val="18"/>
          <w:color w:val="auto"/>
        </w:rPr>
        <w:t xml:space="preserve">Our valuations of our common stock were determined in accordance with the guidelines outlined in the American Institute of Certified Public Accountants Practice Aid,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xml:space="preserve"> (the Practice Aid).</w:t>
      </w:r>
    </w:p>
    <w:p>
      <w:pPr>
        <w:spacing w:after="0" w:line="164" w:lineRule="exact"/>
        <w:rPr>
          <w:sz w:val="20"/>
          <w:szCs w:val="20"/>
          <w:color w:val="auto"/>
        </w:rPr>
      </w:pPr>
    </w:p>
    <w:p>
      <w:pPr>
        <w:ind w:left="120" w:right="60" w:firstLine="551"/>
        <w:spacing w:after="0" w:line="276" w:lineRule="auto"/>
        <w:rPr>
          <w:sz w:val="20"/>
          <w:szCs w:val="20"/>
          <w:color w:val="auto"/>
        </w:rPr>
      </w:pPr>
      <w:r>
        <w:rPr>
          <w:rFonts w:ascii="Arial" w:cs="Arial" w:eastAsia="Arial" w:hAnsi="Arial"/>
          <w:sz w:val="18"/>
          <w:szCs w:val="18"/>
          <w:color w:val="auto"/>
        </w:rPr>
        <w:t>The assumptions used to determine the estimated fair value of our common stock are based on numerous objective and subjective factors, combined with management’s judgment, including:</w:t>
      </w:r>
    </w:p>
    <w:p>
      <w:pPr>
        <w:spacing w:after="0" w:line="50" w:lineRule="exact"/>
        <w:rPr>
          <w:sz w:val="20"/>
          <w:szCs w:val="20"/>
          <w:color w:val="auto"/>
        </w:rPr>
      </w:pPr>
    </w:p>
    <w:p>
      <w:pPr>
        <w:ind w:left="880" w:hanging="224"/>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external market conditions affecting the pharmaceutical and biotechnology industry and trends within the industry;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stage of development and business strategy;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rights, preferences and privileges of our redeemable convertible preferred stock relative to those of our common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prices at which we sold shares of our redeemable convertible preferred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financial condition and operating results, including our levels of available capital resources;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progress of our research and development efforts;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equity market conditions affecting comparable public companies;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general U.S. market conditions;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212" w:lineRule="exact"/>
        <w:rPr>
          <w:sz w:val="20"/>
          <w:szCs w:val="20"/>
          <w:color w:val="auto"/>
        </w:rPr>
      </w:pPr>
    </w:p>
    <w:p>
      <w:pPr>
        <w:jc w:val="both"/>
        <w:ind w:left="120" w:right="300" w:firstLine="551"/>
        <w:spacing w:after="0" w:line="255" w:lineRule="auto"/>
        <w:rPr>
          <w:sz w:val="20"/>
          <w:szCs w:val="20"/>
          <w:color w:val="auto"/>
        </w:rPr>
      </w:pPr>
      <w:r>
        <w:rPr>
          <w:rFonts w:ascii="Arial" w:cs="Arial" w:eastAsia="Arial" w:hAnsi="Arial"/>
          <w:sz w:val="18"/>
          <w:szCs w:val="18"/>
          <w:color w:val="auto"/>
        </w:rPr>
        <w:t>The Practice Aid identifies various available methods for allocating enterprise value across classes and series of capital stock to determine the estimated fair value of our common stock at each valuation date. In accordance with the Practice Aid, we considered the following methods:</w:t>
      </w:r>
    </w:p>
    <w:p>
      <w:pPr>
        <w:spacing w:after="0" w:line="69" w:lineRule="exact"/>
        <w:rPr>
          <w:sz w:val="20"/>
          <w:szCs w:val="20"/>
          <w:color w:val="auto"/>
        </w:rPr>
      </w:pPr>
    </w:p>
    <w:p>
      <w:pPr>
        <w:ind w:left="880" w:right="80" w:hanging="224"/>
        <w:spacing w:after="0" w:line="255" w:lineRule="auto"/>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Option Pricing Method. Under the option pricing method (OPM) shares are valued by creating a series of call options with exercise prices based on the liquidation preferences and conversion terms of each equity class. The estimated fair values of the preferred and common stock are inferred by analyzing these options.</w:t>
      </w:r>
    </w:p>
    <w:p>
      <w:pPr>
        <w:spacing w:after="0" w:line="69" w:lineRule="exact"/>
        <w:rPr>
          <w:rFonts w:ascii="Arial" w:cs="Arial" w:eastAsia="Arial" w:hAnsi="Arial"/>
          <w:sz w:val="18"/>
          <w:szCs w:val="18"/>
          <w:color w:val="auto"/>
        </w:rPr>
      </w:pPr>
    </w:p>
    <w:p>
      <w:pPr>
        <w:ind w:left="880" w:right="80" w:hanging="224"/>
        <w:spacing w:after="0" w:line="277" w:lineRule="auto"/>
        <w:tabs>
          <w:tab w:leader="none" w:pos="8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Probability-Weighted Expected Return Method. The probability-weighted expected return method (PWERM) is a scenario-based analysis that estimates value per share based on the probability-weighted present value of expected future investment returns, considering each of the possible outcomes available to us, as well as the economic and control rights of each share class.</w:t>
      </w:r>
    </w:p>
    <w:p>
      <w:pPr>
        <w:spacing w:after="0" w:line="147" w:lineRule="exact"/>
        <w:rPr>
          <w:sz w:val="20"/>
          <w:szCs w:val="20"/>
          <w:color w:val="auto"/>
        </w:rPr>
      </w:pPr>
    </w:p>
    <w:p>
      <w:pPr>
        <w:ind w:left="120" w:right="360" w:firstLine="551"/>
        <w:spacing w:after="0" w:line="255" w:lineRule="auto"/>
        <w:rPr>
          <w:sz w:val="20"/>
          <w:szCs w:val="20"/>
          <w:color w:val="auto"/>
        </w:rPr>
      </w:pPr>
      <w:r>
        <w:rPr>
          <w:rFonts w:ascii="Arial" w:cs="Arial" w:eastAsia="Arial" w:hAnsi="Arial"/>
          <w:sz w:val="18"/>
          <w:szCs w:val="18"/>
          <w:color w:val="auto"/>
        </w:rPr>
        <w:t>Based on our early stage of development and other relevant factors, we determined that a hybrid approach of the OPM and the PWERM methods was the most appropriate method for allocating our enterprise value to determine the estimated fair value of our common stock. In determining the estimated fair value of our common stock, our board of directors also considered the fact that our</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80"/>
        <w:spacing w:after="0" w:line="248" w:lineRule="auto"/>
        <w:rPr>
          <w:sz w:val="20"/>
          <w:szCs w:val="20"/>
          <w:color w:val="auto"/>
        </w:rPr>
      </w:pPr>
      <w:r>
        <w:rPr>
          <w:rFonts w:ascii="Arial" w:cs="Arial" w:eastAsia="Arial" w:hAnsi="Arial"/>
          <w:sz w:val="18"/>
          <w:szCs w:val="18"/>
          <w:color w:val="auto"/>
        </w:rPr>
        <w:t>stockholders could not freely trade our common stock in the public markets. Accordingly, we applied discounts to reflect the lack of marketability of our common stock based on the weighted-average expected time to liquidity. The estimated fair value of our common stock at each grant date reflected a non-marketability discount partially based on the anticipated likelihood and timing of a future liquidity event.</w:t>
      </w:r>
    </w:p>
    <w:p>
      <w:pPr>
        <w:spacing w:after="0" w:line="170" w:lineRule="exact"/>
        <w:rPr>
          <w:sz w:val="20"/>
          <w:szCs w:val="20"/>
          <w:color w:val="auto"/>
        </w:rPr>
      </w:pPr>
    </w:p>
    <w:p>
      <w:pPr>
        <w:ind w:left="120" w:right="220" w:firstLine="551"/>
        <w:spacing w:after="0" w:line="276" w:lineRule="auto"/>
        <w:rPr>
          <w:sz w:val="20"/>
          <w:szCs w:val="20"/>
          <w:color w:val="auto"/>
        </w:rPr>
      </w:pPr>
      <w:r>
        <w:rPr>
          <w:rFonts w:ascii="Arial" w:cs="Arial" w:eastAsia="Arial" w:hAnsi="Arial"/>
          <w:sz w:val="18"/>
          <w:szCs w:val="18"/>
          <w:color w:val="auto"/>
        </w:rPr>
        <w:t>Following the completion of this offering, our board of directors intends to determine the fair value of our common stock based on the closing quoted market price of our common stock on the date of grant.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record all shares of redeemable convertible preferred stock at their respective fair values on the dates of issuance, net of issuance costs. The redeemable convertible preferred stock is recorded outside of permanent equity because while it is not mandatorily redeemable, in certain events considered not solely within our control, such as a merger, acquisition, or sale of all or substantially all of our assets, each of which we refer to as a deemed liquidation event, the convertible preferred stock will become redeemable at the option of the holders of at least a majority of the then outstanding such shares. We have not adjusted the carrying values of the redeemable convertible preferred stock to its liquidation preference because a deemed liquidation event obligating us to pay the liquidation preferences to holders of shares of redeemable convertible preferred stock is not probable of occurring. Subsequent adjustments to the carrying values to the liquidation preferences will be made only when it becomes probable that such a deemed liquidation event will occur.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We account for income taxes under the asset and liability method, which requires, among other things, that deferred income taxes be provided for temporary differences between the financial statement reporting and tax basis of our assets and liabilities. In addition, deferred tax assets are recorded for the future benefit of utilizing net operating losses and research and development credit carryforwards and are measured using the enacted tax rates and laws that will be in effect when such items are expected to reverse. A valuation allowance is provided against deferred tax assets unless it is more likely than not that they will be realized.</w:t>
      </w:r>
    </w:p>
    <w:p>
      <w:pPr>
        <w:spacing w:after="0" w:line="172"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We account for uncertain tax positions by assessing all material positions taken in any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Our policy is to recognize interest and penalties related to the underpayment of income taxes as a component of income tax expense or benefit. To date, there have been no interest or penalties charged in relation to the unrecognized tax benefits.</w:t>
      </w:r>
    </w:p>
    <w:p>
      <w:pPr>
        <w:spacing w:after="0" w:line="172"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NOLs and tax credit carryforwards are subject to review and possible adjustment by the Internal Revenue Service (IRS) and may become subject to an annual limitation in the event of certain cumulative changes in the ownership interest of significant stockholders over a three-year period in excess of 50% as defined under Sections 382 and 383 in the Internal Revenue Code, which could limit the amount of tax attributes that can be utilized annually to offset future taxable income or tax liabilities. The amount of the annual limitation is determined based on our value immediately prior to the ownership change. We have experienced ownership changes in the past. As a result of the ownership changes, we determined that $0.9 million of our NOLs will expire unutilized for federal income tax purposes and such amounts are excluded from our NOLs as of December 31, 2019. Subsequent ownership changes may result in additional limitations.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Since our inception, we have not engaged in any off-balance sheet arrangements as defined in the rules and regulations of the</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04" w:lineRule="exact"/>
        <w:rPr>
          <w:sz w:val="20"/>
          <w:szCs w:val="20"/>
          <w:color w:val="auto"/>
        </w:rPr>
      </w:pPr>
    </w:p>
    <w:p>
      <w:pPr>
        <w:jc w:val="both"/>
        <w:ind w:left="120" w:right="120" w:firstLine="551"/>
        <w:spacing w:after="0" w:line="257" w:lineRule="auto"/>
        <w:rPr>
          <w:sz w:val="20"/>
          <w:szCs w:val="20"/>
          <w:color w:val="auto"/>
        </w:rPr>
      </w:pPr>
      <w:r>
        <w:rPr>
          <w:rFonts w:ascii="Arial" w:cs="Arial" w:eastAsia="Arial" w:hAnsi="Arial"/>
          <w:sz w:val="17"/>
          <w:szCs w:val="17"/>
          <w:color w:val="auto"/>
        </w:rPr>
        <w:t>The market risk inherent in our financial instruments and in our financial position represents the potential loss arising from adverse changes in interest rates. As of September 30, 2020, we had cash and cash equivalents of $88.8 million, consisting of bank deposits and interest-bearing money market funds, for which the fair value would be affected by changes in the general level of U.S. interest rates.</w:t>
      </w:r>
    </w:p>
    <w:p>
      <w:pPr>
        <w:spacing w:after="0" w:line="2" w:lineRule="exact"/>
        <w:rPr>
          <w:sz w:val="20"/>
          <w:szCs w:val="20"/>
          <w:color w:val="auto"/>
        </w:rPr>
      </w:pPr>
    </w:p>
    <w:p>
      <w:pPr>
        <w:ind w:left="120" w:right="200"/>
        <w:spacing w:after="0" w:line="250" w:lineRule="auto"/>
        <w:rPr>
          <w:sz w:val="20"/>
          <w:szCs w:val="20"/>
          <w:color w:val="auto"/>
        </w:rPr>
      </w:pPr>
      <w:r>
        <w:rPr>
          <w:rFonts w:ascii="Arial" w:cs="Arial" w:eastAsia="Arial" w:hAnsi="Arial"/>
          <w:sz w:val="18"/>
          <w:szCs w:val="18"/>
          <w:color w:val="auto"/>
        </w:rPr>
        <w:t>However, due to the short-term maturities of our cash equivalents, an immediate 10% change in interest rates would not have a material effect on the fair value of our cash equivalents.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04" w:lineRule="exact"/>
        <w:rPr>
          <w:sz w:val="20"/>
          <w:szCs w:val="20"/>
          <w:color w:val="auto"/>
        </w:rPr>
      </w:pPr>
    </w:p>
    <w:p>
      <w:pPr>
        <w:ind w:left="120" w:right="480" w:firstLine="551"/>
        <w:spacing w:after="0" w:line="276" w:lineRule="auto"/>
        <w:rPr>
          <w:sz w:val="20"/>
          <w:szCs w:val="20"/>
          <w:color w:val="auto"/>
        </w:rPr>
      </w:pPr>
      <w:r>
        <w:rPr>
          <w:rFonts w:ascii="Arial" w:cs="Arial" w:eastAsia="Arial" w:hAnsi="Arial"/>
          <w:sz w:val="18"/>
          <w:szCs w:val="18"/>
          <w:color w:val="auto"/>
        </w:rPr>
        <w:t>Inflation generally affects us by increasing our cost of labor and development costs. We do not believe that inflation has had a significant impact on our results of operations for any periods presented herein.</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w:t>
      </w:r>
    </w:p>
    <w:p>
      <w:pPr>
        <w:spacing w:after="0" w:line="106"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We are an emerging growth company, as defined in the Jumpstart Our Business Startups Act of 2012 (the JOBS Act). Under the JOBS Act, emerging growth companies may delay adopting new or revised accounting standards issued subsequent to the enactment of the JOBS Act until such time as those standards apply to private companies. We have elected to avail ourselves of this exemption from new or revised accounting standards and, therefore, while we are an emerging growth company, we will not be subject to new or revised accounting standards at the same time that they become applicable to other public companies that are not emerging growth companies. As a result, our financial statements may not be comparable to companies that comply with new or revised accounting pronouncements as of public company effective dates.</w:t>
      </w:r>
    </w:p>
    <w:p>
      <w:pPr>
        <w:spacing w:after="0" w:line="179"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color w:val="auto"/>
        </w:rPr>
        <w:t>We will remain an emerging growth company until the earlier of (i) the last day of the year following the fifth anniversary of the completion of this offering, (ii) the last day of the year in which we have total annual gross revenue of at least $1.07 billion, (iii) the last day of the year in which we are deemed to be a “large accelerated filer” as defined in Rule 12b-2 under the Securities Exchange Act of 1934, as amended (the Exchange Act), which would occur if the market value of our common stock held by non-affiliates exceeded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$700.0 million as of the last business day of the second fiscal quarter of such year, or (iv) the date on which we have issued more than $1.0 billion in non-convertible debt securities during the prior three-year period. An emerging growth company may take advantage of specified reduced reporting requirements and is relieved of certain other significant requirements that are otherwise generally applicable to public companies. As an emerging growth company:</w:t>
      </w:r>
    </w:p>
    <w:p>
      <w:pPr>
        <w:spacing w:after="0" w:line="82" w:lineRule="exact"/>
        <w:rPr>
          <w:sz w:val="20"/>
          <w:szCs w:val="20"/>
          <w:color w:val="auto"/>
        </w:rPr>
      </w:pPr>
    </w:p>
    <w:p>
      <w:pPr>
        <w:ind w:left="880" w:right="340" w:hanging="224"/>
        <w:spacing w:after="0" w:line="276" w:lineRule="auto"/>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we will present only two years of audited financial statements, plus unaudited financial statements for any interim period, and related management’s discussion and analysis of financial condition and results of operations;</w:t>
      </w:r>
    </w:p>
    <w:p>
      <w:pPr>
        <w:spacing w:after="0" w:line="50" w:lineRule="exact"/>
        <w:rPr>
          <w:rFonts w:ascii="Arial" w:cs="Arial" w:eastAsia="Arial" w:hAnsi="Arial"/>
          <w:sz w:val="18"/>
          <w:szCs w:val="18"/>
          <w:color w:val="auto"/>
        </w:rPr>
      </w:pPr>
    </w:p>
    <w:p>
      <w:pPr>
        <w:ind w:left="880" w:hanging="224"/>
        <w:spacing w:after="0" w:line="306" w:lineRule="auto"/>
        <w:tabs>
          <w:tab w:leader="none" w:pos="8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we will avail ourselves of the exemption from the requirement to obtain an attestation and report from our auditors on the assessment of our internal control over financial reporting pursuant to the Sarbanes-Oxley Act of 2002 (the Sarbanes-Oxley Act);</w:t>
      </w:r>
    </w:p>
    <w:p>
      <w:pPr>
        <w:spacing w:after="0" w:line="28" w:lineRule="exact"/>
        <w:rPr>
          <w:rFonts w:ascii="Arial" w:cs="Arial" w:eastAsia="Arial" w:hAnsi="Arial"/>
          <w:sz w:val="17"/>
          <w:szCs w:val="17"/>
          <w:color w:val="auto"/>
        </w:rPr>
      </w:pPr>
    </w:p>
    <w:p>
      <w:pPr>
        <w:ind w:left="880" w:hanging="224"/>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we will provide less extensive disclosure about our executive compensation arrangements;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we will not require stockholder non-binding advisory votes on executive compensation or golden parachute arrangements; and</w:t>
      </w:r>
    </w:p>
    <w:p>
      <w:pPr>
        <w:spacing w:after="0" w:line="117"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we will take advantage of extended transition periods to comply with new or revised accounting standards, delaying the adoption of these accounting standards until they would apply to private companies.</w:t>
      </w:r>
    </w:p>
    <w:p>
      <w:pPr>
        <w:spacing w:after="0" w:line="145" w:lineRule="exact"/>
        <w:rPr>
          <w:sz w:val="20"/>
          <w:szCs w:val="20"/>
          <w:color w:val="auto"/>
        </w:rPr>
      </w:pPr>
    </w:p>
    <w:p>
      <w:pPr>
        <w:ind w:left="120" w:right="420" w:firstLine="551"/>
        <w:spacing w:after="0" w:line="276" w:lineRule="auto"/>
        <w:rPr>
          <w:sz w:val="20"/>
          <w:szCs w:val="20"/>
          <w:color w:val="auto"/>
        </w:rPr>
      </w:pPr>
      <w:r>
        <w:rPr>
          <w:rFonts w:ascii="Arial" w:cs="Arial" w:eastAsia="Arial" w:hAnsi="Arial"/>
          <w:sz w:val="18"/>
          <w:szCs w:val="18"/>
          <w:color w:val="auto"/>
        </w:rPr>
        <w:t>As a result, the information in this prospectus and that we provide to our investors in the future may be different than what you might receive from other public reporting companies.</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financial statements included elsewhere in this prospectus for information.</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80"/>
          </w:cols>
          <w:pgMar w:left="320" w:top="455" w:right="49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BUSINESS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06"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are a clinical-stage gene therapy company pioneering the development of product candidates using our targeted and evolved AAV vectors. We seek to unlock the full potential of gene therapy using our platform, Therapeutic Vector Evolution, which combines the power of directed evolution with our approximately one billion synthetic capsid sequences to invent evolved vectors for use in targeted gene therapy products. Our targeted and evolved vectors are invented with the goal of being delivered through clinically routine, well-tolerated and minimally invasive routes of administration, of transducing diseased cells in target tissues efficiently, of having reduced immunogenicity and, where relevant, of having resistance to pre-existing antibodies. We believe these key features will help us to potentially create targeted gene therapy product candidates with improved therapeutic profiles, and to address a broad range of diseases from rare to large patient populations, including those that other gene therapies are unable to address. Each of our product candidates is created with one of our targeted and evolved AAV vectors. Our platform is designed to be modular, in that an evolved vector invented for a given set of diseases can be equipped with different transgene payloads to treat other diseases affecting the same tissue types. We believe this modularity will help inform the clinical development of subsequent product candidates using the same vector.</w:t>
      </w:r>
    </w:p>
    <w:p>
      <w:pPr>
        <w:spacing w:after="0" w:line="176" w:lineRule="exact"/>
        <w:rPr>
          <w:sz w:val="20"/>
          <w:szCs w:val="20"/>
          <w:color w:val="auto"/>
        </w:rPr>
      </w:pPr>
    </w:p>
    <w:p>
      <w:pPr>
        <w:ind w:left="120" w:right="440" w:firstLine="551"/>
        <w:spacing w:after="0" w:line="243" w:lineRule="auto"/>
        <w:rPr>
          <w:sz w:val="20"/>
          <w:szCs w:val="20"/>
          <w:color w:val="auto"/>
        </w:rPr>
      </w:pPr>
      <w:r>
        <w:rPr>
          <w:rFonts w:ascii="Arial" w:cs="Arial" w:eastAsia="Arial" w:hAnsi="Arial"/>
          <w:sz w:val="18"/>
          <w:szCs w:val="18"/>
          <w:color w:val="auto"/>
        </w:rPr>
        <w:t>We have built a deep portfolio of gene therapy product candidates initially focused in three therapeutic areas: ophthalmology (intravitreal vector), cardiology (intravenous vector) and pulmonology (aerosol vector). We have three product candidates that are in clinical trials: 4D-125 for the treatment of X-linked retinitis pigmentosa (XLRP) in a Phase 1/2 clinical trial, 4D-110 for the treatment of choroideremia in a Phase 1 clinical trial, and 4D-310 for the treatment of Fabry disease in a Phase 1/2 clinical trial. Our two IND candidates are 4D-150 for the treatment of wet age-related macular degeneration (wet AMD), and 4D-710 for the treatment of cystic fibrosis lung disease. We expect to file the INDs and to initiate clinical trials for both of these programs in second half of 2021.</w:t>
      </w:r>
    </w:p>
    <w:p>
      <w:pPr>
        <w:spacing w:after="0" w:line="174" w:lineRule="exact"/>
        <w:rPr>
          <w:sz w:val="20"/>
          <w:szCs w:val="20"/>
          <w:color w:val="auto"/>
        </w:rPr>
      </w:pPr>
    </w:p>
    <w:p>
      <w:pPr>
        <w:ind w:left="120" w:right="440" w:firstLine="551"/>
        <w:spacing w:after="0" w:line="255" w:lineRule="auto"/>
        <w:rPr>
          <w:sz w:val="20"/>
          <w:szCs w:val="20"/>
          <w:color w:val="auto"/>
        </w:rPr>
      </w:pPr>
      <w:r>
        <w:rPr>
          <w:rFonts w:ascii="Arial" w:cs="Arial" w:eastAsia="Arial" w:hAnsi="Arial"/>
          <w:sz w:val="18"/>
          <w:szCs w:val="18"/>
          <w:color w:val="auto"/>
        </w:rPr>
        <w:t>We believe our competitive advantages, combined with our highly experienced team, helps to position our company to create, develop, manufacture, if approved, and effectively commercialize targeted gene therapies that could transform the lives of patients suffering from debilitating diseases.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Approach: Therapeutic Vector Evolution Platform</w:t>
      </w:r>
    </w:p>
    <w:p>
      <w:pPr>
        <w:spacing w:after="0" w:line="106" w:lineRule="exact"/>
        <w:rPr>
          <w:sz w:val="20"/>
          <w:szCs w:val="20"/>
          <w:color w:val="auto"/>
        </w:rPr>
      </w:pPr>
    </w:p>
    <w:p>
      <w:pPr>
        <w:ind w:left="120" w:right="80" w:firstLine="551"/>
        <w:spacing w:after="0" w:line="241" w:lineRule="auto"/>
        <w:rPr>
          <w:sz w:val="20"/>
          <w:szCs w:val="20"/>
          <w:color w:val="auto"/>
        </w:rPr>
      </w:pPr>
      <w:r>
        <w:rPr>
          <w:rFonts w:ascii="Arial" w:cs="Arial" w:eastAsia="Arial" w:hAnsi="Arial"/>
          <w:sz w:val="18"/>
          <w:szCs w:val="18"/>
          <w:color w:val="auto"/>
        </w:rPr>
        <w:t>Gene therapy holds tremendous promise as a transformative therapeutic class. However, the majority of gene therapies have encountered limitations such as inflammation and toxicity, high dose requirements, limited efficacy and neutralization by pre-existing antibodies, due in part to their utilization of conventional AAV vectors that are naturally occurring and non-targeted. Through our Therapeutic Vector Evolution platform we apply the principles of directed evolution to invent targeted and evolved vectors for the delivery of genes to specific tissue types for diseases involving the same target tissue(s). Our product candidates are designed and engineered to utilize our targeted and evolved vectors to potentially address the limitations encountered with gene therapies utilizing conventional AAV vectors.</w:t>
      </w:r>
    </w:p>
    <w:p>
      <w:pPr>
        <w:spacing w:after="0" w:line="179"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Leveraging a wide range of molecular biology techniques, we have developed a collection of 40 distinct libraries that are comprised of approximately one billion synthetic capsid sequences. We next define a Target Vector Profile that identifies the optimal vector features for the specific tissue type(s) and related set of diseases we seek to target, with the goal of overcoming limitations encountered by conventional AAVs. We then deploy Therapeutic Vector Evolution with our capsid libraries in NHPs and use competitive selection to identify targeted and evolved vectors from our libraries that demonstrate the strongest match to the Target Vector Profile. Our three lead vectors have unique structural changes as compared to the conventional naturally occurring AAV capsid as shown below.</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00"/>
          </w:cols>
          <w:pgMar w:left="320" w:top="455" w:right="47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left="460"/>
        <w:spacing w:after="0" w:line="254" w:lineRule="auto"/>
        <w:rPr>
          <w:sz w:val="20"/>
          <w:szCs w:val="20"/>
          <w:color w:val="auto"/>
        </w:rPr>
      </w:pPr>
      <w:r>
        <w:rPr>
          <w:rFonts w:ascii="Arial" w:cs="Arial" w:eastAsia="Arial" w:hAnsi="Arial"/>
          <w:sz w:val="18"/>
          <w:szCs w:val="18"/>
          <w:i w:val="1"/>
          <w:iCs w:val="1"/>
          <w:color w:val="auto"/>
        </w:rPr>
        <w:t>Our three lead targeted and evolved vectors comprise numerous diverse and biologically important differences from the conventional AAV capsid, as illustrated in the computer generated representations of the three-dimensional capsid structures depicted below. The colorized areas illustrate these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135890</wp:posOffset>
            </wp:positionV>
            <wp:extent cx="5186045" cy="36944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86045" cy="3694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120" w:right="140" w:firstLine="551"/>
        <w:spacing w:after="0" w:line="268" w:lineRule="auto"/>
        <w:rPr>
          <w:sz w:val="20"/>
          <w:szCs w:val="20"/>
          <w:color w:val="auto"/>
        </w:rPr>
      </w:pPr>
      <w:r>
        <w:rPr>
          <w:rFonts w:ascii="Arial" w:cs="Arial" w:eastAsia="Arial" w:hAnsi="Arial"/>
          <w:sz w:val="17"/>
          <w:szCs w:val="17"/>
          <w:color w:val="auto"/>
        </w:rPr>
        <w:t>Based on preclinical data reported to date from our NHP and human cell models, including preclinical head-to-head comparisons with relevant conventional AAV vectors, we observed that our targeted and evolved vectors were well-tolerated and achieved enhanced delivery, increased transgene expression, reduced immunogenicity and/or improved antibody resistance when compared to conventional AAV vectors. We have not compared our targeted and evolved vectors to conventional AAV vectors in patients in clinical studies.</w:t>
      </w:r>
    </w:p>
    <w:p>
      <w:pPr>
        <w:spacing w:after="0" w:line="153" w:lineRule="exact"/>
        <w:rPr>
          <w:sz w:val="20"/>
          <w:szCs w:val="20"/>
          <w:color w:val="auto"/>
        </w:rPr>
      </w:pPr>
    </w:p>
    <w:p>
      <w:pPr>
        <w:ind w:left="120" w:right="580" w:firstLine="551"/>
        <w:spacing w:after="0" w:line="276" w:lineRule="auto"/>
        <w:rPr>
          <w:sz w:val="20"/>
          <w:szCs w:val="20"/>
          <w:color w:val="auto"/>
        </w:rPr>
      </w:pPr>
      <w:r>
        <w:rPr>
          <w:rFonts w:ascii="Arial" w:cs="Arial" w:eastAsia="Arial" w:hAnsi="Arial"/>
          <w:sz w:val="18"/>
          <w:szCs w:val="18"/>
          <w:color w:val="auto"/>
        </w:rPr>
        <w:t>As we advance through clinical trials, we plan to evaluate the following potential design features of our targeted and evolved vectors and product candidates:</w:t>
      </w:r>
    </w:p>
    <w:p>
      <w:pPr>
        <w:spacing w:after="0" w:line="48" w:lineRule="exact"/>
        <w:rPr>
          <w:sz w:val="20"/>
          <w:szCs w:val="20"/>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Tolerability</w:t>
      </w:r>
      <w:r>
        <w:rPr>
          <w:rFonts w:ascii="Arial" w:cs="Arial" w:eastAsia="Arial" w:hAnsi="Arial"/>
          <w:sz w:val="18"/>
          <w:szCs w:val="18"/>
          <w:b w:val="1"/>
          <w:bCs w:val="1"/>
          <w:color w:val="auto"/>
        </w:rPr>
        <w:t>:</w:t>
      </w:r>
      <w:r>
        <w:rPr>
          <w:rFonts w:ascii="Arial" w:cs="Arial" w:eastAsia="Arial" w:hAnsi="Arial"/>
          <w:sz w:val="18"/>
          <w:szCs w:val="18"/>
          <w:color w:val="auto"/>
        </w:rPr>
        <w:t xml:space="preserve">  Well-tolerated therapies with a low inflammation profile, low dose requirements and routine, safe routes of delivery</w:t>
      </w:r>
    </w:p>
    <w:p>
      <w:pPr>
        <w:spacing w:after="0" w:line="117" w:lineRule="exact"/>
        <w:rPr>
          <w:rFonts w:ascii="Arial" w:cs="Arial" w:eastAsia="Arial" w:hAnsi="Arial"/>
          <w:sz w:val="18"/>
          <w:szCs w:val="18"/>
          <w:color w:val="auto"/>
        </w:rPr>
      </w:pPr>
    </w:p>
    <w:p>
      <w:pPr>
        <w:ind w:left="880" w:right="180" w:hanging="224"/>
        <w:spacing w:after="0" w:line="278" w:lineRule="auto"/>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Biologic activity</w:t>
      </w:r>
      <w:r>
        <w:rPr>
          <w:rFonts w:ascii="Arial" w:cs="Arial" w:eastAsia="Arial" w:hAnsi="Arial"/>
          <w:sz w:val="18"/>
          <w:szCs w:val="18"/>
          <w:b w:val="1"/>
          <w:bCs w:val="1"/>
          <w:color w:val="auto"/>
        </w:rPr>
        <w:t>:</w:t>
      </w:r>
      <w:r>
        <w:rPr>
          <w:rFonts w:ascii="Arial" w:cs="Arial" w:eastAsia="Arial" w:hAnsi="Arial"/>
          <w:sz w:val="18"/>
          <w:szCs w:val="18"/>
          <w:color w:val="auto"/>
        </w:rPr>
        <w:t xml:space="preserve"> Effective delivery to targeted tissues, efficient transgene expression in targeted tissues, and/or resistance to neutralization by pre-existing antibodies</w:t>
      </w:r>
    </w:p>
    <w:p>
      <w:pPr>
        <w:spacing w:after="0" w:line="46" w:lineRule="exact"/>
        <w:rPr>
          <w:rFonts w:ascii="Arial" w:cs="Arial" w:eastAsia="Arial" w:hAnsi="Arial"/>
          <w:sz w:val="18"/>
          <w:szCs w:val="18"/>
          <w:color w:val="auto"/>
        </w:rPr>
      </w:pPr>
    </w:p>
    <w:p>
      <w:pPr>
        <w:ind w:left="880" w:right="120" w:hanging="224"/>
        <w:spacing w:after="0" w:line="278" w:lineRule="auto"/>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Routine routes of administration</w:t>
      </w:r>
      <w:r>
        <w:rPr>
          <w:rFonts w:ascii="Arial" w:cs="Arial" w:eastAsia="Arial" w:hAnsi="Arial"/>
          <w:sz w:val="18"/>
          <w:szCs w:val="18"/>
          <w:b w:val="1"/>
          <w:bCs w:val="1"/>
          <w:color w:val="auto"/>
        </w:rPr>
        <w:t>:</w:t>
      </w:r>
      <w:r>
        <w:rPr>
          <w:rFonts w:ascii="Arial" w:cs="Arial" w:eastAsia="Arial" w:hAnsi="Arial"/>
          <w:sz w:val="18"/>
          <w:szCs w:val="18"/>
          <w:color w:val="auto"/>
        </w:rPr>
        <w:t xml:space="preserve"> Routine, well-tolerated and minimally invasive routes of administration, including intravitreal, aerosol and intravenous delivery</w:t>
      </w:r>
    </w:p>
    <w:p>
      <w:pPr>
        <w:spacing w:after="0" w:line="48" w:lineRule="exact"/>
        <w:rPr>
          <w:rFonts w:ascii="Arial" w:cs="Arial" w:eastAsia="Arial" w:hAnsi="Arial"/>
          <w:sz w:val="18"/>
          <w:szCs w:val="18"/>
          <w:color w:val="auto"/>
        </w:rPr>
      </w:pPr>
    </w:p>
    <w:p>
      <w:pPr>
        <w:ind w:left="880" w:right="840" w:hanging="224"/>
        <w:spacing w:after="0" w:line="276" w:lineRule="auto"/>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Antibody resistance</w:t>
      </w:r>
      <w:r>
        <w:rPr>
          <w:rFonts w:ascii="Arial" w:cs="Arial" w:eastAsia="Arial" w:hAnsi="Arial"/>
          <w:sz w:val="18"/>
          <w:szCs w:val="18"/>
          <w:color w:val="auto"/>
        </w:rPr>
        <w:t>: Resistance to neutralization by pre-existing antibodies, translating into improved efficacy, larger addressable patient populations, and the potential for re-dosing</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00"/>
          </w:cols>
          <w:pgMar w:left="320" w:top="455" w:right="47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Product Candidate Pipeline</w:t>
      </w:r>
    </w:p>
    <w:p>
      <w:pPr>
        <w:spacing w:after="0" w:line="106" w:lineRule="exact"/>
        <w:rPr>
          <w:sz w:val="20"/>
          <w:szCs w:val="20"/>
          <w:color w:val="auto"/>
        </w:rPr>
      </w:pPr>
    </w:p>
    <w:p>
      <w:pPr>
        <w:ind w:left="120" w:firstLine="551"/>
        <w:spacing w:after="0" w:line="268" w:lineRule="auto"/>
        <w:rPr>
          <w:sz w:val="20"/>
          <w:szCs w:val="20"/>
          <w:color w:val="auto"/>
        </w:rPr>
      </w:pPr>
      <w:r>
        <w:rPr>
          <w:rFonts w:ascii="Arial" w:cs="Arial" w:eastAsia="Arial" w:hAnsi="Arial"/>
          <w:sz w:val="17"/>
          <w:szCs w:val="17"/>
          <w:color w:val="auto"/>
        </w:rPr>
        <w:t>We are developing a diverse pipeline of product candidates for both rare and large market diseases, including patient populations that other gene therapies are unable to address. Our initial product candidates are focused on the following therapeutic areas: ophthalmology, cardiology and pulmonology. Each of our product candidates leverages a targeted and evolved vector we invented through our Therapeutic Vector Evolution platform. Below is a summary of our product candidate pipeline and our next anticipated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-24765</wp:posOffset>
            </wp:positionV>
            <wp:extent cx="5074920" cy="21774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07492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00" w:hanging="90"/>
        <w:spacing w:after="0"/>
        <w:tabs>
          <w:tab w:leader="none" w:pos="400" w:val="left"/>
        </w:tabs>
        <w:numPr>
          <w:ilvl w:val="1"/>
          <w:numId w:val="89"/>
        </w:numPr>
        <w:rPr>
          <w:rFonts w:ascii="Arial" w:cs="Arial" w:eastAsia="Arial" w:hAnsi="Arial"/>
          <w:sz w:val="14"/>
          <w:szCs w:val="14"/>
          <w:i w:val="1"/>
          <w:iCs w:val="1"/>
          <w:color w:val="auto"/>
        </w:rPr>
      </w:pPr>
      <w:r>
        <w:rPr>
          <w:rFonts w:ascii="Arial" w:cs="Arial" w:eastAsia="Arial" w:hAnsi="Arial"/>
          <w:sz w:val="14"/>
          <w:szCs w:val="14"/>
          <w:i w:val="1"/>
          <w:iCs w:val="1"/>
          <w:color w:val="auto"/>
        </w:rPr>
        <w:t>4DMT is responsible for the development of this product candidate; Roche has an exclusive option to assume development and commercialization at its sole cost and</w:t>
      </w:r>
    </w:p>
    <w:p>
      <w:pPr>
        <w:spacing w:after="0" w:line="17" w:lineRule="exact"/>
        <w:rPr>
          <w:rFonts w:ascii="Arial" w:cs="Arial" w:eastAsia="Arial" w:hAnsi="Arial"/>
          <w:sz w:val="14"/>
          <w:szCs w:val="14"/>
          <w:i w:val="1"/>
          <w:iCs w:val="1"/>
          <w:color w:val="auto"/>
        </w:rPr>
      </w:pPr>
    </w:p>
    <w:p>
      <w:pPr>
        <w:ind w:left="3340"/>
        <w:spacing w:after="0"/>
        <w:rPr>
          <w:rFonts w:ascii="Arial" w:cs="Arial" w:eastAsia="Arial" w:hAnsi="Arial"/>
          <w:sz w:val="14"/>
          <w:szCs w:val="14"/>
          <w:i w:val="1"/>
          <w:iCs w:val="1"/>
          <w:color w:val="auto"/>
        </w:rPr>
      </w:pPr>
      <w:r>
        <w:rPr>
          <w:rFonts w:ascii="Arial" w:cs="Arial" w:eastAsia="Arial" w:hAnsi="Arial"/>
          <w:sz w:val="14"/>
          <w:szCs w:val="14"/>
          <w:i w:val="1"/>
          <w:iCs w:val="1"/>
          <w:color w:val="auto"/>
        </w:rPr>
        <w:t>expense. Such an option may be exercised prior to pivotal trial initiation.</w:t>
      </w:r>
    </w:p>
    <w:p>
      <w:pPr>
        <w:spacing w:after="0" w:line="1" w:lineRule="exact"/>
        <w:rPr>
          <w:rFonts w:ascii="Arial" w:cs="Arial" w:eastAsia="Arial" w:hAnsi="Arial"/>
          <w:sz w:val="14"/>
          <w:szCs w:val="14"/>
          <w:i w:val="1"/>
          <w:iCs w:val="1"/>
          <w:color w:val="auto"/>
        </w:rPr>
      </w:pPr>
    </w:p>
    <w:p>
      <w:pPr>
        <w:ind w:left="4120" w:hanging="123"/>
        <w:spacing w:after="0"/>
        <w:tabs>
          <w:tab w:leader="none" w:pos="4120" w:val="left"/>
        </w:tabs>
        <w:numPr>
          <w:ilvl w:val="2"/>
          <w:numId w:val="89"/>
        </w:numPr>
        <w:rPr>
          <w:rFonts w:ascii="Arial" w:cs="Arial" w:eastAsia="Arial" w:hAnsi="Arial"/>
          <w:sz w:val="14"/>
          <w:szCs w:val="14"/>
          <w:i w:val="1"/>
          <w:iCs w:val="1"/>
          <w:color w:val="auto"/>
        </w:rPr>
      </w:pPr>
      <w:r>
        <w:rPr>
          <w:rFonts w:ascii="Arial" w:cs="Arial" w:eastAsia="Arial" w:hAnsi="Arial"/>
          <w:sz w:val="14"/>
          <w:szCs w:val="14"/>
          <w:i w:val="1"/>
          <w:iCs w:val="1"/>
          <w:color w:val="auto"/>
        </w:rPr>
        <w:t>Reporting in coordination with our partner Roche.</w:t>
      </w:r>
    </w:p>
    <w:p>
      <w:pPr>
        <w:spacing w:after="0" w:line="1" w:lineRule="exact"/>
        <w:rPr>
          <w:rFonts w:ascii="Arial" w:cs="Arial" w:eastAsia="Arial" w:hAnsi="Arial"/>
          <w:sz w:val="14"/>
          <w:szCs w:val="14"/>
          <w:i w:val="1"/>
          <w:iCs w:val="1"/>
          <w:color w:val="auto"/>
        </w:rPr>
      </w:pPr>
    </w:p>
    <w:p>
      <w:pPr>
        <w:ind w:left="420" w:right="120" w:hanging="165"/>
        <w:spacing w:after="0" w:line="241" w:lineRule="auto"/>
        <w:tabs>
          <w:tab w:leader="none" w:pos="371" w:val="left"/>
        </w:tabs>
        <w:numPr>
          <w:ilvl w:val="0"/>
          <w:numId w:val="89"/>
        </w:numPr>
        <w:rPr>
          <w:rFonts w:ascii="Arial" w:cs="Arial" w:eastAsia="Arial" w:hAnsi="Arial"/>
          <w:sz w:val="14"/>
          <w:szCs w:val="14"/>
          <w:i w:val="1"/>
          <w:iCs w:val="1"/>
          <w:color w:val="auto"/>
        </w:rPr>
      </w:pPr>
      <w:r>
        <w:rPr>
          <w:rFonts w:ascii="Arial" w:cs="Arial" w:eastAsia="Arial" w:hAnsi="Arial"/>
          <w:sz w:val="14"/>
          <w:szCs w:val="14"/>
          <w:i w:val="1"/>
          <w:iCs w:val="1"/>
          <w:color w:val="auto"/>
        </w:rPr>
        <w:t>The Research stage involves (1) defining the Target Vector Profile then deploying Therapeutic Vector Evolution with our capsid libraries in non-human primates (NHPs) and using competitive selection to identify targeted and evolved vectors from our libraries that demonstrate the strongest match to the Target Vector Profile; then (2)</w:t>
      </w:r>
    </w:p>
    <w:p>
      <w:pPr>
        <w:spacing w:after="0" w:line="1" w:lineRule="exact"/>
        <w:rPr>
          <w:sz w:val="20"/>
          <w:szCs w:val="20"/>
          <w:color w:val="auto"/>
        </w:rPr>
      </w:pPr>
    </w:p>
    <w:p>
      <w:pPr>
        <w:jc w:val="center"/>
        <w:ind w:left="460" w:right="180"/>
        <w:spacing w:after="0" w:line="264" w:lineRule="auto"/>
        <w:rPr>
          <w:sz w:val="20"/>
          <w:szCs w:val="20"/>
          <w:color w:val="auto"/>
        </w:rPr>
      </w:pPr>
      <w:r>
        <w:rPr>
          <w:rFonts w:ascii="Arial" w:cs="Arial" w:eastAsia="Arial" w:hAnsi="Arial"/>
          <w:sz w:val="14"/>
          <w:szCs w:val="14"/>
          <w:i w:val="1"/>
          <w:iCs w:val="1"/>
          <w:color w:val="auto"/>
        </w:rPr>
        <w:t>optimizing our product candidates using the lead vector by conducting in vivo and in vitro evaluation of various transgene and promoter construct candidates in cell and animal models, and the selection of at least one product candidate to move forward into IND-enabling studies.</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Ophthalmology Pipeline: Intravitreal Product Candidates</w:t>
      </w:r>
    </w:p>
    <w:p>
      <w:pPr>
        <w:spacing w:after="0" w:line="104" w:lineRule="exact"/>
        <w:rPr>
          <w:sz w:val="20"/>
          <w:szCs w:val="20"/>
          <w:color w:val="auto"/>
        </w:rPr>
      </w:pPr>
    </w:p>
    <w:p>
      <w:pPr>
        <w:ind w:left="120" w:right="80" w:firstLine="551"/>
        <w:spacing w:after="0" w:line="255" w:lineRule="auto"/>
        <w:rPr>
          <w:sz w:val="20"/>
          <w:szCs w:val="20"/>
          <w:color w:val="auto"/>
        </w:rPr>
      </w:pPr>
      <w:r>
        <w:rPr>
          <w:rFonts w:ascii="Arial" w:cs="Arial" w:eastAsia="Arial" w:hAnsi="Arial"/>
          <w:sz w:val="18"/>
          <w:szCs w:val="18"/>
          <w:color w:val="auto"/>
        </w:rPr>
        <w:t>We are developing product candidates to treat tissues throughout the retina. Our targeted and evolved AAV vector, R100, was invented for routine intravitreal injection, leading to transgene expression across the entire surface area of the retina, and in the major cell layers of the retina.</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currently have four ophthalmology product candidates that utilize our proprietary intravitreal R100 vector:</w:t>
      </w:r>
    </w:p>
    <w:p>
      <w:pPr>
        <w:spacing w:after="0" w:line="117" w:lineRule="exact"/>
        <w:rPr>
          <w:sz w:val="20"/>
          <w:szCs w:val="20"/>
          <w:color w:val="auto"/>
        </w:rPr>
      </w:pPr>
    </w:p>
    <w:p>
      <w:pPr>
        <w:ind w:left="1300" w:right="120" w:hanging="644"/>
        <w:spacing w:after="0" w:line="248" w:lineRule="auto"/>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4D-125</w:t>
      </w:r>
      <w:r>
        <w:rPr>
          <w:rFonts w:ascii="Arial" w:cs="Arial" w:eastAsia="Arial" w:hAnsi="Arial"/>
          <w:sz w:val="18"/>
          <w:szCs w:val="18"/>
          <w:color w:val="auto"/>
        </w:rPr>
        <w:t xml:space="preserve">: 4D-125 is in an ongoing Phase 1/2 clinical trial in patients with XLRP due to mutations in the </w:t>
      </w:r>
      <w:r>
        <w:rPr>
          <w:rFonts w:ascii="Arial" w:cs="Arial" w:eastAsia="Arial" w:hAnsi="Arial"/>
          <w:sz w:val="18"/>
          <w:szCs w:val="18"/>
          <w:i w:val="1"/>
          <w:iCs w:val="1"/>
          <w:color w:val="auto"/>
        </w:rPr>
        <w:t>RPGR</w:t>
      </w:r>
      <w:r>
        <w:rPr>
          <w:rFonts w:ascii="Arial" w:cs="Arial" w:eastAsia="Arial" w:hAnsi="Arial"/>
          <w:sz w:val="18"/>
          <w:szCs w:val="18"/>
          <w:color w:val="auto"/>
        </w:rPr>
        <w:t xml:space="preserve"> gene. We are enrolling patients with a broad range of disease severity, including those earlier in the progression of their disease. We expect to report initial clinical data from this trial in 2021. We currently hold worldwide commercialization rights for 4D-125, and Roche holds an exclusive option to in-license the product prior to pivotal trial initiation.</w:t>
      </w:r>
    </w:p>
    <w:p>
      <w:pPr>
        <w:spacing w:after="0" w:line="75" w:lineRule="exact"/>
        <w:rPr>
          <w:rFonts w:ascii="Arial" w:cs="Arial" w:eastAsia="Arial" w:hAnsi="Arial"/>
          <w:sz w:val="18"/>
          <w:szCs w:val="18"/>
          <w:color w:val="auto"/>
        </w:rPr>
      </w:pPr>
    </w:p>
    <w:p>
      <w:pPr>
        <w:ind w:left="1300" w:right="140" w:hanging="644"/>
        <w:spacing w:after="0" w:line="248" w:lineRule="auto"/>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4D-110</w:t>
      </w:r>
      <w:r>
        <w:rPr>
          <w:rFonts w:ascii="Arial" w:cs="Arial" w:eastAsia="Arial" w:hAnsi="Arial"/>
          <w:sz w:val="18"/>
          <w:szCs w:val="18"/>
          <w:color w:val="auto"/>
        </w:rPr>
        <w:t>: 4D-110 is in an ongoing Phase 1 clinical trial in patients with choroideremia. We are enrolling patients with a broad range of disease severity, including those earlier in the progression of their disease. In coordination with our partner Roche, we expect to report initial clinical data from this trial in 2022. We licensed exclusive worldwide rights to 4D-110 to Roche.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300" w:right="480" w:hanging="644"/>
        <w:spacing w:after="0" w:line="255" w:lineRule="auto"/>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4D-150</w:t>
      </w:r>
      <w:r>
        <w:rPr>
          <w:rFonts w:ascii="Arial" w:cs="Arial" w:eastAsia="Arial" w:hAnsi="Arial"/>
          <w:sz w:val="18"/>
          <w:szCs w:val="18"/>
          <w:color w:val="auto"/>
        </w:rPr>
        <w:t>: 4D-150 is in IND-enabling preclinical development for wet AMD and diabetic retinopathy, two large market ophthalmology indications. We wholly own this product candidate. We expect to file an IND and to initiate a Phase 1/2 clinical trial for 4D-150 in the second half of 2021.</w:t>
      </w:r>
    </w:p>
    <w:p>
      <w:pPr>
        <w:spacing w:after="0" w:line="69" w:lineRule="exact"/>
        <w:rPr>
          <w:rFonts w:ascii="Arial" w:cs="Arial" w:eastAsia="Arial" w:hAnsi="Arial"/>
          <w:sz w:val="18"/>
          <w:szCs w:val="18"/>
          <w:color w:val="auto"/>
        </w:rPr>
      </w:pPr>
    </w:p>
    <w:p>
      <w:pPr>
        <w:ind w:left="1300" w:right="60" w:hanging="644"/>
        <w:spacing w:after="0" w:line="276" w:lineRule="auto"/>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4D-135</w:t>
      </w:r>
      <w:r>
        <w:rPr>
          <w:rFonts w:ascii="Arial" w:cs="Arial" w:eastAsia="Arial" w:hAnsi="Arial"/>
          <w:sz w:val="18"/>
          <w:szCs w:val="18"/>
          <w:color w:val="auto"/>
        </w:rPr>
        <w:t xml:space="preserve">: 4D-135 is in preclinical development for autosomal dominant retinitis pigmentosa (adRP) due to mutations in the </w:t>
      </w:r>
      <w:r>
        <w:rPr>
          <w:rFonts w:ascii="Arial" w:cs="Arial" w:eastAsia="Arial" w:hAnsi="Arial"/>
          <w:sz w:val="18"/>
          <w:szCs w:val="18"/>
          <w:i w:val="1"/>
          <w:iCs w:val="1"/>
          <w:color w:val="auto"/>
        </w:rPr>
        <w:t xml:space="preserve">RHO </w:t>
      </w:r>
      <w:r>
        <w:rPr>
          <w:rFonts w:ascii="Arial" w:cs="Arial" w:eastAsia="Arial" w:hAnsi="Arial"/>
          <w:sz w:val="18"/>
          <w:szCs w:val="18"/>
          <w:color w:val="auto"/>
        </w:rPr>
        <w:t>gene. We wholly own this product candidate. We expect to initiate IND-enabling studies for 4D-135 in 2021.</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Cardiology Pipeline: Intravenous Product Candidates</w:t>
      </w:r>
    </w:p>
    <w:p>
      <w:pPr>
        <w:spacing w:after="0" w:line="104"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color w:val="auto"/>
        </w:rPr>
        <w:t>With our cardiology product candidates, all of which are wholly owned, we plan to treat patient populations in both primary cardiomyopathies, that involve the heart only, as well as cardiomyopathies that are secondary to systemic diseases, such as lysosomal storage diseases. Our cardiology product candidates utilize our targeted and evolved AAV vector, C102, which was invented for routine low dose intravenous administration and delivery to the heart, leading to transgene expression in heart muscle cells throughout the organ. For lysosomal storage diseases involving the heart and other organs, including Fabry disease, our product candidates are designed for transgene expression both within the heart and in other targeted tissues.</w:t>
      </w:r>
    </w:p>
    <w:p>
      <w:pPr>
        <w:spacing w:after="0" w:line="174" w:lineRule="exact"/>
        <w:rPr>
          <w:sz w:val="20"/>
          <w:szCs w:val="20"/>
          <w:color w:val="auto"/>
        </w:rPr>
      </w:pPr>
    </w:p>
    <w:p>
      <w:pPr>
        <w:ind w:left="120" w:right="120" w:firstLine="551"/>
        <w:spacing w:after="0" w:line="248" w:lineRule="auto"/>
        <w:rPr>
          <w:sz w:val="20"/>
          <w:szCs w:val="20"/>
          <w:color w:val="auto"/>
        </w:rPr>
      </w:pPr>
      <w:r>
        <w:rPr>
          <w:rFonts w:ascii="Arial" w:cs="Arial" w:eastAsia="Arial" w:hAnsi="Arial"/>
          <w:sz w:val="18"/>
          <w:szCs w:val="18"/>
          <w:color w:val="auto"/>
        </w:rPr>
        <w:t>Our initial cardiology product candidate 4D-310 is in an ongoing Phase 1/2 clinical trial in adult patients with classic (severe) Fabry disease. 4D-310 is designed to address all critically affected organs, including the heart, kidney, and blood vessels through direct intracellular transgene expression. To our knowledge, 4D-310 is the only Fabry product candidate specifically designed to treat cardiomyocytes. We expect to report initial clinical data from this trial in 2021.</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Pulmonology Pipeline: Aerosol Delivery Product Candidates</w:t>
      </w:r>
    </w:p>
    <w:p>
      <w:pPr>
        <w:spacing w:after="0" w:line="104"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With our pulmonology product candidates, all of which are wholly owned, we plan to treat diseases that affect the lungs. Our pulmonology product candidates utilize our targeted and evolved vector, A101, which was invented for aerosol delivery to all major regions within the lung, including airways and alveoli, and successful penetration of the mucus barrier for transduction of lung airway cells, overcoming potential barriers such as pre-existing AAV antibodies and other inhibitory proteins within the mucus barrier. Our products utilizing A101 are designed for delivery as an aerosol to the lung epithelial cell surface resulting in efficient airway and alveolar cell transduction and transgene expression.</w:t>
      </w:r>
    </w:p>
    <w:p>
      <w:pPr>
        <w:spacing w:after="0" w:line="174" w:lineRule="exact"/>
        <w:rPr>
          <w:sz w:val="20"/>
          <w:szCs w:val="20"/>
          <w:color w:val="auto"/>
        </w:rPr>
      </w:pPr>
    </w:p>
    <w:p>
      <w:pPr>
        <w:ind w:left="120" w:right="300" w:firstLine="551"/>
        <w:spacing w:after="0" w:line="276" w:lineRule="auto"/>
        <w:rPr>
          <w:sz w:val="20"/>
          <w:szCs w:val="20"/>
          <w:color w:val="auto"/>
        </w:rPr>
      </w:pPr>
      <w:r>
        <w:rPr>
          <w:rFonts w:ascii="Arial" w:cs="Arial" w:eastAsia="Arial" w:hAnsi="Arial"/>
          <w:sz w:val="18"/>
          <w:szCs w:val="18"/>
          <w:color w:val="auto"/>
        </w:rPr>
        <w:t>Our initial pulmonology product candidate 4D-710 is in IND-enabling preclinical development for cystic fibrosis lung disease. We expect to file an IND and to initiate a Phase 1/2 clinical trial for 4D-710 in the second half of 2021.</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Team</w:t>
      </w:r>
    </w:p>
    <w:p>
      <w:pPr>
        <w:spacing w:after="0" w:line="106" w:lineRule="exact"/>
        <w:rPr>
          <w:sz w:val="20"/>
          <w:szCs w:val="20"/>
          <w:color w:val="auto"/>
        </w:rPr>
      </w:pPr>
    </w:p>
    <w:p>
      <w:pPr>
        <w:jc w:val="both"/>
        <w:ind w:left="120" w:right="120" w:firstLine="551"/>
        <w:spacing w:after="0" w:line="257" w:lineRule="auto"/>
        <w:rPr>
          <w:sz w:val="20"/>
          <w:szCs w:val="20"/>
          <w:color w:val="auto"/>
        </w:rPr>
      </w:pPr>
      <w:r>
        <w:rPr>
          <w:rFonts w:ascii="Arial" w:cs="Arial" w:eastAsia="Arial" w:hAnsi="Arial"/>
          <w:sz w:val="17"/>
          <w:szCs w:val="17"/>
          <w:color w:val="auto"/>
        </w:rPr>
        <w:t>Our experienced team consists of biotherapeutics developers, entrepreneurs, innovative gene therapy scientists and clinicians to execute our platform, product design and development and commercialization strategies. Collectively, our team has more than 100 years of combined experience in the field of viral vector gene therapy, including leadership of over 30 clinical trials from Phase 1 through Phase</w:t>
      </w:r>
    </w:p>
    <w:p>
      <w:pPr>
        <w:spacing w:after="0" w:line="2"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3 and product approval. We are led by our Chief Executive Officer and co-founder, David Kirn, M.D., who has over 25 years of experience creating and growing therapeutic platform companies, including viral vector gene therapy and oncolytic virus technologies, and advising on the design, preclinical translation and clinical development of viral vector gene therapeutics for leading life science companies, such as Onyx Pharmaceuticals, Novartis International AG, Pfizer Inc., Bayer AG and Biogen Inc. Our Executive Chairman, John Milligan, Ph.D., is the former CEO and President of Gilead Sciences, where he spent over 29 years scaling the company and commercializing numerous</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41" w:lineRule="auto"/>
        <w:rPr>
          <w:sz w:val="20"/>
          <w:szCs w:val="20"/>
          <w:color w:val="auto"/>
        </w:rPr>
      </w:pPr>
      <w:r>
        <w:rPr>
          <w:rFonts w:ascii="Arial" w:cs="Arial" w:eastAsia="Arial" w:hAnsi="Arial"/>
          <w:sz w:val="18"/>
          <w:szCs w:val="18"/>
          <w:color w:val="auto"/>
        </w:rPr>
        <w:t>transformative therapies across multiple disease areas. Our Chief Scientific Advisor and co-founder, David Schaffer, Ph.D., pioneered the application of directed evolution to the capsid of AAV vectors 20 years ago. Our Chief Operating Officer and Chief Technical Officer, Fred Kamal, Ph.D., has over 25 years of industry experience in product manufacturing and quality, including most recently with AveXis, Inc. where he was a key contributor to the development and biologics license application (BLA) for the AAV product Zolgensma (onasemnogene abeparvovec). Our Chief Medical Officer, Robert S. Fishman, M.D., brings over 20 years of clinical trial execution and product development expertise. Our board of directors also brings significant experience in biopharmaceutical commercial execution and strategic initiatives.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106" w:lineRule="exact"/>
        <w:rPr>
          <w:sz w:val="20"/>
          <w:szCs w:val="20"/>
          <w:color w:val="auto"/>
        </w:rPr>
      </w:pPr>
    </w:p>
    <w:p>
      <w:pPr>
        <w:ind w:left="120" w:right="200" w:firstLine="551"/>
        <w:spacing w:after="0" w:line="276" w:lineRule="auto"/>
        <w:rPr>
          <w:sz w:val="20"/>
          <w:szCs w:val="20"/>
          <w:color w:val="auto"/>
        </w:rPr>
      </w:pPr>
      <w:r>
        <w:rPr>
          <w:rFonts w:ascii="Arial" w:cs="Arial" w:eastAsia="Arial" w:hAnsi="Arial"/>
          <w:sz w:val="18"/>
          <w:szCs w:val="18"/>
          <w:color w:val="auto"/>
        </w:rPr>
        <w:t>Our vision is to unlock the full potential of gene therapy to address as many patient populations as possible in both rare and large market diseases. We have developed the following strategies and guiding principles to achieve our goals:</w:t>
      </w:r>
    </w:p>
    <w:p>
      <w:pPr>
        <w:spacing w:after="0" w:line="253" w:lineRule="exact"/>
        <w:rPr>
          <w:sz w:val="20"/>
          <w:szCs w:val="20"/>
          <w:color w:val="auto"/>
        </w:rPr>
      </w:pPr>
    </w:p>
    <w:p>
      <w:pPr>
        <w:ind w:left="120" w:right="180"/>
        <w:spacing w:after="0" w:line="285" w:lineRule="auto"/>
        <w:rPr>
          <w:sz w:val="20"/>
          <w:szCs w:val="20"/>
          <w:color w:val="auto"/>
        </w:rPr>
      </w:pPr>
      <w:r>
        <w:rPr>
          <w:rFonts w:ascii="Arial" w:cs="Arial" w:eastAsia="Arial" w:hAnsi="Arial"/>
          <w:sz w:val="18"/>
          <w:szCs w:val="18"/>
          <w:b w:val="1"/>
          <w:bCs w:val="1"/>
          <w:i w:val="1"/>
          <w:iCs w:val="1"/>
          <w:color w:val="auto"/>
        </w:rPr>
        <w:t>Invent targeted and evolved AAV vectors using the power of directed evolution to unlock the full potential of gene therapy with transformative gene therapy products</w:t>
      </w:r>
    </w:p>
    <w:p>
      <w:pPr>
        <w:spacing w:after="0" w:line="21"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color w:val="auto"/>
        </w:rPr>
        <w:t>Our Therapeutic Vector Evolution platform allows us to move beyond conventional AAV vectors and has enabled us to develop proprietary targeted and evolved vectors based on a Target Vector Profile for any set of diseases we strive to treat. This platform empowers us to select the best (or “fittest”) targeted and evolved vector, matching the Target Vector Profile for any set of related diseases, out of our 40 distinct libraries comprising approximately one billion synthetic capsid sequences. Our goal is to unlock the full potential of gene therapy by creating targeted gene therapies based on these vectors. As compared to gene therapy products utilizing conventional AAV vectors, we believe our targeted gene therapies, if approved, will enable treatment of broader patient populations within specific diseases, diseases currently not addressed by gene therapy and large market diseases.</w:t>
      </w:r>
    </w:p>
    <w:p>
      <w:pPr>
        <w:spacing w:after="0" w:line="287" w:lineRule="exact"/>
        <w:rPr>
          <w:sz w:val="20"/>
          <w:szCs w:val="20"/>
          <w:color w:val="auto"/>
        </w:rPr>
      </w:pPr>
    </w:p>
    <w:p>
      <w:pPr>
        <w:ind w:left="120" w:right="240"/>
        <w:spacing w:after="0" w:line="285" w:lineRule="auto"/>
        <w:rPr>
          <w:sz w:val="20"/>
          <w:szCs w:val="20"/>
          <w:color w:val="auto"/>
        </w:rPr>
      </w:pPr>
      <w:r>
        <w:rPr>
          <w:rFonts w:ascii="Arial" w:cs="Arial" w:eastAsia="Arial" w:hAnsi="Arial"/>
          <w:sz w:val="18"/>
          <w:szCs w:val="18"/>
          <w:b w:val="1"/>
          <w:bCs w:val="1"/>
          <w:i w:val="1"/>
          <w:iCs w:val="1"/>
          <w:color w:val="auto"/>
        </w:rPr>
        <w:t>Apply our modular product design and engineering to help inform the clinical development of subsequent product candidates using the same vectors used for prior product candidates</w:t>
      </w:r>
    </w:p>
    <w:p>
      <w:pPr>
        <w:spacing w:after="0" w:line="21" w:lineRule="exact"/>
        <w:rPr>
          <w:sz w:val="20"/>
          <w:szCs w:val="20"/>
          <w:color w:val="auto"/>
        </w:rPr>
      </w:pPr>
    </w:p>
    <w:p>
      <w:pPr>
        <w:jc w:val="both"/>
        <w:ind w:left="120" w:right="500" w:firstLine="551"/>
        <w:spacing w:after="0" w:line="243" w:lineRule="auto"/>
        <w:rPr>
          <w:sz w:val="20"/>
          <w:szCs w:val="20"/>
          <w:color w:val="auto"/>
        </w:rPr>
      </w:pPr>
      <w:r>
        <w:rPr>
          <w:rFonts w:ascii="Arial" w:cs="Arial" w:eastAsia="Arial" w:hAnsi="Arial"/>
          <w:sz w:val="18"/>
          <w:szCs w:val="18"/>
          <w:color w:val="auto"/>
        </w:rPr>
        <w:t>Our targeted gene therapy product candidates are modular, in that a single targeted and evolved vector can be equipped with different transgene payloads to enable treatment of multiple different diseases affecting the same tissue type(s). Our preclinical and clinical development will provide us with insights and clinical proof-of-concept for a given vector equipped with one transgene.</w:t>
      </w:r>
    </w:p>
    <w:p>
      <w:pPr>
        <w:spacing w:after="0" w:line="1" w:lineRule="exact"/>
        <w:rPr>
          <w:sz w:val="20"/>
          <w:szCs w:val="20"/>
          <w:color w:val="auto"/>
        </w:rPr>
      </w:pPr>
    </w:p>
    <w:p>
      <w:pPr>
        <w:ind w:left="120"/>
        <w:spacing w:after="0" w:line="250" w:lineRule="auto"/>
        <w:rPr>
          <w:sz w:val="20"/>
          <w:szCs w:val="20"/>
          <w:color w:val="auto"/>
        </w:rPr>
      </w:pPr>
      <w:r>
        <w:rPr>
          <w:rFonts w:ascii="Arial" w:cs="Arial" w:eastAsia="Arial" w:hAnsi="Arial"/>
          <w:sz w:val="18"/>
          <w:szCs w:val="18"/>
          <w:color w:val="auto"/>
        </w:rPr>
        <w:t>Development of subsequent product candidates could also be more efficient, as manufacturing, preclinical, clinical and regulatory activities will be guided by experience with preceding product candidates using the same vector.</w:t>
      </w:r>
    </w:p>
    <w:p>
      <w:pPr>
        <w:spacing w:after="0" w:line="276" w:lineRule="exact"/>
        <w:rPr>
          <w:sz w:val="20"/>
          <w:szCs w:val="20"/>
          <w:color w:val="auto"/>
        </w:rPr>
      </w:pPr>
    </w:p>
    <w:p>
      <w:pPr>
        <w:ind w:left="120" w:right="320"/>
        <w:spacing w:after="0" w:line="285" w:lineRule="auto"/>
        <w:rPr>
          <w:sz w:val="20"/>
          <w:szCs w:val="20"/>
          <w:color w:val="auto"/>
        </w:rPr>
      </w:pPr>
      <w:r>
        <w:rPr>
          <w:rFonts w:ascii="Arial" w:cs="Arial" w:eastAsia="Arial" w:hAnsi="Arial"/>
          <w:sz w:val="18"/>
          <w:szCs w:val="18"/>
          <w:b w:val="1"/>
          <w:bCs w:val="1"/>
          <w:i w:val="1"/>
          <w:iCs w:val="1"/>
          <w:color w:val="auto"/>
        </w:rPr>
        <w:t>Develop and commercialize a diverse portfolio of transformative gene therapy products in a broad range of therapeutic areas with significant unmet needs, including rare and large patient populations</w:t>
      </w:r>
    </w:p>
    <w:p>
      <w:pPr>
        <w:spacing w:after="0" w:line="21"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We are building a diverse portfolio of product candidates. We believe this diversity increases our likelihood of success in contrast to relying on a single vector or disease area as evidenced by our: (1) multiple proprietary vectors delivered by different routine, well-tolerated and minimally invasive routes of administration specific to the disease, (2) therapeutic area diversity including ophthalmology, cardiology and pulmonology; and (3) opportunity to address both rare and large patient populations not currently addressed with conventional AAV vectors. We seek to develop our wholly owned product candidates through market approval and to retain product marketing rights for key products, regions and strategic therapeutic areas.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5" w:right="45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20"/>
        <w:spacing w:after="0" w:line="260" w:lineRule="auto"/>
        <w:rPr>
          <w:sz w:val="20"/>
          <w:szCs w:val="20"/>
          <w:color w:val="auto"/>
        </w:rPr>
      </w:pPr>
      <w:r>
        <w:rPr>
          <w:rFonts w:ascii="Arial" w:cs="Arial" w:eastAsia="Arial" w:hAnsi="Arial"/>
          <w:sz w:val="18"/>
          <w:szCs w:val="18"/>
          <w:b w:val="1"/>
          <w:bCs w:val="1"/>
          <w:i w:val="1"/>
          <w:iCs w:val="1"/>
          <w:color w:val="auto"/>
        </w:rPr>
        <w:t>Build a fully integrated biopharmaceutical company by advancing our capabilities in product development and commercialization, and expanding our manufacturing facilities and internal proprietary Good Manufacturing Practice (GMP) capabilities</w:t>
      </w:r>
    </w:p>
    <w:p>
      <w:pPr>
        <w:spacing w:after="0" w:line="43" w:lineRule="exact"/>
        <w:rPr>
          <w:sz w:val="20"/>
          <w:szCs w:val="20"/>
          <w:color w:val="auto"/>
        </w:rPr>
      </w:pPr>
    </w:p>
    <w:p>
      <w:pPr>
        <w:ind w:left="120" w:right="260" w:firstLine="551"/>
        <w:spacing w:after="0" w:line="248" w:lineRule="auto"/>
        <w:rPr>
          <w:sz w:val="20"/>
          <w:szCs w:val="20"/>
          <w:color w:val="auto"/>
        </w:rPr>
      </w:pPr>
      <w:r>
        <w:rPr>
          <w:rFonts w:ascii="Arial" w:cs="Arial" w:eastAsia="Arial" w:hAnsi="Arial"/>
          <w:sz w:val="18"/>
          <w:szCs w:val="18"/>
          <w:color w:val="auto"/>
        </w:rPr>
        <w:t>To become a fully integrated biopharmaceutical company, we are building robust internal capabilities including translational and clinical research and development, regulatory affairs, manufacturing and quality which can mitigate operational risks, reduce costs, and increase product development control and speed. In the future we intend to build commercialization capabilities, including sales and marketing.</w:t>
      </w:r>
    </w:p>
    <w:p>
      <w:pPr>
        <w:spacing w:after="0" w:line="170"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We believe robust internal manufacturing capabilities are of particular importance in gene therapy due to the high complexity of producing these therapies. Our current in-house manufacturing capabilities include GMP manufacturing, production capabilities for IND-enabling GLP toxicology studies and research candidate production (upstream, downstream and fill/finish). We intend to further maximize the robustness and internal control of our manufacturing processes from discovery and process development through to clinical-grade cGMP manufacturing and to scale these capabilities to support later stage clinical programs and indications where clinical trials require more patients and/or higher intravenous doses. In the future we intend to build manufacturing capacity sufficient to support commercialization of any product candidates that are approved.</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Selectively execute strategic collaborations to maximize the potential value of our Therapeutic Vector Evolution platform</w:t>
      </w:r>
    </w:p>
    <w:p>
      <w:pPr>
        <w:spacing w:after="0" w:line="10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We intend to enter into patient advocacy foundation alliances and academic collaborations, and to evaluate potential strategic corporate partnerships. We believe that alliances with patient advocacy organizations, such as the Cystic Fibrosis Foundation, can be beneficial for funding, patient enrollment, regulatory strategy, product design and clinical development. In addition, we intend to further expand our enabling technologies and our intellectual property portfolio by pursuing new opportunities through our sponsored research agreements with our Chief Scientific Advisor Dr. Schaffer and U.C. Berkeley. We will continue to evaluate new opportunities to partner with biopharmaceutical companies that we believe enhance our ability to deliver value for stockholders and clinical benefits for patients.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Therapeutic Vector Evolution Platform</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 Therapy Successes and Limitations of Current Conventional Non-Targeted AAV Vectors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 Therapy Overview</w:t>
      </w:r>
    </w:p>
    <w:p>
      <w:pPr>
        <w:spacing w:after="0" w:line="102" w:lineRule="exact"/>
        <w:rPr>
          <w:sz w:val="20"/>
          <w:szCs w:val="20"/>
          <w:color w:val="auto"/>
        </w:rPr>
      </w:pPr>
    </w:p>
    <w:p>
      <w:pPr>
        <w:ind w:left="120" w:right="100" w:firstLine="551"/>
        <w:spacing w:after="0" w:line="263" w:lineRule="auto"/>
        <w:rPr>
          <w:sz w:val="20"/>
          <w:szCs w:val="20"/>
          <w:color w:val="auto"/>
        </w:rPr>
      </w:pPr>
      <w:r>
        <w:rPr>
          <w:rFonts w:ascii="Arial" w:cs="Arial" w:eastAsia="Arial" w:hAnsi="Arial"/>
          <w:sz w:val="17"/>
          <w:szCs w:val="17"/>
          <w:color w:val="auto"/>
        </w:rPr>
        <w:t xml:space="preserve">Gene therapy aims to address diseases caused by gene mutations and gene dysregulation. Gene therapies hold the promise of delivering transformative and durable benefit to the patient by addressing the underlying molecular root cause of genetic diseases, in many cases, by introducing a functional version of the patient’s defective gene into their own cells. Gene therapy has shown the potential to halt the progression of rare diseases, as well as to enable or restore critical human functions. Gene therapies may be delivered to their target cells either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or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and can be paired with other therapeutic approaches including cell therapy and gene editing.</w:t>
      </w:r>
    </w:p>
    <w:p>
      <w:pPr>
        <w:spacing w:after="0" w:line="157"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The transformative potential of gene therapy has been demonstrated across multiple rare disease areas. There has been significant progress over the last decade in the field of gene and cell therapies, including with AAV based gene therapy. Further, the number of companies developing gene and cell therapy products has increased significantly over the last five years. There are currently a number of approved viral vector gene therapy products, including Zynteglo, Zolgensma, Luxturna, Imlygic and Strimvelis.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00"/>
          </w:cols>
          <w:pgMar w:left="320" w:top="455" w:right="47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physical construct of gene therapies are comprised of two essential components:</w:t>
      </w:r>
    </w:p>
    <w:p>
      <w:pPr>
        <w:spacing w:after="0" w:line="117" w:lineRule="exact"/>
        <w:rPr>
          <w:sz w:val="20"/>
          <w:szCs w:val="20"/>
          <w:color w:val="auto"/>
        </w:rPr>
      </w:pPr>
    </w:p>
    <w:p>
      <w:pPr>
        <w:ind w:left="880" w:right="20" w:hanging="224"/>
        <w:spacing w:after="0" w:line="245" w:lineRule="auto"/>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Vector</w:t>
      </w:r>
      <w:r>
        <w:rPr>
          <w:rFonts w:ascii="Arial" w:cs="Arial" w:eastAsia="Arial" w:hAnsi="Arial"/>
          <w:sz w:val="18"/>
          <w:szCs w:val="18"/>
          <w:i w:val="1"/>
          <w:iCs w:val="1"/>
          <w:color w:val="auto"/>
        </w:rPr>
        <w:t>:</w:t>
      </w:r>
      <w:r>
        <w:rPr>
          <w:rFonts w:ascii="Arial" w:cs="Arial" w:eastAsia="Arial" w:hAnsi="Arial"/>
          <w:sz w:val="18"/>
          <w:szCs w:val="18"/>
          <w:color w:val="auto"/>
        </w:rPr>
        <w:t xml:space="preserve"> A vehicle that packages and delivers the promoter and transgene into the body and transports them through the protective cell membrane and ultimately into the cell nucleus. As a result, the vector plays an essential role in delivery and transduction, the process of guiding the transgene into the cell with subsequent expression of the transgene product. The vector is foundational to the potential safety and efficacy of gene therapies, as the vector is ideally relied on to deliver the promoter and transgene to the diseased cells safely and in sufficient quantities to result in clinical benefit.</w:t>
      </w:r>
    </w:p>
    <w:p>
      <w:pPr>
        <w:spacing w:after="0" w:line="77" w:lineRule="exact"/>
        <w:rPr>
          <w:rFonts w:ascii="Arial" w:cs="Arial" w:eastAsia="Arial" w:hAnsi="Arial"/>
          <w:sz w:val="18"/>
          <w:szCs w:val="18"/>
          <w:color w:val="auto"/>
        </w:rPr>
      </w:pPr>
    </w:p>
    <w:p>
      <w:pPr>
        <w:ind w:left="880" w:right="120" w:hanging="224"/>
        <w:spacing w:after="0" w:line="248" w:lineRule="auto"/>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Promoter and Transgene Payload</w:t>
      </w:r>
      <w:r>
        <w:rPr>
          <w:rFonts w:ascii="Arial" w:cs="Arial" w:eastAsia="Arial" w:hAnsi="Arial"/>
          <w:sz w:val="18"/>
          <w:szCs w:val="18"/>
          <w:i w:val="1"/>
          <w:iCs w:val="1"/>
          <w:color w:val="auto"/>
        </w:rPr>
        <w:t>:</w:t>
      </w:r>
      <w:r>
        <w:rPr>
          <w:rFonts w:ascii="Arial" w:cs="Arial" w:eastAsia="Arial" w:hAnsi="Arial"/>
          <w:sz w:val="18"/>
          <w:szCs w:val="18"/>
          <w:color w:val="auto"/>
        </w:rPr>
        <w:t xml:space="preserve"> The promoter is the DNA region that controls and initiates transcription of the transgene in the desired cell type(s), while the transgene is the functional gene intended to be delivered into the target cell and expressed at the RNA and/or protein levels. Examples include enzymes, structural proteins, cell surface protein receptors, antibodies, gene editing machinery and inhibitory RNA molecules.</w:t>
      </w:r>
    </w:p>
    <w:p>
      <w:pPr>
        <w:spacing w:after="0" w:line="172" w:lineRule="exact"/>
        <w:rPr>
          <w:sz w:val="20"/>
          <w:szCs w:val="20"/>
          <w:color w:val="auto"/>
        </w:rPr>
      </w:pPr>
    </w:p>
    <w:p>
      <w:pPr>
        <w:jc w:val="center"/>
        <w:ind w:left="480"/>
        <w:spacing w:after="0" w:line="254" w:lineRule="auto"/>
        <w:rPr>
          <w:sz w:val="20"/>
          <w:szCs w:val="20"/>
          <w:color w:val="auto"/>
        </w:rPr>
      </w:pPr>
      <w:r>
        <w:rPr>
          <w:rFonts w:ascii="Arial" w:cs="Arial" w:eastAsia="Arial" w:hAnsi="Arial"/>
          <w:sz w:val="18"/>
          <w:szCs w:val="18"/>
          <w:i w:val="1"/>
          <w:iCs w:val="1"/>
          <w:color w:val="auto"/>
        </w:rPr>
        <w:t>Generalized components of an AAV gene therapy include the vector and a therapeutic payload consisting of DNA encoding a promoter, transgene, polyadenylated (pA) tail for stability, and inverted terminal repeats (ITR) to support packaging and other functionality within the target cell.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135890</wp:posOffset>
            </wp:positionV>
            <wp:extent cx="2383155" cy="19291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383155"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Key Challenges with Conventional AAV Vectors</w:t>
      </w:r>
    </w:p>
    <w:p>
      <w:pPr>
        <w:spacing w:after="0" w:line="102" w:lineRule="exact"/>
        <w:rPr>
          <w:sz w:val="20"/>
          <w:szCs w:val="20"/>
          <w:color w:val="auto"/>
        </w:rPr>
      </w:pPr>
    </w:p>
    <w:p>
      <w:pPr>
        <w:ind w:left="120" w:right="100" w:firstLine="551"/>
        <w:spacing w:after="0" w:line="241" w:lineRule="auto"/>
        <w:rPr>
          <w:sz w:val="20"/>
          <w:szCs w:val="20"/>
          <w:color w:val="auto"/>
        </w:rPr>
      </w:pPr>
      <w:r>
        <w:rPr>
          <w:rFonts w:ascii="Arial" w:cs="Arial" w:eastAsia="Arial" w:hAnsi="Arial"/>
          <w:sz w:val="18"/>
          <w:szCs w:val="18"/>
          <w:color w:val="auto"/>
        </w:rPr>
        <w:t>The fundamental gene therapy components used in current gene therapy candidates originated largely from academia, some as early as the 1960s, with limited improvements since their discovery. The majority of AAV gene therapy companies use conventional AAV vectors that are comprised of naturally occurring AAV capsids (protein shells) of a few specific subtypes, including AAV1, AAV2, AAV5, AAV8, AAV9, AAVhu68, AAVrh10, and AAVrh74. In some cases, minor changes have been made to these naturally occurring, non-targeted capsids in an attempt to enhance non-specific transduction. While gene therapy holds tremendous promise as a transformative therapeutic class, the demonstrated hurdles with conventional AAV vectors may limit the diseases and patient populations that can be effectively addressed.</w:t>
      </w:r>
    </w:p>
    <w:p>
      <w:pPr>
        <w:spacing w:after="0" w:line="179" w:lineRule="exact"/>
        <w:rPr>
          <w:sz w:val="20"/>
          <w:szCs w:val="20"/>
          <w:color w:val="auto"/>
        </w:rPr>
      </w:pPr>
    </w:p>
    <w:p>
      <w:pPr>
        <w:ind w:left="120" w:right="100" w:firstLine="551"/>
        <w:spacing w:after="0" w:line="276" w:lineRule="auto"/>
        <w:rPr>
          <w:sz w:val="20"/>
          <w:szCs w:val="20"/>
          <w:color w:val="auto"/>
        </w:rPr>
      </w:pPr>
      <w:r>
        <w:rPr>
          <w:rFonts w:ascii="Arial" w:cs="Arial" w:eastAsia="Arial" w:hAnsi="Arial"/>
          <w:sz w:val="18"/>
          <w:szCs w:val="18"/>
          <w:color w:val="auto"/>
        </w:rPr>
        <w:t>We believe that there are four fundamental challenges that hinder gene therapies that utilize conventional AAV vectors which may adversely impact their product safety, efficacy and commercial potential:</w:t>
      </w:r>
    </w:p>
    <w:p>
      <w:pPr>
        <w:spacing w:after="0" w:line="50" w:lineRule="exact"/>
        <w:rPr>
          <w:sz w:val="20"/>
          <w:szCs w:val="20"/>
          <w:color w:val="auto"/>
        </w:rPr>
      </w:pPr>
    </w:p>
    <w:p>
      <w:pPr>
        <w:ind w:left="1300" w:right="200" w:hanging="644"/>
        <w:spacing w:after="0" w:line="276" w:lineRule="auto"/>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Lack of effective delivery to desired target tissues and/or cell types due to physical barriers</w:t>
      </w:r>
      <w:r>
        <w:rPr>
          <w:rFonts w:ascii="Arial" w:cs="Arial" w:eastAsia="Arial" w:hAnsi="Arial"/>
          <w:sz w:val="18"/>
          <w:szCs w:val="18"/>
          <w:i w:val="1"/>
          <w:iCs w:val="1"/>
          <w:color w:val="auto"/>
        </w:rPr>
        <w:t>:</w:t>
      </w:r>
      <w:r>
        <w:rPr>
          <w:rFonts w:ascii="Arial" w:cs="Arial" w:eastAsia="Arial" w:hAnsi="Arial"/>
          <w:sz w:val="18"/>
          <w:szCs w:val="18"/>
          <w:color w:val="auto"/>
        </w:rPr>
        <w:t xml:space="preserve"> Conventional AAV vectors have not been engineered to circumvent natural</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80"/>
          </w:cols>
          <w:pgMar w:left="320" w:top="455" w:right="49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320"/>
        <w:spacing w:after="0" w:line="245" w:lineRule="auto"/>
        <w:rPr>
          <w:sz w:val="20"/>
          <w:szCs w:val="20"/>
          <w:color w:val="auto"/>
        </w:rPr>
      </w:pPr>
      <w:r>
        <w:rPr>
          <w:rFonts w:ascii="Arial" w:cs="Arial" w:eastAsia="Arial" w:hAnsi="Arial"/>
          <w:sz w:val="18"/>
          <w:szCs w:val="18"/>
          <w:color w:val="auto"/>
        </w:rPr>
        <w:t>barriers to viral vector delivery by various routes of delivery, such as the inner-limiting membrane of the retina or clearance by the liver, and they are not targeted to specific tissues or cells. As a result, products using these vectors may require suboptimal delivery mechanisms, such as subretinal injection compared with intravitreal dosing, or high doses, such as with intravenous administration for the treatment of muscle diseases, to achieve therapeutic benefit. These strategies may result in toxicities and even patient deaths, as well as commercialization challenges.</w:t>
      </w:r>
    </w:p>
    <w:p>
      <w:pPr>
        <w:spacing w:after="0" w:line="78" w:lineRule="exact"/>
        <w:rPr>
          <w:sz w:val="20"/>
          <w:szCs w:val="20"/>
          <w:color w:val="auto"/>
        </w:rPr>
      </w:pPr>
    </w:p>
    <w:p>
      <w:pPr>
        <w:ind w:left="1300" w:right="280" w:hanging="644"/>
        <w:spacing w:after="0" w:line="245" w:lineRule="auto"/>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Lack of efficient transduction and transgene expression from target cells</w:t>
      </w:r>
      <w:r>
        <w:rPr>
          <w:rFonts w:ascii="Arial" w:cs="Arial" w:eastAsia="Arial" w:hAnsi="Arial"/>
          <w:sz w:val="18"/>
          <w:szCs w:val="18"/>
          <w:i w:val="1"/>
          <w:iCs w:val="1"/>
          <w:color w:val="auto"/>
        </w:rPr>
        <w:t>:</w:t>
      </w:r>
      <w:r>
        <w:rPr>
          <w:rFonts w:ascii="Arial" w:cs="Arial" w:eastAsia="Arial" w:hAnsi="Arial"/>
          <w:sz w:val="18"/>
          <w:szCs w:val="18"/>
          <w:color w:val="auto"/>
        </w:rPr>
        <w:t xml:space="preserve"> To yield therapeutic benefit, the vector must efficiently deliver its transgene from the cell surface into the target cell nucleus, resulting in subsequent therapeutic transgene expression within the cell. Conventional AAV vectors are not engineered for efficient transduction of specific target cells. As a consequence, conventional AAV vectors may be associated with inefficient transduction and transgene expression which would limit efficacy.</w:t>
      </w:r>
    </w:p>
    <w:p>
      <w:pPr>
        <w:spacing w:after="0" w:line="77" w:lineRule="exact"/>
        <w:rPr>
          <w:rFonts w:ascii="Arial" w:cs="Arial" w:eastAsia="Arial" w:hAnsi="Arial"/>
          <w:sz w:val="18"/>
          <w:szCs w:val="18"/>
          <w:color w:val="auto"/>
        </w:rPr>
      </w:pPr>
    </w:p>
    <w:p>
      <w:pPr>
        <w:ind w:left="1300" w:right="20" w:hanging="644"/>
        <w:spacing w:after="0"/>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Potential to cause toxicity due to inflammation</w:t>
      </w:r>
      <w:r>
        <w:rPr>
          <w:rFonts w:ascii="Arial" w:cs="Arial" w:eastAsia="Arial" w:hAnsi="Arial"/>
          <w:sz w:val="18"/>
          <w:szCs w:val="18"/>
          <w:i w:val="1"/>
          <w:iCs w:val="1"/>
          <w:color w:val="auto"/>
        </w:rPr>
        <w:t>:</w:t>
      </w:r>
      <w:r>
        <w:rPr>
          <w:rFonts w:ascii="Arial" w:cs="Arial" w:eastAsia="Arial" w:hAnsi="Arial"/>
          <w:sz w:val="18"/>
          <w:szCs w:val="18"/>
          <w:color w:val="auto"/>
        </w:rPr>
        <w:t xml:space="preserve"> Conventional AAV vectors have been associated with inflammation-related toxicities in some patients. Potential contributing factors may include the lack of specificity with current conventional AAV vectors, the high intravenous doses required for delivery to target tissues systemically, and the ability of these conventional AAV vectors to transduce immune cells. For example, intravenous gene therapy programs in patients with DMD using doses of 2E14-3E14 vg/kg have been associated with acute inflammation and transient kidney dysfunction resulting in intermittent clinical holds from the FDA. Another high dose intravenous gene therapy program utilizing a conventional AAV vector, for patients with X-linked myotubular myopathy, resulted in serious adverse events including three patient deaths.</w:t>
      </w:r>
    </w:p>
    <w:p>
      <w:pPr>
        <w:spacing w:after="0" w:line="292" w:lineRule="exact"/>
        <w:rPr>
          <w:rFonts w:ascii="Arial" w:cs="Arial" w:eastAsia="Arial" w:hAnsi="Arial"/>
          <w:sz w:val="18"/>
          <w:szCs w:val="18"/>
          <w:color w:val="auto"/>
        </w:rPr>
      </w:pPr>
    </w:p>
    <w:p>
      <w:pPr>
        <w:ind w:left="1300" w:right="20" w:hanging="644"/>
        <w:spacing w:after="0" w:line="263" w:lineRule="auto"/>
        <w:tabs>
          <w:tab w:leader="none" w:pos="1300"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Neutralization by pre-existing antibodies</w:t>
      </w:r>
      <w:r>
        <w:rPr>
          <w:rFonts w:ascii="Arial" w:cs="Arial" w:eastAsia="Arial" w:hAnsi="Arial"/>
          <w:sz w:val="17"/>
          <w:szCs w:val="17"/>
          <w:i w:val="1"/>
          <w:iCs w:val="1"/>
          <w:color w:val="auto"/>
        </w:rPr>
        <w:t>:</w:t>
      </w:r>
      <w:r>
        <w:rPr>
          <w:rFonts w:ascii="Arial" w:cs="Arial" w:eastAsia="Arial" w:hAnsi="Arial"/>
          <w:sz w:val="17"/>
          <w:szCs w:val="17"/>
          <w:color w:val="auto"/>
        </w:rPr>
        <w:t xml:space="preserve"> The human immune system has evolved to fight viruses, including conventional AAVs which are present in nature. Widespread exposure to these conventional AAVs has resulted in neutralizing antibodies in approximately 30% to 70% of the population depending on the vector serotype and patient population. These antibodies to conventional AAV vectors can limit gene therapy efficacy and the addressable patient population. In addition, re-dosing with the same conventional AAV vector is generally not feasible given the induction of neutralizing antibodies to the vector.</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Solution: Evolved Vectors for Targeted Gene Therapy</w:t>
      </w:r>
    </w:p>
    <w:p>
      <w:pPr>
        <w:spacing w:after="0" w:line="104"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We are pioneering the development of targeted gene therapies based on our targeted and evolved vectors. Using our Therapeutic Vector Evolution platform, we invent targeted and evolved vectors that are designed to address specific diseases and their associated tissue(s). We believe our proprietary vectors will allow us to overcome known limitations of conventional AAV vectors, and to potentially address a broad range of both rare and large patient populations that cannot be addressed with conventional vectors. Based on our Target Vector Profile for a set of diseases, we select vectors in NHPs from our 40 distinct libraries made up of approximately one billion synthetic capsid sequences. Subsequently, we characterize and evaluate a lead targeted and evolved vector for delivery and transgene expression through extensive studies in NHP and human cell and organotypic tissue assays.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left="520"/>
        <w:spacing w:after="0" w:line="254" w:lineRule="auto"/>
        <w:rPr>
          <w:sz w:val="20"/>
          <w:szCs w:val="20"/>
          <w:color w:val="auto"/>
        </w:rPr>
      </w:pPr>
      <w:r>
        <w:rPr>
          <w:rFonts w:ascii="Arial" w:cs="Arial" w:eastAsia="Arial" w:hAnsi="Arial"/>
          <w:sz w:val="18"/>
          <w:szCs w:val="18"/>
          <w:i w:val="1"/>
          <w:iCs w:val="1"/>
          <w:color w:val="auto"/>
        </w:rPr>
        <w:t>The first step in directed evolution is to generate massive genetic diversity. Starting with the genomes of multiple naturally occurring AAV variants, and their ancestral predecessors, we employ numerous molecular biology techniques to create our 40 distinct libraries comprising approximately one billion synthetic capsid 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135890</wp:posOffset>
            </wp:positionV>
            <wp:extent cx="5092065" cy="22205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092065" cy="222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left="520" w:right="40"/>
        <w:spacing w:after="0" w:line="244" w:lineRule="auto"/>
        <w:rPr>
          <w:sz w:val="20"/>
          <w:szCs w:val="20"/>
          <w:color w:val="auto"/>
        </w:rPr>
      </w:pPr>
      <w:r>
        <w:rPr>
          <w:rFonts w:ascii="Arial" w:cs="Arial" w:eastAsia="Arial" w:hAnsi="Arial"/>
          <w:sz w:val="18"/>
          <w:szCs w:val="18"/>
          <w:i w:val="1"/>
          <w:iCs w:val="1"/>
          <w:color w:val="auto"/>
        </w:rPr>
        <w:t>Starting with our 40 distinct libraries comprising approximately one billion synthetic capsid sequences, we conduct Therapeutic Vector Evolution, including competitive selection, to identify targeted and evolved vectors that fit a Target Vector Profile. The illustration below highlights the Target Vector Profile design and subsequent selection process whereby competitive pressure is applied over a varying number of selection rounds for each program. Capsids with the best fitness for the Target Vector Profile are enriched at each round and are designated lead vectors.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142240</wp:posOffset>
            </wp:positionV>
            <wp:extent cx="5143500" cy="27857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40"/>
          </w:cols>
          <w:pgMar w:left="320" w:top="455" w:right="53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Key Design Features of Our Targeted and Evolved Vectors</w:t>
      </w:r>
    </w:p>
    <w:p>
      <w:pPr>
        <w:spacing w:after="0" w:line="102" w:lineRule="exact"/>
        <w:rPr>
          <w:sz w:val="20"/>
          <w:szCs w:val="20"/>
          <w:color w:val="auto"/>
        </w:rPr>
      </w:pPr>
    </w:p>
    <w:p>
      <w:pPr>
        <w:ind w:left="120" w:right="300" w:firstLine="551"/>
        <w:spacing w:after="0" w:line="276" w:lineRule="auto"/>
        <w:rPr>
          <w:sz w:val="20"/>
          <w:szCs w:val="20"/>
          <w:color w:val="auto"/>
        </w:rPr>
      </w:pPr>
      <w:r>
        <w:rPr>
          <w:rFonts w:ascii="Arial" w:cs="Arial" w:eastAsia="Arial" w:hAnsi="Arial"/>
          <w:sz w:val="18"/>
          <w:szCs w:val="18"/>
          <w:color w:val="auto"/>
        </w:rPr>
        <w:t>Through our proprietary Therapeutic Vector Evolution platform, we invent targeted and evolved vectors that we believe have the potential to display superiority to conventional AAV vectors with respect to four key design features:</w:t>
      </w:r>
    </w:p>
    <w:p>
      <w:pPr>
        <w:spacing w:after="0" w:line="50" w:lineRule="exact"/>
        <w:rPr>
          <w:sz w:val="20"/>
          <w:szCs w:val="20"/>
          <w:color w:val="auto"/>
        </w:rPr>
      </w:pPr>
    </w:p>
    <w:p>
      <w:pPr>
        <w:ind w:left="880" w:hanging="224"/>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Targeted delivery to specific tissues by routine, well-tolerated and minimally invasive routes of administration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Improved transduction of target cell types and tissues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Lower toxicity with reduced inflammation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Ability to resist neutralization by pre-existing antibodies in humans</w:t>
      </w:r>
    </w:p>
    <w:p>
      <w:pPr>
        <w:spacing w:after="0" w:line="212" w:lineRule="exact"/>
        <w:rPr>
          <w:sz w:val="20"/>
          <w:szCs w:val="20"/>
          <w:color w:val="auto"/>
        </w:rPr>
      </w:pPr>
    </w:p>
    <w:p>
      <w:pPr>
        <w:ind w:left="120" w:right="140" w:firstLine="551"/>
        <w:spacing w:after="0" w:line="248" w:lineRule="auto"/>
        <w:rPr>
          <w:sz w:val="20"/>
          <w:szCs w:val="20"/>
          <w:color w:val="auto"/>
        </w:rPr>
      </w:pPr>
      <w:r>
        <w:rPr>
          <w:rFonts w:ascii="Arial" w:cs="Arial" w:eastAsia="Arial" w:hAnsi="Arial"/>
          <w:sz w:val="18"/>
          <w:szCs w:val="18"/>
          <w:color w:val="auto"/>
        </w:rPr>
        <w:t xml:space="preserve">As shown below, we have generated animal proof-of-concept data in both NHP and knock-out mouse disease models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in human cells </w:t>
      </w:r>
      <w:r>
        <w:rPr>
          <w:rFonts w:ascii="Arial" w:cs="Arial" w:eastAsia="Arial" w:hAnsi="Arial"/>
          <w:sz w:val="18"/>
          <w:szCs w:val="18"/>
          <w:i w:val="1"/>
          <w:iCs w:val="1"/>
          <w:color w:val="auto"/>
        </w:rPr>
        <w:t>in vitro</w:t>
      </w:r>
      <w:r>
        <w:rPr>
          <w:rFonts w:ascii="Arial" w:cs="Arial" w:eastAsia="Arial" w:hAnsi="Arial"/>
          <w:sz w:val="18"/>
          <w:szCs w:val="18"/>
          <w:color w:val="auto"/>
        </w:rPr>
        <w:t>, that we believe provide evidence regarding the potential for our targeted and evolved vectors to show superiority over conventional AAV vectors. Our goal is to develop products that are safer, more efficacious, administered at lower doses, more efficiently manufactured, and, if approved, more effectively commercialized.</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Targeted Delivery to, and Transduction of, Specific Tissues by Routine Clinical Routes of Administration</w:t>
      </w:r>
    </w:p>
    <w:p>
      <w:pPr>
        <w:spacing w:after="0" w:line="102" w:lineRule="exact"/>
        <w:rPr>
          <w:sz w:val="20"/>
          <w:szCs w:val="20"/>
          <w:color w:val="auto"/>
        </w:rPr>
      </w:pPr>
    </w:p>
    <w:p>
      <w:pPr>
        <w:ind w:left="120" w:right="260" w:firstLine="551"/>
        <w:spacing w:after="0" w:line="276" w:lineRule="auto"/>
        <w:rPr>
          <w:sz w:val="20"/>
          <w:szCs w:val="20"/>
          <w:color w:val="auto"/>
        </w:rPr>
      </w:pPr>
      <w:r>
        <w:rPr>
          <w:rFonts w:ascii="Arial" w:cs="Arial" w:eastAsia="Arial" w:hAnsi="Arial"/>
          <w:sz w:val="18"/>
          <w:szCs w:val="18"/>
          <w:color w:val="auto"/>
        </w:rPr>
        <w:t>We select targeted and evolved vectors that are administered through what we believe to be the optimal method of delivery for a particular disease, with the goal of circumventing physical barriers en route to specific tissues or cell types in the body.</w:t>
      </w:r>
    </w:p>
    <w:p>
      <w:pPr>
        <w:spacing w:after="0" w:line="145"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 xml:space="preserve">In our first example of targeted delivery in NHPs </w:t>
      </w:r>
      <w:r>
        <w:rPr>
          <w:rFonts w:ascii="Arial" w:cs="Arial" w:eastAsia="Arial" w:hAnsi="Arial"/>
          <w:sz w:val="18"/>
          <w:szCs w:val="18"/>
          <w:i w:val="1"/>
          <w:iCs w:val="1"/>
          <w:color w:val="auto"/>
        </w:rPr>
        <w:t>in vivo</w:t>
      </w:r>
      <w:r>
        <w:rPr>
          <w:rFonts w:ascii="Arial" w:cs="Arial" w:eastAsia="Arial" w:hAnsi="Arial"/>
          <w:sz w:val="18"/>
          <w:szCs w:val="18"/>
          <w:color w:val="auto"/>
        </w:rPr>
        <w:t>, our targeted and evolved vector for the retina, R100, was invented for intravitreal administration. We believe intravitreal injection is the optimal route of gene therapy administration for the retina, as evidenced by widespread use of approved intravitreally administered biologics, that generate over $9.7 billion in annual global sales for the treatment of wet AMD, diabetic retinopathy and related diseases. The R100 vector is leveraged in modular fashion for use in all four of our current ophthalmology product candidates: 4D-110, 4D-125, 4D-135 and 4D-150. Conventional AAV capsid vectors such as AAV2 are not able to reach retinal cells effectively following intravitreal injection due to barriers such as the inner-limiting membrane barrier between the vitreous and target retinal cells. As a result, gene therapies utilizing conventional vectors have relied on delivery by subretinal surgery. This is a complex procedure that requires highly-specialized retinal surgeons to perform surgery in an operating room setting, and results in a bleb of fluid within a detached area of retina that comprises less than 1% of the total retina surface, based on published data. Potential complications include retinal tears and retinal detachments.</w:t>
      </w:r>
    </w:p>
    <w:p>
      <w:pPr>
        <w:spacing w:after="0" w:line="180"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In contrast, in preclinical studies intravitreal R100 transduced the entire retinal surface area and a high percentage of cells in all layers of the retina, including photoreceptors and retinal pigment epithelial (RPE) cells in NHP. Of note, the ocular anatomy and physiology in NHPs closely mirrors that of humans. We therefore believe our products designed and engineered with R100 have potential tolerability, biologic activity and commercial advantages compared with product candidates that require subretinal surgical injection.</w:t>
      </w:r>
    </w:p>
    <w:p>
      <w:pPr>
        <w:spacing w:after="0" w:line="170" w:lineRule="exact"/>
        <w:rPr>
          <w:sz w:val="20"/>
          <w:szCs w:val="20"/>
          <w:color w:val="auto"/>
        </w:rPr>
      </w:pPr>
    </w:p>
    <w:p>
      <w:pPr>
        <w:ind w:left="120" w:right="160" w:firstLine="551"/>
        <w:spacing w:after="0" w:line="248" w:lineRule="auto"/>
        <w:rPr>
          <w:sz w:val="20"/>
          <w:szCs w:val="20"/>
          <w:color w:val="auto"/>
        </w:rPr>
      </w:pPr>
      <w:r>
        <w:rPr>
          <w:rFonts w:ascii="Arial" w:cs="Arial" w:eastAsia="Arial" w:hAnsi="Arial"/>
          <w:sz w:val="18"/>
          <w:szCs w:val="18"/>
          <w:color w:val="auto"/>
        </w:rPr>
        <w:t>Structure-function studies suggested that the potential of R100 to penetrate through the inner-limiting membrane barrier may be associated with reduced binding to heparan sulfate, which is a major component of the barrier. R100 subsequently binds and transduces target retinal cells at higher efficiency than the conventional AAV2 vector. The improved transduction was associated with enhanced binding to sialic acid on the target cells.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Target Vector Profile for R100 intravitreal delivery to the retina:</w:t>
      </w:r>
    </w:p>
    <w:p>
      <w:pPr>
        <w:spacing w:after="0" w:line="212" w:lineRule="exact"/>
        <w:rPr>
          <w:sz w:val="20"/>
          <w:szCs w:val="20"/>
          <w:color w:val="auto"/>
        </w:rPr>
      </w:pPr>
    </w:p>
    <w:p>
      <w:pPr>
        <w:jc w:val="center"/>
        <w:ind w:left="440"/>
        <w:spacing w:after="0"/>
        <w:rPr>
          <w:sz w:val="20"/>
          <w:szCs w:val="20"/>
          <w:color w:val="auto"/>
        </w:rPr>
      </w:pPr>
      <w:r>
        <w:rPr>
          <w:rFonts w:ascii="Arial" w:cs="Arial" w:eastAsia="Arial" w:hAnsi="Arial"/>
          <w:sz w:val="18"/>
          <w:szCs w:val="18"/>
          <w:i w:val="1"/>
          <w:iCs w:val="1"/>
          <w:color w:val="auto"/>
        </w:rPr>
        <w:t>Following intravitreal injection, conventional AAV vectors (top panel) such as AAV2 are not able to reach retinal cells effectively due to barriers such as the inner-limiting membrane barrier between the vitreous and target retinal cells. R100 administered by intravitreal injection (bottom panel) was able to penetrate through these barriers to transduce the entire retinal surface area when administered to NHP. A high percentage of cells was subsequently transduced in all layers of the retina, including photoreceptors and retinal pigment epithelial (RPE) cells. Structure-function studies suggest that the potential of R100 to penetrate through barriers such as the inner-limiting membrane barrier was associated with reduced binding to heparan sulfate. R100 subsequently bound and transduced target retinal cells at higher efficiency than the conventional AAV2 capsid. This improved transduction was associated with enhanced binding to sialic acid on the target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144780</wp:posOffset>
            </wp:positionV>
            <wp:extent cx="5151755" cy="55803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51755" cy="558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5" w:right="45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left="480"/>
        <w:spacing w:after="0" w:line="241" w:lineRule="auto"/>
        <w:rPr>
          <w:sz w:val="20"/>
          <w:szCs w:val="20"/>
          <w:color w:val="auto"/>
        </w:rPr>
      </w:pPr>
      <w:r>
        <w:rPr>
          <w:rFonts w:ascii="Arial" w:cs="Arial" w:eastAsia="Arial" w:hAnsi="Arial"/>
          <w:sz w:val="18"/>
          <w:szCs w:val="18"/>
          <w:i w:val="1"/>
          <w:iCs w:val="1"/>
          <w:color w:val="auto"/>
        </w:rPr>
        <w:t>The subretinal surgical injection route of administration with conventional AAV vectors resulted in delivery to a limited bleb area of the retina (top panel, dotted line), leaving the vast majority of the retina untreated; according to published data bleb coverage was &lt;1% of the retina with subretinal injection. Within this bleb, viable retinal cells were transduced (top panel, colorized area). The intravitreal route of administration with conventional vector AAV2 resulted in a small area of transduction around the fovea due to interference across the retina by the inner limiting membrane (ILM) (center panel, colorized ring). By contrast, intravitreal injection route of administration with our targeted and evolved vector, R100, resulted in transduction across the entire surface area of the retina, including the major cell layers of the retina (bottom panel, colorized area) in NHP.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220980</wp:posOffset>
            </wp:positionV>
            <wp:extent cx="5186045" cy="50749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86045" cy="5074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80"/>
          </w:cols>
          <w:pgMar w:left="320" w:top="455" w:right="49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left="520"/>
        <w:spacing w:after="0" w:line="274" w:lineRule="auto"/>
        <w:rPr>
          <w:sz w:val="20"/>
          <w:szCs w:val="20"/>
          <w:color w:val="auto"/>
        </w:rPr>
      </w:pPr>
      <w:r>
        <w:rPr>
          <w:rFonts w:ascii="Arial" w:cs="Arial" w:eastAsia="Arial" w:hAnsi="Arial"/>
          <w:sz w:val="18"/>
          <w:szCs w:val="18"/>
          <w:i w:val="1"/>
          <w:iCs w:val="1"/>
          <w:color w:val="auto"/>
        </w:rPr>
        <w:t>Intravitreal injection route of administration with our targeted and evolved vector, R100, resulted in transduction across the entire surface area of the retina, including the major cell layers of the retina in NHP.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124460</wp:posOffset>
            </wp:positionV>
            <wp:extent cx="5186045" cy="30435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86045" cy="3043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R100 has been well-tolerated in both NHP and in patients. In our on-going clinical trials, we have administered two product candidates utilizing our R100 vector to patients via intravitreal injection. Treatment has been generally well-tolerated with no dose-limiting toxicities. In addition, we have administered these product candidates in 91 NHP eyes injected in three different GLP toxicology studies with no adverse findings reported.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40"/>
          </w:cols>
          <w:pgMar w:left="320" w:top="455" w:right="53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left="440"/>
        <w:spacing w:after="0" w:line="274" w:lineRule="auto"/>
        <w:rPr>
          <w:sz w:val="20"/>
          <w:szCs w:val="20"/>
          <w:color w:val="auto"/>
        </w:rPr>
      </w:pPr>
      <w:r>
        <w:rPr>
          <w:rFonts w:ascii="Arial" w:cs="Arial" w:eastAsia="Arial" w:hAnsi="Arial"/>
          <w:sz w:val="18"/>
          <w:szCs w:val="18"/>
          <w:i w:val="1"/>
          <w:iCs w:val="1"/>
          <w:color w:val="auto"/>
        </w:rPr>
        <w:t>To date, our two clinical stage ophthalmology product candidates 4D-125 and 4D-110, both of which utilize the R100 vector, have exhibited favorable toxicity and tolerability profiles in GLP toxicology studies as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124460</wp:posOffset>
            </wp:positionV>
            <wp:extent cx="5092065" cy="2708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092065"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 xml:space="preserve">In our second example of targeted delivery in NHPs </w:t>
      </w:r>
      <w:r>
        <w:rPr>
          <w:rFonts w:ascii="Arial" w:cs="Arial" w:eastAsia="Arial" w:hAnsi="Arial"/>
          <w:sz w:val="18"/>
          <w:szCs w:val="18"/>
          <w:i w:val="1"/>
          <w:iCs w:val="1"/>
          <w:color w:val="auto"/>
        </w:rPr>
        <w:t>in vivo</w:t>
      </w:r>
      <w:r>
        <w:rPr>
          <w:rFonts w:ascii="Arial" w:cs="Arial" w:eastAsia="Arial" w:hAnsi="Arial"/>
          <w:sz w:val="18"/>
          <w:szCs w:val="18"/>
          <w:color w:val="auto"/>
        </w:rPr>
        <w:t>, our targeted and evolved vector, C102, was invented for improved delivery to and transduction of cardiac muscle tissues (cardiomyocytes), when administered by IV at low doses, with minimal inflammation. Barriers to IV delivery to heart muscle may include organs such as the liver and blood components including complement, immune cells and antibodies.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40"/>
          </w:cols>
          <w:pgMar w:left="320" w:top="455" w:right="43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right="-299"/>
        <w:spacing w:after="0"/>
        <w:rPr>
          <w:sz w:val="20"/>
          <w:szCs w:val="20"/>
          <w:color w:val="auto"/>
        </w:rPr>
      </w:pPr>
      <w:r>
        <w:rPr>
          <w:rFonts w:ascii="Arial" w:cs="Arial" w:eastAsia="Arial" w:hAnsi="Arial"/>
          <w:sz w:val="18"/>
          <w:szCs w:val="18"/>
          <w:i w:val="1"/>
          <w:iCs w:val="1"/>
          <w:color w:val="auto"/>
        </w:rPr>
        <w:t>Target Vector Profile for C102 intravenous delivery to the heart:</w:t>
      </w:r>
    </w:p>
    <w:p>
      <w:pPr>
        <w:spacing w:after="0" w:line="212" w:lineRule="exact"/>
        <w:rPr>
          <w:sz w:val="20"/>
          <w:szCs w:val="20"/>
          <w:color w:val="auto"/>
        </w:rPr>
      </w:pPr>
    </w:p>
    <w:p>
      <w:pPr>
        <w:jc w:val="center"/>
        <w:ind w:right="-299"/>
        <w:spacing w:after="0"/>
        <w:rPr>
          <w:sz w:val="20"/>
          <w:szCs w:val="20"/>
          <w:color w:val="auto"/>
        </w:rPr>
      </w:pPr>
      <w:r>
        <w:rPr>
          <w:rFonts w:ascii="Arial" w:cs="Arial" w:eastAsia="Arial" w:hAnsi="Arial"/>
          <w:sz w:val="18"/>
          <w:szCs w:val="18"/>
          <w:i w:val="1"/>
          <w:iCs w:val="1"/>
          <w:color w:val="auto"/>
        </w:rPr>
        <w:t>Conventional AAV capsid vectors (top panel) such as AAV8 do not effectively deliver to heart muscle tissue following low dose IV</w:t>
      </w:r>
    </w:p>
    <w:p>
      <w:pPr>
        <w:spacing w:after="0" w:line="16" w:lineRule="exact"/>
        <w:rPr>
          <w:sz w:val="20"/>
          <w:szCs w:val="20"/>
          <w:color w:val="auto"/>
        </w:rPr>
      </w:pPr>
    </w:p>
    <w:p>
      <w:pPr>
        <w:jc w:val="center"/>
        <w:ind w:left="620"/>
        <w:spacing w:after="0" w:line="242" w:lineRule="auto"/>
        <w:rPr>
          <w:sz w:val="20"/>
          <w:szCs w:val="20"/>
          <w:color w:val="auto"/>
        </w:rPr>
      </w:pPr>
      <w:r>
        <w:rPr>
          <w:rFonts w:ascii="Arial" w:cs="Arial" w:eastAsia="Arial" w:hAnsi="Arial"/>
          <w:sz w:val="18"/>
          <w:szCs w:val="18"/>
          <w:i w:val="1"/>
          <w:iCs w:val="1"/>
          <w:color w:val="auto"/>
        </w:rPr>
        <w:t>administration. Potential barriers include clearance by organs such as the liver, and blood components including complement, immune cells and antibodies. Conversely, IV administered C102 (bottom panel) has exhibited robust delivery and broad transduction of cardiac tissues, including cardiomyocytes.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142875</wp:posOffset>
            </wp:positionV>
            <wp:extent cx="5203190" cy="4963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203190" cy="4963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In NHPs, we observed that intravenous delivery of C102 at relatively low doses for delivery to muscles (1E13 – 5E13 vg/kg) resulted in genome delivery to 100% of the 30 heart tissue samples evaluated through all regions of the heart in NHP. Transgene protein expression was detected in 29 of the 30 samples, providing evidence of intracellular protein production in cardiomyocytes.</w:t>
      </w:r>
    </w:p>
    <w:p>
      <w:pPr>
        <w:spacing w:after="0" w:line="9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0960"/>
          </w:cols>
          <w:pgMar w:left="320" w:top="455" w:right="61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C102 delivery to, and transduction of, NHP cardiomyocytes:</w:t>
      </w:r>
    </w:p>
    <w:p>
      <w:pPr>
        <w:spacing w:after="0" w:line="16" w:lineRule="exact"/>
        <w:rPr>
          <w:sz w:val="20"/>
          <w:szCs w:val="20"/>
          <w:color w:val="auto"/>
        </w:rPr>
      </w:pPr>
    </w:p>
    <w:p>
      <w:pPr>
        <w:jc w:val="center"/>
        <w:ind w:left="540"/>
        <w:spacing w:after="0" w:line="242" w:lineRule="auto"/>
        <w:rPr>
          <w:sz w:val="20"/>
          <w:szCs w:val="20"/>
          <w:color w:val="auto"/>
        </w:rPr>
      </w:pPr>
      <w:r>
        <w:rPr>
          <w:rFonts w:ascii="Arial" w:cs="Arial" w:eastAsia="Arial" w:hAnsi="Arial"/>
          <w:sz w:val="18"/>
          <w:szCs w:val="18"/>
          <w:i w:val="1"/>
          <w:iCs w:val="1"/>
          <w:color w:val="auto"/>
        </w:rPr>
        <w:t>The figure below illustrates the broad distribution of samples collected in our C102 biodistribution study. Samples were collected from 10 locations across the four regions of the heart in 3 NHPs. Intravenous delivery of C102 at relatively low doses (1E13 vg/kg) resulted in genome delivery to 100%, and protein expression in 97%, of the 30 heart tissues evaluated.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142875</wp:posOffset>
            </wp:positionV>
            <wp:extent cx="3446145" cy="18002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4614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 w:right="100" w:firstLine="551"/>
        <w:spacing w:after="0" w:line="245" w:lineRule="auto"/>
        <w:rPr>
          <w:sz w:val="20"/>
          <w:szCs w:val="20"/>
          <w:color w:val="auto"/>
        </w:rPr>
      </w:pPr>
      <w:r>
        <w:rPr>
          <w:rFonts w:ascii="Arial" w:cs="Arial" w:eastAsia="Arial" w:hAnsi="Arial"/>
          <w:sz w:val="18"/>
          <w:szCs w:val="18"/>
          <w:color w:val="auto"/>
        </w:rPr>
        <w:t>Immunohistochemistry for marker transgene protein expression showed widespread gene expression in cardiomyocytes in a preclinical study. In addition, in a preclinical study we observed that C102 was more efficiently delivered to cardiac tissues than conventional vectors such as AAV8 (shown below) and AAV9. C102 targeted the heart muscle tissue more efficiently than AAV8, and showed a 12-fold improvement in genome delivery to the heart muscle tissue. We have not compared C102 to AAV8 or AAV9 in patients in clinical studies.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40"/>
          </w:cols>
          <w:pgMar w:left="320" w:top="455" w:right="53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right="-279"/>
        <w:spacing w:after="0"/>
        <w:rPr>
          <w:sz w:val="20"/>
          <w:szCs w:val="20"/>
          <w:color w:val="auto"/>
        </w:rPr>
      </w:pPr>
      <w:r>
        <w:rPr>
          <w:rFonts w:ascii="Arial" w:cs="Arial" w:eastAsia="Arial" w:hAnsi="Arial"/>
          <w:sz w:val="18"/>
          <w:szCs w:val="18"/>
          <w:i w:val="1"/>
          <w:iCs w:val="1"/>
          <w:color w:val="auto"/>
        </w:rPr>
        <w:t>C102 delivered genetic payloads to cardiac tissue more efficiently than conventional AAV vectors in NHP:</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In vector characterization studies in NHP, C102 delivered 12-fold more EGFP marker gene to cardiac tissue on average than did AAV8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159385</wp:posOffset>
            </wp:positionV>
            <wp:extent cx="2940050" cy="33343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940050" cy="3334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0960"/>
          </w:cols>
          <w:pgMar w:left="320" w:top="455" w:right="61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Cardiac muscle tissue transduction and protein expression in NHP heart:</w:t>
      </w:r>
    </w:p>
    <w:p>
      <w:pPr>
        <w:spacing w:after="0" w:line="16" w:lineRule="exact"/>
        <w:rPr>
          <w:sz w:val="20"/>
          <w:szCs w:val="20"/>
          <w:color w:val="auto"/>
        </w:rPr>
      </w:pPr>
    </w:p>
    <w:p>
      <w:pPr>
        <w:jc w:val="center"/>
        <w:ind w:left="520" w:right="60"/>
        <w:spacing w:after="0"/>
        <w:rPr>
          <w:sz w:val="20"/>
          <w:szCs w:val="20"/>
          <w:color w:val="auto"/>
        </w:rPr>
      </w:pPr>
      <w:r>
        <w:rPr>
          <w:rFonts w:ascii="Arial" w:cs="Arial" w:eastAsia="Arial" w:hAnsi="Arial"/>
          <w:sz w:val="18"/>
          <w:szCs w:val="18"/>
          <w:i w:val="1"/>
          <w:iCs w:val="1"/>
          <w:color w:val="auto"/>
        </w:rPr>
        <w:t>NHP cardiomyocyte transduction and marker transgene expression (EGFP) was detected by immunoflourescence 8 weeks after intravenous injection of C102 (right panel), whereas conventional vector AAV8 transduced cardiomyocytes to a lesser extent than did C102 (center panel). Non-transduced control NHP heart did not exhibit visible EGFP staining (left panel) (L, left; R, right, V, ventricle; A, atrium)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143510</wp:posOffset>
            </wp:positionV>
            <wp:extent cx="4354830" cy="3566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354830" cy="356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 xml:space="preserve">In our third example of targeted delivery in NHPs </w:t>
      </w:r>
      <w:r>
        <w:rPr>
          <w:rFonts w:ascii="Arial" w:cs="Arial" w:eastAsia="Arial" w:hAnsi="Arial"/>
          <w:sz w:val="18"/>
          <w:szCs w:val="18"/>
          <w:i w:val="1"/>
          <w:iCs w:val="1"/>
          <w:color w:val="auto"/>
        </w:rPr>
        <w:t>in vivo</w:t>
      </w:r>
      <w:r>
        <w:rPr>
          <w:rFonts w:ascii="Arial" w:cs="Arial" w:eastAsia="Arial" w:hAnsi="Arial"/>
          <w:sz w:val="18"/>
          <w:szCs w:val="18"/>
          <w:color w:val="auto"/>
        </w:rPr>
        <w:t>, our targeted and evolved AAV vector for lung tissues, A101, was invented for aerosol delivery to lung airway and alveolar cells. This vector was selected for penetration through the mucus and other potential barriers, and for resistance to pre-existing antibodies in humans. A101 is used as the targeted and evolved vector in 4D-710, our product candidate for patients with cystic fibrosis lung disease.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60"/>
          </w:cols>
          <w:pgMar w:left="320" w:top="455" w:right="51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Target Vector Profile for A101 aerosol delivery to lung airway and alveoli:</w:t>
      </w:r>
    </w:p>
    <w:p>
      <w:pPr>
        <w:spacing w:after="0" w:line="212" w:lineRule="exact"/>
        <w:rPr>
          <w:sz w:val="20"/>
          <w:szCs w:val="20"/>
          <w:color w:val="auto"/>
        </w:rPr>
      </w:pPr>
    </w:p>
    <w:p>
      <w:pPr>
        <w:jc w:val="center"/>
        <w:ind w:left="440"/>
        <w:spacing w:after="0" w:line="254" w:lineRule="auto"/>
        <w:rPr>
          <w:sz w:val="20"/>
          <w:szCs w:val="20"/>
          <w:color w:val="auto"/>
        </w:rPr>
      </w:pPr>
      <w:r>
        <w:rPr>
          <w:rFonts w:ascii="Arial" w:cs="Arial" w:eastAsia="Arial" w:hAnsi="Arial"/>
          <w:sz w:val="18"/>
          <w:szCs w:val="18"/>
          <w:i w:val="1"/>
          <w:iCs w:val="1"/>
          <w:color w:val="auto"/>
        </w:rPr>
        <w:t>Conventional AAV capsid vectors such as AAV2 (top panel) are not able to reach lung tissue effectively following aerosol administration, due to mucus and other potential barriers including antibodies and components of innate immunity. Conversely, aerosol administered A101 (bottom panel) is designed for robust and broad transduction of lung cells, including trachea, bronchi and alveoli.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135890</wp:posOffset>
            </wp:positionV>
            <wp:extent cx="5092065" cy="50234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092065" cy="5023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color w:val="auto"/>
        </w:rPr>
        <w:t>In NHPs, we observed that aerosol delivery of A101 via a standard nebulization device, approved for use in humans, resulted in genome delivery to, and GFP marker gene expression and transduction of, 100% of the 48 lung sites evaluated. We evaluated proximal and medial airways and alveoli in the lung. In addition to efficient lung tissue transduction, we also observed distribution to organs outside the lung was minimal. Genomes in tissues outside the lung were either undetectable or in extremely low concentrations (less than 0.1% of the average genomes per microgram of DNA in the lung tissues) as shown below. This data confirms the efficient protein production throughout all major regions of the lung with minimal biodistribution to the rest of the body.</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40"/>
          </w:cols>
          <w:pgMar w:left="320" w:top="455" w:right="43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left="440" w:right="20"/>
        <w:spacing w:after="0" w:line="254" w:lineRule="auto"/>
        <w:rPr>
          <w:sz w:val="20"/>
          <w:szCs w:val="20"/>
          <w:color w:val="auto"/>
        </w:rPr>
      </w:pPr>
      <w:r>
        <w:rPr>
          <w:rFonts w:ascii="Arial" w:cs="Arial" w:eastAsia="Arial" w:hAnsi="Arial"/>
          <w:sz w:val="18"/>
          <w:szCs w:val="18"/>
          <w:i w:val="1"/>
          <w:iCs w:val="1"/>
          <w:color w:val="auto"/>
        </w:rPr>
        <w:t>The figure below illustrates the broad distribution of samples in NHPs collected in our A101 biodistribution study. Samples were collected from 16 locations in the three regions of the lung in 3 NHPs. Aerosol delivery of A101 at a dose of 1E13 vg resulted in genome delivery to, and protein expression in, 100% of the 48 lung tissues evaluated.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135890</wp:posOffset>
            </wp:positionV>
            <wp:extent cx="3591560" cy="18256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591560"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left="440"/>
        <w:spacing w:after="0" w:line="274" w:lineRule="auto"/>
        <w:rPr>
          <w:sz w:val="20"/>
          <w:szCs w:val="20"/>
          <w:color w:val="auto"/>
        </w:rPr>
      </w:pPr>
      <w:r>
        <w:rPr>
          <w:rFonts w:ascii="Arial" w:cs="Arial" w:eastAsia="Arial" w:hAnsi="Arial"/>
          <w:sz w:val="18"/>
          <w:szCs w:val="18"/>
          <w:i w:val="1"/>
          <w:iCs w:val="1"/>
          <w:color w:val="auto"/>
        </w:rPr>
        <w:t>Aerosol delivery of A101 carrying the EGFP transgene in NHPs was associated with EGFP protein detection (red) by immunofluorescence in proximal (trachea) and medial (bronchi) airway and alveoli.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124460</wp:posOffset>
            </wp:positionV>
            <wp:extent cx="4320540" cy="35915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320540" cy="3591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left="500"/>
        <w:spacing w:after="0" w:line="254" w:lineRule="auto"/>
        <w:rPr>
          <w:sz w:val="20"/>
          <w:szCs w:val="20"/>
          <w:color w:val="auto"/>
        </w:rPr>
      </w:pPr>
      <w:r>
        <w:rPr>
          <w:rFonts w:ascii="Arial" w:cs="Arial" w:eastAsia="Arial" w:hAnsi="Arial"/>
          <w:sz w:val="18"/>
          <w:szCs w:val="18"/>
          <w:i w:val="1"/>
          <w:iCs w:val="1"/>
          <w:color w:val="auto"/>
        </w:rPr>
        <w:t>Aerosol delivery of A101 in NHPs resulted in high levels of genome localization as exhibited in the chart below. A101 genome localization was limited in liver and heart, and not present in other tissues outside the lung. EGFP marker protein expression was also detected in all lung samples.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135890</wp:posOffset>
            </wp:positionV>
            <wp:extent cx="3754755" cy="22117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754755"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Potential for Improved Transduction and Transgene Expression in Target Human Cell Types and Tissues</w:t>
      </w:r>
    </w:p>
    <w:p>
      <w:pPr>
        <w:spacing w:after="0" w:line="102" w:lineRule="exact"/>
        <w:rPr>
          <w:sz w:val="20"/>
          <w:szCs w:val="20"/>
          <w:color w:val="auto"/>
        </w:rPr>
      </w:pPr>
    </w:p>
    <w:p>
      <w:pPr>
        <w:ind w:left="120" w:right="180" w:firstLine="551"/>
        <w:spacing w:after="0" w:line="276" w:lineRule="auto"/>
        <w:rPr>
          <w:sz w:val="20"/>
          <w:szCs w:val="20"/>
          <w:color w:val="auto"/>
        </w:rPr>
      </w:pPr>
      <w:r>
        <w:rPr>
          <w:rFonts w:ascii="Arial" w:cs="Arial" w:eastAsia="Arial" w:hAnsi="Arial"/>
          <w:sz w:val="18"/>
          <w:szCs w:val="18"/>
          <w:color w:val="auto"/>
        </w:rPr>
        <w:t>We invent targeted and evolved vectors for a specific set of diseases to fit a defined Target Vector Profile, in an effort to generate higher levels of transgene expression than conventional AAV vectors.</w:t>
      </w:r>
    </w:p>
    <w:p>
      <w:pPr>
        <w:spacing w:after="0" w:line="145"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 xml:space="preserve">In our first example of improved target tissue transduction leading to higher levels of expression and more cells transduced, we observed superior transduction with R100, our intravitreally administered targeted and evolved vector. R100 was significantly more efficient than AAV2 at transducing human retina cells </w:t>
      </w:r>
      <w:r>
        <w:rPr>
          <w:rFonts w:ascii="Arial" w:cs="Arial" w:eastAsia="Arial" w:hAnsi="Arial"/>
          <w:sz w:val="18"/>
          <w:szCs w:val="18"/>
          <w:i w:val="1"/>
          <w:iCs w:val="1"/>
          <w:color w:val="auto"/>
        </w:rPr>
        <w:t>in vitro</w:t>
      </w:r>
      <w:r>
        <w:rPr>
          <w:rFonts w:ascii="Arial" w:cs="Arial" w:eastAsia="Arial" w:hAnsi="Arial"/>
          <w:sz w:val="18"/>
          <w:szCs w:val="18"/>
          <w:color w:val="auto"/>
        </w:rPr>
        <w:t>, such as RPE cells below. These in vitro studies comparing R100 to AAV2 helped to inform our decision to move the vector forward and to develop R100-based product candidates. We have not conducted any clinical studies in patients comparing AAV2 to R100. AAV2 is the conventional vector most commonly used for retina treatment in humans. R100 is leveraged in modular fashion for use in all of our ophthalmology product candidates, including 4D-110, 4D-125, 4D-135 and 4D-150.</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80"/>
          </w:cols>
          <w:pgMar w:left="320" w:top="455" w:right="49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left="540" w:right="240"/>
        <w:spacing w:after="0" w:line="254" w:lineRule="auto"/>
        <w:rPr>
          <w:sz w:val="20"/>
          <w:szCs w:val="20"/>
          <w:color w:val="auto"/>
        </w:rPr>
      </w:pPr>
      <w:r>
        <w:rPr>
          <w:rFonts w:ascii="Arial" w:cs="Arial" w:eastAsia="Arial" w:hAnsi="Arial"/>
          <w:sz w:val="18"/>
          <w:szCs w:val="18"/>
          <w:i w:val="1"/>
          <w:iCs w:val="1"/>
          <w:color w:val="auto"/>
        </w:rPr>
        <w:t>R100 exhibited significantly higher transduction of stem cell derived human retinal pigment epithelial cells in vitro compared to conventional AAV2 across a broad range of concentrations. R100 transduced a higher percentage of cells than AAV2, and marker transgene expression was superior to AAV2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135890</wp:posOffset>
            </wp:positionV>
            <wp:extent cx="4817745" cy="34886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817745" cy="3488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left="540" w:right="340"/>
        <w:spacing w:after="0" w:line="263" w:lineRule="auto"/>
        <w:rPr>
          <w:sz w:val="20"/>
          <w:szCs w:val="20"/>
          <w:color w:val="auto"/>
        </w:rPr>
      </w:pPr>
      <w:r>
        <w:rPr>
          <w:rFonts w:ascii="Arial" w:cs="Arial" w:eastAsia="Arial" w:hAnsi="Arial"/>
          <w:sz w:val="16"/>
          <w:szCs w:val="16"/>
          <w:i w:val="1"/>
          <w:iCs w:val="1"/>
          <w:color w:val="auto"/>
        </w:rPr>
        <w:t>PMEL17 = premelanosome protein, a marker of retinal pigmented epithelial cell identity %EGFP+/PMEL17+ Cells = the percentage of EGFP-expressing cells within the PMEL17-expressing retinal pigmented epithelia population, a quantification of the transduction efficiency of the capsid for the target cell type MOI = multiplicity of infection, a description of dose (vg per cell) for in vitro experiments</w:t>
      </w:r>
    </w:p>
    <w:p>
      <w:pPr>
        <w:spacing w:after="0" w:line="360"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our second example of improved transduction versus conventional AAV vectors, our targeted and evolved vector C102 was invented to efficiently target human heart muscle cells (cardiomyocytes); C102 is used in 4D-310 for Fabry disease. Conventional AAV vectors AAV1, AAV8 and AAV9 have been used by competitors to target heart muscle cells; however, we believe limited transduction with these conventional AAV vectors may limit efficacy and lead to high dose requirements that may present safety challenges. In preclinical studies, C102 exhibited significantly improved transduction of human cardiomyocytes (ventricular phenotype) compared to conventional AAV vectors across a wide range of concentrations, as shown below. These in vitro studies comparing C102 to AAV1, AAV8 and AAV9 helped to inform our decision to move the vector forward and to develop C102-based product candidates. We have not conducted any clinical studies in patients comparing conventional vectors to C102.</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20"/>
          </w:cols>
          <w:pgMar w:left="320" w:top="455" w:right="55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left="480" w:right="240"/>
        <w:spacing w:after="0" w:line="254" w:lineRule="auto"/>
        <w:rPr>
          <w:sz w:val="20"/>
          <w:szCs w:val="20"/>
          <w:color w:val="auto"/>
        </w:rPr>
      </w:pPr>
      <w:r>
        <w:rPr>
          <w:rFonts w:ascii="Arial" w:cs="Arial" w:eastAsia="Arial" w:hAnsi="Arial"/>
          <w:sz w:val="18"/>
          <w:szCs w:val="18"/>
          <w:i w:val="1"/>
          <w:iCs w:val="1"/>
          <w:color w:val="auto"/>
        </w:rPr>
        <w:t>C102 exhibited significantly higher transduction in vitro relative to conventional AAV1, AAV8 and AAV9, in human cardiomyocytes of ventricular phenotype. C102 transduced a higher percentage of cells than conventional AAV, and marker transgene expression was superior to conventional AAV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135890</wp:posOffset>
            </wp:positionV>
            <wp:extent cx="5186045" cy="21774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86045"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6"/>
          <w:szCs w:val="16"/>
          <w:i w:val="1"/>
          <w:iCs w:val="1"/>
          <w:color w:val="auto"/>
        </w:rPr>
        <w:t>cTnT = cardiac troponin T, a marker of cardiomyocyte cell identity</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6"/>
          <w:szCs w:val="16"/>
          <w:i w:val="1"/>
          <w:iCs w:val="1"/>
          <w:color w:val="auto"/>
        </w:rPr>
        <w:t>DAPI = a marker of cell nuclei</w:t>
      </w:r>
    </w:p>
    <w:p>
      <w:pPr>
        <w:spacing w:after="0" w:line="5" w:lineRule="exact"/>
        <w:rPr>
          <w:sz w:val="20"/>
          <w:szCs w:val="20"/>
          <w:color w:val="auto"/>
        </w:rPr>
      </w:pPr>
    </w:p>
    <w:p>
      <w:pPr>
        <w:jc w:val="center"/>
        <w:ind w:right="-159"/>
        <w:spacing w:after="0"/>
        <w:rPr>
          <w:sz w:val="20"/>
          <w:szCs w:val="20"/>
          <w:color w:val="auto"/>
        </w:rPr>
      </w:pPr>
      <w:r>
        <w:rPr>
          <w:rFonts w:ascii="Arial" w:cs="Arial" w:eastAsia="Arial" w:hAnsi="Arial"/>
          <w:sz w:val="16"/>
          <w:szCs w:val="16"/>
          <w:i w:val="1"/>
          <w:iCs w:val="1"/>
          <w:color w:val="auto"/>
        </w:rPr>
        <w:t>MOI = multiplicity of infection, a description of dose (vg per cell) for in vitro experiments</w:t>
      </w:r>
    </w:p>
    <w:p>
      <w:pPr>
        <w:spacing w:after="0" w:line="5" w:lineRule="exact"/>
        <w:rPr>
          <w:sz w:val="20"/>
          <w:szCs w:val="20"/>
          <w:color w:val="auto"/>
        </w:rPr>
      </w:pPr>
    </w:p>
    <w:p>
      <w:pPr>
        <w:jc w:val="center"/>
        <w:ind w:right="-159"/>
        <w:spacing w:after="0"/>
        <w:rPr>
          <w:sz w:val="20"/>
          <w:szCs w:val="20"/>
          <w:color w:val="auto"/>
        </w:rPr>
      </w:pPr>
      <w:r>
        <w:rPr>
          <w:rFonts w:ascii="Arial" w:cs="Arial" w:eastAsia="Arial" w:hAnsi="Arial"/>
          <w:sz w:val="16"/>
          <w:szCs w:val="16"/>
          <w:i w:val="1"/>
          <w:iCs w:val="1"/>
          <w:color w:val="auto"/>
        </w:rPr>
        <w:t>%EGFP+/cTnT+ Cells = the percentage of EGFP-expressing cells within the cTnT-expressing cardiomyocyte population, a quantification of the</w:t>
      </w:r>
    </w:p>
    <w:p>
      <w:pPr>
        <w:spacing w:after="0" w:line="5" w:lineRule="exact"/>
        <w:rPr>
          <w:sz w:val="20"/>
          <w:szCs w:val="20"/>
          <w:color w:val="auto"/>
        </w:rPr>
      </w:pPr>
    </w:p>
    <w:p>
      <w:pPr>
        <w:jc w:val="center"/>
        <w:ind w:right="-159"/>
        <w:spacing w:after="0"/>
        <w:rPr>
          <w:sz w:val="20"/>
          <w:szCs w:val="20"/>
          <w:color w:val="auto"/>
        </w:rPr>
      </w:pPr>
      <w:r>
        <w:rPr>
          <w:rFonts w:ascii="Arial" w:cs="Arial" w:eastAsia="Arial" w:hAnsi="Arial"/>
          <w:sz w:val="16"/>
          <w:szCs w:val="16"/>
          <w:i w:val="1"/>
          <w:iCs w:val="1"/>
          <w:color w:val="auto"/>
        </w:rPr>
        <w:t>transduction efficiency of the capsid for the target cell type</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Potential for Low Toxicity with Reduced Inflammation Profile</w:t>
      </w:r>
    </w:p>
    <w:p>
      <w:pPr>
        <w:spacing w:after="0" w:line="102"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We believe that targeted and evolved vectors invented via Therapeutic Vector Evolution have the potential to cause less inflammation, require lower doses and lead to a lower overall toxicity profile versus conventional AAV vectors such as AAV8 and AAV9. As others have reported, high IV doses with AAV9-based gene therapies in humans and NHPs have been associated with toxicity and inflammation in heart, kidney, liver and neural tissues. Others have also reported that high dose IV treatments with a product candidate incorporating AAV8 have, tragically, resulted in three patient deaths in a clinical trial for X-linked myotubular myopathy.</w:t>
      </w:r>
    </w:p>
    <w:p>
      <w:pPr>
        <w:spacing w:after="0" w:line="172"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As illustrated below, in contrast to AAV9, our targeted and evolved vector C102 (used in 4D-310 for Fabry disease) was not associated with significant inflammation or toxicities in NHP heart tissues after IV administration. AAV9 was associated with inflammation and damage in heart tissue as shown on histology and blood tests shown below. These in vivo studies comparing C102 to AAV9 helped to inform our decision to move the vector forward and to develop C102-based product candidates. We have not conducted any clinical studies in patients comparing AAV9 to C102.</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00"/>
          </w:cols>
          <w:pgMar w:left="320" w:top="455" w:right="47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After dosing of NHPs with IV C102, no meaningful heart inflammation or toxicity was observed, in contrast to meaningful heart</w:t>
      </w:r>
    </w:p>
    <w:p>
      <w:pPr>
        <w:spacing w:after="0" w:line="16" w:lineRule="exact"/>
        <w:rPr>
          <w:sz w:val="20"/>
          <w:szCs w:val="20"/>
          <w:color w:val="auto"/>
        </w:rPr>
      </w:pPr>
    </w:p>
    <w:p>
      <w:pPr>
        <w:jc w:val="center"/>
        <w:ind w:left="480"/>
        <w:spacing w:after="0" w:line="237" w:lineRule="auto"/>
        <w:rPr>
          <w:sz w:val="20"/>
          <w:szCs w:val="20"/>
          <w:color w:val="auto"/>
        </w:rPr>
      </w:pPr>
      <w:r>
        <w:rPr>
          <w:rFonts w:ascii="Arial" w:cs="Arial" w:eastAsia="Arial" w:hAnsi="Arial"/>
          <w:sz w:val="18"/>
          <w:szCs w:val="18"/>
          <w:i w:val="1"/>
          <w:iCs w:val="1"/>
          <w:color w:val="auto"/>
        </w:rPr>
        <w:t>inflammation and necrosis observed in NHPs receiving AAV9, as illustrated in the H&amp;E staining below. Immune cell infiltrate (dark purple) and cardiomyocyte death (rounded formation of cardiomyocytes in pink) associated with AAV9 are highlighted in the left image below. Lack of similar infiltrate associated with C102 is highlighted in the right image below (no dark purple, elongated cardiomyocytes in pink with magenta cell nuclei). Quantification of the full histological analysis provided by an independent veterinary pathologist is included below these images. Of note, the two vectors carried the same CAG promoter and EGFP transgene payload, were packaged and purified using the same process, were quantified using the same assay, and administered in identical fashion at the same contract research organization (CRO).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146685</wp:posOffset>
            </wp:positionV>
            <wp:extent cx="4131945" cy="43802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131945" cy="4380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80"/>
          </w:cols>
          <w:pgMar w:left="320" w:top="455" w:right="49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left="640"/>
        <w:spacing w:after="0" w:line="247" w:lineRule="auto"/>
        <w:rPr>
          <w:sz w:val="20"/>
          <w:szCs w:val="20"/>
          <w:color w:val="auto"/>
        </w:rPr>
      </w:pPr>
      <w:r>
        <w:rPr>
          <w:rFonts w:ascii="Arial" w:cs="Arial" w:eastAsia="Arial" w:hAnsi="Arial"/>
          <w:sz w:val="18"/>
          <w:szCs w:val="18"/>
          <w:i w:val="1"/>
          <w:iCs w:val="1"/>
          <w:color w:val="auto"/>
        </w:rPr>
        <w:t>After dosing of NHPs with IV C102, no meaningful cardiac troponin release into the blood was observed, in contrast to meaningful elevations in cardiac troponin observed in NHPs receiving AAV9. Of note, the two vectors carried the same CAG promoter and EGFP transgene payload, were packaged and purified using the same process, were quantified using the same assay, and administered in identical fashion at the same CRO.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140970</wp:posOffset>
            </wp:positionV>
            <wp:extent cx="3326130" cy="37630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26130" cy="376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40" w:hanging="316"/>
        <w:spacing w:after="0"/>
        <w:tabs>
          <w:tab w:leader="none" w:pos="540" w:val="left"/>
        </w:tabs>
        <w:numPr>
          <w:ilvl w:val="0"/>
          <w:numId w:val="96"/>
        </w:numPr>
        <w:rPr>
          <w:rFonts w:ascii="Arial" w:cs="Arial" w:eastAsia="Arial" w:hAnsi="Arial"/>
          <w:sz w:val="14"/>
          <w:szCs w:val="14"/>
          <w:i w:val="1"/>
          <w:iCs w:val="1"/>
          <w:color w:val="auto"/>
        </w:rPr>
      </w:pPr>
      <w:r>
        <w:rPr>
          <w:rFonts w:ascii="Arial" w:cs="Arial" w:eastAsia="Arial" w:hAnsi="Arial"/>
          <w:sz w:val="14"/>
          <w:szCs w:val="14"/>
          <w:i w:val="1"/>
          <w:iCs w:val="1"/>
          <w:color w:val="auto"/>
        </w:rPr>
        <w:t>Peak cardiac troponin levels for both NHP 1 and NHP 5 were detectable within the normal range (0.04 ng/mL)</w:t>
      </w:r>
    </w:p>
    <w:p>
      <w:pPr>
        <w:spacing w:after="0" w:line="13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0920"/>
          </w:cols>
          <w:pgMar w:left="320" w:top="455" w:right="65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left="440"/>
        <w:spacing w:after="0" w:line="274" w:lineRule="auto"/>
        <w:rPr>
          <w:sz w:val="20"/>
          <w:szCs w:val="20"/>
          <w:color w:val="auto"/>
        </w:rPr>
      </w:pPr>
      <w:r>
        <w:rPr>
          <w:rFonts w:ascii="Arial" w:cs="Arial" w:eastAsia="Arial" w:hAnsi="Arial"/>
          <w:sz w:val="18"/>
          <w:szCs w:val="18"/>
          <w:i w:val="1"/>
          <w:iCs w:val="1"/>
          <w:color w:val="auto"/>
        </w:rPr>
        <w:t>Overall, our three lead targeted and evolved vectors, R100, C102 and A101, have exhibited favorable tolerability results in NHPs and mice in toxicology studies across our lead product candidate development programs, as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124460</wp:posOffset>
            </wp:positionV>
            <wp:extent cx="5203190" cy="20834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203190" cy="2083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0" w:right="320"/>
        <w:spacing w:after="0" w:line="274" w:lineRule="auto"/>
        <w:rPr>
          <w:sz w:val="20"/>
          <w:szCs w:val="20"/>
          <w:color w:val="auto"/>
        </w:rPr>
      </w:pPr>
      <w:r>
        <w:rPr>
          <w:rFonts w:ascii="Arial" w:cs="Arial" w:eastAsia="Arial" w:hAnsi="Arial"/>
          <w:sz w:val="18"/>
          <w:szCs w:val="18"/>
          <w:i w:val="1"/>
          <w:iCs w:val="1"/>
          <w:color w:val="auto"/>
        </w:rPr>
        <w:t>Potential to Resist Inhibition by Pre-Existing Neutralizing Antibodies from Humans: Potential for Re-Dosing and Treating Larger Patient Populations</w:t>
      </w:r>
    </w:p>
    <w:p>
      <w:pPr>
        <w:spacing w:after="0" w:line="38" w:lineRule="exact"/>
        <w:rPr>
          <w:sz w:val="20"/>
          <w:szCs w:val="20"/>
          <w:color w:val="auto"/>
        </w:rPr>
      </w:pPr>
    </w:p>
    <w:p>
      <w:pPr>
        <w:ind w:left="120" w:right="140" w:firstLine="551"/>
        <w:spacing w:after="0" w:line="241" w:lineRule="auto"/>
        <w:rPr>
          <w:sz w:val="20"/>
          <w:szCs w:val="20"/>
          <w:color w:val="auto"/>
        </w:rPr>
      </w:pPr>
      <w:r>
        <w:rPr>
          <w:rFonts w:ascii="Arial" w:cs="Arial" w:eastAsia="Arial" w:hAnsi="Arial"/>
          <w:sz w:val="18"/>
          <w:szCs w:val="18"/>
          <w:color w:val="auto"/>
        </w:rPr>
        <w:t>We have invented targeted and evolved vectors for resistance to inhibition by pre-existing neutralizing antibodies in the human population. We believe that vectors invented in this fashion may broaden our potential addressable patient population compared to conventional AAV vectors. We believe that enhanced resistance to antibodies may result in less neutralization, and therefore potentially better efficacy, after patient treatment. Finally, we believe we have the potential to re-dose patients after receiving other AAV gene therapies, and when desirable by developing product candidates with different targeted and evolved vectors that target the same tissues. This approach would utilize a vector whose antibodies do not cross-react with the vector used in the preceding AAV gene therapy treatment.</w:t>
      </w:r>
    </w:p>
    <w:p>
      <w:pPr>
        <w:spacing w:after="0" w:line="179"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For example, the Target Vector Profile for our targeted and evolved vector A101 included aerosol delivery and resistance to antibodies in humans; A101 is used in 4D-710 for cystic fibrosis. As shown below, we observed that A101 had significantly greater antibody resistance than conventional AAV1, AAV2, AAV5, AAV8 and AAV9. These in vitro studies comparing A101 to conventional vectors helped to inform our decision to move the vector forward and to develop A101-based product candidates. We have not performed any clinical studies in patients comparing conventional vectors to A101.</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5" w:right="45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left="440" w:right="160"/>
        <w:spacing w:after="0" w:line="274" w:lineRule="auto"/>
        <w:rPr>
          <w:sz w:val="20"/>
          <w:szCs w:val="20"/>
          <w:color w:val="auto"/>
        </w:rPr>
      </w:pPr>
      <w:r>
        <w:rPr>
          <w:rFonts w:ascii="Arial" w:cs="Arial" w:eastAsia="Arial" w:hAnsi="Arial"/>
          <w:sz w:val="18"/>
          <w:szCs w:val="18"/>
          <w:i w:val="1"/>
          <w:iCs w:val="1"/>
          <w:color w:val="auto"/>
        </w:rPr>
        <w:t>A101 exhibited superior resistance to human antibodies (present in human IVIG) in vitro compared to conventional AAV vectors AAV1, AAV2, AAV5, AAV8 and AAV9 as measured by transduction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124460</wp:posOffset>
            </wp:positionV>
            <wp:extent cx="4191635" cy="26917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191635"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Proprietary Therapeutic Vector Evolution Platform</w:t>
      </w:r>
    </w:p>
    <w:p>
      <w:pPr>
        <w:spacing w:after="0" w:line="102" w:lineRule="exact"/>
        <w:rPr>
          <w:sz w:val="20"/>
          <w:szCs w:val="20"/>
          <w:color w:val="auto"/>
        </w:rPr>
      </w:pPr>
    </w:p>
    <w:p>
      <w:pPr>
        <w:ind w:left="120" w:right="140" w:firstLine="551"/>
        <w:spacing w:after="0" w:line="306" w:lineRule="auto"/>
        <w:rPr>
          <w:sz w:val="20"/>
          <w:szCs w:val="20"/>
          <w:color w:val="auto"/>
        </w:rPr>
      </w:pPr>
      <w:r>
        <w:rPr>
          <w:rFonts w:ascii="Arial" w:cs="Arial" w:eastAsia="Arial" w:hAnsi="Arial"/>
          <w:sz w:val="17"/>
          <w:szCs w:val="17"/>
          <w:color w:val="auto"/>
        </w:rPr>
        <w:t>Our proprietary Therapeutic Vector Evolution platform is based on the principles of directed evolution. Directed evolution is a high-throughput platform approach that harnesses the power of evolution in order to create biologics with new and desirable characteristics.</w:t>
      </w:r>
    </w:p>
    <w:p>
      <w:pPr>
        <w:spacing w:after="0" w:line="123"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The first step of directed evolution involves the generation of massively diverse libraries of biological variants. In the second step, a target profile is designed with desired biological characteristics. In the final step, selective pressures are applied to these libraries forcing competition to select for improved variants with the desired biological characteristics. This method has been successfully utilized by other researchers to generate protein therapeutics with enhanced biological activities, antibodies with enhanced binding affinity and enzymes with new specificities. The importance of this biotechnology was demonstrated when the Nobel Prize for Chemistry was awarded in 2018 for work on directed evolution of proteins, antibodies and enzymes performed by academic investigators including Dr. Frances H. Arnold at Caltech; these investigators have no relationship to 4DMT.</w:t>
      </w:r>
    </w:p>
    <w:p>
      <w:pPr>
        <w:spacing w:after="0" w:line="179" w:lineRule="exact"/>
        <w:rPr>
          <w:sz w:val="20"/>
          <w:szCs w:val="20"/>
          <w:color w:val="auto"/>
        </w:rPr>
      </w:pPr>
    </w:p>
    <w:p>
      <w:pPr>
        <w:ind w:left="120" w:right="200" w:firstLine="551"/>
        <w:spacing w:after="0" w:line="243" w:lineRule="auto"/>
        <w:rPr>
          <w:sz w:val="20"/>
          <w:szCs w:val="20"/>
          <w:color w:val="auto"/>
        </w:rPr>
      </w:pPr>
      <w:r>
        <w:rPr>
          <w:rFonts w:ascii="Arial" w:cs="Arial" w:eastAsia="Arial" w:hAnsi="Arial"/>
          <w:sz w:val="18"/>
          <w:szCs w:val="18"/>
          <w:color w:val="auto"/>
        </w:rPr>
        <w:t>Our co-founder and Chief Scientific Advisor, Dr. David Schaffer, pioneered the use of directed evolution to create improved AAV capsids for use as gene therapy vectors at U.C. Berkeley over 20 years ago. Over the past seven years, we have developed and industrialized our Therapeutic Vector Evolution platform to invent targeted and evolved vectors for use in human therapeutic products. Since in-licensing several libraries from the U.C. Berkeley and creating over 30 newer libraries at our company, we have a total of 40 diverse libraries comprising approximately one billion proprietary synthetic capsid sequences. In addition, we have developed significant experience in performing Therapeutic Vector Evolution programs in NHPs, with 14 capsid selections completed to</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5" w:right="45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940"/>
        <w:spacing w:after="0" w:line="276" w:lineRule="auto"/>
        <w:rPr>
          <w:sz w:val="20"/>
          <w:szCs w:val="20"/>
          <w:color w:val="auto"/>
        </w:rPr>
      </w:pPr>
      <w:r>
        <w:rPr>
          <w:rFonts w:ascii="Arial" w:cs="Arial" w:eastAsia="Arial" w:hAnsi="Arial"/>
          <w:sz w:val="18"/>
          <w:szCs w:val="18"/>
          <w:color w:val="auto"/>
        </w:rPr>
        <w:t>date. We believe this will help us to develop product candidates to address a broad swath of diseases in rare and large patient populations, including those other gene therapies cannot.</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Diverse Libraries of Synthetic Capsid Sequences</w:t>
      </w:r>
    </w:p>
    <w:p>
      <w:pPr>
        <w:spacing w:after="0" w:line="102" w:lineRule="exact"/>
        <w:rPr>
          <w:sz w:val="20"/>
          <w:szCs w:val="20"/>
          <w:color w:val="auto"/>
        </w:rPr>
      </w:pPr>
    </w:p>
    <w:p>
      <w:pPr>
        <w:ind w:left="120" w:right="220" w:firstLine="551"/>
        <w:spacing w:after="0" w:line="245" w:lineRule="auto"/>
        <w:rPr>
          <w:sz w:val="20"/>
          <w:szCs w:val="20"/>
          <w:color w:val="auto"/>
        </w:rPr>
      </w:pPr>
      <w:r>
        <w:rPr>
          <w:rFonts w:ascii="Arial" w:cs="Arial" w:eastAsia="Arial" w:hAnsi="Arial"/>
          <w:sz w:val="18"/>
          <w:szCs w:val="18"/>
          <w:color w:val="auto"/>
        </w:rPr>
        <w:t>Each library results from the application of a different genetic diversification methodology, such as variable loop mutagenesis, random peptide insertion, random point mutagenesis, DNA shuffling and ancestral reconstruction, and is also defined by its starting material (AAV capsid gene sequences). Furthermore, we apply bioinformatics, emerging technologies, and experience and know-how resulting from previous discovery programs to continually improve and expand our libraries and improve our ability to select customized targeted and evolved vectors.</w:t>
      </w:r>
    </w:p>
    <w:p>
      <w:pPr>
        <w:spacing w:after="0" w:line="172" w:lineRule="exact"/>
        <w:rPr>
          <w:sz w:val="20"/>
          <w:szCs w:val="20"/>
          <w:color w:val="auto"/>
        </w:rPr>
      </w:pPr>
    </w:p>
    <w:p>
      <w:pPr>
        <w:ind w:left="120" w:right="160" w:firstLine="551"/>
        <w:spacing w:after="0" w:line="276" w:lineRule="auto"/>
        <w:rPr>
          <w:sz w:val="20"/>
          <w:szCs w:val="20"/>
          <w:color w:val="auto"/>
        </w:rPr>
      </w:pPr>
      <w:r>
        <w:rPr>
          <w:rFonts w:ascii="Arial" w:cs="Arial" w:eastAsia="Arial" w:hAnsi="Arial"/>
          <w:sz w:val="18"/>
          <w:szCs w:val="18"/>
          <w:color w:val="auto"/>
        </w:rPr>
        <w:t>We believe the size and diversity of our proprietary synthetic capsid libraries represent a differentiating competitive advantage for us in the field of gene therapy.</w:t>
      </w:r>
    </w:p>
    <w:p>
      <w:pPr>
        <w:spacing w:after="0" w:line="147" w:lineRule="exact"/>
        <w:rPr>
          <w:sz w:val="20"/>
          <w:szCs w:val="20"/>
          <w:color w:val="auto"/>
        </w:rPr>
      </w:pPr>
    </w:p>
    <w:p>
      <w:pPr>
        <w:jc w:val="center"/>
        <w:ind w:left="480"/>
        <w:spacing w:after="0" w:line="247" w:lineRule="auto"/>
        <w:rPr>
          <w:sz w:val="20"/>
          <w:szCs w:val="20"/>
          <w:color w:val="auto"/>
        </w:rPr>
      </w:pPr>
      <w:r>
        <w:rPr>
          <w:rFonts w:ascii="Arial" w:cs="Arial" w:eastAsia="Arial" w:hAnsi="Arial"/>
          <w:sz w:val="18"/>
          <w:szCs w:val="18"/>
          <w:i w:val="1"/>
          <w:iCs w:val="1"/>
          <w:color w:val="auto"/>
        </w:rPr>
        <w:t>Our 40 distinct libraries comprise approximately one billion synthetic capsid sequences. Each library results from the application of a different genetic diversification methodology, such as variable loop mutagenesis, random peptide insertion, random point mutagenesis, DNA shuffling and ancestral reconstruction, and is also defined by its starting material (AAV capsid gene sequences). We have estimated the number of capsid sequences for 37 of these libraries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140970</wp:posOffset>
            </wp:positionV>
            <wp:extent cx="5203190" cy="37376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203190" cy="3737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Target Vector Profile Followed by Competitive Vector Selection</w:t>
      </w:r>
    </w:p>
    <w:p>
      <w:pPr>
        <w:spacing w:after="0" w:line="102" w:lineRule="exact"/>
        <w:rPr>
          <w:sz w:val="20"/>
          <w:szCs w:val="20"/>
          <w:color w:val="auto"/>
        </w:rPr>
      </w:pPr>
    </w:p>
    <w:p>
      <w:pPr>
        <w:ind w:left="120" w:right="540" w:firstLine="551"/>
        <w:spacing w:after="0" w:line="276" w:lineRule="auto"/>
        <w:rPr>
          <w:sz w:val="20"/>
          <w:szCs w:val="20"/>
          <w:color w:val="auto"/>
        </w:rPr>
      </w:pPr>
      <w:r>
        <w:rPr>
          <w:rFonts w:ascii="Arial" w:cs="Arial" w:eastAsia="Arial" w:hAnsi="Arial"/>
          <w:sz w:val="18"/>
          <w:szCs w:val="18"/>
          <w:color w:val="auto"/>
        </w:rPr>
        <w:t>We employ a rigorous approach to inventing targeted and evolved vectors based on what we consider an optimal vector and product profile, which we term the Target Vector Profile. For any set of</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80"/>
          </w:cols>
          <w:pgMar w:left="320" w:top="455" w:right="49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120"/>
        <w:spacing w:after="0" w:line="255" w:lineRule="auto"/>
        <w:rPr>
          <w:sz w:val="20"/>
          <w:szCs w:val="20"/>
          <w:color w:val="auto"/>
        </w:rPr>
      </w:pPr>
      <w:r>
        <w:rPr>
          <w:rFonts w:ascii="Arial" w:cs="Arial" w:eastAsia="Arial" w:hAnsi="Arial"/>
          <w:sz w:val="18"/>
          <w:szCs w:val="18"/>
          <w:color w:val="auto"/>
        </w:rPr>
        <w:t>target diseases that affect the same tissue(s), this profile includes any combination of the following: the optimal route of administration for targeting the specific tissue(s) in humans, the optimal dose range, the desired distribution of vector transduction within the target organs, overall biodistribution and/or antibody resistance.</w:t>
      </w:r>
    </w:p>
    <w:p>
      <w:pPr>
        <w:spacing w:after="0" w:line="16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 xml:space="preserve">We use our Therapeutic Vector Evolution platform to select the “fittest” targeted and evolved capsid that best matches our Target Vector Profile. We achieve this through serial rounds of “selection”, or discovery, with each round of selection filtering down to fewer and fewer synthetic capsids from the original library. This funneling process is achieved by applying selective pressures—forcing competition— among all synthetic capsid variants in the library to achieve delivery to the target cells as defined in the Target Vector Profile. Each round is performed in a primate </w:t>
      </w:r>
      <w:r>
        <w:rPr>
          <w:rFonts w:ascii="Arial" w:cs="Arial" w:eastAsia="Arial" w:hAnsi="Arial"/>
          <w:sz w:val="18"/>
          <w:szCs w:val="18"/>
          <w:i w:val="1"/>
          <w:iCs w:val="1"/>
          <w:color w:val="auto"/>
        </w:rPr>
        <w:t>in vivo</w:t>
      </w:r>
      <w:r>
        <w:rPr>
          <w:rFonts w:ascii="Arial" w:cs="Arial" w:eastAsia="Arial" w:hAnsi="Arial"/>
          <w:sz w:val="18"/>
          <w:szCs w:val="18"/>
          <w:color w:val="auto"/>
        </w:rPr>
        <w:t>, sometimes in the presence of human antibodies.</w:t>
      </w:r>
    </w:p>
    <w:p>
      <w:pPr>
        <w:spacing w:after="0" w:line="172"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 xml:space="preserve">By the end of a typical Therapeutic Vector Evolution process, we will have identified approximately two to four targeted and evolved vectors, or hits, based on their frequency in the final pool of synthetic capsid sequences, in addition to numerous sequences present at lower frequencies. We then file patent applications disclosing select identified gene sequences from the discovery program. We believe this deliberate approach to selection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NHPs and in human tissues should lead to identification of targeted and evolved vectors with a higher likelihood of therapeutic benefit in humans.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Vector Invention Results to Date</w:t>
      </w:r>
    </w:p>
    <w:p>
      <w:pPr>
        <w:spacing w:after="0" w:line="102" w:lineRule="exact"/>
        <w:rPr>
          <w:sz w:val="20"/>
          <w:szCs w:val="20"/>
          <w:color w:val="auto"/>
        </w:rPr>
      </w:pPr>
    </w:p>
    <w:p>
      <w:pPr>
        <w:ind w:left="120" w:right="340" w:firstLine="551"/>
        <w:spacing w:after="0" w:line="243" w:lineRule="auto"/>
        <w:rPr>
          <w:sz w:val="20"/>
          <w:szCs w:val="20"/>
          <w:color w:val="auto"/>
        </w:rPr>
      </w:pPr>
      <w:r>
        <w:rPr>
          <w:rFonts w:ascii="Arial" w:cs="Arial" w:eastAsia="Arial" w:hAnsi="Arial"/>
          <w:sz w:val="18"/>
          <w:szCs w:val="18"/>
          <w:color w:val="auto"/>
        </w:rPr>
        <w:t>We have completed 14 unique vector selection programs or “selection processes” for specific proprietary synthetic capsids with specific Target Vector Profiles. Across our clinical development and discovery portfolio, we have utilized four different routes of administration, including intravenous, intravitreal, aerosol, and intrathecal administrations. We have completed discovery programs targeting a diverse array of tissue types including various retinal cell types, heart and skeletal muscle tissues, different lung cell types, liver, brain, dorsal root ganglia, and synovial joints. We have identified and filed patent applications on over 300 unique targeted and evolved vectors.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Characterization of Novel Vector Variant “Hits” and “Leads”</w:t>
      </w:r>
    </w:p>
    <w:p>
      <w:pPr>
        <w:spacing w:after="0" w:line="102"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Vector hits are typically characterized by three major criteria: manufacturing, human cell and human organotypic model transduction, and delivery to tissues in NHPs by the designated route of administration. Vector hits may also be evaluated for transduction in the presence of human antibodies. In order to perform characterization studies, vectors are armed with marker gene payloads such as enhanced green fluorescent protein (EGFP). After these hits have been evaluated, a lead vector is selected.</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Directed Evolution-Based Promoter and Transgene Discovery Platforms</w:t>
      </w:r>
    </w:p>
    <w:p>
      <w:pPr>
        <w:spacing w:after="0" w:line="102" w:lineRule="exact"/>
        <w:rPr>
          <w:sz w:val="20"/>
          <w:szCs w:val="20"/>
          <w:color w:val="auto"/>
        </w:rPr>
      </w:pPr>
    </w:p>
    <w:p>
      <w:pPr>
        <w:ind w:left="120" w:right="100" w:firstLine="551"/>
        <w:spacing w:after="0" w:line="276" w:lineRule="auto"/>
        <w:rPr>
          <w:sz w:val="20"/>
          <w:szCs w:val="20"/>
          <w:color w:val="auto"/>
        </w:rPr>
      </w:pPr>
      <w:r>
        <w:rPr>
          <w:rFonts w:ascii="Arial" w:cs="Arial" w:eastAsia="Arial" w:hAnsi="Arial"/>
          <w:sz w:val="18"/>
          <w:szCs w:val="18"/>
          <w:color w:val="auto"/>
        </w:rPr>
        <w:t>To complement our Therapeutic Vector Evolution platform and modular development approach, we are generating next-generation optimized promoter elements and transgenes using a combination of directed evolution and proprietary algorithms.</w:t>
      </w:r>
    </w:p>
    <w:p>
      <w:pPr>
        <w:spacing w:after="0" w:line="145"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Currently available promoters may lack sufficient strength of expression and selectivity for clinical benefit of AAV gene therapies. In addition, for some AAV gene therapy products a smaller promoter region may be essential for the gene payload to fit in the AAV. Therefore, we believe there is a need for better promoters for many AAV products to enable or enhance their therapeutic benefit. We generate Target Promoter Profiles for any given product and disease target. This promoter profile includes target cell specificity and strength in order to maximize tolerability and/or biologic activity, as</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5" w:right="45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8" w:lineRule="auto"/>
        <w:rPr>
          <w:sz w:val="20"/>
          <w:szCs w:val="20"/>
          <w:color w:val="auto"/>
        </w:rPr>
      </w:pPr>
      <w:r>
        <w:rPr>
          <w:rFonts w:ascii="Arial" w:cs="Arial" w:eastAsia="Arial" w:hAnsi="Arial"/>
          <w:sz w:val="18"/>
          <w:szCs w:val="18"/>
          <w:color w:val="auto"/>
        </w:rPr>
        <w:t>well as any necessary size constraints. Under one of our sponsored research agreements with U.C. Berkeley, we are working with our co-founder Dr. Schaffer to create customized and proprietary promoters for use in our pipeline products. Our libraries of novel and diverse synthetic promoters have been engineered and currently comprise approximately ten million unique sequences. Our discovery platform identifies the best promoters within the libraries for a specific Target Promoter Profile.</w:t>
      </w:r>
    </w:p>
    <w:p>
      <w:pPr>
        <w:spacing w:after="0" w:line="170" w:lineRule="exact"/>
        <w:rPr>
          <w:sz w:val="20"/>
          <w:szCs w:val="20"/>
          <w:color w:val="auto"/>
        </w:rPr>
      </w:pPr>
    </w:p>
    <w:p>
      <w:pPr>
        <w:ind w:left="120" w:right="60" w:firstLine="551"/>
        <w:spacing w:after="0" w:line="241" w:lineRule="auto"/>
        <w:rPr>
          <w:sz w:val="20"/>
          <w:szCs w:val="20"/>
          <w:color w:val="auto"/>
        </w:rPr>
      </w:pPr>
      <w:r>
        <w:rPr>
          <w:rFonts w:ascii="Arial" w:cs="Arial" w:eastAsia="Arial" w:hAnsi="Arial"/>
          <w:sz w:val="18"/>
          <w:szCs w:val="18"/>
          <w:color w:val="auto"/>
        </w:rPr>
        <w:t>In addition to our synthetic promoters, we are developing next-generation optimized transgene discovery platform. Our discovery platform uses a high-throughput approach, harnessing both directed evolution and rationale design algorithms, to identify novel transgenes that express therapeutics proteins. For example, we have developed transgenes to express RNAi in target cells of interest for treatment of disease. These transgene-expressed RNAi molecules, or ddRNAi, are anchored by a microRNA backbone that not only enhances stability and limits off-target effects, but also facilitates high expression within target cells and thereby increases efficacy. Our technology allows us to powerfully knock down disease-causing transcripts, combining a design for a high degree of selectivity with the goal of long-term expression afforded by AAV-based gene therapy.</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Product Pipeline</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04"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Our platform enables a broad and diverse pipeline of transformative targeted gene therapies that we are advancing through clinical trials. We currently have a product pipeline that includes targeted gene therapies in three therapeutic areas: ophthalmology, cardiology (primary or secondary to systemic diseases) and pulmonology.</w:t>
      </w:r>
    </w:p>
    <w:p>
      <w:pPr>
        <w:spacing w:after="0" w:line="164" w:lineRule="exact"/>
        <w:rPr>
          <w:sz w:val="20"/>
          <w:szCs w:val="20"/>
          <w:color w:val="auto"/>
        </w:rPr>
      </w:pPr>
    </w:p>
    <w:p>
      <w:pPr>
        <w:ind w:left="120" w:right="420" w:firstLine="551"/>
        <w:spacing w:after="0" w:line="245" w:lineRule="auto"/>
        <w:rPr>
          <w:sz w:val="20"/>
          <w:szCs w:val="20"/>
          <w:color w:val="auto"/>
        </w:rPr>
      </w:pPr>
      <w:r>
        <w:rPr>
          <w:rFonts w:ascii="Arial" w:cs="Arial" w:eastAsia="Arial" w:hAnsi="Arial"/>
          <w:sz w:val="18"/>
          <w:szCs w:val="18"/>
          <w:color w:val="auto"/>
        </w:rPr>
        <w:t>For each of these therapeutic areas, we invented a targeted and evolved lead vector employing Therapeutic Vector Evolution. These lead vectors were designed for delivery by optimal and routine clinical routes to the target tissue(s). As illustrated below, our platform is designed to be modular in that an evolved vector invented for a given therapeutic area can be equipped with different transgene payloads to produce unique product candidates to treat other diseases affecting the same tissue type(s). We believe this modularity will help inform the clinical development of subsequent product candidates using the same vector.</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60"/>
          </w:cols>
          <w:pgMar w:left="320" w:top="455" w:right="51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left="480"/>
        <w:spacing w:after="0" w:line="247" w:lineRule="auto"/>
        <w:rPr>
          <w:sz w:val="20"/>
          <w:szCs w:val="20"/>
          <w:color w:val="auto"/>
        </w:rPr>
      </w:pPr>
      <w:r>
        <w:rPr>
          <w:rFonts w:ascii="Arial" w:cs="Arial" w:eastAsia="Arial" w:hAnsi="Arial"/>
          <w:sz w:val="18"/>
          <w:szCs w:val="18"/>
          <w:i w:val="1"/>
          <w:iCs w:val="1"/>
          <w:color w:val="auto"/>
        </w:rPr>
        <w:t>Lead vectors that have been invented through Therapeutic Vector Evolution are used to design and engineer product candidates for specific diseases. These product candidates are tested in NHP and in human cell &amp; disease models prior to IND filing and entry into clinical trials. While a first product candidate utilizing one of our targeted and evolved vectors is advancing through development, we build additional product candidates to follow closely and rapidly by using the same lead vector in modular fashion.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140970</wp:posOffset>
            </wp:positionV>
            <wp:extent cx="5203190" cy="19799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203190"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pipeline includes product candidates for both rare disease and large patient populations and is represented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165735</wp:posOffset>
            </wp:positionV>
            <wp:extent cx="5074920" cy="21774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07492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0" w:hanging="90"/>
        <w:spacing w:after="0"/>
        <w:tabs>
          <w:tab w:leader="none" w:pos="400" w:val="left"/>
        </w:tabs>
        <w:numPr>
          <w:ilvl w:val="1"/>
          <w:numId w:val="97"/>
        </w:numPr>
        <w:rPr>
          <w:rFonts w:ascii="Arial" w:cs="Arial" w:eastAsia="Arial" w:hAnsi="Arial"/>
          <w:sz w:val="14"/>
          <w:szCs w:val="14"/>
          <w:i w:val="1"/>
          <w:iCs w:val="1"/>
          <w:color w:val="auto"/>
        </w:rPr>
      </w:pPr>
      <w:r>
        <w:rPr>
          <w:rFonts w:ascii="Arial" w:cs="Arial" w:eastAsia="Arial" w:hAnsi="Arial"/>
          <w:sz w:val="14"/>
          <w:szCs w:val="14"/>
          <w:i w:val="1"/>
          <w:iCs w:val="1"/>
          <w:color w:val="auto"/>
        </w:rPr>
        <w:t>4DMT is responsible for the development of this product candidate; Roche has an exclusive option to assume development and commercialization at its sole cost and</w:t>
      </w:r>
    </w:p>
    <w:p>
      <w:pPr>
        <w:spacing w:after="0" w:line="17" w:lineRule="exact"/>
        <w:rPr>
          <w:rFonts w:ascii="Arial" w:cs="Arial" w:eastAsia="Arial" w:hAnsi="Arial"/>
          <w:sz w:val="14"/>
          <w:szCs w:val="14"/>
          <w:i w:val="1"/>
          <w:iCs w:val="1"/>
          <w:color w:val="auto"/>
        </w:rPr>
      </w:pPr>
    </w:p>
    <w:p>
      <w:pPr>
        <w:ind w:left="3340"/>
        <w:spacing w:after="0"/>
        <w:rPr>
          <w:rFonts w:ascii="Arial" w:cs="Arial" w:eastAsia="Arial" w:hAnsi="Arial"/>
          <w:sz w:val="14"/>
          <w:szCs w:val="14"/>
          <w:i w:val="1"/>
          <w:iCs w:val="1"/>
          <w:color w:val="auto"/>
        </w:rPr>
      </w:pPr>
      <w:r>
        <w:rPr>
          <w:rFonts w:ascii="Arial" w:cs="Arial" w:eastAsia="Arial" w:hAnsi="Arial"/>
          <w:sz w:val="14"/>
          <w:szCs w:val="14"/>
          <w:i w:val="1"/>
          <w:iCs w:val="1"/>
          <w:color w:val="auto"/>
        </w:rPr>
        <w:t>expense. Such an option may be exercised prior to pivotal trial initiation.</w:t>
      </w:r>
    </w:p>
    <w:p>
      <w:pPr>
        <w:spacing w:after="0" w:line="1" w:lineRule="exact"/>
        <w:rPr>
          <w:rFonts w:ascii="Arial" w:cs="Arial" w:eastAsia="Arial" w:hAnsi="Arial"/>
          <w:sz w:val="14"/>
          <w:szCs w:val="14"/>
          <w:i w:val="1"/>
          <w:iCs w:val="1"/>
          <w:color w:val="auto"/>
        </w:rPr>
      </w:pPr>
    </w:p>
    <w:p>
      <w:pPr>
        <w:ind w:left="4120" w:hanging="123"/>
        <w:spacing w:after="0"/>
        <w:tabs>
          <w:tab w:leader="none" w:pos="4120" w:val="left"/>
        </w:tabs>
        <w:numPr>
          <w:ilvl w:val="2"/>
          <w:numId w:val="97"/>
        </w:numPr>
        <w:rPr>
          <w:rFonts w:ascii="Arial" w:cs="Arial" w:eastAsia="Arial" w:hAnsi="Arial"/>
          <w:sz w:val="14"/>
          <w:szCs w:val="14"/>
          <w:i w:val="1"/>
          <w:iCs w:val="1"/>
          <w:color w:val="auto"/>
        </w:rPr>
      </w:pPr>
      <w:r>
        <w:rPr>
          <w:rFonts w:ascii="Arial" w:cs="Arial" w:eastAsia="Arial" w:hAnsi="Arial"/>
          <w:sz w:val="14"/>
          <w:szCs w:val="14"/>
          <w:i w:val="1"/>
          <w:iCs w:val="1"/>
          <w:color w:val="auto"/>
        </w:rPr>
        <w:t>Reporting in coordination with our partner Roche.</w:t>
      </w:r>
    </w:p>
    <w:p>
      <w:pPr>
        <w:spacing w:after="0" w:line="1" w:lineRule="exact"/>
        <w:rPr>
          <w:rFonts w:ascii="Arial" w:cs="Arial" w:eastAsia="Arial" w:hAnsi="Arial"/>
          <w:sz w:val="14"/>
          <w:szCs w:val="14"/>
          <w:i w:val="1"/>
          <w:iCs w:val="1"/>
          <w:color w:val="auto"/>
        </w:rPr>
      </w:pPr>
    </w:p>
    <w:p>
      <w:pPr>
        <w:ind w:left="420" w:right="80" w:hanging="165"/>
        <w:spacing w:after="0" w:line="241" w:lineRule="auto"/>
        <w:tabs>
          <w:tab w:leader="none" w:pos="371" w:val="left"/>
        </w:tabs>
        <w:numPr>
          <w:ilvl w:val="0"/>
          <w:numId w:val="97"/>
        </w:numPr>
        <w:rPr>
          <w:rFonts w:ascii="Arial" w:cs="Arial" w:eastAsia="Arial" w:hAnsi="Arial"/>
          <w:sz w:val="14"/>
          <w:szCs w:val="14"/>
          <w:i w:val="1"/>
          <w:iCs w:val="1"/>
          <w:color w:val="auto"/>
        </w:rPr>
      </w:pPr>
      <w:r>
        <w:rPr>
          <w:rFonts w:ascii="Arial" w:cs="Arial" w:eastAsia="Arial" w:hAnsi="Arial"/>
          <w:sz w:val="14"/>
          <w:szCs w:val="14"/>
          <w:i w:val="1"/>
          <w:iCs w:val="1"/>
          <w:color w:val="auto"/>
        </w:rPr>
        <w:t>The Research stage involves (1) defining the Target Vector Profile then deploying Therapeutic Vector Evolution with our capsid libraries in non-human primates (NHPs) and using competitive selection to identify targeted and evolved vectors from our libraries that demonstrate the strongest match to the Target Vector Profile; then (2)</w:t>
      </w:r>
    </w:p>
    <w:p>
      <w:pPr>
        <w:spacing w:after="0" w:line="1" w:lineRule="exact"/>
        <w:rPr>
          <w:sz w:val="20"/>
          <w:szCs w:val="20"/>
          <w:color w:val="auto"/>
        </w:rPr>
      </w:pPr>
    </w:p>
    <w:p>
      <w:pPr>
        <w:jc w:val="center"/>
        <w:ind w:left="500" w:right="140"/>
        <w:spacing w:after="0" w:line="264" w:lineRule="auto"/>
        <w:rPr>
          <w:sz w:val="20"/>
          <w:szCs w:val="20"/>
          <w:color w:val="auto"/>
        </w:rPr>
      </w:pPr>
      <w:r>
        <w:rPr>
          <w:rFonts w:ascii="Arial" w:cs="Arial" w:eastAsia="Arial" w:hAnsi="Arial"/>
          <w:sz w:val="14"/>
          <w:szCs w:val="14"/>
          <w:i w:val="1"/>
          <w:iCs w:val="1"/>
          <w:color w:val="auto"/>
        </w:rPr>
        <w:t>optimizing our product candidates using the lead vector by conducting in vivo and in vitro evaluation of various transgene and promoter construct candidates in cell and animal models, and the selection of at least one product candidate to move forward into IND-enabling studies.</w:t>
      </w:r>
    </w:p>
    <w:p>
      <w:pPr>
        <w:spacing w:after="0" w:line="9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80"/>
          </w:cols>
          <w:pgMar w:left="320" w:top="455" w:right="49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Ophthalmology Therapeutic Area</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Introduction</w:t>
      </w:r>
    </w:p>
    <w:p>
      <w:pPr>
        <w:spacing w:after="0" w:line="102"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We are developing product candidates to treat severe ophthalmology diseases. Our targeted and evolved vector, R100, is used in all four of our ophthalmology product candidates and was invented for routine intravitreal injection, leading to transgene expression across the entire surface area of the retina, and in the major cell layers of the retina. We believe this modularity will help inform the clinical development of subsequent product candidates using the same vector.</w:t>
      </w:r>
    </w:p>
    <w:p>
      <w:pPr>
        <w:spacing w:after="0" w:line="170" w:lineRule="exact"/>
        <w:rPr>
          <w:sz w:val="20"/>
          <w:szCs w:val="20"/>
          <w:color w:val="auto"/>
        </w:rPr>
      </w:pPr>
    </w:p>
    <w:p>
      <w:pPr>
        <w:ind w:left="120" w:right="120" w:firstLine="551"/>
        <w:spacing w:after="0" w:line="262" w:lineRule="auto"/>
        <w:rPr>
          <w:sz w:val="20"/>
          <w:szCs w:val="20"/>
          <w:color w:val="auto"/>
        </w:rPr>
      </w:pPr>
      <w:r>
        <w:rPr>
          <w:rFonts w:ascii="Arial" w:cs="Arial" w:eastAsia="Arial" w:hAnsi="Arial"/>
          <w:sz w:val="17"/>
          <w:szCs w:val="17"/>
          <w:color w:val="auto"/>
        </w:rPr>
        <w:t xml:space="preserve">Our product candidate 4D-125 is enrolling patients in an ongoing Phase 1/2 dose-escalation clinical trial in patients with XLRP related to mutations in the </w:t>
      </w:r>
      <w:r>
        <w:rPr>
          <w:rFonts w:ascii="Arial" w:cs="Arial" w:eastAsia="Arial" w:hAnsi="Arial"/>
          <w:sz w:val="17"/>
          <w:szCs w:val="17"/>
          <w:i w:val="1"/>
          <w:iCs w:val="1"/>
          <w:color w:val="auto"/>
        </w:rPr>
        <w:t>RPGR</w:t>
      </w:r>
      <w:r>
        <w:rPr>
          <w:rFonts w:ascii="Arial" w:cs="Arial" w:eastAsia="Arial" w:hAnsi="Arial"/>
          <w:sz w:val="17"/>
          <w:szCs w:val="17"/>
          <w:color w:val="auto"/>
        </w:rPr>
        <w:t xml:space="preserve"> gene. The primary objectives of this trial are to evaluate the safety and maximum-tolerated dose of 4D-</w:t>
      </w:r>
    </w:p>
    <w:p>
      <w:pPr>
        <w:ind w:left="120" w:right="140" w:hanging="4"/>
        <w:spacing w:after="0" w:line="238" w:lineRule="auto"/>
        <w:tabs>
          <w:tab w:leader="none" w:pos="5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Secondary endpoints include assessments of biologic activity, including both visual field function and anatomical endpoints. Six patients total have been treated and followed for up to 18 weeks to date. Three patients in cohort 1 (3E11 vg/eye) have been treated. Following independent data safety monitoring committee approval of dose escalation, three patients have been treated in cohort 2 (1E12 vg/eye, the highest dose planned). 4D-125 has been well tolerated without any dose-limiting toxicities. We expect to report initial clinical data in 2021. 4DMT currently holds the worldwide commercialization rights for 4D-125 and Roche holds an exclusive option to in-license the product prior to pivotal trial initiation.</w:t>
      </w:r>
    </w:p>
    <w:p>
      <w:pPr>
        <w:spacing w:after="0" w:line="177" w:lineRule="exact"/>
        <w:rPr>
          <w:sz w:val="20"/>
          <w:szCs w:val="20"/>
          <w:color w:val="auto"/>
        </w:rPr>
      </w:pPr>
    </w:p>
    <w:p>
      <w:pPr>
        <w:ind w:left="120" w:right="20" w:firstLine="551"/>
        <w:spacing w:after="0" w:line="258" w:lineRule="auto"/>
        <w:rPr>
          <w:sz w:val="20"/>
          <w:szCs w:val="20"/>
          <w:color w:val="auto"/>
        </w:rPr>
      </w:pPr>
      <w:r>
        <w:rPr>
          <w:rFonts w:ascii="Arial" w:cs="Arial" w:eastAsia="Arial" w:hAnsi="Arial"/>
          <w:sz w:val="17"/>
          <w:szCs w:val="17"/>
          <w:color w:val="auto"/>
        </w:rPr>
        <w:t xml:space="preserve">Our product candidate, 4D-110, is enrolling patients in an ongoing Phase 1 dose-escalation clinical trial in patients with choroideremia related to mutations in the </w:t>
      </w:r>
      <w:r>
        <w:rPr>
          <w:rFonts w:ascii="Arial" w:cs="Arial" w:eastAsia="Arial" w:hAnsi="Arial"/>
          <w:sz w:val="17"/>
          <w:szCs w:val="17"/>
          <w:i w:val="1"/>
          <w:iCs w:val="1"/>
          <w:color w:val="auto"/>
        </w:rPr>
        <w:t>CHM</w:t>
      </w:r>
      <w:r>
        <w:rPr>
          <w:rFonts w:ascii="Arial" w:cs="Arial" w:eastAsia="Arial" w:hAnsi="Arial"/>
          <w:sz w:val="17"/>
          <w:szCs w:val="17"/>
          <w:color w:val="auto"/>
        </w:rPr>
        <w:t xml:space="preserve"> gene. The primary objectives of this trial are to evaluate the safety and maximum-tolerated dose of 4D-110. Secondary endpoints include assessments of biologic activity, including visual acuity, visual field function and anatomical endpoints. Enrolled patients have been followed previously on our natural history study, in which we have enrolled 55 patients, and have followed 47 of these patients for at least two years. Three patients have been treated and followed for up to 21 weeks to date. The independent data safety monitoring committee approved dose escalation to the highest planned dose level. 4D-110 has been well tolerated without any dose-limiting toxicities. In coordination with our partner Roche, we expect to report initial clinical data in 2022.</w:t>
      </w:r>
    </w:p>
    <w:p>
      <w:pPr>
        <w:spacing w:after="0" w:line="163" w:lineRule="exact"/>
        <w:rPr>
          <w:sz w:val="20"/>
          <w:szCs w:val="20"/>
          <w:color w:val="auto"/>
        </w:rPr>
      </w:pPr>
    </w:p>
    <w:p>
      <w:pPr>
        <w:ind w:left="120" w:right="220" w:firstLine="551"/>
        <w:spacing w:after="0" w:line="248" w:lineRule="auto"/>
        <w:rPr>
          <w:sz w:val="20"/>
          <w:szCs w:val="20"/>
          <w:color w:val="auto"/>
        </w:rPr>
      </w:pPr>
      <w:r>
        <w:rPr>
          <w:rFonts w:ascii="Arial" w:cs="Arial" w:eastAsia="Arial" w:hAnsi="Arial"/>
          <w:sz w:val="18"/>
          <w:szCs w:val="18"/>
          <w:color w:val="auto"/>
        </w:rPr>
        <w:t>We also have two wholly owned preclinical product candidates. We are developing 4D-150 for the treatment of wet AMD and diabetic retinopathy, including DME, and we expect to initiate a wet AMD clinical trial for 4D-150 in the second half of 2021. We are also developing 4D-135 for the treatment of autosomal dominant retinitis pigmentosa (adRP). We expect to initiate IND enabling studies for 4D-135 in 2021.</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4D-125 for X-Linked Retinitis Pigmentosa (XLRP)</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Disease Background, Unmet Medical Need and Target Patient Population</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XLRP is a rare inherited X-linked recessive genetic disorder that causes progressive vision loss and blindness in boys and young men. There are currently no approved therapies for XLRP. Seventy percent of cases are caused by mutations in the retinitis pigmentosa GTPase regulator (</w:t>
      </w:r>
      <w:r>
        <w:rPr>
          <w:rFonts w:ascii="Arial" w:cs="Arial" w:eastAsia="Arial" w:hAnsi="Arial"/>
          <w:sz w:val="18"/>
          <w:szCs w:val="18"/>
          <w:i w:val="1"/>
          <w:iCs w:val="1"/>
          <w:color w:val="auto"/>
        </w:rPr>
        <w:t>RPGR</w:t>
      </w:r>
      <w:r>
        <w:rPr>
          <w:rFonts w:ascii="Arial" w:cs="Arial" w:eastAsia="Arial" w:hAnsi="Arial"/>
          <w:sz w:val="18"/>
          <w:szCs w:val="18"/>
          <w:color w:val="auto"/>
        </w:rPr>
        <w:t xml:space="preserve">) gene. The estimated worldwide prevalence of XLRP due to </w:t>
      </w:r>
      <w:r>
        <w:rPr>
          <w:rFonts w:ascii="Arial" w:cs="Arial" w:eastAsia="Arial" w:hAnsi="Arial"/>
          <w:sz w:val="18"/>
          <w:szCs w:val="18"/>
          <w:i w:val="1"/>
          <w:iCs w:val="1"/>
          <w:color w:val="auto"/>
        </w:rPr>
        <w:t>RPGR</w:t>
      </w:r>
      <w:r>
        <w:rPr>
          <w:rFonts w:ascii="Arial" w:cs="Arial" w:eastAsia="Arial" w:hAnsi="Arial"/>
          <w:sz w:val="18"/>
          <w:szCs w:val="18"/>
          <w:color w:val="auto"/>
        </w:rPr>
        <w:t xml:space="preserve"> variants is approximately one in 25,600 people, which represents approximately 24,000 patients in the United States, and France, Germany, Italy, Spain and the United Kingdom (together, EU-5). It is characterized by dysfunction and degeneration of photoreceptors in the retina. Loss of </w:t>
      </w:r>
      <w:r>
        <w:rPr>
          <w:rFonts w:ascii="Arial" w:cs="Arial" w:eastAsia="Arial" w:hAnsi="Arial"/>
          <w:sz w:val="18"/>
          <w:szCs w:val="18"/>
          <w:i w:val="1"/>
          <w:iCs w:val="1"/>
          <w:color w:val="auto"/>
        </w:rPr>
        <w:t>RPGR</w:t>
      </w:r>
      <w:r>
        <w:rPr>
          <w:rFonts w:ascii="Arial" w:cs="Arial" w:eastAsia="Arial" w:hAnsi="Arial"/>
          <w:sz w:val="18"/>
          <w:szCs w:val="18"/>
          <w:color w:val="auto"/>
        </w:rPr>
        <w:t xml:space="preserve"> function in retinal cells causes the progressive loss of rod and cone photoreceptors, leading to the progressive loss of vision. Symptoms of XLRP are initially characterized by night blindness, followed by loss of peripheral visual field, decreasing visual acuity and eventually blindness. While males are usually the most affected, approximately 25% of heterozygous females experience loss of vision.</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00"/>
          </w:cols>
          <w:pgMar w:left="320" w:top="455" w:right="47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Solution</w:t>
      </w:r>
    </w:p>
    <w:p>
      <w:pPr>
        <w:spacing w:after="0" w:line="10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 xml:space="preserve">We are developing 4D-125 for the treatment of patients with XLRP with </w:t>
      </w:r>
      <w:r>
        <w:rPr>
          <w:rFonts w:ascii="Arial" w:cs="Arial" w:eastAsia="Arial" w:hAnsi="Arial"/>
          <w:sz w:val="18"/>
          <w:szCs w:val="18"/>
          <w:i w:val="1"/>
          <w:iCs w:val="1"/>
          <w:color w:val="auto"/>
        </w:rPr>
        <w:t>RPGR</w:t>
      </w:r>
      <w:r>
        <w:rPr>
          <w:rFonts w:ascii="Arial" w:cs="Arial" w:eastAsia="Arial" w:hAnsi="Arial"/>
          <w:sz w:val="18"/>
          <w:szCs w:val="18"/>
          <w:color w:val="auto"/>
        </w:rPr>
        <w:t xml:space="preserve"> mutations. 4D-125 is designed to benefit patients at all stages of XLRP, including early stage patients whose entire viable retinas are not adequately treated by subretinal surgery. This product candidate is comprised of R100 and carries a codon-optimized </w:t>
      </w:r>
      <w:r>
        <w:rPr>
          <w:rFonts w:ascii="Arial" w:cs="Arial" w:eastAsia="Arial" w:hAnsi="Arial"/>
          <w:sz w:val="18"/>
          <w:szCs w:val="18"/>
          <w:i w:val="1"/>
          <w:iCs w:val="1"/>
          <w:color w:val="auto"/>
        </w:rPr>
        <w:t>RPGR</w:t>
      </w:r>
      <w:r>
        <w:rPr>
          <w:rFonts w:ascii="Arial" w:cs="Arial" w:eastAsia="Arial" w:hAnsi="Arial"/>
          <w:sz w:val="18"/>
          <w:szCs w:val="18"/>
          <w:color w:val="auto"/>
        </w:rPr>
        <w:t xml:space="preserve"> transgene engineered for expression within human photoreceptors. In NHP models, we have observed widespread transduction and transgene expression across the entire retinal surface. We believe that 4D-125 has the potential to successfully treat XLRP patients at the earliest stages of their disease progression and ideally, slow or prevent progression and retain vision.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Competition and Differentiation: AAV Gene Therapy for XLRP</w:t>
      </w:r>
    </w:p>
    <w:p>
      <w:pPr>
        <w:spacing w:after="0" w:line="104" w:lineRule="exact"/>
        <w:rPr>
          <w:sz w:val="20"/>
          <w:szCs w:val="20"/>
          <w:color w:val="auto"/>
        </w:rPr>
      </w:pPr>
    </w:p>
    <w:p>
      <w:pPr>
        <w:ind w:left="120" w:right="100" w:firstLine="551"/>
        <w:spacing w:after="0" w:line="243" w:lineRule="auto"/>
        <w:rPr>
          <w:sz w:val="20"/>
          <w:szCs w:val="20"/>
          <w:color w:val="auto"/>
        </w:rPr>
      </w:pPr>
      <w:r>
        <w:rPr>
          <w:rFonts w:ascii="Arial" w:cs="Arial" w:eastAsia="Arial" w:hAnsi="Arial"/>
          <w:sz w:val="18"/>
          <w:szCs w:val="18"/>
          <w:color w:val="auto"/>
        </w:rPr>
        <w:t>Several companies are developing subretinal AAV gene therapies for patients with XLRP. Subretinal administration results in transduction and direct treatment of only a small fraction of the retina. On Phase 1 and 2 trials, investigators have reported improvements in visual field function within the localized retina area receiving the treatment bleb in a subset of patients. These AAV gene therapies require invasive subretinal surgery, which has been associated with subretinal surgery-related adverse events. In addition, subretinal surgery results in transduction of only a small fraction of the retina and is therefore limited to patients with more advanced disease with a small remaining area of viable retinal cells.</w:t>
      </w:r>
    </w:p>
    <w:p>
      <w:pPr>
        <w:spacing w:after="0" w:line="174" w:lineRule="exact"/>
        <w:rPr>
          <w:sz w:val="20"/>
          <w:szCs w:val="20"/>
          <w:color w:val="auto"/>
        </w:rPr>
      </w:pPr>
    </w:p>
    <w:p>
      <w:pPr>
        <w:ind w:left="120" w:right="140" w:firstLine="551"/>
        <w:spacing w:after="0" w:line="276" w:lineRule="auto"/>
        <w:rPr>
          <w:sz w:val="20"/>
          <w:szCs w:val="20"/>
          <w:color w:val="auto"/>
        </w:rPr>
      </w:pPr>
      <w:r>
        <w:rPr>
          <w:rFonts w:ascii="Arial" w:cs="Arial" w:eastAsia="Arial" w:hAnsi="Arial"/>
          <w:sz w:val="18"/>
          <w:szCs w:val="18"/>
          <w:color w:val="auto"/>
        </w:rPr>
        <w:t>We believe 4D-125 has the potential to be differentiated from other AAV gene therapies in clinical development, to our knowledge, on the basis of four design features:</w:t>
      </w:r>
    </w:p>
    <w:p>
      <w:pPr>
        <w:spacing w:after="0" w:line="50" w:lineRule="exact"/>
        <w:rPr>
          <w:sz w:val="20"/>
          <w:szCs w:val="20"/>
          <w:color w:val="auto"/>
        </w:rPr>
      </w:pPr>
    </w:p>
    <w:p>
      <w:pPr>
        <w:ind w:left="1300" w:right="240" w:hanging="644"/>
        <w:spacing w:after="0" w:line="245" w:lineRule="auto"/>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Safe and routine intravitreal route of administration</w:t>
      </w:r>
      <w:r>
        <w:rPr>
          <w:rFonts w:ascii="Arial" w:cs="Arial" w:eastAsia="Arial" w:hAnsi="Arial"/>
          <w:sz w:val="18"/>
          <w:szCs w:val="18"/>
          <w:color w:val="auto"/>
        </w:rPr>
        <w:t>: Product candidates that utilize conventional AAV vectors such as AAV2, must be administered by subretinal surgery for XLRP. Unlike those product candidates, R100, which is included in our product candidate 4D-125, was specifically invented for intravitreal injection. Notwithstanding any potential design features of 4D-125, this easier and widely used route of administration should result in safer and faster clinical trial enrollment, better efficacy and faster market uptake.</w:t>
      </w:r>
    </w:p>
    <w:p>
      <w:pPr>
        <w:spacing w:after="0" w:line="77" w:lineRule="exact"/>
        <w:rPr>
          <w:rFonts w:ascii="Arial" w:cs="Arial" w:eastAsia="Arial" w:hAnsi="Arial"/>
          <w:sz w:val="18"/>
          <w:szCs w:val="18"/>
          <w:color w:val="auto"/>
        </w:rPr>
      </w:pPr>
    </w:p>
    <w:p>
      <w:pPr>
        <w:ind w:left="1300" w:right="220" w:hanging="644"/>
        <w:spacing w:after="0" w:line="255" w:lineRule="auto"/>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Treatment of the entire retinal surface</w:t>
      </w:r>
      <w:r>
        <w:rPr>
          <w:rFonts w:ascii="Arial" w:cs="Arial" w:eastAsia="Arial" w:hAnsi="Arial"/>
          <w:sz w:val="18"/>
          <w:szCs w:val="18"/>
          <w:color w:val="auto"/>
        </w:rPr>
        <w:t>: Unlike conventional AAV vectors administered by subretinal surgery, which reportedly treat only a small fraction of the retinal surface, 4D-125 can be used to treat the entire retinal surface following intravitreal injection, potentially broadening its therapeutic applicability.</w:t>
      </w:r>
    </w:p>
    <w:p>
      <w:pPr>
        <w:spacing w:after="0" w:line="69" w:lineRule="exact"/>
        <w:rPr>
          <w:rFonts w:ascii="Arial" w:cs="Arial" w:eastAsia="Arial" w:hAnsi="Arial"/>
          <w:sz w:val="18"/>
          <w:szCs w:val="18"/>
          <w:color w:val="auto"/>
        </w:rPr>
      </w:pPr>
    </w:p>
    <w:p>
      <w:pPr>
        <w:ind w:left="1300" w:right="180" w:hanging="644"/>
        <w:spacing w:after="0" w:line="248" w:lineRule="auto"/>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Feasibility of treating early stage patients</w:t>
      </w:r>
      <w:r>
        <w:rPr>
          <w:rFonts w:ascii="Arial" w:cs="Arial" w:eastAsia="Arial" w:hAnsi="Arial"/>
          <w:sz w:val="18"/>
          <w:szCs w:val="18"/>
          <w:color w:val="auto"/>
        </w:rPr>
        <w:t xml:space="preserve">: We believe it will be feasible to safely treat early stage patients </w:t>
      </w:r>
      <w:r>
        <w:rPr>
          <w:rFonts w:ascii="Arial" w:cs="Arial" w:eastAsia="Arial" w:hAnsi="Arial"/>
          <w:sz w:val="18"/>
          <w:szCs w:val="18"/>
          <w:u w:val="single" w:color="auto"/>
          <w:color w:val="auto"/>
        </w:rPr>
        <w:t>before</w:t>
      </w:r>
      <w:r>
        <w:rPr>
          <w:rFonts w:ascii="Arial" w:cs="Arial" w:eastAsia="Arial" w:hAnsi="Arial"/>
          <w:sz w:val="18"/>
          <w:szCs w:val="18"/>
          <w:color w:val="auto"/>
        </w:rPr>
        <w:t xml:space="preserve"> they start to lose their retina. 4D-125 is designed to treat the entire surface of the retina, including the periphery where degenerative diseases like XLRP start. In addition, intravitreal injection is recognized as a safe, simple and routinely used method of administering therapeutics.</w:t>
      </w:r>
    </w:p>
    <w:p>
      <w:pPr>
        <w:spacing w:after="0" w:line="75" w:lineRule="exact"/>
        <w:rPr>
          <w:rFonts w:ascii="Arial" w:cs="Arial" w:eastAsia="Arial" w:hAnsi="Arial"/>
          <w:sz w:val="18"/>
          <w:szCs w:val="18"/>
          <w:color w:val="auto"/>
        </w:rPr>
      </w:pPr>
    </w:p>
    <w:p>
      <w:pPr>
        <w:ind w:left="1300" w:right="120" w:hanging="644"/>
        <w:spacing w:after="0" w:line="255" w:lineRule="auto"/>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Commercial opportunity</w:t>
      </w:r>
      <w:r>
        <w:rPr>
          <w:rFonts w:ascii="Arial" w:cs="Arial" w:eastAsia="Arial" w:hAnsi="Arial"/>
          <w:sz w:val="18"/>
          <w:szCs w:val="18"/>
          <w:color w:val="auto"/>
        </w:rPr>
        <w:t>: Intravitreal injections are widely adopted by many practicing ophthalmologists and used to treat a number of ophthalmological indications. As a result, we believe 4D-125 has the potential for rapid market uptake, if approved.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Preclinical Animal Model Pharmacology and Toxicology Studies</w:t>
      </w:r>
    </w:p>
    <w:p>
      <w:pPr>
        <w:spacing w:after="0" w:line="104" w:lineRule="exact"/>
        <w:rPr>
          <w:sz w:val="20"/>
          <w:szCs w:val="20"/>
          <w:color w:val="auto"/>
        </w:rPr>
      </w:pPr>
    </w:p>
    <w:p>
      <w:pPr>
        <w:jc w:val="both"/>
        <w:ind w:left="120" w:right="140" w:firstLine="551"/>
        <w:spacing w:after="0" w:line="248" w:lineRule="auto"/>
        <w:rPr>
          <w:sz w:val="20"/>
          <w:szCs w:val="20"/>
          <w:color w:val="auto"/>
        </w:rPr>
      </w:pPr>
      <w:r>
        <w:rPr>
          <w:rFonts w:ascii="Arial" w:cs="Arial" w:eastAsia="Arial" w:hAnsi="Arial"/>
          <w:sz w:val="18"/>
          <w:szCs w:val="18"/>
          <w:color w:val="auto"/>
        </w:rPr>
        <w:t>We completed a single dose IND-enabling toxicology and biodistribution study in 30 NHPs with 4D-125. 4D-125 was administered at doses of 1E11 vg/eye or 1E12 vg/eye by intravitreal injection. Animals were sacrificed at three weeks, three months or six months. No meaningful toxicities were reported anywhere in the body, including specifically within the retina. Mild, transient uveitis was observed, but no chronic inflammation was reported; all animals were under systemic</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5" w:right="45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00"/>
        <w:spacing w:after="0" w:line="276" w:lineRule="auto"/>
        <w:rPr>
          <w:sz w:val="20"/>
          <w:szCs w:val="20"/>
          <w:color w:val="auto"/>
        </w:rPr>
      </w:pPr>
      <w:r>
        <w:rPr>
          <w:rFonts w:ascii="Arial" w:cs="Arial" w:eastAsia="Arial" w:hAnsi="Arial"/>
          <w:sz w:val="18"/>
          <w:szCs w:val="18"/>
          <w:color w:val="auto"/>
        </w:rPr>
        <w:t>immunosuppression during the study. We detected vector genomes and XLRP transgene RNA expression in all treated retinas at both dose levels; the genome and RNA levels were higher in the high dose animals.</w:t>
      </w:r>
    </w:p>
    <w:p>
      <w:pPr>
        <w:spacing w:after="0" w:line="145"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 xml:space="preserve">In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model of the disease, XLRP patient photoreceptors were derived from XLRP-diseased white blood cells that had been reprogrammed into induced pluripotent stem cells. Diseased photoreceptors were transduced with 4D-125 and protein lysates were harvested 30 days post-transduction. 4D-125 transduced cells expressed significantly more transgene product (hRPGRorf15) than control cells. Moreover, this expressed protein was shown to be active as measured by glutamylation (GT335).</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Clinical Development: Phase 1/2 Clinical Trial</w:t>
      </w:r>
    </w:p>
    <w:p>
      <w:pPr>
        <w:spacing w:after="0" w:line="104"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 xml:space="preserve">We are currently enrolling patients on a Phase 1/2 dose-escalation clinical trial, with four patients treated to date. This is a dose-escalation trial of intravitreal injection with 4D-125 in patients with clinically significant XLRP due to </w:t>
      </w:r>
      <w:r>
        <w:rPr>
          <w:rFonts w:ascii="Arial" w:cs="Arial" w:eastAsia="Arial" w:hAnsi="Arial"/>
          <w:sz w:val="18"/>
          <w:szCs w:val="18"/>
          <w:i w:val="1"/>
          <w:iCs w:val="1"/>
          <w:color w:val="auto"/>
        </w:rPr>
        <w:t>RPGR</w:t>
      </w:r>
      <w:r>
        <w:rPr>
          <w:rFonts w:ascii="Arial" w:cs="Arial" w:eastAsia="Arial" w:hAnsi="Arial"/>
          <w:sz w:val="18"/>
          <w:szCs w:val="18"/>
          <w:color w:val="auto"/>
        </w:rPr>
        <w:t xml:space="preserve"> gene mutation. The primary objectives of this trial are to evaluate the safety and maximum tolerated dose of 4D-125. Secondary endpoints include assessments of biologic activity, including both visual field function and anatomical endpoints. Six patients total have been treated and followed for up to 18 weeks to date. Three patients in cohort 1 (3E11 vg/eye) have been treated. Following independent data safety monitoring committee approval of dose escalation, three patients have been treated in cohort 2 (1E12 vg/eye, the highest dose planned). 4D-125 has been well-tolerated and has not resulted in dose-limiting toxicities. No serious adverse events related to the agent have been reported.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4D-110 for Choroideremia</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Disease Background, Unmet Medical Need and Target Patient Population</w:t>
      </w:r>
    </w:p>
    <w:p>
      <w:pPr>
        <w:spacing w:after="0" w:line="104" w:lineRule="exact"/>
        <w:rPr>
          <w:sz w:val="20"/>
          <w:szCs w:val="20"/>
          <w:color w:val="auto"/>
        </w:rPr>
      </w:pPr>
    </w:p>
    <w:p>
      <w:pPr>
        <w:ind w:left="120" w:right="260" w:firstLine="551"/>
        <w:spacing w:after="0" w:line="248" w:lineRule="auto"/>
        <w:rPr>
          <w:sz w:val="20"/>
          <w:szCs w:val="20"/>
          <w:color w:val="auto"/>
        </w:rPr>
      </w:pPr>
      <w:r>
        <w:rPr>
          <w:rFonts w:ascii="Arial" w:cs="Arial" w:eastAsia="Arial" w:hAnsi="Arial"/>
          <w:sz w:val="18"/>
          <w:szCs w:val="18"/>
          <w:color w:val="auto"/>
        </w:rPr>
        <w:t xml:space="preserve">Choroideremia is a monogenic blinding disease, affecting approximately 13,000 patients in the United States and EU-5. No products are approved currently for the treatment of this disease in the United States or European Union. This X-linked, progressive degenerative disease of the retina and choroid is caused exclusively by mutations in the </w:t>
      </w:r>
      <w:r>
        <w:rPr>
          <w:rFonts w:ascii="Arial" w:cs="Arial" w:eastAsia="Arial" w:hAnsi="Arial"/>
          <w:sz w:val="18"/>
          <w:szCs w:val="18"/>
          <w:i w:val="1"/>
          <w:iCs w:val="1"/>
          <w:color w:val="auto"/>
        </w:rPr>
        <w:t>CHM</w:t>
      </w:r>
      <w:r>
        <w:rPr>
          <w:rFonts w:ascii="Arial" w:cs="Arial" w:eastAsia="Arial" w:hAnsi="Arial"/>
          <w:sz w:val="18"/>
          <w:szCs w:val="18"/>
          <w:color w:val="auto"/>
        </w:rPr>
        <w:t xml:space="preserve"> gene that encodes for the REP1 protein. While choroideremia primarily affects men, some heterozygous females also suffer variable visual loss from the condition.</w:t>
      </w:r>
    </w:p>
    <w:p>
      <w:pPr>
        <w:spacing w:after="0" w:line="170"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 xml:space="preserve">Choroideremia initially manifests as night-blindness and peripheral visual field defects, usually starting in the first two decades of life. As the disease progresses, the visual field begins to constrict relatively early in the disease’s progression, which hinders patients’ ability to conduct daily activities, such as driving. Many patients become blind by 30 years of age. A patient with advanced disease will be legally blind by virtue of poor visual acuity and minimal preserved visual field. Almost all mutations in the </w:t>
      </w:r>
      <w:r>
        <w:rPr>
          <w:rFonts w:ascii="Arial" w:cs="Arial" w:eastAsia="Arial" w:hAnsi="Arial"/>
          <w:sz w:val="18"/>
          <w:szCs w:val="18"/>
          <w:i w:val="1"/>
          <w:iCs w:val="1"/>
          <w:color w:val="auto"/>
        </w:rPr>
        <w:t>CHM</w:t>
      </w:r>
      <w:r>
        <w:rPr>
          <w:rFonts w:ascii="Arial" w:cs="Arial" w:eastAsia="Arial" w:hAnsi="Arial"/>
          <w:sz w:val="18"/>
          <w:szCs w:val="18"/>
          <w:color w:val="auto"/>
        </w:rPr>
        <w:t xml:space="preserve"> gene result in production of a non-functional REP1 protein. REP1 is essential for the activation (prenylation) of Ras-associated binding (Rab) proteins involved in intracellular vesicle trafficking.</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Solution</w:t>
      </w:r>
    </w:p>
    <w:p>
      <w:pPr>
        <w:spacing w:after="0" w:line="104"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 xml:space="preserve">We are developing 4D-110 for the treatment of choroideremia. 4D-110 is designed for a single intravitreal injection and to benefit patients at all stages of disease, including early stage patients whose entire viable retinas are not adequately treated by subretinal injection. 4D-110 is comprised of R100 and is engineered to deliver the </w:t>
      </w:r>
      <w:r>
        <w:rPr>
          <w:rFonts w:ascii="Arial" w:cs="Arial" w:eastAsia="Arial" w:hAnsi="Arial"/>
          <w:sz w:val="18"/>
          <w:szCs w:val="18"/>
          <w:i w:val="1"/>
          <w:iCs w:val="1"/>
          <w:color w:val="auto"/>
        </w:rPr>
        <w:t>CHM</w:t>
      </w:r>
      <w:r>
        <w:rPr>
          <w:rFonts w:ascii="Arial" w:cs="Arial" w:eastAsia="Arial" w:hAnsi="Arial"/>
          <w:sz w:val="18"/>
          <w:szCs w:val="18"/>
          <w:color w:val="auto"/>
        </w:rPr>
        <w:t xml:space="preserve"> transgene, the dysfunctional gene in choroideremia, to human RPE cells safely. We believe that 4D-110 has the potential, if approved, to successfully treat choroideremia patients at the earliest stages of their disease progression and ideally, slow or prevent progression and retain vision.</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80"/>
          </w:cols>
          <w:pgMar w:left="320" w:top="455" w:right="49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Competition and Differentiation: AAV Gene Therapy for Choroideremia</w:t>
      </w:r>
    </w:p>
    <w:p>
      <w:pPr>
        <w:spacing w:after="0" w:line="104"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Conventional subretinal AAV gene therapy approaches are being developed to treat choroideremia. Subretinal administration results in transduction and direct treatment of only a small fraction of the retina. Biogen is developing a subretinally administered product candidate for choroideremia called NSR-REP1. In 2018, data was reported from a Phase 1/2 clinical trial in patients with end-stage choroideremia, who have only a small remaining area of viable retinal cells in the central field of vision and reduced visual acuity. In this trial, investigators concluded that best corrected visual acuity improved in a subset of patients. A pivotal randomized Phase 3 clinical trial was initiated in 2018. This AAV gene therapy approach requires invasive subretinal surgery, which has been associated with subretinal surgery-related adverse events. In addition, subretinal surgery results in transduction of only a small fraction of the retina and is therefore limited to patients with more advanced disease who have a small remaining area of viable retinal cells.</w:t>
      </w:r>
    </w:p>
    <w:p>
      <w:pPr>
        <w:spacing w:after="0" w:line="180" w:lineRule="exact"/>
        <w:rPr>
          <w:sz w:val="20"/>
          <w:szCs w:val="20"/>
          <w:color w:val="auto"/>
        </w:rPr>
      </w:pPr>
    </w:p>
    <w:p>
      <w:pPr>
        <w:ind w:left="120" w:right="540" w:firstLine="551"/>
        <w:spacing w:after="0" w:line="276" w:lineRule="auto"/>
        <w:rPr>
          <w:sz w:val="20"/>
          <w:szCs w:val="20"/>
          <w:color w:val="auto"/>
        </w:rPr>
      </w:pPr>
      <w:r>
        <w:rPr>
          <w:rFonts w:ascii="Arial" w:cs="Arial" w:eastAsia="Arial" w:hAnsi="Arial"/>
          <w:sz w:val="18"/>
          <w:szCs w:val="18"/>
          <w:color w:val="auto"/>
        </w:rPr>
        <w:t>We believe 4D-110 has the potential to be differentiated from AAV gene therapies in development on the basis of four design features:</w:t>
      </w:r>
    </w:p>
    <w:p>
      <w:pPr>
        <w:spacing w:after="0" w:line="50" w:lineRule="exact"/>
        <w:rPr>
          <w:sz w:val="20"/>
          <w:szCs w:val="20"/>
          <w:color w:val="auto"/>
        </w:rPr>
      </w:pPr>
    </w:p>
    <w:p>
      <w:pPr>
        <w:ind w:left="1300" w:right="100" w:hanging="644"/>
        <w:spacing w:after="0" w:line="248" w:lineRule="auto"/>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Safe and routine intravitreal route of administration</w:t>
      </w:r>
      <w:r>
        <w:rPr>
          <w:rFonts w:ascii="Arial" w:cs="Arial" w:eastAsia="Arial" w:hAnsi="Arial"/>
          <w:sz w:val="18"/>
          <w:szCs w:val="18"/>
          <w:color w:val="auto"/>
        </w:rPr>
        <w:t>: Unlike conventional AAV vectors such as AAV2, which are utilized in subretinal surgery product candidates for choroideremia, R100 was specifically selected for simple and safe intravitreal injection. Notwithstanding any potential design features of 4D-110, this ease of administration should result in safer and faster clinical trial enrollment, better efficacy and faster market uptake.</w:t>
      </w:r>
    </w:p>
    <w:p>
      <w:pPr>
        <w:spacing w:after="0" w:line="75" w:lineRule="exact"/>
        <w:rPr>
          <w:rFonts w:ascii="Arial" w:cs="Arial" w:eastAsia="Arial" w:hAnsi="Arial"/>
          <w:sz w:val="18"/>
          <w:szCs w:val="18"/>
          <w:color w:val="auto"/>
        </w:rPr>
      </w:pPr>
    </w:p>
    <w:p>
      <w:pPr>
        <w:ind w:left="1300" w:hanging="644"/>
        <w:spacing w:after="0" w:line="255" w:lineRule="auto"/>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Treatment of the entire retinal surface:</w:t>
      </w:r>
      <w:r>
        <w:rPr>
          <w:rFonts w:ascii="Arial" w:cs="Arial" w:eastAsia="Arial" w:hAnsi="Arial"/>
          <w:sz w:val="18"/>
          <w:szCs w:val="18"/>
          <w:color w:val="auto"/>
        </w:rPr>
        <w:t xml:space="preserve"> Unlike products candidates utilizing conventional AAV vectors and administered by subretinal surgery, which reportedly treat a small fraction of the retinal surface, 4D-110 can be used to treat the entire retinal surface following intravitreal injection.</w:t>
      </w:r>
    </w:p>
    <w:p>
      <w:pPr>
        <w:spacing w:after="0" w:line="69" w:lineRule="exact"/>
        <w:rPr>
          <w:rFonts w:ascii="Arial" w:cs="Arial" w:eastAsia="Arial" w:hAnsi="Arial"/>
          <w:sz w:val="18"/>
          <w:szCs w:val="18"/>
          <w:color w:val="auto"/>
        </w:rPr>
      </w:pPr>
    </w:p>
    <w:p>
      <w:pPr>
        <w:ind w:left="1300" w:right="100" w:hanging="644"/>
        <w:spacing w:after="0" w:line="248" w:lineRule="auto"/>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Feasibility of treating early stage patients:</w:t>
      </w:r>
      <w:r>
        <w:rPr>
          <w:rFonts w:ascii="Arial" w:cs="Arial" w:eastAsia="Arial" w:hAnsi="Arial"/>
          <w:sz w:val="18"/>
          <w:szCs w:val="18"/>
          <w:color w:val="auto"/>
        </w:rPr>
        <w:t xml:space="preserve"> We believe 4D-110 has the potential to safely treat early stage patients before they start to lose their retina. 4D-110 is designed to treat the entire surface of the retina, including the periphery where degenerative diseases like choroideremia start. In addition, intravitreal injection is recognized as a safe, simple and routinely used method of administering therapeutics.</w:t>
      </w:r>
    </w:p>
    <w:p>
      <w:pPr>
        <w:spacing w:after="0" w:line="75" w:lineRule="exact"/>
        <w:rPr>
          <w:rFonts w:ascii="Arial" w:cs="Arial" w:eastAsia="Arial" w:hAnsi="Arial"/>
          <w:sz w:val="18"/>
          <w:szCs w:val="18"/>
          <w:color w:val="auto"/>
        </w:rPr>
      </w:pPr>
    </w:p>
    <w:p>
      <w:pPr>
        <w:ind w:left="1300" w:right="100" w:hanging="644"/>
        <w:spacing w:after="0" w:line="255" w:lineRule="auto"/>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Commercial opportunity</w:t>
      </w:r>
      <w:r>
        <w:rPr>
          <w:rFonts w:ascii="Arial" w:cs="Arial" w:eastAsia="Arial" w:hAnsi="Arial"/>
          <w:sz w:val="18"/>
          <w:szCs w:val="18"/>
          <w:color w:val="auto"/>
        </w:rPr>
        <w:t>: Intravitreal injections are widely adopted by many practicing ophthalmologists and used to treat a number of ophthalmological indications. As a result, we believe 4D-110 has the potential for rapid market uptake, if approved.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Preclinical Animal Model Pharmacology and Toxicology Studies</w:t>
      </w:r>
    </w:p>
    <w:p>
      <w:pPr>
        <w:spacing w:after="0" w:line="104" w:lineRule="exact"/>
        <w:rPr>
          <w:sz w:val="20"/>
          <w:szCs w:val="20"/>
          <w:color w:val="auto"/>
        </w:rPr>
      </w:pPr>
    </w:p>
    <w:p>
      <w:pPr>
        <w:ind w:left="120" w:right="40" w:firstLine="551"/>
        <w:spacing w:after="0" w:line="276" w:lineRule="auto"/>
        <w:rPr>
          <w:sz w:val="20"/>
          <w:szCs w:val="20"/>
          <w:color w:val="auto"/>
        </w:rPr>
      </w:pPr>
      <w:r>
        <w:rPr>
          <w:rFonts w:ascii="Arial" w:cs="Arial" w:eastAsia="Arial" w:hAnsi="Arial"/>
          <w:sz w:val="18"/>
          <w:szCs w:val="18"/>
          <w:color w:val="auto"/>
        </w:rPr>
        <w:t>A total of 44 NHPs have been treated with 4D-110 on two GLP toxicology and biodistribution studies. No significant adverse effects or toxicities were reported.</w:t>
      </w:r>
    </w:p>
    <w:p>
      <w:pPr>
        <w:spacing w:after="0" w:line="145"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 xml:space="preserve">We completed a single dose IND-enabling toxicology and biodistribution study in 27 NHPs dosed with 4D-110. 4D-110 was administered at doses of 1E11 vg/eye or 1E12 vg/eye by intravitreal injection. Animals were sacrificed at three weeks, three months or six months. No meaningful toxicities were reported anywhere in the body, including specifically within the retina. Mild, transient cortico-steroid responsive anterior uveitis was reported in a minority of treated NHP. No chronic inflammation was reported; all animals were under systemic immunosuppression during the study. We detected vector genomes and </w:t>
      </w:r>
      <w:r>
        <w:rPr>
          <w:rFonts w:ascii="Arial" w:cs="Arial" w:eastAsia="Arial" w:hAnsi="Arial"/>
          <w:sz w:val="18"/>
          <w:szCs w:val="18"/>
          <w:i w:val="1"/>
          <w:iCs w:val="1"/>
          <w:color w:val="auto"/>
        </w:rPr>
        <w:t>CHM/REP1</w:t>
      </w:r>
      <w:r>
        <w:rPr>
          <w:rFonts w:ascii="Arial" w:cs="Arial" w:eastAsia="Arial" w:hAnsi="Arial"/>
          <w:sz w:val="18"/>
          <w:szCs w:val="18"/>
          <w:color w:val="auto"/>
        </w:rPr>
        <w:t xml:space="preserve"> transgene RNA expression in all treated retinas at both dose levels; the genome and RNA levels were higher in the high dose animals.</w:t>
      </w:r>
    </w:p>
    <w:p>
      <w:pPr>
        <w:spacing w:after="0" w:line="174" w:lineRule="exact"/>
        <w:rPr>
          <w:sz w:val="20"/>
          <w:szCs w:val="20"/>
          <w:color w:val="auto"/>
        </w:rPr>
      </w:pPr>
    </w:p>
    <w:p>
      <w:pPr>
        <w:ind w:left="120" w:right="40" w:firstLine="551"/>
        <w:spacing w:after="0" w:line="255" w:lineRule="auto"/>
        <w:rPr>
          <w:sz w:val="20"/>
          <w:szCs w:val="20"/>
          <w:color w:val="auto"/>
        </w:rPr>
      </w:pPr>
      <w:r>
        <w:rPr>
          <w:rFonts w:ascii="Arial" w:cs="Arial" w:eastAsia="Arial" w:hAnsi="Arial"/>
          <w:sz w:val="18"/>
          <w:szCs w:val="18"/>
          <w:color w:val="auto"/>
        </w:rPr>
        <w:t>We subsequently completed a bilateral intravitreal 4D-110 GLP toxicology and biodistribution study in 17 NHPs dosed with 4D-110. 4D-110 was administered at doses of 3E11 vg/eye or 1E12 vg/eye by intravitreal injection. Animals were sacrificed at three weeks, 13 weeks and 26 weeks. No meaningful toxicities were reported anywhere in the body, including specifically within the retina.</w:t>
      </w:r>
    </w:p>
    <w:p>
      <w:pPr>
        <w:spacing w:after="0" w:line="9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00"/>
          </w:cols>
          <w:pgMar w:left="320" w:top="455" w:right="47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 xml:space="preserve">Transient cortico-steroid responsive uveitis was reported. No chronic inflammation was reported; all animals were under systemic immunosuppression during the study. We detected vector genomes and </w:t>
      </w:r>
      <w:r>
        <w:rPr>
          <w:rFonts w:ascii="Arial" w:cs="Arial" w:eastAsia="Arial" w:hAnsi="Arial"/>
          <w:sz w:val="18"/>
          <w:szCs w:val="18"/>
          <w:i w:val="1"/>
          <w:iCs w:val="1"/>
          <w:color w:val="auto"/>
        </w:rPr>
        <w:t>CHM/REP1</w:t>
      </w:r>
      <w:r>
        <w:rPr>
          <w:rFonts w:ascii="Arial" w:cs="Arial" w:eastAsia="Arial" w:hAnsi="Arial"/>
          <w:sz w:val="18"/>
          <w:szCs w:val="18"/>
          <w:color w:val="auto"/>
        </w:rPr>
        <w:t xml:space="preserve"> transgene RNA expression in treated retinas at both dose levels.</w:t>
      </w:r>
    </w:p>
    <w:p>
      <w:pPr>
        <w:spacing w:after="0" w:line="164" w:lineRule="exact"/>
        <w:rPr>
          <w:sz w:val="20"/>
          <w:szCs w:val="20"/>
          <w:color w:val="auto"/>
        </w:rPr>
      </w:pPr>
    </w:p>
    <w:p>
      <w:pPr>
        <w:ind w:left="120" w:right="220" w:firstLine="551"/>
        <w:spacing w:after="0" w:line="245" w:lineRule="auto"/>
        <w:rPr>
          <w:sz w:val="20"/>
          <w:szCs w:val="20"/>
          <w:color w:val="auto"/>
        </w:rPr>
      </w:pPr>
      <w:r>
        <w:rPr>
          <w:rFonts w:ascii="Arial" w:cs="Arial" w:eastAsia="Arial" w:hAnsi="Arial"/>
          <w:sz w:val="18"/>
          <w:szCs w:val="18"/>
          <w:color w:val="auto"/>
        </w:rPr>
        <w:t>In preclinical pharmacology studies involving human choroideremia patient-derived RPE cells, 4D-110 led to functional REP1 protein expression that corrected RAB27A trafficking from the cytoplasm to the cell membrane. In similar fashion to normal RPE cells, 4D-110-treated diseased RPE cells derived from choroideremia patients had RAB27A protein associated with their cell membranes; this finding confirmed the functionality of the REP1 protein expressed from 4D-110. In contrast, in untreated diseased cells, RAB27A was demonstrated diffusely throughout the cytoplasm.</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Clinical Development: Phase 1 Clinical Trial and Natural History Study</w:t>
      </w:r>
    </w:p>
    <w:p>
      <w:pPr>
        <w:spacing w:after="0" w:line="104" w:lineRule="exact"/>
        <w:rPr>
          <w:sz w:val="20"/>
          <w:szCs w:val="20"/>
          <w:color w:val="auto"/>
        </w:rPr>
      </w:pPr>
    </w:p>
    <w:p>
      <w:pPr>
        <w:ind w:left="120" w:right="100" w:firstLine="551"/>
        <w:spacing w:after="0" w:line="245" w:lineRule="auto"/>
        <w:rPr>
          <w:sz w:val="20"/>
          <w:szCs w:val="20"/>
          <w:color w:val="auto"/>
        </w:rPr>
      </w:pPr>
      <w:r>
        <w:rPr>
          <w:rFonts w:ascii="Arial" w:cs="Arial" w:eastAsia="Arial" w:hAnsi="Arial"/>
          <w:sz w:val="18"/>
          <w:szCs w:val="18"/>
          <w:color w:val="auto"/>
        </w:rPr>
        <w:t>We have fully enrolled a natural history study of over 50 patients with choroideremia to document rate of visual and anatomical decline, and to identify candidates who are most likely to benefit from participation in our current Phase 1/2 clinical trial. Fifty-five patients were enrolled and 47 of these patients have been followed for at least two years. Statistically significant declines in fundus autofluorescence area were reported by investigators over the two-year span after enrollment, with progression evident within 12 months. We expect that many of these subjects will enroll in our current Phase 1 clinical trial, or in future trials we may conduct.</w:t>
      </w:r>
    </w:p>
    <w:p>
      <w:pPr>
        <w:spacing w:after="0" w:line="17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 xml:space="preserve">We are currently enrolling patients on a Phase 1 clinical trial, with three patients treated to date. This is a dose -escalation trial of intravitreal injection with 4D-110 in patients with choroideremia due to </w:t>
      </w:r>
      <w:r>
        <w:rPr>
          <w:rFonts w:ascii="Arial" w:cs="Arial" w:eastAsia="Arial" w:hAnsi="Arial"/>
          <w:sz w:val="18"/>
          <w:szCs w:val="18"/>
          <w:i w:val="1"/>
          <w:iCs w:val="1"/>
          <w:color w:val="auto"/>
        </w:rPr>
        <w:t>CHM</w:t>
      </w:r>
      <w:r>
        <w:rPr>
          <w:rFonts w:ascii="Arial" w:cs="Arial" w:eastAsia="Arial" w:hAnsi="Arial"/>
          <w:sz w:val="18"/>
          <w:szCs w:val="18"/>
          <w:color w:val="auto"/>
        </w:rPr>
        <w:t xml:space="preserve"> gene mutation. The primary objectives of this trial are to evaluate the safety and maximum-tolerated dose of 4D-110. Secondary endpoints include assessments of biologic activity, including visual acuity, visual field function and anatomical endpoints. Endpoint changes in each individual treated patient over time, before treatment while on the Natural History Study, will be compared to endpoint changes after 4D-110 treatment in the same patient whenever possible. Patients may therefore serve as their own control for assessments of these endpoints. In three patients treated on this Phase 1 trial to date and followed for up to 21 weeks, 4D-110 has been well-tolerated and has not resulted in dose-limiting toxicities. The independent data safety monitoring committee approved dose escalation to the highest planned dose level.</w:t>
      </w:r>
    </w:p>
    <w:p>
      <w:pPr>
        <w:spacing w:after="0" w:line="180"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We licensed exclusive worldwide rights of 4D-110 to Roche in 2017. We are primarily responsible for initial development, including preclinical development, manufacturing, filing and maintaining the IND and conducting the Phase 1 clinical trial. Upon completion of initial development, Roche will be responsible for development including conducting any pivotal clinical trials and commercialization, if approved. We are entitled to development costs reimbursement, development milestones and royalties and sales milestones on this product candidate.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4D-150 for Wet AMD and Diabetic Retinopathy</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Disease Background, Unmet Medical Need and Target Patient Population</w:t>
      </w:r>
    </w:p>
    <w:p>
      <w:pPr>
        <w:spacing w:after="0" w:line="104"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Wet AMD is a type of macular degeneration where abnormal blood vessels (choroidal neovascularization or CNV) grow into the macula, the central area of the retina. As a consequence, CNV causes retina swelling and edema, and bleeding can occur and cause visual distortion and reduced acuity. The proliferation of abnormal blood vessels in the retina is stimulated by VEGF. This process distorts and can potentially destroy central vision and may progress to blindness without treatment. There are on average 200,000 new incidences of wet AMD per year in the United States alone. Wet AMD accounts for approximately 10% of all diagnosed cases of AMD, but it results in an estimated 90% of the legal blindness caused by all types of AMD. High expression levels of VEGF appear to play a causal role in the symptoms of wet AMD.</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firstLine="551"/>
        <w:spacing w:after="0" w:line="243" w:lineRule="auto"/>
        <w:rPr>
          <w:sz w:val="20"/>
          <w:szCs w:val="20"/>
          <w:color w:val="auto"/>
        </w:rPr>
      </w:pPr>
      <w:r>
        <w:rPr>
          <w:rFonts w:ascii="Arial" w:cs="Arial" w:eastAsia="Arial" w:hAnsi="Arial"/>
          <w:sz w:val="18"/>
          <w:szCs w:val="18"/>
          <w:color w:val="auto"/>
        </w:rPr>
        <w:t>Diabetes mellitus affects approximately 400 million adults worldwide and the prevalence is expected to increase by approximately 45% in the next decade. Diabetic eye disease, primarily diabetic retinopathy (DR), is a leading cause of vision loss and blindness in working-age adults and occurs due to the development of diabetic macular edema (DME; swelling, edema and hemorrhage in the central vision) and complications arising from proliferative diabetic retinopathy (PDR; retinal neovascularization causing bleeding and retinal detachment). The prevalence of diabetic retinopathy is high, affecting almost one-third of adults over 40 years of age with diabetes. In the United States approximately 4.2 million adults have DR and 655,000 have vision-threatening DR.</w:t>
      </w:r>
    </w:p>
    <w:p>
      <w:pPr>
        <w:spacing w:after="0" w:line="174" w:lineRule="exact"/>
        <w:rPr>
          <w:sz w:val="20"/>
          <w:szCs w:val="20"/>
          <w:color w:val="auto"/>
        </w:rPr>
      </w:pPr>
    </w:p>
    <w:p>
      <w:pPr>
        <w:ind w:left="120" w:right="200" w:firstLine="551"/>
        <w:spacing w:after="0" w:line="243" w:lineRule="auto"/>
        <w:rPr>
          <w:sz w:val="20"/>
          <w:szCs w:val="20"/>
          <w:color w:val="auto"/>
        </w:rPr>
      </w:pPr>
      <w:r>
        <w:rPr>
          <w:rFonts w:ascii="Arial" w:cs="Arial" w:eastAsia="Arial" w:hAnsi="Arial"/>
          <w:sz w:val="18"/>
          <w:szCs w:val="18"/>
          <w:color w:val="auto"/>
        </w:rPr>
        <w:t>The current treatment paradigm for wet AMD and diabetic retinopathy, including DME, is intravitreal injection of patients with anti-VEGF proteins that inhibit the proliferation of new blood vessels, reducing edema and bleeding and allowing some visual acuity to be recovered. Most anti-VEGF therapies require repeated intravitreal injections in office every few weeks to every few months to obtain full efficacy. When patients miss doses, they may experience accelerated vision decline. Based on current clinical experience, after several years of treatment, the early vision gains are frequently lost, and acuity declines are observed for reasons that may include variable treatment regimens and poor patient compliance.</w:t>
      </w:r>
    </w:p>
    <w:p>
      <w:pPr>
        <w:spacing w:after="0" w:line="174" w:lineRule="exact"/>
        <w:rPr>
          <w:sz w:val="20"/>
          <w:szCs w:val="20"/>
          <w:color w:val="auto"/>
        </w:rPr>
      </w:pPr>
    </w:p>
    <w:p>
      <w:pPr>
        <w:ind w:left="120" w:right="280" w:firstLine="551"/>
        <w:spacing w:after="0" w:line="245" w:lineRule="auto"/>
        <w:rPr>
          <w:sz w:val="20"/>
          <w:szCs w:val="20"/>
          <w:color w:val="auto"/>
        </w:rPr>
      </w:pPr>
      <w:r>
        <w:rPr>
          <w:rFonts w:ascii="Arial" w:cs="Arial" w:eastAsia="Arial" w:hAnsi="Arial"/>
          <w:sz w:val="18"/>
          <w:szCs w:val="18"/>
          <w:color w:val="auto"/>
        </w:rPr>
        <w:t>We believe these major retinal diseases are ideal candidate applications for gene therapy. There are multiple products on the market that validate the anti-VEGF therapeutic approach, and emerging randomized clinical trial data suggests that inhibiting additional molecular targets can extend the efficacy and durability of anti-VEGF alone. Delivering intravitreal therapies to the eye is routine, and there is an advantage for a single dose gene therapy that can provide long-term efficacy in patients for whom compliance, or treatment resistance, is a problem.</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Solution</w:t>
      </w:r>
    </w:p>
    <w:p>
      <w:pPr>
        <w:spacing w:after="0" w:line="104" w:lineRule="exact"/>
        <w:rPr>
          <w:sz w:val="20"/>
          <w:szCs w:val="20"/>
          <w:color w:val="auto"/>
        </w:rPr>
      </w:pPr>
    </w:p>
    <w:p>
      <w:pPr>
        <w:ind w:left="120" w:right="340" w:firstLine="551"/>
        <w:spacing w:after="0" w:line="255" w:lineRule="auto"/>
        <w:rPr>
          <w:sz w:val="20"/>
          <w:szCs w:val="20"/>
          <w:color w:val="auto"/>
        </w:rPr>
      </w:pPr>
      <w:r>
        <w:rPr>
          <w:rFonts w:ascii="Arial" w:cs="Arial" w:eastAsia="Arial" w:hAnsi="Arial"/>
          <w:sz w:val="18"/>
          <w:szCs w:val="18"/>
          <w:color w:val="auto"/>
        </w:rPr>
        <w:t>We are developing 4D-150, a wholly owned intravitreal AAV gene therapy candidate for wet AMD and diabetic retinopathy, including DME. These angiogenic diseases of the retina, including wet AMD and diabetic retinopathy, represent therapeutic markets of over $9.7 billion in annual global sales. We retain all worldwide rights to 4D-150.</w:t>
      </w:r>
    </w:p>
    <w:p>
      <w:pPr>
        <w:spacing w:after="0" w:line="164"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This product candidate is engineered for three distinct mechanisms-of-action. 4D-150 is engineered to inhibit VEGF and PlGF (placental growth factor) via aflibercept expression and secretion, and to inhibit a third angiogenic factor via an additional transgene insert. We believe that targeting three different angiogenic factors has the potential for greater efficacy versus a single anti-VEGF mechanism-of-action in patients with these retinal diseases, including patients with resistance to anti-VEGF therapy alone. Intravitreal delivery of biologics to the eye is routine, and there would be an advantage for a single dose therapy that could provide long-term efficacy in patients for whom compliance, or treatment resistance, is a problem.</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Competition and Differentiation: AAV Gene Therapy for wet AMD and Diabetic Retinopathy</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 xml:space="preserve">AAV gene therapy approaches are being developed by several companies to treat wet AMD by delivering a functional copy of an anti-angiogenic transgene by either subretinal injection with a conventional AAV vector, or intravitreal administration with a mouse-evolved vector. It remains to be demonstrated whether conventional AAVs or mouse-evolved vectors can deliver significant retinal coverage while limiting off-target effects. In comparison, our targeted and evolved vectors are designed and tested in NHPs which more closely resembles the anatomy of the human eye. We believe this provides comprehensive retinal coverage through less invasive and more commonly used intravitreal injections while delivering an improved tolerability profile with limited inflammation. To our knowledge, 4D-150 would be the only AAV gene therapy asset in wet AMD and DR to utilize an intravitreal vector (R100) discovered through directed evolution in NHP. In addition,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of R100 versus AAV2 have shown superior transduction by</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5" w:right="45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00"/>
        <w:spacing w:after="0" w:line="276" w:lineRule="auto"/>
        <w:rPr>
          <w:sz w:val="20"/>
          <w:szCs w:val="20"/>
          <w:color w:val="auto"/>
        </w:rPr>
      </w:pPr>
      <w:r>
        <w:rPr>
          <w:rFonts w:ascii="Arial" w:cs="Arial" w:eastAsia="Arial" w:hAnsi="Arial"/>
          <w:sz w:val="18"/>
          <w:szCs w:val="18"/>
          <w:color w:val="auto"/>
        </w:rPr>
        <w:t>R100 on human retinal cells. We have not compared R100 to AAV2 in patients in clinical studies. R100 has been associated with a low inflammation profile and lack of adverse findings in 91 NHP eyes injected on GLP toxicology studies.</w:t>
      </w:r>
    </w:p>
    <w:p>
      <w:pPr>
        <w:spacing w:after="0" w:line="145"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In addition, to our knowledge, 4D-150 is the first gene therapy product candidate for the eye designed to implement three mechanisms of action by directly inhibiting three different angiogenic growth factor targets, including VEGF and PlGF. We therefore believe there is significant differentiation between our gene therapy product candidate and other AAV gene therapeutics in development in this therapeutic area.</w:t>
      </w:r>
    </w:p>
    <w:p>
      <w:pPr>
        <w:spacing w:after="0" w:line="170"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We believe 4D-150 has the potential to be differentiated from approved agents, and those in clinical development to our knowledge, on the basis of five design features:</w:t>
      </w:r>
    </w:p>
    <w:p>
      <w:pPr>
        <w:spacing w:after="0" w:line="50" w:lineRule="exact"/>
        <w:rPr>
          <w:sz w:val="20"/>
          <w:szCs w:val="20"/>
          <w:color w:val="auto"/>
        </w:rPr>
      </w:pPr>
    </w:p>
    <w:p>
      <w:pPr>
        <w:ind w:left="1300" w:right="380" w:hanging="644"/>
        <w:spacing w:after="0" w:line="276" w:lineRule="auto"/>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Three distinct mechanisms-of-action</w:t>
      </w:r>
      <w:r>
        <w:rPr>
          <w:rFonts w:ascii="Arial" w:cs="Arial" w:eastAsia="Arial" w:hAnsi="Arial"/>
          <w:sz w:val="18"/>
          <w:szCs w:val="18"/>
          <w:color w:val="auto"/>
        </w:rPr>
        <w:t>: An intravitreal dose of 4D-150 should result in sustained anti-angiogenic effects through three distinct mechanisms of action.</w:t>
      </w:r>
    </w:p>
    <w:p>
      <w:pPr>
        <w:spacing w:after="0" w:line="50" w:lineRule="exact"/>
        <w:rPr>
          <w:rFonts w:ascii="Arial" w:cs="Arial" w:eastAsia="Arial" w:hAnsi="Arial"/>
          <w:sz w:val="18"/>
          <w:szCs w:val="18"/>
          <w:color w:val="auto"/>
        </w:rPr>
      </w:pPr>
    </w:p>
    <w:p>
      <w:pPr>
        <w:ind w:left="1300" w:right="560" w:hanging="644"/>
        <w:spacing w:after="0" w:line="276" w:lineRule="auto"/>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One-time therapy</w:t>
      </w:r>
      <w:r>
        <w:rPr>
          <w:rFonts w:ascii="Arial" w:cs="Arial" w:eastAsia="Arial" w:hAnsi="Arial"/>
          <w:sz w:val="18"/>
          <w:szCs w:val="18"/>
          <w:color w:val="auto"/>
        </w:rPr>
        <w:t>: Unlike intravitreal protein therapeutics that require repeat dosing every few weeks for a patient’s lifetime, 4D-150 is designed as a one-time dose.</w:t>
      </w:r>
    </w:p>
    <w:p>
      <w:pPr>
        <w:spacing w:after="0" w:line="50" w:lineRule="exact"/>
        <w:rPr>
          <w:rFonts w:ascii="Arial" w:cs="Arial" w:eastAsia="Arial" w:hAnsi="Arial"/>
          <w:sz w:val="18"/>
          <w:szCs w:val="18"/>
          <w:color w:val="auto"/>
        </w:rPr>
      </w:pPr>
    </w:p>
    <w:p>
      <w:pPr>
        <w:jc w:val="both"/>
        <w:ind w:left="1300" w:right="400" w:hanging="644"/>
        <w:spacing w:after="0" w:line="255" w:lineRule="auto"/>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Novel vector evolved in NHPs for efficient intravitreal delivery</w:t>
      </w:r>
      <w:r>
        <w:rPr>
          <w:rFonts w:ascii="Arial" w:cs="Arial" w:eastAsia="Arial" w:hAnsi="Arial"/>
          <w:sz w:val="18"/>
          <w:szCs w:val="18"/>
          <w:color w:val="auto"/>
        </w:rPr>
        <w:t>: Unlike conventional AAV vectors such as AAV2 or the mouse-evolved AAV vector 7m8, R100 was specifically selected from our collection of over one billion synthetic capsid sequences in NHPs and for use in humans.</w:t>
      </w:r>
    </w:p>
    <w:p>
      <w:pPr>
        <w:spacing w:after="0" w:line="69" w:lineRule="exact"/>
        <w:rPr>
          <w:rFonts w:ascii="Arial" w:cs="Arial" w:eastAsia="Arial" w:hAnsi="Arial"/>
          <w:sz w:val="18"/>
          <w:szCs w:val="18"/>
          <w:color w:val="auto"/>
        </w:rPr>
      </w:pPr>
    </w:p>
    <w:p>
      <w:pPr>
        <w:ind w:left="1300" w:right="480" w:hanging="644"/>
        <w:spacing w:after="0" w:line="255" w:lineRule="auto"/>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Low inflammation profile design</w:t>
      </w:r>
      <w:r>
        <w:rPr>
          <w:rFonts w:ascii="Arial" w:cs="Arial" w:eastAsia="Arial" w:hAnsi="Arial"/>
          <w:sz w:val="18"/>
          <w:szCs w:val="18"/>
          <w:color w:val="auto"/>
        </w:rPr>
        <w:t>: Following intravitreal injection, R100 has shown low inflammation profile and no significant adverse findings in three GLP toxicology studies, involving 91 NHP eyes, with two different 4DMT products utilizing the R100 vector (4D-110, 4D-125).</w:t>
      </w:r>
    </w:p>
    <w:p>
      <w:pPr>
        <w:spacing w:after="0" w:line="69" w:lineRule="exact"/>
        <w:rPr>
          <w:rFonts w:ascii="Arial" w:cs="Arial" w:eastAsia="Arial" w:hAnsi="Arial"/>
          <w:sz w:val="18"/>
          <w:szCs w:val="18"/>
          <w:color w:val="auto"/>
        </w:rPr>
      </w:pPr>
    </w:p>
    <w:p>
      <w:pPr>
        <w:ind w:left="1300" w:right="120" w:hanging="644"/>
        <w:spacing w:after="0" w:line="248" w:lineRule="auto"/>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Commercial opportunity</w:t>
      </w:r>
      <w:r>
        <w:rPr>
          <w:rFonts w:ascii="Arial" w:cs="Arial" w:eastAsia="Arial" w:hAnsi="Arial"/>
          <w:sz w:val="18"/>
          <w:szCs w:val="18"/>
          <w:color w:val="auto"/>
        </w:rPr>
        <w:t>: Intravitreal injections are widely adopted by many practicing ophthalmologists and used to treat a number of ophthalmological indications. As a result, we believe 4D-150 has the potential for rapid market uptake, if approved. Additionally, the low inflammation profile we have observed in our R100-based GLP toxicology studies, if reproduced in the clinic with 4D-150, may promote broad product adoption if approved.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Preclinical Animal Model Pharmacology and Toxicology Studies</w:t>
      </w:r>
    </w:p>
    <w:p>
      <w:pPr>
        <w:spacing w:after="0" w:line="104"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We carried out a proof-of-concept efficacy study in NHPs with a research construct using the R100 vector to deliver an anti-VEGF transgene (R100.anti-VEGF). In this study using the retinal laser-induced CNV model, we treated animals with intravitreal R100.anti-VEGF at doses of both 1E11 and 1E12 vg per eye. Animals received steroid treatment for 28 days following IVT administration of R100.anti-VEGF and remained off steroids for the remainder of the study. No adverse findings were reported in-life through 12 months of follow up. Control animals had the most severe (grade 4) angiogenic and leaky retina lesions in approximately 26% (19 of 72) of laser-targeted sites at two weeks and four weeks. Conversely, none of the sites in treated animals at either dose level at either timepoint had grade 4 lesions (p&lt;0.0001).</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5" w:right="45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left="540" w:right="40"/>
        <w:spacing w:after="0" w:line="274" w:lineRule="auto"/>
        <w:rPr>
          <w:sz w:val="20"/>
          <w:szCs w:val="20"/>
          <w:color w:val="auto"/>
        </w:rPr>
      </w:pPr>
      <w:r>
        <w:rPr>
          <w:rFonts w:ascii="Arial" w:cs="Arial" w:eastAsia="Arial" w:hAnsi="Arial"/>
          <w:sz w:val="18"/>
          <w:szCs w:val="18"/>
          <w:i w:val="1"/>
          <w:iCs w:val="1"/>
          <w:color w:val="auto"/>
        </w:rPr>
        <w:t>Our 4D-150 prototype comprising R100 expressing an anti-VEGF protein prevented development of Grade IV lesions at 2 and 4 weeks after administration in 100% of lasered locations in the NHP retina at both low and high doses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124460</wp:posOffset>
            </wp:positionV>
            <wp:extent cx="4585970" cy="4465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585970" cy="4465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60" w:hanging="142"/>
        <w:spacing w:after="0"/>
        <w:tabs>
          <w:tab w:leader="none" w:pos="360" w:val="left"/>
        </w:tabs>
        <w:numPr>
          <w:ilvl w:val="0"/>
          <w:numId w:val="102"/>
        </w:numPr>
        <w:rPr>
          <w:rFonts w:ascii="Arial" w:cs="Arial" w:eastAsia="Arial" w:hAnsi="Arial"/>
          <w:sz w:val="17"/>
          <w:szCs w:val="17"/>
          <w:i w:val="1"/>
          <w:iCs w:val="1"/>
          <w:color w:val="auto"/>
        </w:rPr>
      </w:pPr>
      <w:r>
        <w:rPr>
          <w:rFonts w:ascii="Arial" w:cs="Arial" w:eastAsia="Arial" w:hAnsi="Arial"/>
          <w:sz w:val="17"/>
          <w:szCs w:val="17"/>
          <w:i w:val="1"/>
          <w:iCs w:val="1"/>
          <w:color w:val="auto"/>
        </w:rPr>
        <w:t>In the 1E12 vg treatment group, three NHP eyes (18 lesions) and two NHP eyes (12 lesions) were not assessable at the 2 week and 4</w:t>
      </w:r>
    </w:p>
    <w:p>
      <w:pPr>
        <w:spacing w:after="0" w:line="27" w:lineRule="exact"/>
        <w:rPr>
          <w:rFonts w:ascii="Arial" w:cs="Arial" w:eastAsia="Arial" w:hAnsi="Arial"/>
          <w:sz w:val="17"/>
          <w:szCs w:val="17"/>
          <w:i w:val="1"/>
          <w:iCs w:val="1"/>
          <w:color w:val="auto"/>
        </w:rPr>
      </w:pPr>
    </w:p>
    <w:p>
      <w:pPr>
        <w:ind w:left="4440"/>
        <w:spacing w:after="0"/>
        <w:rPr>
          <w:rFonts w:ascii="Arial" w:cs="Arial" w:eastAsia="Arial" w:hAnsi="Arial"/>
          <w:sz w:val="17"/>
          <w:szCs w:val="17"/>
          <w:i w:val="1"/>
          <w:iCs w:val="1"/>
          <w:color w:val="auto"/>
        </w:rPr>
      </w:pPr>
      <w:r>
        <w:rPr>
          <w:rFonts w:ascii="Arial" w:cs="Arial" w:eastAsia="Arial" w:hAnsi="Arial"/>
          <w:sz w:val="18"/>
          <w:szCs w:val="18"/>
          <w:i w:val="1"/>
          <w:iCs w:val="1"/>
          <w:color w:val="auto"/>
        </w:rPr>
        <w:t>week timepoints, respectively.</w:t>
      </w:r>
    </w:p>
    <w:p>
      <w:pPr>
        <w:spacing w:after="0" w:line="190" w:lineRule="exact"/>
        <w:rPr>
          <w:sz w:val="20"/>
          <w:szCs w:val="20"/>
          <w:color w:val="auto"/>
        </w:rPr>
      </w:pPr>
    </w:p>
    <w:p>
      <w:pPr>
        <w:ind w:left="120" w:right="860" w:firstLine="551"/>
        <w:spacing w:after="0" w:line="276" w:lineRule="auto"/>
        <w:rPr>
          <w:sz w:val="20"/>
          <w:szCs w:val="20"/>
          <w:color w:val="auto"/>
        </w:rPr>
      </w:pPr>
      <w:r>
        <w:rPr>
          <w:rFonts w:ascii="Arial" w:cs="Arial" w:eastAsia="Arial" w:hAnsi="Arial"/>
          <w:sz w:val="18"/>
          <w:szCs w:val="18"/>
          <w:color w:val="auto"/>
        </w:rPr>
        <w:t>A study of 4D-150 in the retinal laser-induced CNV model in NHPs is in the planning stages, as is a GLP toxicology and biodistribution study in NHP.</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Development Plan</w:t>
      </w:r>
    </w:p>
    <w:p>
      <w:pPr>
        <w:spacing w:after="0" w:line="104" w:lineRule="exact"/>
        <w:rPr>
          <w:sz w:val="20"/>
          <w:szCs w:val="20"/>
          <w:color w:val="auto"/>
        </w:rPr>
      </w:pPr>
    </w:p>
    <w:p>
      <w:pPr>
        <w:ind w:left="120" w:right="400" w:firstLine="551"/>
        <w:spacing w:after="0" w:line="276" w:lineRule="auto"/>
        <w:rPr>
          <w:sz w:val="20"/>
          <w:szCs w:val="20"/>
          <w:color w:val="auto"/>
        </w:rPr>
      </w:pPr>
      <w:r>
        <w:rPr>
          <w:rFonts w:ascii="Arial" w:cs="Arial" w:eastAsia="Arial" w:hAnsi="Arial"/>
          <w:sz w:val="18"/>
          <w:szCs w:val="18"/>
          <w:color w:val="auto"/>
        </w:rPr>
        <w:t>We have initiated an IND-enabling GLP toxicology and biodistribution study in NHPs and expect to initiate a clinical trial in the second half of 2021.</w:t>
      </w:r>
    </w:p>
    <w:p>
      <w:pPr>
        <w:spacing w:after="0" w:line="7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020"/>
          </w:cols>
          <w:pgMar w:left="320" w:top="455" w:right="55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4D-135 for Autosomal Dominant Retinitis Pigmentosa (adRP)</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Disease Background, Unmet Medical Need and Target Patient Population</w:t>
      </w:r>
    </w:p>
    <w:p>
      <w:pPr>
        <w:spacing w:after="0" w:line="104" w:lineRule="exact"/>
        <w:rPr>
          <w:sz w:val="20"/>
          <w:szCs w:val="20"/>
          <w:color w:val="auto"/>
        </w:rPr>
      </w:pPr>
    </w:p>
    <w:p>
      <w:pPr>
        <w:ind w:left="120" w:right="60" w:firstLine="551"/>
        <w:spacing w:after="0" w:line="241" w:lineRule="auto"/>
        <w:rPr>
          <w:sz w:val="20"/>
          <w:szCs w:val="20"/>
          <w:color w:val="auto"/>
        </w:rPr>
      </w:pPr>
      <w:r>
        <w:rPr>
          <w:rFonts w:ascii="Arial" w:cs="Arial" w:eastAsia="Arial" w:hAnsi="Arial"/>
          <w:sz w:val="18"/>
          <w:szCs w:val="18"/>
          <w:color w:val="auto"/>
        </w:rPr>
        <w:t xml:space="preserve">adRP is a rare inherited autosomal dominant genetic disorder that occurs in both sexes and causes progressive vision loss and blindness. There are currently no approved therapies for adRP. adRP is characterized by dysfunction and degeneration of photoreceptors in the retina. Approximately 35% of adRP cases are caused by mutations in the </w:t>
      </w:r>
      <w:r>
        <w:rPr>
          <w:rFonts w:ascii="Arial" w:cs="Arial" w:eastAsia="Arial" w:hAnsi="Arial"/>
          <w:sz w:val="18"/>
          <w:szCs w:val="18"/>
          <w:i w:val="1"/>
          <w:iCs w:val="1"/>
          <w:color w:val="auto"/>
        </w:rPr>
        <w:t>rhodopsin</w:t>
      </w:r>
      <w:r>
        <w:rPr>
          <w:rFonts w:ascii="Arial" w:cs="Arial" w:eastAsia="Arial" w:hAnsi="Arial"/>
          <w:sz w:val="18"/>
          <w:szCs w:val="18"/>
          <w:color w:val="auto"/>
        </w:rPr>
        <w:t xml:space="preserve"> (RHO) gene. The estimated worldwide prevalence of adRP due to RHO variants is approximately one in 52,000 people, which represents approximately 11,600 patients in the United States and EU-5. Loss of RHO function in retinal cells causes the progressive loss of rod photoreceptors, leading to the loss of vision experienced by patients. Symptoms of adRP are initially characterized by night blindness, followed by loss of peripheral visual field, decreasing visual acuity and eventually blindness.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Solution</w:t>
      </w:r>
    </w:p>
    <w:p>
      <w:pPr>
        <w:spacing w:after="0" w:line="10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 xml:space="preserve">We are developing 4D-135, a wholly owned intravitreal AAV gene therapy product candidate for the treatment of patients with adRP caused by mutations of the </w:t>
      </w:r>
      <w:r>
        <w:rPr>
          <w:rFonts w:ascii="Arial" w:cs="Arial" w:eastAsia="Arial" w:hAnsi="Arial"/>
          <w:sz w:val="18"/>
          <w:szCs w:val="18"/>
          <w:i w:val="1"/>
          <w:iCs w:val="1"/>
          <w:color w:val="auto"/>
        </w:rPr>
        <w:t>RHO</w:t>
      </w:r>
      <w:r>
        <w:rPr>
          <w:rFonts w:ascii="Arial" w:cs="Arial" w:eastAsia="Arial" w:hAnsi="Arial"/>
          <w:sz w:val="18"/>
          <w:szCs w:val="18"/>
          <w:color w:val="auto"/>
        </w:rPr>
        <w:t xml:space="preserve"> gene. 4D-135 is designed to benefit patients at all stages of adRP, including early stage patients whose entire viable retina are not adequately treated by subretinal surgery. This product candidate is comprised of R100, an intravitreally administered targeted and evolved vector. 4D-135 is engineered to carry an RNAi targeting mutation-independent adRP and a </w:t>
      </w:r>
      <w:r>
        <w:rPr>
          <w:rFonts w:ascii="Arial" w:cs="Arial" w:eastAsia="Arial" w:hAnsi="Arial"/>
          <w:sz w:val="18"/>
          <w:szCs w:val="18"/>
          <w:i w:val="1"/>
          <w:iCs w:val="1"/>
          <w:color w:val="auto"/>
        </w:rPr>
        <w:t>RHO</w:t>
      </w:r>
      <w:r>
        <w:rPr>
          <w:rFonts w:ascii="Arial" w:cs="Arial" w:eastAsia="Arial" w:hAnsi="Arial"/>
          <w:sz w:val="18"/>
          <w:szCs w:val="18"/>
          <w:color w:val="auto"/>
        </w:rPr>
        <w:t xml:space="preserve"> transgene resistant to the RNAi in a broad suppress and replace approach. We retain all worldwide rights to 4D-135.</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Competition and Differentiation: AAV Gene Therapy for adRP</w:t>
      </w:r>
    </w:p>
    <w:p>
      <w:pPr>
        <w:spacing w:after="0" w:line="104" w:lineRule="exact"/>
        <w:rPr>
          <w:sz w:val="20"/>
          <w:szCs w:val="20"/>
          <w:color w:val="auto"/>
        </w:rPr>
      </w:pPr>
    </w:p>
    <w:p>
      <w:pPr>
        <w:jc w:val="both"/>
        <w:ind w:left="120" w:right="80" w:firstLine="551"/>
        <w:spacing w:after="0" w:line="255" w:lineRule="auto"/>
        <w:rPr>
          <w:sz w:val="20"/>
          <w:szCs w:val="20"/>
          <w:color w:val="auto"/>
        </w:rPr>
      </w:pPr>
      <w:r>
        <w:rPr>
          <w:rFonts w:ascii="Arial" w:cs="Arial" w:eastAsia="Arial" w:hAnsi="Arial"/>
          <w:sz w:val="18"/>
          <w:szCs w:val="18"/>
          <w:color w:val="auto"/>
        </w:rPr>
        <w:t>A few companies are developing therapies for patients with adRP, including a subretinal AAV gene therapy product candidate. We believe 4D-135 has the potential to be differentiated from other AAV gene therapies in development to our knowledge, on the basis of five design features:</w:t>
      </w:r>
    </w:p>
    <w:p>
      <w:pPr>
        <w:spacing w:after="0" w:line="69" w:lineRule="exact"/>
        <w:rPr>
          <w:sz w:val="20"/>
          <w:szCs w:val="20"/>
          <w:color w:val="auto"/>
        </w:rPr>
      </w:pPr>
    </w:p>
    <w:p>
      <w:pPr>
        <w:ind w:left="1300" w:right="20" w:hanging="644"/>
        <w:spacing w:after="0" w:line="276" w:lineRule="auto"/>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Long term durable RNAi activity</w:t>
      </w:r>
      <w:r>
        <w:rPr>
          <w:rFonts w:ascii="Arial" w:cs="Arial" w:eastAsia="Arial" w:hAnsi="Arial"/>
          <w:sz w:val="18"/>
          <w:szCs w:val="18"/>
          <w:color w:val="auto"/>
        </w:rPr>
        <w:t xml:space="preserve">: In contrast to relatively short-acting ASO technology, 4D-135 is designed for DNA-based delivery of long-term RNAi activity against the mutant </w:t>
      </w:r>
      <w:r>
        <w:rPr>
          <w:rFonts w:ascii="Arial" w:cs="Arial" w:eastAsia="Arial" w:hAnsi="Arial"/>
          <w:sz w:val="18"/>
          <w:szCs w:val="18"/>
          <w:i w:val="1"/>
          <w:iCs w:val="1"/>
          <w:color w:val="auto"/>
        </w:rPr>
        <w:t>RHO</w:t>
      </w:r>
      <w:r>
        <w:rPr>
          <w:rFonts w:ascii="Arial" w:cs="Arial" w:eastAsia="Arial" w:hAnsi="Arial"/>
          <w:sz w:val="18"/>
          <w:szCs w:val="18"/>
          <w:color w:val="auto"/>
        </w:rPr>
        <w:t xml:space="preserve"> gene product.</w:t>
      </w:r>
    </w:p>
    <w:p>
      <w:pPr>
        <w:spacing w:after="0" w:line="50" w:lineRule="exact"/>
        <w:rPr>
          <w:rFonts w:ascii="Arial" w:cs="Arial" w:eastAsia="Arial" w:hAnsi="Arial"/>
          <w:sz w:val="18"/>
          <w:szCs w:val="18"/>
          <w:color w:val="auto"/>
        </w:rPr>
      </w:pPr>
    </w:p>
    <w:p>
      <w:pPr>
        <w:ind w:left="1300" w:right="440" w:hanging="644"/>
        <w:spacing w:after="0" w:line="255" w:lineRule="auto"/>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Safe and routine intravitreal route of administration</w:t>
      </w:r>
      <w:r>
        <w:rPr>
          <w:rFonts w:ascii="Arial" w:cs="Arial" w:eastAsia="Arial" w:hAnsi="Arial"/>
          <w:sz w:val="18"/>
          <w:szCs w:val="18"/>
          <w:color w:val="auto"/>
        </w:rPr>
        <w:t>: Unlike conventional AAV such as AAV2, which are utilized in subretinal surgery product candidates for other retinal diseases like XLRP, R100 was specifically selected for safe and routine intravitreal injection. This ease of administration should result in faster clinical trial enrollment.</w:t>
      </w:r>
    </w:p>
    <w:p>
      <w:pPr>
        <w:spacing w:after="0" w:line="69" w:lineRule="exact"/>
        <w:rPr>
          <w:rFonts w:ascii="Arial" w:cs="Arial" w:eastAsia="Arial" w:hAnsi="Arial"/>
          <w:sz w:val="18"/>
          <w:szCs w:val="18"/>
          <w:color w:val="auto"/>
        </w:rPr>
      </w:pPr>
    </w:p>
    <w:p>
      <w:pPr>
        <w:jc w:val="both"/>
        <w:ind w:left="1300" w:right="100" w:hanging="644"/>
        <w:spacing w:after="0" w:line="255" w:lineRule="auto"/>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Treatment of the entire retinal surface:</w:t>
      </w:r>
      <w:r>
        <w:rPr>
          <w:rFonts w:ascii="Arial" w:cs="Arial" w:eastAsia="Arial" w:hAnsi="Arial"/>
          <w:sz w:val="18"/>
          <w:szCs w:val="18"/>
          <w:color w:val="auto"/>
        </w:rPr>
        <w:t xml:space="preserve"> Unlike product candidates utilizing conventional AAV vectors and administered by subretinal surgery, which reportedly treats a small fraction of the retinal surface, 4D-135 is designed to be used to treat the entire retinal surface following intravitreal injection.</w:t>
      </w:r>
    </w:p>
    <w:p>
      <w:pPr>
        <w:spacing w:after="0" w:line="69" w:lineRule="exact"/>
        <w:rPr>
          <w:rFonts w:ascii="Arial" w:cs="Arial" w:eastAsia="Arial" w:hAnsi="Arial"/>
          <w:sz w:val="18"/>
          <w:szCs w:val="18"/>
          <w:color w:val="auto"/>
        </w:rPr>
      </w:pPr>
    </w:p>
    <w:p>
      <w:pPr>
        <w:ind w:left="1300" w:right="100" w:hanging="644"/>
        <w:spacing w:after="0" w:line="248" w:lineRule="auto"/>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Feasibility of treating early stage patients:</w:t>
      </w:r>
      <w:r>
        <w:rPr>
          <w:rFonts w:ascii="Arial" w:cs="Arial" w:eastAsia="Arial" w:hAnsi="Arial"/>
          <w:sz w:val="18"/>
          <w:szCs w:val="18"/>
          <w:color w:val="auto"/>
        </w:rPr>
        <w:t xml:space="preserve"> Given the potential of 4D-135 to treat the entire surface of the retina, including the periphery where degenerative disease like adRP start, we believe it will be feasible to safely treat early stage patients before onset of retinal degeneration. In addition, intravitreal injection is recognized as a safe, simple and routinely used method of administering therapeutics.</w:t>
      </w:r>
    </w:p>
    <w:p>
      <w:pPr>
        <w:spacing w:after="0" w:line="75" w:lineRule="exact"/>
        <w:rPr>
          <w:rFonts w:ascii="Arial" w:cs="Arial" w:eastAsia="Arial" w:hAnsi="Arial"/>
          <w:sz w:val="18"/>
          <w:szCs w:val="18"/>
          <w:color w:val="auto"/>
        </w:rPr>
      </w:pPr>
    </w:p>
    <w:p>
      <w:pPr>
        <w:ind w:left="1300" w:right="120" w:hanging="644"/>
        <w:spacing w:after="0" w:line="255" w:lineRule="auto"/>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Commercial opportunity</w:t>
      </w:r>
      <w:r>
        <w:rPr>
          <w:rFonts w:ascii="Arial" w:cs="Arial" w:eastAsia="Arial" w:hAnsi="Arial"/>
          <w:sz w:val="18"/>
          <w:szCs w:val="18"/>
          <w:color w:val="auto"/>
        </w:rPr>
        <w:t>: Intravitreal injections are widely adopted by many practicing ophthalmologists and used to treat a number of ophthalmological indications. As a result, we believe 4D-135 has the potential for rapid market uptake, if approved.</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5" w:right="45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Preclinical Animal Model Pharmacology and Toxicology Studies</w:t>
      </w:r>
    </w:p>
    <w:p>
      <w:pPr>
        <w:spacing w:after="0" w:line="104" w:lineRule="exact"/>
        <w:rPr>
          <w:sz w:val="20"/>
          <w:szCs w:val="20"/>
          <w:color w:val="auto"/>
        </w:rPr>
      </w:pPr>
    </w:p>
    <w:p>
      <w:pPr>
        <w:ind w:left="120" w:right="360" w:firstLine="551"/>
        <w:spacing w:after="0" w:line="276" w:lineRule="auto"/>
        <w:rPr>
          <w:sz w:val="20"/>
          <w:szCs w:val="20"/>
          <w:color w:val="auto"/>
        </w:rPr>
      </w:pPr>
      <w:r>
        <w:rPr>
          <w:rFonts w:ascii="Arial" w:cs="Arial" w:eastAsia="Arial" w:hAnsi="Arial"/>
          <w:sz w:val="18"/>
          <w:szCs w:val="18"/>
          <w:color w:val="auto"/>
        </w:rPr>
        <w:t xml:space="preserve">We plan to complete a single dose IND-enabling toxicology and biodistribution study in NHP. We are also developing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model of diseased photoreceptors derived from adRP patients. These diseased photoreceptors will be treated with 4D-135.</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Development Plan</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to initiate IND-enabling studies for 4D-135 in 2021.</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Cardiology Therapeutic Area</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Introduction</w:t>
      </w:r>
    </w:p>
    <w:p>
      <w:pPr>
        <w:spacing w:after="0" w:line="102"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We are developing product candidates to treat cardiomyopathies. These target indications may include both primary cardiomyopathies that involve the heart exclusively, as with hypertrophic cardiomyopathies, or secondary cardiomyopathies that occur in the context of a systemic disease syndrome, as with lysosomal storage diseases. In the context of secondary cardiomyopathies, such as Fabry disease, we design and engineer the product to treat all diseased organs including the high unmet medical need in the heart. Our targeted and evolved vector C102, used in all of our cardiology product candidates, was invented for low dose intravenous infusion, leading to transgene expression throughout the myocardium in all regions of the heart. We believe that this modular product approach, utilizing C102 for all of our cardiology product candidates, and by switching the therapeutic transgene inserts, will help inform the clinical development of subsequent product candidates using the same vector.</w:t>
      </w:r>
    </w:p>
    <w:p>
      <w:pPr>
        <w:spacing w:after="0" w:line="180" w:lineRule="exact"/>
        <w:rPr>
          <w:sz w:val="20"/>
          <w:szCs w:val="20"/>
          <w:color w:val="auto"/>
        </w:rPr>
      </w:pPr>
    </w:p>
    <w:p>
      <w:pPr>
        <w:ind w:left="120" w:right="100" w:firstLine="551"/>
        <w:spacing w:after="0" w:line="241" w:lineRule="auto"/>
        <w:rPr>
          <w:sz w:val="20"/>
          <w:szCs w:val="20"/>
          <w:color w:val="auto"/>
        </w:rPr>
      </w:pPr>
      <w:r>
        <w:rPr>
          <w:rFonts w:ascii="Arial" w:cs="Arial" w:eastAsia="Arial" w:hAnsi="Arial"/>
          <w:sz w:val="18"/>
          <w:szCs w:val="18"/>
          <w:color w:val="auto"/>
        </w:rPr>
        <w:t>Our lead product candidate, 4D-310, is currently in an ongoing Phase 1/2 clinical trial in adult patients with classic (severe) Fabry disease. The primary objectives of this trial are to evaluate the safety and maximum-tolerated dose of 4D-310. Secondary endpoints include biomarker assessments of plasma AGA activity and markers of biologic activity in the heart, including cardiac MRI. We expect to treat early onset classic Fabry disease patients initially and hope to expand into severely affected late-onset patients, including those with cardiomyopathy. Patients are currently being screened for enrollment in cohort 1 (1E13 vg/kg). We expect to report initial clinical data in 2021. 4D-310 received Fast Track Designation from the FDA in third quarter of 2020 for the treatment of Fabry disease to improve pain, disability and organ dysfunction.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4D-310 for Fabry Disease</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Disease Background, Unmet Medical Need and Target Patient Population</w:t>
      </w:r>
    </w:p>
    <w:p>
      <w:pPr>
        <w:spacing w:after="0" w:line="104" w:lineRule="exact"/>
        <w:rPr>
          <w:sz w:val="20"/>
          <w:szCs w:val="20"/>
          <w:color w:val="auto"/>
        </w:rPr>
      </w:pPr>
    </w:p>
    <w:p>
      <w:pPr>
        <w:ind w:left="120" w:firstLine="551"/>
        <w:spacing w:after="0" w:line="258" w:lineRule="auto"/>
        <w:rPr>
          <w:sz w:val="20"/>
          <w:szCs w:val="20"/>
          <w:color w:val="auto"/>
        </w:rPr>
      </w:pPr>
      <w:r>
        <w:rPr>
          <w:rFonts w:ascii="Arial" w:cs="Arial" w:eastAsia="Arial" w:hAnsi="Arial"/>
          <w:sz w:val="17"/>
          <w:szCs w:val="17"/>
          <w:color w:val="auto"/>
        </w:rPr>
        <w:t xml:space="preserve">Fabry disease is a monogenic disease caused by mutations in the </w:t>
      </w:r>
      <w:r>
        <w:rPr>
          <w:rFonts w:ascii="Arial" w:cs="Arial" w:eastAsia="Arial" w:hAnsi="Arial"/>
          <w:sz w:val="17"/>
          <w:szCs w:val="17"/>
          <w:i w:val="1"/>
          <w:iCs w:val="1"/>
          <w:color w:val="auto"/>
        </w:rPr>
        <w:t>GLA</w:t>
      </w:r>
      <w:r>
        <w:rPr>
          <w:rFonts w:ascii="Arial" w:cs="Arial" w:eastAsia="Arial" w:hAnsi="Arial"/>
          <w:sz w:val="17"/>
          <w:szCs w:val="17"/>
          <w:color w:val="auto"/>
        </w:rPr>
        <w:t xml:space="preserve"> gene which encodes for the alpha-galactosidase A (AGA) enzyme that results in the body’s inability to produce sufficient AGA enzyme activity, causing the accumulation of toxic levels of sphingolipids, such as the substrate globotriaosylceramide-3 (Gb3), in critical organs, including the heart, kidney and blood vessels. The cardiomyopathy in Fabry disease is the leading cause of death, accounting for 54% of deaths, and is secondary to the systemic lysosomal storage disease syndrome. Such substrate accumulation in the heart can lead to life-threatening heart failure, arrhythmias, vascular blockages. Fabry disease is progressive and fatal, with an average life expectancy of approximately 50 years. Progression of the disease causes significant reduction in the quality of life and significant economic burden associated with greater patient needs for supportive care.</w:t>
      </w:r>
    </w:p>
    <w:p>
      <w:pPr>
        <w:spacing w:after="0" w:line="163" w:lineRule="exact"/>
        <w:rPr>
          <w:sz w:val="20"/>
          <w:szCs w:val="20"/>
          <w:color w:val="auto"/>
        </w:rPr>
      </w:pPr>
    </w:p>
    <w:p>
      <w:pPr>
        <w:ind w:left="120" w:right="220" w:firstLine="551"/>
        <w:spacing w:after="0" w:line="255" w:lineRule="auto"/>
        <w:rPr>
          <w:sz w:val="20"/>
          <w:szCs w:val="20"/>
          <w:color w:val="auto"/>
        </w:rPr>
      </w:pPr>
      <w:r>
        <w:rPr>
          <w:rFonts w:ascii="Arial" w:cs="Arial" w:eastAsia="Arial" w:hAnsi="Arial"/>
          <w:sz w:val="18"/>
          <w:szCs w:val="18"/>
          <w:color w:val="auto"/>
        </w:rPr>
        <w:t>Annual worldwide sales of Fabry medicines were approximately $1.5 billion in 2019. We estimate the potential initial addressable male Fabry patient population in the United States and EU-5 to be up to 19,000 individuals, 57% of which suffer from Classic Fabry disease. Of note, we estimate the</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5" w:right="45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48" w:lineRule="auto"/>
        <w:rPr>
          <w:sz w:val="20"/>
          <w:szCs w:val="20"/>
          <w:color w:val="auto"/>
        </w:rPr>
      </w:pPr>
      <w:r>
        <w:rPr>
          <w:rFonts w:ascii="Arial" w:cs="Arial" w:eastAsia="Arial" w:hAnsi="Arial"/>
          <w:sz w:val="18"/>
          <w:szCs w:val="18"/>
          <w:color w:val="auto"/>
        </w:rPr>
        <w:t xml:space="preserve">prevalence of individuals with Fabry disease-associated </w:t>
      </w:r>
      <w:r>
        <w:rPr>
          <w:rFonts w:ascii="Arial" w:cs="Arial" w:eastAsia="Arial" w:hAnsi="Arial"/>
          <w:sz w:val="18"/>
          <w:szCs w:val="18"/>
          <w:i w:val="1"/>
          <w:iCs w:val="1"/>
          <w:color w:val="auto"/>
        </w:rPr>
        <w:t>GLA</w:t>
      </w:r>
      <w:r>
        <w:rPr>
          <w:rFonts w:ascii="Arial" w:cs="Arial" w:eastAsia="Arial" w:hAnsi="Arial"/>
          <w:sz w:val="18"/>
          <w:szCs w:val="18"/>
          <w:color w:val="auto"/>
        </w:rPr>
        <w:t xml:space="preserve"> mutations in the United States and EU-5 falls between 50,000 and 70,000 in the United States and the EU-5 based on recent newborn screening. Pre-treatment antibody titers to gene therapy, including 4D-310, may result in a reduction in the addressable patient population, if antibody titers at baseline are shown to be predictive of treatment response and/or tolerability.</w:t>
      </w:r>
    </w:p>
    <w:p>
      <w:pPr>
        <w:spacing w:after="0" w:line="170"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The current treatment paradigm for Fabry disease is an infusion of replacement AGA enzyme every two weeks, a class of therapies broadly referred to as enzyme replacement therapies (ERT). For example, Fabrazyme received accelerated regulatory approval in the United States based on improvements in kidney interstitial capillary substrate biopsy endpoint, but it failed the primary endpoint in registrational trials and lacks full approval in the United States.</w:t>
      </w:r>
    </w:p>
    <w:p>
      <w:pPr>
        <w:spacing w:after="0" w:line="170"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In addition to high burdens of therapy, due to the short-half life in the blood, patients on ERTs lack therapeutic concentrations of AGA in their blood for the majority of time between infusions, potentially limiting clinical benefit. Furthermore, since AGA is normally produced within target cells themselves, ERTs reportedly lack efficient uptake by parenchymal cells including cardiomyocytes; hence, patients remain at risk of cardiac complications including death. Finally, antibodies develop to AGA in the majority of classic Fabry disease patients after ERT and can further worsen clinical outcomes.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Therefore, we believe cardiac-targeted treatment of Fabry disease is still an unmet medical need.</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Solution</w:t>
      </w:r>
    </w:p>
    <w:p>
      <w:pPr>
        <w:spacing w:after="0" w:line="104" w:lineRule="exact"/>
        <w:rPr>
          <w:sz w:val="20"/>
          <w:szCs w:val="20"/>
          <w:color w:val="auto"/>
        </w:rPr>
      </w:pPr>
    </w:p>
    <w:p>
      <w:pPr>
        <w:ind w:left="120" w:right="140" w:firstLine="551"/>
        <w:spacing w:after="0" w:line="245" w:lineRule="auto"/>
        <w:rPr>
          <w:sz w:val="20"/>
          <w:szCs w:val="20"/>
          <w:color w:val="auto"/>
        </w:rPr>
      </w:pPr>
      <w:r>
        <w:rPr>
          <w:rFonts w:ascii="Arial" w:cs="Arial" w:eastAsia="Arial" w:hAnsi="Arial"/>
          <w:sz w:val="18"/>
          <w:szCs w:val="18"/>
          <w:color w:val="auto"/>
        </w:rPr>
        <w:t xml:space="preserve">We are developing 4D-310 for the comprehensive systemic treatment of Fabry disease. 4D-310 is designed for an efficient, single low dose IV administration to benefit classic and late onset patients, including those who have previously received ERT. 4D-310 is comprised of C102 and is engineered with a codon-optimized </w:t>
      </w:r>
      <w:r>
        <w:rPr>
          <w:rFonts w:ascii="Arial" w:cs="Arial" w:eastAsia="Arial" w:hAnsi="Arial"/>
          <w:sz w:val="18"/>
          <w:szCs w:val="18"/>
          <w:i w:val="1"/>
          <w:iCs w:val="1"/>
          <w:color w:val="auto"/>
        </w:rPr>
        <w:t>GLA</w:t>
      </w:r>
      <w:r>
        <w:rPr>
          <w:rFonts w:ascii="Arial" w:cs="Arial" w:eastAsia="Arial" w:hAnsi="Arial"/>
          <w:sz w:val="18"/>
          <w:szCs w:val="18"/>
          <w:color w:val="auto"/>
        </w:rPr>
        <w:t xml:space="preserve"> transgene under control of a ubiquitous promoter. 4D-310 is designed to generate both high, stable plasma AGA activity, potentially resulting in cross correction of a broad range of critical organs, and to generate AGA activity via intracellular production within disease cells including cardiomyocytes.</w:t>
      </w:r>
    </w:p>
    <w:p>
      <w:pPr>
        <w:spacing w:after="0" w:line="172" w:lineRule="exact"/>
        <w:rPr>
          <w:sz w:val="20"/>
          <w:szCs w:val="20"/>
          <w:color w:val="auto"/>
        </w:rPr>
      </w:pPr>
    </w:p>
    <w:p>
      <w:pPr>
        <w:ind w:left="120" w:right="340" w:firstLine="551"/>
        <w:spacing w:after="0" w:line="248" w:lineRule="auto"/>
        <w:rPr>
          <w:sz w:val="20"/>
          <w:szCs w:val="20"/>
          <w:color w:val="auto"/>
        </w:rPr>
      </w:pPr>
      <w:r>
        <w:rPr>
          <w:rFonts w:ascii="Arial" w:cs="Arial" w:eastAsia="Arial" w:hAnsi="Arial"/>
          <w:sz w:val="18"/>
          <w:szCs w:val="18"/>
          <w:color w:val="auto"/>
        </w:rPr>
        <w:t>We believe 4D-310 has the potential for “mutation independent” treatment of both “classic” (early onset, severe) as well as late onset Fabry disease, both of which are often associated with cardiomyopathy. We believe reducing substrate in cardiomyocytes would represent a strategic advantage and significant opportunity in the treatment of Fabry-associated cardiomyopathy, which we believe remains a significant unmet medical need and leading cause of death in Fabry disease patients.</w:t>
      </w:r>
    </w:p>
    <w:p>
      <w:pPr>
        <w:spacing w:after="0" w:line="170" w:lineRule="exact"/>
        <w:rPr>
          <w:sz w:val="20"/>
          <w:szCs w:val="20"/>
          <w:color w:val="auto"/>
        </w:rPr>
      </w:pPr>
    </w:p>
    <w:p>
      <w:pPr>
        <w:ind w:left="120" w:right="220" w:firstLine="551"/>
        <w:spacing w:after="0" w:line="248" w:lineRule="auto"/>
        <w:rPr>
          <w:sz w:val="20"/>
          <w:szCs w:val="20"/>
          <w:color w:val="auto"/>
        </w:rPr>
      </w:pPr>
      <w:r>
        <w:rPr>
          <w:rFonts w:ascii="Arial" w:cs="Arial" w:eastAsia="Arial" w:hAnsi="Arial"/>
          <w:sz w:val="18"/>
          <w:szCs w:val="18"/>
          <w:color w:val="auto"/>
        </w:rPr>
        <w:t>In addition, AGA produced by 4D-310 within target cells themselves will not be exposed to serum antibodies against AGA. These antibodies develop following ERT in approximately 80% of classic Fabry disease patients. We therefore have the potential to treat this patient population via intracellular production of AGA, in contrast to approaches that rely exclusively on delivery of AGA through the bloodstream.</w:t>
      </w:r>
    </w:p>
    <w:p>
      <w:pPr>
        <w:spacing w:after="0" w:line="170" w:lineRule="exact"/>
        <w:rPr>
          <w:sz w:val="20"/>
          <w:szCs w:val="20"/>
          <w:color w:val="auto"/>
        </w:rPr>
      </w:pPr>
    </w:p>
    <w:p>
      <w:pPr>
        <w:ind w:left="120" w:right="100" w:firstLine="551"/>
        <w:spacing w:after="0" w:line="276" w:lineRule="auto"/>
        <w:rPr>
          <w:sz w:val="20"/>
          <w:szCs w:val="20"/>
          <w:color w:val="auto"/>
        </w:rPr>
      </w:pPr>
      <w:r>
        <w:rPr>
          <w:rFonts w:ascii="Arial" w:cs="Arial" w:eastAsia="Arial" w:hAnsi="Arial"/>
          <w:sz w:val="18"/>
          <w:szCs w:val="18"/>
          <w:color w:val="auto"/>
        </w:rPr>
        <w:t>Finally, single dose gene therapy treatment with 4D-310 may obviate the need for biweekly ERT infusions in these patients, and/or for every other day small molecule medicines for patients amenable to AGA chaperone therapy.</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Competition and Differentiation: AAV and Lentivirus-Engineered Stem Cell Gene Therapy for Fabry Disease</w:t>
      </w:r>
    </w:p>
    <w:p>
      <w:pPr>
        <w:spacing w:after="0" w:line="104" w:lineRule="exact"/>
        <w:rPr>
          <w:sz w:val="20"/>
          <w:szCs w:val="20"/>
          <w:color w:val="auto"/>
        </w:rPr>
      </w:pPr>
    </w:p>
    <w:p>
      <w:pPr>
        <w:ind w:left="120" w:right="480" w:firstLine="551"/>
        <w:spacing w:after="0" w:line="276" w:lineRule="auto"/>
        <w:rPr>
          <w:sz w:val="20"/>
          <w:szCs w:val="20"/>
          <w:color w:val="auto"/>
        </w:rPr>
      </w:pPr>
      <w:r>
        <w:rPr>
          <w:rFonts w:ascii="Arial" w:cs="Arial" w:eastAsia="Arial" w:hAnsi="Arial"/>
          <w:sz w:val="18"/>
          <w:szCs w:val="18"/>
          <w:color w:val="auto"/>
        </w:rPr>
        <w:t>Several companies are developing liver-expressing AAV gene therapy for Fabry disease through the use of non-targeted AAV designed for expression from the liver only using liver-specific promoters</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45" w:lineRule="auto"/>
        <w:rPr>
          <w:sz w:val="20"/>
          <w:szCs w:val="20"/>
          <w:color w:val="auto"/>
        </w:rPr>
      </w:pPr>
      <w:r>
        <w:rPr>
          <w:rFonts w:ascii="Arial" w:cs="Arial" w:eastAsia="Arial" w:hAnsi="Arial"/>
          <w:sz w:val="18"/>
          <w:szCs w:val="18"/>
          <w:color w:val="auto"/>
        </w:rPr>
        <w:t>to restrict transgene expression to the liver. These product candidates are designed to produce and secrete AGA enzyme for activity in the blood, as with ERT, but with more stable blood levels than achieved with intermittent ERT infusions. When administered as ERT in patients, the AGA protein has not been shown definitively to enter cardiomyocytes or other affected parenchymal cells. It is therefore unclear whether gene therapy production of AGA from the liver or stem cells alone, with secretion into the bloodstream, would result in effective correction in cardiac muscle cells or other affected parenchymal cells such as in the kidney.</w:t>
      </w:r>
    </w:p>
    <w:p>
      <w:pPr>
        <w:spacing w:after="0" w:line="172" w:lineRule="exact"/>
        <w:rPr>
          <w:sz w:val="20"/>
          <w:szCs w:val="20"/>
          <w:color w:val="auto"/>
        </w:rPr>
      </w:pPr>
    </w:p>
    <w:p>
      <w:pPr>
        <w:ind w:left="120" w:right="60" w:firstLine="551"/>
        <w:spacing w:after="0" w:line="276" w:lineRule="auto"/>
        <w:rPr>
          <w:sz w:val="20"/>
          <w:szCs w:val="20"/>
          <w:color w:val="auto"/>
        </w:rPr>
      </w:pPr>
      <w:r>
        <w:rPr>
          <w:rFonts w:ascii="Arial" w:cs="Arial" w:eastAsia="Arial" w:hAnsi="Arial"/>
          <w:sz w:val="18"/>
          <w:szCs w:val="18"/>
          <w:color w:val="auto"/>
        </w:rPr>
        <w:t>We believe 4D-310 is the only gene therapy candidate designed specifically to express the AGA enzyme in cardiac tissues, as well as in other affected tissues in these patients, potentially addressing a major unmet medical need.</w:t>
      </w:r>
    </w:p>
    <w:p>
      <w:pPr>
        <w:spacing w:after="0" w:line="145"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We believe 4D-310 has the potential to be differentiated from approved agents, and those in clinical development to our knowledge, on the basis of four design features:</w:t>
      </w:r>
    </w:p>
    <w:p>
      <w:pPr>
        <w:spacing w:after="0" w:line="50" w:lineRule="exact"/>
        <w:rPr>
          <w:sz w:val="20"/>
          <w:szCs w:val="20"/>
          <w:color w:val="auto"/>
        </w:rPr>
      </w:pPr>
    </w:p>
    <w:p>
      <w:pPr>
        <w:ind w:left="1300" w:right="60" w:hanging="644"/>
        <w:spacing w:after="0" w:line="248" w:lineRule="auto"/>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Dual mechanisms-of-action</w:t>
      </w:r>
      <w:r>
        <w:rPr>
          <w:rFonts w:ascii="Arial" w:cs="Arial" w:eastAsia="Arial" w:hAnsi="Arial"/>
          <w:sz w:val="18"/>
          <w:szCs w:val="18"/>
          <w:color w:val="auto"/>
        </w:rPr>
        <w:t>: An IV dose of 4D-310 is designed to generate both stable sustained levels of AGA enzyme activity in blood and endothelial cells following secretion from the liver, plus high AGA levels directly within muscle cells throughout the heart. Cells within the kidney, blood vessels and small intestine also produce intracellular AGA after 4D-310 treatment, albeit at significantly lower levels than in the heart.</w:t>
      </w:r>
    </w:p>
    <w:p>
      <w:pPr>
        <w:spacing w:after="0" w:line="75" w:lineRule="exact"/>
        <w:rPr>
          <w:rFonts w:ascii="Arial" w:cs="Arial" w:eastAsia="Arial" w:hAnsi="Arial"/>
          <w:sz w:val="18"/>
          <w:szCs w:val="18"/>
          <w:color w:val="auto"/>
        </w:rPr>
      </w:pPr>
    </w:p>
    <w:p>
      <w:pPr>
        <w:ind w:left="1300" w:right="320" w:hanging="644"/>
        <w:spacing w:after="0" w:line="276" w:lineRule="auto"/>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One-time therapy</w:t>
      </w:r>
      <w:r>
        <w:rPr>
          <w:rFonts w:ascii="Arial" w:cs="Arial" w:eastAsia="Arial" w:hAnsi="Arial"/>
          <w:sz w:val="18"/>
          <w:szCs w:val="18"/>
          <w:color w:val="auto"/>
        </w:rPr>
        <w:t>: Unlike AGA chaperones that require dosing every other day for a patient’s life, or IV ERT every two weeks for life, 4D-310 is designed as a single dose potentially curative therapy.</w:t>
      </w:r>
    </w:p>
    <w:p>
      <w:pPr>
        <w:spacing w:after="0" w:line="50" w:lineRule="exact"/>
        <w:rPr>
          <w:rFonts w:ascii="Arial" w:cs="Arial" w:eastAsia="Arial" w:hAnsi="Arial"/>
          <w:sz w:val="18"/>
          <w:szCs w:val="18"/>
          <w:color w:val="auto"/>
        </w:rPr>
      </w:pPr>
    </w:p>
    <w:p>
      <w:pPr>
        <w:ind w:left="1300" w:right="400" w:hanging="644"/>
        <w:spacing w:after="0" w:line="276" w:lineRule="auto"/>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AGA mutation-independent biologic activity</w:t>
      </w:r>
      <w:r>
        <w:rPr>
          <w:rFonts w:ascii="Arial" w:cs="Arial" w:eastAsia="Arial" w:hAnsi="Arial"/>
          <w:sz w:val="18"/>
          <w:szCs w:val="18"/>
          <w:color w:val="auto"/>
        </w:rPr>
        <w:t>: Unlike AGA chaperones that are only effective against specific AGA mutations present in a minority of Fabry patients, 4D-310 is designed to treat in Fabry patients with any AGA mutation.</w:t>
      </w:r>
    </w:p>
    <w:p>
      <w:pPr>
        <w:spacing w:after="0" w:line="50" w:lineRule="exact"/>
        <w:rPr>
          <w:rFonts w:ascii="Arial" w:cs="Arial" w:eastAsia="Arial" w:hAnsi="Arial"/>
          <w:sz w:val="18"/>
          <w:szCs w:val="18"/>
          <w:color w:val="auto"/>
        </w:rPr>
      </w:pPr>
    </w:p>
    <w:p>
      <w:pPr>
        <w:ind w:left="1300" w:hanging="644"/>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Resistance to AGA antibodies</w:t>
      </w:r>
      <w:r>
        <w:rPr>
          <w:rFonts w:ascii="Arial" w:cs="Arial" w:eastAsia="Arial" w:hAnsi="Arial"/>
          <w:sz w:val="18"/>
          <w:szCs w:val="18"/>
          <w:color w:val="auto"/>
        </w:rPr>
        <w:t>: We believe that 4D-310 may be able to treat patients that have anti-AGA antibodies. Those antibodies develop in approximately 80% of classic Fabry disease patients (early onset, severe disease) treated with ERT. This is in contrast to competing approaches that rely exclusively on AGA delivery through the bloodstream, that may be inhibited by these antibodies since AGA comes into contact with anti-AGA antibodies that may inhibit delivery to target organs. Unlike ERT and gene therapies that are designed to rely exclusively on AGA production and secretion from the liver into the blood, 4D-310 is designed to include intracellular AGA production in target tissues themselves, thus avoiding antibody contact and inhibition. We therefore plan to evaluate the treatment of patients with pre-existing AGA antibodies, potentially resulting in a larger addressable patient population.</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5" w:right="45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left="480" w:right="40"/>
        <w:spacing w:after="0" w:line="274" w:lineRule="auto"/>
        <w:rPr>
          <w:sz w:val="20"/>
          <w:szCs w:val="20"/>
          <w:color w:val="auto"/>
        </w:rPr>
      </w:pPr>
      <w:r>
        <w:rPr>
          <w:rFonts w:ascii="Arial" w:cs="Arial" w:eastAsia="Arial" w:hAnsi="Arial"/>
          <w:sz w:val="18"/>
          <w:szCs w:val="18"/>
          <w:i w:val="1"/>
          <w:iCs w:val="1"/>
          <w:color w:val="auto"/>
        </w:rPr>
        <w:t>The target product profile for 4D-310 is compared to competing technologies below. Many aspects of this profile have been supported by data generated to date with either the C102 vector or with 4D-310 itself.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124460</wp:posOffset>
            </wp:positionV>
            <wp:extent cx="5092065" cy="26917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092065"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Preclinical Animal Model Pharmacology and Toxicology Studies</w:t>
      </w:r>
    </w:p>
    <w:p>
      <w:pPr>
        <w:spacing w:after="0" w:line="104" w:lineRule="exact"/>
        <w:rPr>
          <w:sz w:val="20"/>
          <w:szCs w:val="20"/>
          <w:color w:val="auto"/>
        </w:rPr>
      </w:pPr>
    </w:p>
    <w:p>
      <w:pPr>
        <w:ind w:left="120" w:right="240" w:firstLine="551"/>
        <w:spacing w:after="0" w:line="248" w:lineRule="auto"/>
        <w:rPr>
          <w:sz w:val="20"/>
          <w:szCs w:val="20"/>
          <w:color w:val="auto"/>
        </w:rPr>
      </w:pPr>
      <w:r>
        <w:rPr>
          <w:rFonts w:ascii="Arial" w:cs="Arial" w:eastAsia="Arial" w:hAnsi="Arial"/>
          <w:sz w:val="18"/>
          <w:szCs w:val="18"/>
          <w:color w:val="auto"/>
        </w:rPr>
        <w:t>We completed an IND-enabling GLP toxicology and biodistribution study of 4D-310 in normal mice. No meaningful toxicity was reported at doses up to 1.5E14 vg/kg, based both on in-life and histopathology assessments. This dose is 300% of the highest planned dose in our Phase 1/2 clinical trial. 4D-310-mediated AGA expression and/or AGA enzyme activity was observed in all target tissues tested, including heart, kidney, blood vessels, small intestine and blood.</w:t>
      </w:r>
    </w:p>
    <w:p>
      <w:pPr>
        <w:spacing w:after="0" w:line="170"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Pharmacology studies have been completed in Fabry disease knock-out mice. We observed that a single IV treatment with 4D-310 resulted in high stable blood concentrations and durable AGA production in target tissues, including the heart and kidney, and that toxic Gb3 metabolites were reduced significantly in all evaluated target tissues versus vehicle control. Efficacy was demonstrated with doses as low as 1E12 vg/kg. No adverse findings were observed in these knock-out animals at doses as high as 5E13 vg/kg.</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80"/>
          </w:cols>
          <w:pgMar w:left="320" w:top="455" w:right="49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left="480" w:right="260"/>
        <w:spacing w:after="0" w:line="274" w:lineRule="auto"/>
        <w:rPr>
          <w:sz w:val="20"/>
          <w:szCs w:val="20"/>
          <w:color w:val="auto"/>
        </w:rPr>
      </w:pPr>
      <w:r>
        <w:rPr>
          <w:rFonts w:ascii="Arial" w:cs="Arial" w:eastAsia="Arial" w:hAnsi="Arial"/>
          <w:sz w:val="18"/>
          <w:szCs w:val="18"/>
          <w:i w:val="1"/>
          <w:iCs w:val="1"/>
          <w:color w:val="auto"/>
        </w:rPr>
        <w:t>Plasma AGA activity in Fabry mice after treatment with 4D-310 was measured to be approximately 1,200-fold higher than in control vehicle-treated Fabry mice at all measured timepoints after treatment with 4D-310 at 5E13 vg/kg.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124460</wp:posOffset>
            </wp:positionV>
            <wp:extent cx="3591560" cy="23660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59156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59"/>
        <w:spacing w:after="0"/>
        <w:rPr>
          <w:sz w:val="20"/>
          <w:szCs w:val="20"/>
          <w:color w:val="auto"/>
        </w:rPr>
      </w:pPr>
      <w:r>
        <w:rPr>
          <w:rFonts w:ascii="Arial" w:cs="Arial" w:eastAsia="Arial" w:hAnsi="Arial"/>
          <w:sz w:val="14"/>
          <w:szCs w:val="14"/>
          <w:i w:val="1"/>
          <w:iCs w:val="1"/>
          <w:color w:val="auto"/>
        </w:rPr>
        <w:t>WT = wild type</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4"/>
          <w:szCs w:val="14"/>
          <w:i w:val="1"/>
          <w:iCs w:val="1"/>
          <w:color w:val="auto"/>
        </w:rPr>
        <w:t>KO = Fabry knock out mouse model</w:t>
      </w:r>
    </w:p>
    <w:p>
      <w:pPr>
        <w:spacing w:after="0" w:line="207" w:lineRule="exact"/>
        <w:rPr>
          <w:sz w:val="20"/>
          <w:szCs w:val="20"/>
          <w:color w:val="auto"/>
        </w:rPr>
      </w:pPr>
    </w:p>
    <w:p>
      <w:pPr>
        <w:jc w:val="center"/>
        <w:ind w:left="480"/>
        <w:spacing w:after="0" w:line="274" w:lineRule="auto"/>
        <w:rPr>
          <w:sz w:val="20"/>
          <w:szCs w:val="20"/>
          <w:color w:val="auto"/>
        </w:rPr>
      </w:pPr>
      <w:r>
        <w:rPr>
          <w:rFonts w:ascii="Arial" w:cs="Arial" w:eastAsia="Arial" w:hAnsi="Arial"/>
          <w:sz w:val="18"/>
          <w:szCs w:val="18"/>
          <w:i w:val="1"/>
          <w:iCs w:val="1"/>
          <w:color w:val="auto"/>
        </w:rPr>
        <w:t>Dose-dependent decrease in plasma lyso-Gb3 was measured at Week 8 in Fabry mice after treatment with 4D-310. 1E13 and 5E13 dose levels achieved reduction of plasma lyso-Gb3 by greater than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124460</wp:posOffset>
            </wp:positionV>
            <wp:extent cx="4149090" cy="2820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149090" cy="282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4"/>
          <w:szCs w:val="14"/>
          <w:i w:val="1"/>
          <w:iCs w:val="1"/>
          <w:color w:val="auto"/>
        </w:rPr>
        <w:t>WT = wild type</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4"/>
          <w:szCs w:val="14"/>
          <w:i w:val="1"/>
          <w:iCs w:val="1"/>
          <w:color w:val="auto"/>
        </w:rPr>
        <w:t>KO = Fabry knock out mouse model</w:t>
      </w:r>
    </w:p>
    <w:p>
      <w:pPr>
        <w:spacing w:after="0" w:line="13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080"/>
          </w:cols>
          <w:pgMar w:left="320" w:top="455" w:right="49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left="480"/>
        <w:spacing w:after="0" w:line="254" w:lineRule="auto"/>
        <w:rPr>
          <w:sz w:val="20"/>
          <w:szCs w:val="20"/>
          <w:color w:val="auto"/>
        </w:rPr>
      </w:pPr>
      <w:r>
        <w:rPr>
          <w:rFonts w:ascii="Arial" w:cs="Arial" w:eastAsia="Arial" w:hAnsi="Arial"/>
          <w:sz w:val="18"/>
          <w:szCs w:val="18"/>
          <w:i w:val="1"/>
          <w:iCs w:val="1"/>
          <w:color w:val="auto"/>
        </w:rPr>
        <w:t>Dose-dependent decrease in tissue Gb3 was measured at Week 8 in Fabry mice after treatment with 4D-310). Tissue Gb3 levels in Fabry mice approached that of normal mice in both heart and liver at 1E13 vg/kg and 5E13 vg/kg dose levels. Kidney Gb3 levels were reduced by approximately 75% in the 1E13 vg/kg group and levels approached normal in the 5E13 vg/kg dose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135890</wp:posOffset>
            </wp:positionV>
            <wp:extent cx="4431665" cy="25888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431665"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right="360" w:firstLine="551"/>
        <w:spacing w:after="0" w:line="255" w:lineRule="auto"/>
        <w:rPr>
          <w:sz w:val="20"/>
          <w:szCs w:val="20"/>
          <w:color w:val="auto"/>
        </w:rPr>
      </w:pPr>
      <w:r>
        <w:rPr>
          <w:rFonts w:ascii="Arial" w:cs="Arial" w:eastAsia="Arial" w:hAnsi="Arial"/>
          <w:sz w:val="18"/>
          <w:szCs w:val="18"/>
          <w:color w:val="auto"/>
        </w:rPr>
        <w:t xml:space="preserve">In studies with 4D-310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in human Fabry patient-derived cardiomyocytes, we observed dose-related AGA expression and function. Data in Fabry patient-derived cardiomyocytes demonstrated that treatment with 4D-310 results in efficient transduction and functional AGA protein production; AGA activity was observed both within Fabry cardiomyocytes and secreted into the media.</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00"/>
          </w:cols>
          <w:pgMar w:left="320" w:top="455" w:right="47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left="460"/>
        <w:spacing w:after="0" w:line="274" w:lineRule="auto"/>
        <w:rPr>
          <w:sz w:val="20"/>
          <w:szCs w:val="20"/>
          <w:color w:val="auto"/>
        </w:rPr>
      </w:pPr>
      <w:r>
        <w:rPr>
          <w:rFonts w:ascii="Arial" w:cs="Arial" w:eastAsia="Arial" w:hAnsi="Arial"/>
          <w:sz w:val="18"/>
          <w:szCs w:val="18"/>
          <w:i w:val="1"/>
          <w:iCs w:val="1"/>
          <w:color w:val="auto"/>
        </w:rPr>
        <w:t>Cardiomyocytes that were differentiated from Fabry patient-derived fibroblasts expressed functional secreted AGA enzyme after treatment with 4D-310.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124460</wp:posOffset>
            </wp:positionV>
            <wp:extent cx="3471545" cy="26574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71545"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39"/>
        <w:spacing w:after="0"/>
        <w:rPr>
          <w:sz w:val="20"/>
          <w:szCs w:val="20"/>
          <w:color w:val="auto"/>
        </w:rPr>
      </w:pPr>
      <w:r>
        <w:rPr>
          <w:rFonts w:ascii="Arial" w:cs="Arial" w:eastAsia="Arial" w:hAnsi="Arial"/>
          <w:sz w:val="14"/>
          <w:szCs w:val="14"/>
          <w:i w:val="1"/>
          <w:iCs w:val="1"/>
          <w:color w:val="auto"/>
        </w:rPr>
        <w:t>MOI = multiplicity of infection</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4"/>
          <w:szCs w:val="14"/>
          <w:i w:val="1"/>
          <w:iCs w:val="1"/>
          <w:color w:val="auto"/>
        </w:rPr>
        <w:t>n.s. = not significant</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4"/>
          <w:szCs w:val="14"/>
          <w:i w:val="1"/>
          <w:iCs w:val="1"/>
          <w:color w:val="auto"/>
        </w:rPr>
        <w:t>NT = not treated</w:t>
      </w:r>
    </w:p>
    <w:p>
      <w:pPr>
        <w:spacing w:after="0" w:line="97" w:lineRule="exact"/>
        <w:rPr>
          <w:sz w:val="20"/>
          <w:szCs w:val="20"/>
          <w:color w:val="auto"/>
        </w:rPr>
      </w:pPr>
    </w:p>
    <w:p>
      <w:pPr>
        <w:ind w:left="120" w:right="80" w:firstLine="551"/>
        <w:spacing w:after="0" w:line="243" w:lineRule="auto"/>
        <w:rPr>
          <w:sz w:val="20"/>
          <w:szCs w:val="20"/>
          <w:color w:val="auto"/>
        </w:rPr>
      </w:pPr>
      <w:r>
        <w:rPr>
          <w:rFonts w:ascii="Arial" w:cs="Arial" w:eastAsia="Arial" w:hAnsi="Arial"/>
          <w:sz w:val="18"/>
          <w:szCs w:val="18"/>
          <w:color w:val="auto"/>
        </w:rPr>
        <w:t xml:space="preserve">We performed a dose-ranging toxicity and biodistribution study in NHPs. Doses of 3E12, 1E13 and 5E13 vg/kg were well-tolerated and resulted in AGA activity concentrations in blood equal to </w:t>
      </w:r>
      <w:r>
        <w:rPr>
          <w:rFonts w:ascii="Arial" w:cs="Arial" w:eastAsia="Arial" w:hAnsi="Arial"/>
          <w:sz w:val="18"/>
          <w:szCs w:val="18"/>
          <w:i w:val="1"/>
          <w:iCs w:val="1"/>
          <w:color w:val="auto"/>
        </w:rPr>
        <w:t>1.5-fold, 3.4-fold and 70-fold</w:t>
      </w:r>
      <w:r>
        <w:rPr>
          <w:rFonts w:ascii="Arial" w:cs="Arial" w:eastAsia="Arial" w:hAnsi="Arial"/>
          <w:sz w:val="18"/>
          <w:szCs w:val="18"/>
          <w:color w:val="auto"/>
        </w:rPr>
        <w:t xml:space="preserve"> higher than pretreatment blood levels, respectively, within 14 days after treatment. NHPs used in this study were healthy and had normal baseline levels of AGA activity. No meaningful toxicity was noted clinically or with blood testing. Histopathology assessments were normal. Tissue analyses demonstrated dose-related 4D-310 genome delivery, RNA expression and AGA activity throughout the heart, especially within the left ventricle which is the key target tissue; AGA expression and enzymatic activity were also demonstrated within the kidney.</w:t>
      </w:r>
    </w:p>
    <w:p>
      <w:pPr>
        <w:spacing w:after="0" w:line="176" w:lineRule="exact"/>
        <w:rPr>
          <w:sz w:val="20"/>
          <w:szCs w:val="20"/>
          <w:color w:val="auto"/>
        </w:rPr>
      </w:pPr>
    </w:p>
    <w:p>
      <w:pPr>
        <w:jc w:val="center"/>
        <w:ind w:left="460" w:right="140"/>
        <w:spacing w:after="0" w:line="254" w:lineRule="auto"/>
        <w:rPr>
          <w:sz w:val="20"/>
          <w:szCs w:val="20"/>
          <w:color w:val="auto"/>
        </w:rPr>
      </w:pPr>
      <w:r>
        <w:rPr>
          <w:rFonts w:ascii="Arial" w:cs="Arial" w:eastAsia="Arial" w:hAnsi="Arial"/>
          <w:sz w:val="18"/>
          <w:szCs w:val="18"/>
          <w:i w:val="1"/>
          <w:iCs w:val="1"/>
          <w:color w:val="auto"/>
        </w:rPr>
        <w:t>Delivery (genomes) and transduction (mRNA) were consistently measured throughout organs important to the management of Fabry disease in all NHPs treated with 4D-310. The number of positive tissue samples within NHPs across all three dose levels are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135890</wp:posOffset>
            </wp:positionV>
            <wp:extent cx="3411855" cy="514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1185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00"/>
          </w:cols>
          <w:pgMar w:left="320" w:top="455" w:right="47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left="440" w:right="60"/>
        <w:spacing w:after="0" w:line="254" w:lineRule="auto"/>
        <w:rPr>
          <w:sz w:val="20"/>
          <w:szCs w:val="20"/>
          <w:color w:val="auto"/>
        </w:rPr>
      </w:pPr>
      <w:r>
        <w:rPr>
          <w:rFonts w:ascii="Arial" w:cs="Arial" w:eastAsia="Arial" w:hAnsi="Arial"/>
          <w:sz w:val="18"/>
          <w:szCs w:val="18"/>
          <w:i w:val="1"/>
          <w:iCs w:val="1"/>
          <w:color w:val="auto"/>
        </w:rPr>
        <w:t>Median plasma AGA activity in NHPs after treatment with 4D-310 was measured to be approximately 70-fold, 3.4-fold and 1.5-fold higher than baseline at 8 weeks after treatment with 4D-310 at 5E13, 1E13 and 3E12 vg/kg doses, respectively. Average plasma AGA activity levels for these time points are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135890</wp:posOffset>
            </wp:positionV>
            <wp:extent cx="3943350" cy="22117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943350"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40" w:right="40" w:hanging="316"/>
        <w:spacing w:after="0" w:line="288" w:lineRule="auto"/>
        <w:tabs>
          <w:tab w:leader="none" w:pos="540" w:val="left"/>
        </w:tabs>
        <w:numPr>
          <w:ilvl w:val="0"/>
          <w:numId w:val="105"/>
        </w:numPr>
        <w:rPr>
          <w:rFonts w:ascii="Arial" w:cs="Arial" w:eastAsia="Arial" w:hAnsi="Arial"/>
          <w:sz w:val="14"/>
          <w:szCs w:val="14"/>
          <w:i w:val="1"/>
          <w:iCs w:val="1"/>
          <w:color w:val="auto"/>
        </w:rPr>
      </w:pPr>
      <w:r>
        <w:rPr>
          <w:rFonts w:ascii="Arial" w:cs="Arial" w:eastAsia="Arial" w:hAnsi="Arial"/>
          <w:sz w:val="14"/>
          <w:szCs w:val="14"/>
          <w:i w:val="1"/>
          <w:iCs w:val="1"/>
          <w:color w:val="auto"/>
        </w:rPr>
        <w:t>One NHP in the low dose cohort has been excluded from the dataset as a positive statistical outlier as it exhibited AGA activity that was 66 to 124 standard deviations higher than the average of other NHPs treated with low dose 4D-310.</w:t>
      </w:r>
    </w:p>
    <w:p>
      <w:pPr>
        <w:spacing w:after="0" w:line="144" w:lineRule="exact"/>
        <w:rPr>
          <w:sz w:val="20"/>
          <w:szCs w:val="20"/>
          <w:color w:val="auto"/>
        </w:rPr>
      </w:pPr>
    </w:p>
    <w:p>
      <w:pPr>
        <w:jc w:val="center"/>
        <w:ind w:left="440"/>
        <w:spacing w:after="0" w:line="274" w:lineRule="auto"/>
        <w:rPr>
          <w:sz w:val="20"/>
          <w:szCs w:val="20"/>
          <w:color w:val="auto"/>
        </w:rPr>
      </w:pPr>
      <w:r>
        <w:rPr>
          <w:rFonts w:ascii="Arial" w:cs="Arial" w:eastAsia="Arial" w:hAnsi="Arial"/>
          <w:sz w:val="18"/>
          <w:szCs w:val="18"/>
          <w:i w:val="1"/>
          <w:iCs w:val="1"/>
          <w:color w:val="auto"/>
        </w:rPr>
        <w:t>Tissue AGA activity was measured in key organs in healthy NHPs, with normal baseline AGA activity levels, after treatment with 4D-310 at low, medium and high doses. Below are data for tissues which are most important to the management of Fabry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124460</wp:posOffset>
            </wp:positionV>
            <wp:extent cx="5186045" cy="24599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86045"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5" w:right="45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left="440" w:right="160"/>
        <w:spacing w:after="0" w:line="274" w:lineRule="auto"/>
        <w:rPr>
          <w:sz w:val="20"/>
          <w:szCs w:val="20"/>
          <w:color w:val="auto"/>
        </w:rPr>
      </w:pPr>
      <w:r>
        <w:rPr>
          <w:rFonts w:ascii="Arial" w:cs="Arial" w:eastAsia="Arial" w:hAnsi="Arial"/>
          <w:sz w:val="18"/>
          <w:szCs w:val="18"/>
          <w:i w:val="1"/>
          <w:iCs w:val="1"/>
          <w:color w:val="auto"/>
        </w:rPr>
        <w:t>IV delivery of 4D-310 in NHPs was associated with AGA enzyme detection (brown) by immunohistochemistry in the heart, kidneys and liver at low and high dose. Illustrative images below highlight transduction of cardiomyocytes at 5E13 vg/kg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124460</wp:posOffset>
            </wp:positionV>
            <wp:extent cx="5203190" cy="17741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203190"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Clinical Development: Phase 1/2 Clinical Trial</w:t>
      </w:r>
    </w:p>
    <w:p>
      <w:pPr>
        <w:spacing w:after="0" w:line="104" w:lineRule="exact"/>
        <w:rPr>
          <w:sz w:val="20"/>
          <w:szCs w:val="20"/>
          <w:color w:val="auto"/>
        </w:rPr>
      </w:pPr>
    </w:p>
    <w:p>
      <w:pPr>
        <w:ind w:left="120" w:right="40" w:firstLine="551"/>
        <w:spacing w:after="0" w:line="260" w:lineRule="auto"/>
        <w:rPr>
          <w:sz w:val="20"/>
          <w:szCs w:val="20"/>
          <w:color w:val="auto"/>
        </w:rPr>
      </w:pPr>
      <w:r>
        <w:rPr>
          <w:rFonts w:ascii="Arial" w:cs="Arial" w:eastAsia="Arial" w:hAnsi="Arial"/>
          <w:sz w:val="17"/>
          <w:szCs w:val="17"/>
          <w:color w:val="auto"/>
        </w:rPr>
        <w:t>Our Phase 1/2 clinical trial is open at two sites in the United States. GMP-grade clinical trial material has been produced and released by 4DMT for use in patients on this trial, and we have an open and active IND for 4D-310. We expect to enroll early onset classic Fabry disease patients initially, and eventually to also enroll severely affected late-onset patients, including those with cardiomyopathy. The primary objectives of this trial are to evaluate the safety and maximum-tolerated dose of 4D-310. Secondary objectives include biomarker assessments of plasma AGA activity and markers of biologic activity in the heart, including cardiac MRI. Patients are currently being screened for enrollment in cohort 1 (1E13 vg/kg). We expect to report initial clinical data from this trial in 2021.</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Pulmonology Therapeutic Area</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Introduction</w:t>
      </w:r>
    </w:p>
    <w:p>
      <w:pPr>
        <w:spacing w:after="0" w:line="102"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We are developing product candidates to treat lung diseases. Our targeted and evolved vector, A101, is used in all of our pulmonology disease product candidates and was invented for aerosol delivery, leading to transgene expression throughout all regions of the lung airways and alveoli, as well as resistance to pre-existing antibodies in the human population. We believe that this modular product approach, utilizing A101 for multiple product candidates by switching the therapeutic transgene insert, will help inform the clinical development of subsequent product candidates using the same vector.</w:t>
      </w:r>
    </w:p>
    <w:p>
      <w:pPr>
        <w:spacing w:after="0" w:line="172"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Our first pulmonology product candidate is 4D-710 for cystic fibrosis lung disease. This IND candidate has completed a non-GLP dose-ranging toxicology and biodistribution testing study in NHPs by aerosol delivery. No notable adverse effects were reported, and widespread biodistribution and transgene expression were observed throughout all lung segments tested in all NHPs. We have initiated an IND-enabling GLP toxicology and biodistribution study in NHPs. We expect to initiate a Phase 1/2 clinical trial for 4D-710 in the second half of 2021.</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4D-710 for Cystic Fibrosis Lung Disease</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Disease Background, Unmet Medical Need and Target Patient Population</w:t>
      </w:r>
    </w:p>
    <w:p>
      <w:pPr>
        <w:spacing w:after="0" w:line="104" w:lineRule="exact"/>
        <w:rPr>
          <w:sz w:val="20"/>
          <w:szCs w:val="20"/>
          <w:color w:val="auto"/>
        </w:rPr>
      </w:pPr>
    </w:p>
    <w:p>
      <w:pPr>
        <w:ind w:left="120" w:right="480" w:firstLine="551"/>
        <w:spacing w:after="0" w:line="276" w:lineRule="auto"/>
        <w:rPr>
          <w:sz w:val="20"/>
          <w:szCs w:val="20"/>
          <w:color w:val="auto"/>
        </w:rPr>
      </w:pPr>
      <w:r>
        <w:rPr>
          <w:rFonts w:ascii="Arial" w:cs="Arial" w:eastAsia="Arial" w:hAnsi="Arial"/>
          <w:sz w:val="18"/>
          <w:szCs w:val="18"/>
          <w:color w:val="auto"/>
        </w:rPr>
        <w:t>Cystic fibrosis is the most common fatal inherited disease in the United States and results from mutations in the cystic fibrosis transmembrane conductance regulator (CFTR) gene. Cystic fibrosis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5" w:right="45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causes impaired lung function, inflammation and bronchiectasis and is commonly associated with repeat and persistent lung infections due to the inability to clear thickened mucus from the lung, often resulting in frequent exacerbations and hospitalizations and eventual end-stage respiratory failure. There is no cure for cystic fibrosis, and the median age of death for patients is approximately 40 years in developed countries. Cystic fibrosis is considered a rare, or orphan, disease by both the FDA and the EMA. According to the Cystic Fibrosis Foundation, more than 30,000 people in the United States and more than 70,000 people worldwide are living with cystic fibrosis, and approximately 1,000 new cases of cystic fibrosis are diagnosed in the United States each year. Patients with cystic fibrosis require lifelong treatment with multiple daily medications, frequent hospitalizations and, ultimately, lung transplants in some end-stage patients. The quality of life for cystic fibrosis patients is compromised as a result of spending significant time on self-care every day and frequent outpatient doctor visits and hospitalizations.</w:t>
      </w:r>
    </w:p>
    <w:p>
      <w:pPr>
        <w:spacing w:after="0" w:line="176" w:lineRule="exact"/>
        <w:rPr>
          <w:sz w:val="20"/>
          <w:szCs w:val="20"/>
          <w:color w:val="auto"/>
        </w:rPr>
      </w:pPr>
    </w:p>
    <w:p>
      <w:pPr>
        <w:ind w:left="120" w:right="340" w:firstLine="551"/>
        <w:spacing w:after="0" w:line="255" w:lineRule="auto"/>
        <w:rPr>
          <w:sz w:val="20"/>
          <w:szCs w:val="20"/>
          <w:color w:val="auto"/>
        </w:rPr>
      </w:pPr>
      <w:r>
        <w:rPr>
          <w:rFonts w:ascii="Arial" w:cs="Arial" w:eastAsia="Arial" w:hAnsi="Arial"/>
          <w:sz w:val="18"/>
          <w:szCs w:val="18"/>
          <w:color w:val="auto"/>
        </w:rPr>
        <w:t>Until recently, approved therapies to treat cystic fibrosis patients were only designed to treat the symptoms of cystic fibrosis, for example by preventing and controlling infections that occur in the lungs, rather than addressing the underlying cause of the disease. Accordingly, antibiotics are frequently used along with mucus-thinning drugs.</w:t>
      </w:r>
    </w:p>
    <w:p>
      <w:pPr>
        <w:spacing w:after="0" w:line="164"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More recently, a new class of drugs called correctors and modulators target CFTR for patients with certain gene mutations. Several therapies from Vertex Pharmaceuticals Inc. have been approved for marketing in the United States and the European Union based on their ability to improve lung function in genetically defined subsets of cystic fibrosis patients. In 2019, the FDA approved triple drug therapy with Trikafta (elexacaftor/ivacaftor/tezacaftor), which Vertex believes would be applicable for up to 90% of cystic fibrosis patients, leaving at least 10% with no CFTR-targeted options. While these therapies improve lung function, they fall short of restoring it to the normal range in most patients, and these chronic therapies require daily dosing for the patient’s lifetime. In addition, the existing cystic fibrosis drugs have been associated with tolerability issues, thus limiting their use.</w:t>
      </w:r>
    </w:p>
    <w:p>
      <w:pPr>
        <w:spacing w:after="0" w:line="179" w:lineRule="exact"/>
        <w:rPr>
          <w:sz w:val="20"/>
          <w:szCs w:val="20"/>
          <w:color w:val="auto"/>
        </w:rPr>
      </w:pPr>
    </w:p>
    <w:p>
      <w:pPr>
        <w:ind w:left="120" w:right="140" w:firstLine="551"/>
        <w:spacing w:after="0" w:line="243" w:lineRule="auto"/>
        <w:rPr>
          <w:sz w:val="20"/>
          <w:szCs w:val="20"/>
          <w:color w:val="auto"/>
        </w:rPr>
      </w:pPr>
      <w:r>
        <w:rPr>
          <w:rFonts w:ascii="Arial" w:cs="Arial" w:eastAsia="Arial" w:hAnsi="Arial"/>
          <w:sz w:val="18"/>
          <w:szCs w:val="18"/>
          <w:color w:val="auto"/>
        </w:rPr>
        <w:t>We believe there is a clinical need and market opportunity for a durable aerosolized therapy, delivered by breath-actuated nebulizer, that can restore normal CFTR function across all cystic fibrosis patient subgroups, including patients who are receiving combination CFTR-modulator therapies and/or do not have appreciable CFTR protein expression and are therefore not amenable to CFTR modulators. We expect to explore single agent therapy with 4D-710 initially in patients who are not amenable to CFTR modulators (estimated to include approximately 10% of all cystic fibrosis patients), and to explore single agent or combination therapy with CFTR modulators for the remaining approximately 90% of cystic fibrosis patients.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Solution</w:t>
      </w:r>
    </w:p>
    <w:p>
      <w:pPr>
        <w:spacing w:after="0" w:line="104" w:lineRule="exact"/>
        <w:rPr>
          <w:sz w:val="20"/>
          <w:szCs w:val="20"/>
          <w:color w:val="auto"/>
        </w:rPr>
      </w:pPr>
    </w:p>
    <w:p>
      <w:pPr>
        <w:ind w:left="120" w:right="60" w:firstLine="551"/>
        <w:spacing w:after="0" w:line="241" w:lineRule="auto"/>
        <w:rPr>
          <w:sz w:val="20"/>
          <w:szCs w:val="20"/>
          <w:color w:val="auto"/>
        </w:rPr>
      </w:pPr>
      <w:r>
        <w:rPr>
          <w:rFonts w:ascii="Arial" w:cs="Arial" w:eastAsia="Arial" w:hAnsi="Arial"/>
          <w:sz w:val="18"/>
          <w:szCs w:val="18"/>
          <w:color w:val="auto"/>
        </w:rPr>
        <w:t xml:space="preserve">We are developing 4D-710 for the treatment of a broad range of cystic fibrosis patients independent of their specific </w:t>
      </w:r>
      <w:r>
        <w:rPr>
          <w:rFonts w:ascii="Arial" w:cs="Arial" w:eastAsia="Arial" w:hAnsi="Arial"/>
          <w:sz w:val="18"/>
          <w:szCs w:val="18"/>
          <w:i w:val="1"/>
          <w:iCs w:val="1"/>
          <w:color w:val="auto"/>
        </w:rPr>
        <w:t>CFTR</w:t>
      </w:r>
      <w:r>
        <w:rPr>
          <w:rFonts w:ascii="Arial" w:cs="Arial" w:eastAsia="Arial" w:hAnsi="Arial"/>
          <w:sz w:val="18"/>
          <w:szCs w:val="18"/>
          <w:color w:val="auto"/>
        </w:rPr>
        <w:t xml:space="preserve"> mutation. 4D-710 is designed for efficient single dose aerosol delivery to the proximal and medial airways and alveoli, subsequent mucus barrier penetration, lung epithelial cell transduction, and resistance to pre-existing antibodies in humans. The intended result is to achieve CFTR expression within lung airway epithelial cells for correction of cystic fibrosis lung disease. 4D-710 is comprised of our targeted and evolved vector, A101, and a codon-optimized version of a synthetic truncated </w:t>
      </w:r>
      <w:r>
        <w:rPr>
          <w:rFonts w:ascii="Arial" w:cs="Arial" w:eastAsia="Arial" w:hAnsi="Arial"/>
          <w:sz w:val="18"/>
          <w:szCs w:val="18"/>
          <w:i w:val="1"/>
          <w:iCs w:val="1"/>
          <w:color w:val="auto"/>
        </w:rPr>
        <w:t>CFTR</w:t>
      </w:r>
      <w:r>
        <w:rPr>
          <w:rFonts w:ascii="Arial" w:cs="Arial" w:eastAsia="Arial" w:hAnsi="Arial"/>
          <w:sz w:val="18"/>
          <w:szCs w:val="18"/>
          <w:color w:val="auto"/>
        </w:rPr>
        <w:t xml:space="preserve"> transgene </w:t>
      </w:r>
      <w:r>
        <w:rPr>
          <w:rFonts w:ascii="Arial" w:cs="Arial" w:eastAsia="Arial" w:hAnsi="Arial"/>
          <w:sz w:val="18"/>
          <w:szCs w:val="18"/>
          <w:i w:val="1"/>
          <w:iCs w:val="1"/>
          <w:color w:val="auto"/>
        </w:rPr>
        <w:t>deltaR-CFTR</w:t>
      </w:r>
      <w:r>
        <w:rPr>
          <w:rFonts w:ascii="Arial" w:cs="Arial" w:eastAsia="Arial" w:hAnsi="Arial"/>
          <w:sz w:val="18"/>
          <w:szCs w:val="18"/>
          <w:color w:val="auto"/>
        </w:rPr>
        <w:t xml:space="preserve">, which we refer to as </w:t>
      </w:r>
      <w:r>
        <w:rPr>
          <w:rFonts w:ascii="Arial" w:cs="Arial" w:eastAsia="Arial" w:hAnsi="Arial"/>
          <w:sz w:val="18"/>
          <w:szCs w:val="18"/>
          <w:i w:val="1"/>
          <w:iCs w:val="1"/>
          <w:color w:val="auto"/>
        </w:rPr>
        <w:t>microCFTR</w:t>
      </w:r>
      <w:r>
        <w:rPr>
          <w:rFonts w:ascii="Arial" w:cs="Arial" w:eastAsia="Arial" w:hAnsi="Arial"/>
          <w:sz w:val="18"/>
          <w:szCs w:val="18"/>
          <w:color w:val="auto"/>
        </w:rPr>
        <w:t>.</w:t>
      </w:r>
      <w:r>
        <w:rPr>
          <w:rFonts w:ascii="Arial" w:cs="Arial" w:eastAsia="Arial" w:hAnsi="Arial"/>
          <w:sz w:val="18"/>
          <w:szCs w:val="18"/>
          <w:i w:val="1"/>
          <w:iCs w:val="1"/>
          <w:color w:val="auto"/>
        </w:rPr>
        <w:t xml:space="preserve"> microCFTR </w:t>
      </w:r>
      <w:r>
        <w:rPr>
          <w:rFonts w:ascii="Arial" w:cs="Arial" w:eastAsia="Arial" w:hAnsi="Arial"/>
          <w:sz w:val="18"/>
          <w:szCs w:val="18"/>
          <w:color w:val="auto"/>
        </w:rPr>
        <w:t>is a construct that retains the most critical functional components of the full-size</w:t>
      </w:r>
      <w:r>
        <w:rPr>
          <w:rFonts w:ascii="Arial" w:cs="Arial" w:eastAsia="Arial" w:hAnsi="Arial"/>
          <w:sz w:val="18"/>
          <w:szCs w:val="18"/>
          <w:i w:val="1"/>
          <w:iCs w:val="1"/>
          <w:color w:val="auto"/>
        </w:rPr>
        <w:t xml:space="preserve"> CFTR </w:t>
      </w:r>
      <w:r>
        <w:rPr>
          <w:rFonts w:ascii="Arial" w:cs="Arial" w:eastAsia="Arial" w:hAnsi="Arial"/>
          <w:sz w:val="18"/>
          <w:szCs w:val="18"/>
          <w:color w:val="auto"/>
        </w:rPr>
        <w:t>gene and is small enough</w:t>
      </w:r>
      <w:r>
        <w:rPr>
          <w:rFonts w:ascii="Arial" w:cs="Arial" w:eastAsia="Arial" w:hAnsi="Arial"/>
          <w:sz w:val="18"/>
          <w:szCs w:val="18"/>
          <w:i w:val="1"/>
          <w:iCs w:val="1"/>
          <w:color w:val="auto"/>
        </w:rPr>
        <w:t xml:space="preserve"> </w:t>
      </w:r>
      <w:r>
        <w:rPr>
          <w:rFonts w:ascii="Arial" w:cs="Arial" w:eastAsia="Arial" w:hAnsi="Arial"/>
          <w:sz w:val="18"/>
          <w:szCs w:val="18"/>
          <w:color w:val="auto"/>
        </w:rPr>
        <w:t>to fit within AAV vector packaging constraints.</w:t>
      </w:r>
    </w:p>
    <w:p>
      <w:pPr>
        <w:spacing w:after="0" w:line="179" w:lineRule="exact"/>
        <w:rPr>
          <w:sz w:val="20"/>
          <w:szCs w:val="20"/>
          <w:color w:val="auto"/>
        </w:rPr>
      </w:pPr>
    </w:p>
    <w:p>
      <w:pPr>
        <w:jc w:val="both"/>
        <w:ind w:left="120" w:right="120" w:firstLine="551"/>
        <w:spacing w:after="0" w:line="255" w:lineRule="auto"/>
        <w:rPr>
          <w:sz w:val="20"/>
          <w:szCs w:val="20"/>
          <w:color w:val="auto"/>
        </w:rPr>
      </w:pPr>
      <w:r>
        <w:rPr>
          <w:rFonts w:ascii="Arial" w:cs="Arial" w:eastAsia="Arial" w:hAnsi="Arial"/>
          <w:sz w:val="18"/>
          <w:szCs w:val="18"/>
          <w:color w:val="auto"/>
        </w:rPr>
        <w:t xml:space="preserve">We believe 4D-710 has the potential to treat a broad range of cystic fibrosis patients independent of their specific </w:t>
      </w:r>
      <w:r>
        <w:rPr>
          <w:rFonts w:ascii="Arial" w:cs="Arial" w:eastAsia="Arial" w:hAnsi="Arial"/>
          <w:sz w:val="18"/>
          <w:szCs w:val="18"/>
          <w:i w:val="1"/>
          <w:iCs w:val="1"/>
          <w:color w:val="auto"/>
        </w:rPr>
        <w:t>CFTR</w:t>
      </w:r>
      <w:r>
        <w:rPr>
          <w:rFonts w:ascii="Arial" w:cs="Arial" w:eastAsia="Arial" w:hAnsi="Arial"/>
          <w:sz w:val="18"/>
          <w:szCs w:val="18"/>
          <w:color w:val="auto"/>
        </w:rPr>
        <w:t xml:space="preserve"> mutation. Initially we plan to focus on the approximately 10% of all patients who are not amenable to existing medicines targeting the CFTR protein as we believe these patients have</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00"/>
          </w:cols>
          <w:pgMar w:left="320" w:top="455" w:right="47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8" w:lineRule="auto"/>
        <w:rPr>
          <w:sz w:val="20"/>
          <w:szCs w:val="20"/>
          <w:color w:val="auto"/>
        </w:rPr>
      </w:pPr>
      <w:r>
        <w:rPr>
          <w:rFonts w:ascii="Arial" w:cs="Arial" w:eastAsia="Arial" w:hAnsi="Arial"/>
          <w:sz w:val="18"/>
          <w:szCs w:val="18"/>
          <w:color w:val="auto"/>
        </w:rPr>
        <w:t>the highest unmet medical need. In patients with CFTR mutations that are amenable to modulator medicines, while therapies demonstrate improvements in lung function, these modulators do not restore normal lung function in most patients. Further, these chronic therapies require daily dosing for the patient’s lifetime. We therefore expect to eventually develop 4D-710 in this patient population, as a single agent and/or in combination with these CFTR modulator small molecule medicines.</w:t>
      </w:r>
    </w:p>
    <w:p>
      <w:pPr>
        <w:spacing w:after="0" w:line="170" w:lineRule="exact"/>
        <w:rPr>
          <w:sz w:val="20"/>
          <w:szCs w:val="20"/>
          <w:color w:val="auto"/>
        </w:rPr>
      </w:pPr>
    </w:p>
    <w:p>
      <w:pPr>
        <w:ind w:left="120" w:right="20" w:firstLine="551"/>
        <w:spacing w:after="0" w:line="276" w:lineRule="auto"/>
        <w:rPr>
          <w:sz w:val="20"/>
          <w:szCs w:val="20"/>
          <w:color w:val="auto"/>
        </w:rPr>
      </w:pPr>
      <w:r>
        <w:rPr>
          <w:rFonts w:ascii="Arial" w:cs="Arial" w:eastAsia="Arial" w:hAnsi="Arial"/>
          <w:sz w:val="18"/>
          <w:szCs w:val="18"/>
          <w:color w:val="auto"/>
        </w:rPr>
        <w:t>We have funding and an on-going research and development collaboration with the Cystic Fibrosis Foundation for the development of 4D-710.</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Competition and Differentiation: AAV Gene Therapy for Target Disease</w:t>
      </w:r>
    </w:p>
    <w:p>
      <w:pPr>
        <w:spacing w:after="0" w:line="104"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A number of biotechnology companies have pursued gene therapy solutions to treat cystic fibrosis. We believe these prior attempts to deliver AAV gene therapy to the lungs of cystic fibrosis patients have failed due to an inability of conventional AAV vectors to penetrate through the lung mucus barrier and transduce lung cells efficiently. Further, we believe antibody neutralization of AAV likely also played a role in the lack of significant efficacy, as the mucosal immune system actively transports large quantities of antibodies into all mucus secretions, including the lung mucosa.</w:t>
      </w:r>
    </w:p>
    <w:p>
      <w:pPr>
        <w:spacing w:after="0" w:line="172" w:lineRule="exact"/>
        <w:rPr>
          <w:sz w:val="20"/>
          <w:szCs w:val="20"/>
          <w:color w:val="auto"/>
        </w:rPr>
      </w:pPr>
    </w:p>
    <w:p>
      <w:pPr>
        <w:ind w:left="120" w:right="40" w:firstLine="551"/>
        <w:spacing w:after="0" w:line="260" w:lineRule="auto"/>
        <w:rPr>
          <w:sz w:val="20"/>
          <w:szCs w:val="20"/>
          <w:color w:val="auto"/>
        </w:rPr>
      </w:pPr>
      <w:r>
        <w:rPr>
          <w:rFonts w:ascii="Arial" w:cs="Arial" w:eastAsia="Arial" w:hAnsi="Arial"/>
          <w:sz w:val="17"/>
          <w:szCs w:val="17"/>
          <w:color w:val="auto"/>
        </w:rPr>
        <w:t>While a number of companies are currently pursuing other gene therapy solutions utilizing liposomes, lentivirus or conventional AAV vectors, these product candidates are in early stages of development. Moreover, they are not, to our knowledge, comprised of AAV vectors evolved in NHPs for aerosol delivery diffusely throughout the lung airways and alveoli. In addition, we believe these products were not designed for resistance to pre-existing antibodies to conventional AAVs, which is potentially a key requirement for successful delivery in the lung. As a result, to our knowledge, 4D-710 is the only AAV gene therapy product candidate in development designed specifically with a vector selected for aerosol delivery in NHPs, including humans, and with resistance to antibodies in the human population.</w:t>
      </w:r>
    </w:p>
    <w:p>
      <w:pPr>
        <w:spacing w:after="0" w:line="160"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We believe 4D-710 has the potential to be differentiated from approved agents, and those in clinical development to our knowledge, on the basis of four design features:</w:t>
      </w:r>
    </w:p>
    <w:p>
      <w:pPr>
        <w:spacing w:after="0" w:line="50" w:lineRule="exact"/>
        <w:rPr>
          <w:sz w:val="20"/>
          <w:szCs w:val="20"/>
          <w:color w:val="auto"/>
        </w:rPr>
      </w:pPr>
    </w:p>
    <w:p>
      <w:pPr>
        <w:ind w:left="1300" w:right="220" w:hanging="644"/>
        <w:spacing w:after="0" w:line="248" w:lineRule="auto"/>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Corrective mechanism-of-action</w:t>
      </w:r>
      <w:r>
        <w:rPr>
          <w:rFonts w:ascii="Arial" w:cs="Arial" w:eastAsia="Arial" w:hAnsi="Arial"/>
          <w:sz w:val="18"/>
          <w:szCs w:val="18"/>
          <w:color w:val="auto"/>
        </w:rPr>
        <w:t>: An aerosol dose of 4D-710 is designed to result in high levels of the CFTR protein directly within target cells lining the airway and alveoli. 4D-710 comprises a targeted and evolved vector invented for aerosol delivery, mucus barrier penetration and transduction of epithelial cells within the airways and alveoli of NHPs and humans.</w:t>
      </w:r>
    </w:p>
    <w:p>
      <w:pPr>
        <w:spacing w:after="0" w:line="75" w:lineRule="exact"/>
        <w:rPr>
          <w:rFonts w:ascii="Arial" w:cs="Arial" w:eastAsia="Arial" w:hAnsi="Arial"/>
          <w:sz w:val="18"/>
          <w:szCs w:val="18"/>
          <w:color w:val="auto"/>
        </w:rPr>
      </w:pPr>
    </w:p>
    <w:p>
      <w:pPr>
        <w:ind w:left="1300" w:right="360" w:hanging="644"/>
        <w:spacing w:after="0" w:line="276" w:lineRule="auto"/>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One-time therapy</w:t>
      </w:r>
      <w:r>
        <w:rPr>
          <w:rFonts w:ascii="Arial" w:cs="Arial" w:eastAsia="Arial" w:hAnsi="Arial"/>
          <w:sz w:val="18"/>
          <w:szCs w:val="18"/>
          <w:color w:val="auto"/>
        </w:rPr>
        <w:t>: Unlike CFTR-targeted small molecules that require daily dosing for a patient’s entire life, 4D-710 is designed for single or significantly less frequent dosing.</w:t>
      </w:r>
    </w:p>
    <w:p>
      <w:pPr>
        <w:spacing w:after="0" w:line="50" w:lineRule="exact"/>
        <w:rPr>
          <w:rFonts w:ascii="Arial" w:cs="Arial" w:eastAsia="Arial" w:hAnsi="Arial"/>
          <w:sz w:val="18"/>
          <w:szCs w:val="18"/>
          <w:color w:val="auto"/>
        </w:rPr>
      </w:pPr>
    </w:p>
    <w:p>
      <w:pPr>
        <w:ind w:left="1300" w:right="180" w:hanging="644"/>
        <w:spacing w:after="0" w:line="255" w:lineRule="auto"/>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CFTR mutation-independent efficacy</w:t>
      </w:r>
      <w:r>
        <w:rPr>
          <w:rFonts w:ascii="Arial" w:cs="Arial" w:eastAsia="Arial" w:hAnsi="Arial"/>
          <w:sz w:val="18"/>
          <w:szCs w:val="18"/>
          <w:color w:val="auto"/>
        </w:rPr>
        <w:t>: Unlike CFTR-targeted small molecules that are only effective against specific mutations, 4D-710 is designed to be used in cystic fibrosis patients with any mutation, including in the approximately 10% of patients who are not amenable to standard medical therapy.</w:t>
      </w:r>
    </w:p>
    <w:p>
      <w:pPr>
        <w:spacing w:after="0" w:line="69" w:lineRule="exact"/>
        <w:rPr>
          <w:rFonts w:ascii="Arial" w:cs="Arial" w:eastAsia="Arial" w:hAnsi="Arial"/>
          <w:sz w:val="18"/>
          <w:szCs w:val="18"/>
          <w:color w:val="auto"/>
        </w:rPr>
      </w:pPr>
    </w:p>
    <w:p>
      <w:pPr>
        <w:ind w:left="1300" w:right="520" w:hanging="644"/>
        <w:spacing w:after="0" w:line="276" w:lineRule="auto"/>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Resistance to AAV antibodies</w:t>
      </w:r>
      <w:r>
        <w:rPr>
          <w:rFonts w:ascii="Arial" w:cs="Arial" w:eastAsia="Arial" w:hAnsi="Arial"/>
          <w:sz w:val="18"/>
          <w:szCs w:val="18"/>
          <w:color w:val="auto"/>
        </w:rPr>
        <w:t>: Unlike conventional AAV vectors, which are sensitive to anti-AAV antibody inhibition, 4D-710 utilizes A101, a vector invented for resistance to human antibody inhibition.</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Preclinical Proof-of-Concept Study with Evolved AAV for Aerosol Delivery in the Cystic Fibrosis Pig Model</w:t>
      </w:r>
    </w:p>
    <w:p>
      <w:pPr>
        <w:spacing w:after="0" w:line="104" w:lineRule="exact"/>
        <w:rPr>
          <w:sz w:val="20"/>
          <w:szCs w:val="20"/>
          <w:color w:val="auto"/>
        </w:rPr>
      </w:pPr>
    </w:p>
    <w:p>
      <w:pPr>
        <w:ind w:left="120" w:right="580" w:firstLine="551"/>
        <w:spacing w:after="0" w:line="276" w:lineRule="auto"/>
        <w:rPr>
          <w:sz w:val="20"/>
          <w:szCs w:val="20"/>
          <w:color w:val="auto"/>
        </w:rPr>
      </w:pPr>
      <w:r>
        <w:rPr>
          <w:rFonts w:ascii="Arial" w:cs="Arial" w:eastAsia="Arial" w:hAnsi="Arial"/>
          <w:sz w:val="18"/>
          <w:szCs w:val="18"/>
          <w:color w:val="auto"/>
        </w:rPr>
        <w:t xml:space="preserve">Our co-founder Dr. Schaffer and his academic colleagues conducted preclinical proof-of-concept studies for utilizing directed evolution to discover vectors for delivering a corrective </w:t>
      </w:r>
      <w:r>
        <w:rPr>
          <w:rFonts w:ascii="Arial" w:cs="Arial" w:eastAsia="Arial" w:hAnsi="Arial"/>
          <w:sz w:val="18"/>
          <w:szCs w:val="18"/>
          <w:i w:val="1"/>
          <w:iCs w:val="1"/>
          <w:color w:val="auto"/>
        </w:rPr>
        <w:t>CFTR</w:t>
      </w:r>
      <w:r>
        <w:rPr>
          <w:rFonts w:ascii="Arial" w:cs="Arial" w:eastAsia="Arial" w:hAnsi="Arial"/>
          <w:sz w:val="18"/>
          <w:szCs w:val="18"/>
          <w:color w:val="auto"/>
        </w:rPr>
        <w:t xml:space="preserve"> gene</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5" w:right="45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0"/>
        <w:spacing w:after="0" w:line="248" w:lineRule="auto"/>
        <w:rPr>
          <w:sz w:val="20"/>
          <w:szCs w:val="20"/>
          <w:color w:val="auto"/>
        </w:rPr>
      </w:pPr>
      <w:r>
        <w:rPr>
          <w:rFonts w:ascii="Arial" w:cs="Arial" w:eastAsia="Arial" w:hAnsi="Arial"/>
          <w:sz w:val="18"/>
          <w:szCs w:val="18"/>
          <w:color w:val="auto"/>
        </w:rPr>
        <w:t xml:space="preserve">construct to cystic fibrosis lung tissue in a large animal model of cystic fibrosis, and in a human cystic fibrosis patient lung tissue model. Building on these previous proof-of-concept studies, our product candidate 4D-710 will utilize a vector, A101, that was evolved and selected in NHPs, which we believe is more relevant for human use. The product was designed to package the same </w:t>
      </w:r>
      <w:r>
        <w:rPr>
          <w:rFonts w:ascii="Arial" w:cs="Arial" w:eastAsia="Arial" w:hAnsi="Arial"/>
          <w:sz w:val="18"/>
          <w:szCs w:val="18"/>
          <w:i w:val="1"/>
          <w:iCs w:val="1"/>
          <w:color w:val="auto"/>
        </w:rPr>
        <w:t>microCFTR</w:t>
      </w:r>
      <w:r>
        <w:rPr>
          <w:rFonts w:ascii="Arial" w:cs="Arial" w:eastAsia="Arial" w:hAnsi="Arial"/>
          <w:sz w:val="18"/>
          <w:szCs w:val="18"/>
          <w:color w:val="auto"/>
        </w:rPr>
        <w:t xml:space="preserve"> transgene payload in this vector that was customized for use in humans.</w:t>
      </w:r>
    </w:p>
    <w:p>
      <w:pPr>
        <w:spacing w:after="0" w:line="170"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 xml:space="preserve">Dr. Schaffer and his colleagues first demonstrated the potential to treat cystic fibrosis via aerosolized delivery of a targeted and evolved AAV vector (AAV2H22) in a pig model of cystic fibrosis. AAV2H22 was selected for highly efficient transduction of lung epithelial cells in pigs by conducting multiple rounds of directed evolution using aerosolized dosing in pigs. Aerosol delivery of </w:t>
      </w:r>
      <w:r>
        <w:rPr>
          <w:rFonts w:ascii="Arial" w:cs="Arial" w:eastAsia="Arial" w:hAnsi="Arial"/>
          <w:sz w:val="18"/>
          <w:szCs w:val="18"/>
          <w:i w:val="1"/>
          <w:iCs w:val="1"/>
          <w:color w:val="auto"/>
        </w:rPr>
        <w:t>micro</w:t>
      </w:r>
      <w:r>
        <w:rPr>
          <w:rFonts w:ascii="Arial" w:cs="Arial" w:eastAsia="Arial" w:hAnsi="Arial"/>
          <w:sz w:val="18"/>
          <w:szCs w:val="18"/>
          <w:color w:val="auto"/>
        </w:rPr>
        <w:t xml:space="preserve">CFTR using the </w:t>
      </w:r>
      <w:r>
        <w:rPr>
          <w:rFonts w:ascii="Arial" w:cs="Arial" w:eastAsia="Arial" w:hAnsi="Arial"/>
          <w:sz w:val="18"/>
          <w:szCs w:val="18"/>
          <w:i w:val="1"/>
          <w:iCs w:val="1"/>
          <w:color w:val="auto"/>
        </w:rPr>
        <w:t xml:space="preserve">AAV2H22 vector </w:t>
      </w:r>
      <w:r>
        <w:rPr>
          <w:rFonts w:ascii="Arial" w:cs="Arial" w:eastAsia="Arial" w:hAnsi="Arial"/>
          <w:sz w:val="18"/>
          <w:szCs w:val="18"/>
          <w:color w:val="auto"/>
        </w:rPr>
        <w:t>resulted in CFTR expression in diseased pig lungs with expression patterns that resembled those observed in normal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lungs from both pigs and humans. In addition to CFTR protein expression, </w:t>
      </w:r>
      <w:r>
        <w:rPr>
          <w:rFonts w:ascii="Arial" w:cs="Arial" w:eastAsia="Arial" w:hAnsi="Arial"/>
          <w:sz w:val="18"/>
          <w:szCs w:val="18"/>
          <w:i w:val="1"/>
          <w:iCs w:val="1"/>
          <w:color w:val="auto"/>
        </w:rPr>
        <w:t>AAV2H22-CFTR</w:t>
      </w:r>
      <w:r>
        <w:rPr>
          <w:rFonts w:ascii="Arial" w:cs="Arial" w:eastAsia="Arial" w:hAnsi="Arial"/>
          <w:sz w:val="18"/>
          <w:szCs w:val="18"/>
          <w:color w:val="auto"/>
        </w:rPr>
        <w:t xml:space="preserve"> gene therapy also resulted in a significant increase in chloride ion transport compared to untreated controls as well as a reduction in bacterial colonies within the lungs of treated animals. Therefore, selection of an aerosol AAV vector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normal pigs led to the discovery of an AAV vector that was subsequently able to penetrate the thickened mucus barrier in the severe pig cystic fibrosis model.</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060"/>
          </w:cols>
          <w:pgMar w:left="320" w:top="455" w:right="51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left="460"/>
        <w:spacing w:after="0" w:line="242" w:lineRule="auto"/>
        <w:rPr>
          <w:sz w:val="20"/>
          <w:szCs w:val="20"/>
          <w:color w:val="auto"/>
        </w:rPr>
      </w:pPr>
      <w:r>
        <w:rPr>
          <w:rFonts w:ascii="Arial" w:cs="Arial" w:eastAsia="Arial" w:hAnsi="Arial"/>
          <w:sz w:val="18"/>
          <w:szCs w:val="18"/>
          <w:i w:val="1"/>
          <w:iCs w:val="1"/>
          <w:color w:val="auto"/>
        </w:rPr>
        <w:t>Illustrative images in the top panels below exhibit the pattern of microCFTR expression observed by Steines et al. in normal pigs, untreated cystic fibrosis pigs and cystic fibrosis pigs treated with AAV2H22 carrying the microCFTR transgene payload (also referred to as CFTR-deltaR; same transgene utilized in 4D-710, but different AAV vector). The study involved six healthy pigs, six untreated cystic fibrosis pigs and three AAV2H22.microCFTR-treated cystic fibrosis pigs. These animals are represented by the dots in each of the graphs in the bottom panels which illustrate the range of responses between animals, and the significant difference between treated and untreated cystic fibrosis pigs.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144145</wp:posOffset>
            </wp:positionV>
            <wp:extent cx="4080510" cy="32918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08051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4"/>
          <w:szCs w:val="14"/>
          <w:i w:val="1"/>
          <w:iCs w:val="1"/>
          <w:color w:val="auto"/>
        </w:rPr>
        <w:t>CFTR</w:t>
      </w:r>
      <w:r>
        <w:rPr>
          <w:rFonts w:ascii="Arial" w:cs="Arial" w:eastAsia="Arial" w:hAnsi="Arial"/>
          <w:sz w:val="14"/>
          <w:szCs w:val="14"/>
          <w:color w:val="auto"/>
        </w:rPr>
        <w:t>D</w:t>
      </w:r>
      <w:r>
        <w:rPr>
          <w:rFonts w:ascii="Arial" w:cs="Arial" w:eastAsia="Arial" w:hAnsi="Arial"/>
          <w:sz w:val="14"/>
          <w:szCs w:val="14"/>
          <w:i w:val="1"/>
          <w:iCs w:val="1"/>
          <w:color w:val="auto"/>
        </w:rPr>
        <w:t>R = MicroCFTR, Cystic Fibrosis transmembrane conductance regulator with removal of the R domain, a truncated version of the CFTR transgene engineered to fit</w:t>
      </w:r>
    </w:p>
    <w:p>
      <w:pPr>
        <w:spacing w:after="0" w:line="19" w:lineRule="exact"/>
        <w:rPr>
          <w:sz w:val="20"/>
          <w:szCs w:val="20"/>
          <w:color w:val="auto"/>
        </w:rPr>
      </w:pPr>
    </w:p>
    <w:p>
      <w:pPr>
        <w:jc w:val="center"/>
        <w:ind w:right="-139"/>
        <w:spacing w:after="0"/>
        <w:rPr>
          <w:sz w:val="20"/>
          <w:szCs w:val="20"/>
          <w:color w:val="auto"/>
        </w:rPr>
      </w:pPr>
      <w:r>
        <w:rPr>
          <w:rFonts w:ascii="Arial" w:cs="Arial" w:eastAsia="Arial" w:hAnsi="Arial"/>
          <w:sz w:val="14"/>
          <w:szCs w:val="14"/>
          <w:i w:val="1"/>
          <w:iCs w:val="1"/>
          <w:color w:val="auto"/>
        </w:rPr>
        <w:t>within the payload size limitations of AAV</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4"/>
          <w:szCs w:val="14"/>
          <w:i w:val="1"/>
          <w:iCs w:val="1"/>
          <w:color w:val="auto"/>
        </w:rPr>
        <w:t>Cl-= chloride ion</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4"/>
          <w:szCs w:val="14"/>
          <w:i w:val="1"/>
          <w:iCs w:val="1"/>
          <w:color w:val="auto"/>
        </w:rPr>
        <w:t>I</w:t>
      </w:r>
      <w:r>
        <w:rPr>
          <w:rFonts w:ascii="Arial" w:cs="Arial" w:eastAsia="Arial" w:hAnsi="Arial"/>
          <w:sz w:val="12"/>
          <w:szCs w:val="12"/>
          <w:i w:val="1"/>
          <w:iCs w:val="1"/>
          <w:color w:val="auto"/>
        </w:rPr>
        <w:t>sc</w:t>
      </w:r>
      <w:r>
        <w:rPr>
          <w:rFonts w:ascii="Arial" w:cs="Arial" w:eastAsia="Arial" w:hAnsi="Arial"/>
          <w:sz w:val="14"/>
          <w:szCs w:val="14"/>
          <w:i w:val="1"/>
          <w:iCs w:val="1"/>
          <w:color w:val="auto"/>
        </w:rPr>
        <w:t xml:space="preserve"> = short circuit current, a measurement of Cl- movement through cell membranes</w:t>
      </w:r>
    </w:p>
    <w:p>
      <w:pPr>
        <w:spacing w:after="0" w:line="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m</w:t>
      </w:r>
      <w:r>
        <w:rPr>
          <w:rFonts w:ascii="Arial" w:cs="Arial" w:eastAsia="Arial" w:hAnsi="Arial"/>
          <w:sz w:val="14"/>
          <w:szCs w:val="14"/>
          <w:i w:val="1"/>
          <w:iCs w:val="1"/>
          <w:color w:val="auto"/>
        </w:rPr>
        <w:t>A = microAmp</w:t>
      </w:r>
    </w:p>
    <w:p>
      <w:pPr>
        <w:jc w:val="center"/>
        <w:ind w:right="-139"/>
        <w:spacing w:after="0"/>
        <w:rPr>
          <w:sz w:val="20"/>
          <w:szCs w:val="20"/>
          <w:color w:val="auto"/>
        </w:rPr>
      </w:pPr>
      <w:r>
        <w:rPr>
          <w:rFonts w:ascii="Arial" w:cs="Arial" w:eastAsia="Arial" w:hAnsi="Arial"/>
          <w:sz w:val="14"/>
          <w:szCs w:val="14"/>
          <w:i w:val="1"/>
          <w:iCs w:val="1"/>
          <w:color w:val="auto"/>
        </w:rPr>
        <w:t>cm2 = square centimeter.</w:t>
      </w:r>
    </w:p>
    <w:p>
      <w:pPr>
        <w:spacing w:after="0" w:line="189" w:lineRule="exact"/>
        <w:rPr>
          <w:sz w:val="20"/>
          <w:szCs w:val="20"/>
          <w:color w:val="auto"/>
        </w:rPr>
      </w:pPr>
    </w:p>
    <w:p>
      <w:pPr>
        <w:ind w:left="120" w:right="140" w:firstLine="551"/>
        <w:spacing w:after="0" w:line="248" w:lineRule="auto"/>
        <w:rPr>
          <w:sz w:val="20"/>
          <w:szCs w:val="20"/>
          <w:color w:val="auto"/>
        </w:rPr>
      </w:pPr>
      <w:r>
        <w:rPr>
          <w:rFonts w:ascii="Arial" w:cs="Arial" w:eastAsia="Arial" w:hAnsi="Arial"/>
          <w:sz w:val="18"/>
          <w:szCs w:val="18"/>
          <w:color w:val="auto"/>
        </w:rPr>
        <w:t xml:space="preserve">In addition, Dr. Schaffer and colleagues used directed evolution in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human organotypic air-liquid interface model of lung epithelium to select AAV2.5T, which we in-licensed with exclusive worldwide rights. In preclinical studies, AAV2.5T carrying </w:t>
      </w:r>
      <w:r>
        <w:rPr>
          <w:rFonts w:ascii="Arial" w:cs="Arial" w:eastAsia="Arial" w:hAnsi="Arial"/>
          <w:sz w:val="18"/>
          <w:szCs w:val="18"/>
          <w:i w:val="1"/>
          <w:iCs w:val="1"/>
          <w:color w:val="auto"/>
        </w:rPr>
        <w:t>micro</w:t>
      </w:r>
      <w:r>
        <w:rPr>
          <w:rFonts w:ascii="Arial" w:cs="Arial" w:eastAsia="Arial" w:hAnsi="Arial"/>
          <w:sz w:val="18"/>
          <w:szCs w:val="18"/>
          <w:color w:val="auto"/>
        </w:rPr>
        <w:t>CFTR transduced human lung epithelial tissue and resulted in expression of functional protein as suggested by increased chloride ion transport as compared to untreated control.</w:t>
      </w:r>
    </w:p>
    <w:p>
      <w:pPr>
        <w:spacing w:after="0" w:line="170" w:lineRule="exact"/>
        <w:rPr>
          <w:sz w:val="20"/>
          <w:szCs w:val="20"/>
          <w:color w:val="auto"/>
        </w:rPr>
      </w:pPr>
    </w:p>
    <w:p>
      <w:pPr>
        <w:ind w:left="120" w:right="40" w:firstLine="551"/>
        <w:spacing w:after="0" w:line="255" w:lineRule="auto"/>
        <w:rPr>
          <w:sz w:val="20"/>
          <w:szCs w:val="20"/>
          <w:color w:val="auto"/>
        </w:rPr>
      </w:pPr>
      <w:r>
        <w:rPr>
          <w:rFonts w:ascii="Arial" w:cs="Arial" w:eastAsia="Arial" w:hAnsi="Arial"/>
          <w:sz w:val="18"/>
          <w:szCs w:val="18"/>
          <w:color w:val="auto"/>
        </w:rPr>
        <w:t>We believe that these results demonstrate that a targeted and evolved vector can penetrate the mucus layer of diseased cystic fibrosis lungs and deliver functional CFTR protein in a well-validated large animal model of the disease, as well as in human cystic fibrosis patient-derived organotypic lung models.</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00"/>
          </w:cols>
          <w:pgMar w:left="320" w:top="455" w:right="47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Animal Model Pharmacology and Toxicology Studies</w:t>
      </w:r>
    </w:p>
    <w:p>
      <w:pPr>
        <w:spacing w:after="0" w:line="102"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 xml:space="preserve">In our NHP study of a single aerosol delivered dose of 4D-710 at two different dose levels, treatment resulted in widespread distribution, CFTR transgene expression throughout both proximal and medial airways and alveoli. No meaningful inflammation or adverse findings were reported on in-life examinations, hematology or clinical chemistry analyses, or lung histology analyses.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studies demonstrated highly significant resistance to neutralization by human pooled antibody preparations, with human IVIG pooled from over 1,000 individuals.</w:t>
      </w:r>
    </w:p>
    <w:p>
      <w:pPr>
        <w:spacing w:after="0" w:line="174" w:lineRule="exact"/>
        <w:rPr>
          <w:sz w:val="20"/>
          <w:szCs w:val="20"/>
          <w:color w:val="auto"/>
        </w:rPr>
      </w:pPr>
    </w:p>
    <w:p>
      <w:pPr>
        <w:jc w:val="center"/>
        <w:ind w:left="440" w:right="100"/>
        <w:spacing w:after="0" w:line="274" w:lineRule="auto"/>
        <w:rPr>
          <w:sz w:val="20"/>
          <w:szCs w:val="20"/>
          <w:color w:val="auto"/>
        </w:rPr>
      </w:pPr>
      <w:r>
        <w:rPr>
          <w:rFonts w:ascii="Arial" w:cs="Arial" w:eastAsia="Arial" w:hAnsi="Arial"/>
          <w:sz w:val="18"/>
          <w:szCs w:val="18"/>
          <w:i w:val="1"/>
          <w:iCs w:val="1"/>
          <w:color w:val="auto"/>
        </w:rPr>
        <w:t>Delivery (genomes) and transduction (mRNA) were consistently measured throughout lung segments and samples in NHPs treated with 3E13 vg of aerosolized 4D-710. Number of positive tissue samples across three NHPs are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107315</wp:posOffset>
            </wp:positionV>
            <wp:extent cx="2400300" cy="5911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400300"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440"/>
        <w:spacing w:after="0" w:line="304" w:lineRule="auto"/>
        <w:rPr>
          <w:sz w:val="20"/>
          <w:szCs w:val="20"/>
          <w:color w:val="auto"/>
        </w:rPr>
      </w:pPr>
      <w:r>
        <w:rPr>
          <w:rFonts w:ascii="Arial" w:cs="Arial" w:eastAsia="Arial" w:hAnsi="Arial"/>
          <w:sz w:val="17"/>
          <w:szCs w:val="17"/>
          <w:i w:val="1"/>
          <w:iCs w:val="1"/>
          <w:color w:val="auto"/>
        </w:rPr>
        <w:t>Aerosol delivery of 4D-710 in NHPs was associated with microCFTR protein detection by IHC (brown) in the proximal (trachea) and medial (bronchi) airway and in alveoli at low and high dose. Illustrative images below highlight transduction of the NHP lung at the 3E13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110490</wp:posOffset>
            </wp:positionV>
            <wp:extent cx="3446145" cy="29317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46145"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0" w:right="280" w:firstLine="551"/>
        <w:spacing w:after="0" w:line="255" w:lineRule="auto"/>
        <w:rPr>
          <w:sz w:val="20"/>
          <w:szCs w:val="20"/>
          <w:color w:val="auto"/>
        </w:rPr>
      </w:pPr>
      <w:r>
        <w:rPr>
          <w:rFonts w:ascii="Arial" w:cs="Arial" w:eastAsia="Arial" w:hAnsi="Arial"/>
          <w:sz w:val="18"/>
          <w:szCs w:val="18"/>
          <w:color w:val="auto"/>
        </w:rPr>
        <w:t xml:space="preserve">We plan to perform pharmacology studies in human cystic fibrosis lung tissues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in order to evaluate the function of the </w:t>
      </w:r>
      <w:r>
        <w:rPr>
          <w:rFonts w:ascii="Arial" w:cs="Arial" w:eastAsia="Arial" w:hAnsi="Arial"/>
          <w:sz w:val="18"/>
          <w:szCs w:val="18"/>
          <w:i w:val="1"/>
          <w:iCs w:val="1"/>
          <w:color w:val="auto"/>
        </w:rPr>
        <w:t xml:space="preserve">microCFTR </w:t>
      </w:r>
      <w:r>
        <w:rPr>
          <w:rFonts w:ascii="Arial" w:cs="Arial" w:eastAsia="Arial" w:hAnsi="Arial"/>
          <w:sz w:val="18"/>
          <w:szCs w:val="18"/>
          <w:color w:val="auto"/>
        </w:rPr>
        <w:t>transgene product; this protein has previously been shown to have relatively normal functional activity in a similar model</w:t>
      </w:r>
      <w:r>
        <w:rPr>
          <w:rFonts w:ascii="Arial" w:cs="Arial" w:eastAsia="Arial" w:hAnsi="Arial"/>
          <w:sz w:val="18"/>
          <w:szCs w:val="18"/>
          <w:i w:val="1"/>
          <w:iCs w:val="1"/>
          <w:color w:val="auto"/>
        </w:rPr>
        <w:t xml:space="preserve"> ex vivo</w:t>
      </w:r>
      <w:r>
        <w:rPr>
          <w:rFonts w:ascii="Arial" w:cs="Arial" w:eastAsia="Arial" w:hAnsi="Arial"/>
          <w:sz w:val="18"/>
          <w:szCs w:val="18"/>
          <w:color w:val="auto"/>
        </w:rPr>
        <w: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Development Plan</w:t>
      </w:r>
    </w:p>
    <w:p>
      <w:pPr>
        <w:spacing w:after="0" w:line="104" w:lineRule="exact"/>
        <w:rPr>
          <w:sz w:val="20"/>
          <w:szCs w:val="20"/>
          <w:color w:val="auto"/>
        </w:rPr>
      </w:pPr>
    </w:p>
    <w:p>
      <w:pPr>
        <w:ind w:left="120" w:right="320" w:firstLine="551"/>
        <w:spacing w:after="0" w:line="276" w:lineRule="auto"/>
        <w:rPr>
          <w:sz w:val="20"/>
          <w:szCs w:val="20"/>
          <w:color w:val="auto"/>
        </w:rPr>
      </w:pPr>
      <w:r>
        <w:rPr>
          <w:rFonts w:ascii="Arial" w:cs="Arial" w:eastAsia="Arial" w:hAnsi="Arial"/>
          <w:sz w:val="18"/>
          <w:szCs w:val="18"/>
          <w:color w:val="auto"/>
        </w:rPr>
        <w:t>We have initiated an IND-enabling GLP toxicology and biodistribution study of 4D-710 in NHP. We expect to initiate a Phase 1/2 clinical trial for 4D-710 in the second half of 2021.</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5" w:right="45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06"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We are aware of several companies focused on developing gene therapies in various indications as well as companies addressing methods for modifying genes and regulating gene expression. We may also face competition from large and specialty pharmaceutical and biotechnology companies, academic research institutions, government agencies and public and private research institutions with genetic medicine and other therapeutic approaches.</w:t>
      </w:r>
    </w:p>
    <w:p>
      <w:pPr>
        <w:spacing w:after="0" w:line="170"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With respect to 4D-125 for the treatment of XLRP, we consider our most direct AAV gene therapy competitors to be as follows: Biogen Inc. (candidate administered by subretinal surgery in a Phase 2 clinical trial), Applied Genetic Technologies Corporation (candidate administered by subretinal surgery in a Phase 1/2 clinical trial), Janssen Pharmaceuticals Inc. / MeiraGTx Holdings Plc (candidate administered by subretinal surgery in a Phase 1/2 clinical trial).</w:t>
      </w:r>
    </w:p>
    <w:p>
      <w:pPr>
        <w:spacing w:after="0" w:line="170"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With respect to 4D-110 for the treatment of choroideremia, we consider our most direct competitors to be as follows: Biogen Inc. (candidate administered by subretinal surgery in a Phase 3 clinical trial) and Spark Therapeutics, Inc., a wholly owned subsidiary of Roche Holdings AG (candidate administered by subretinal surgery in a Phase 1/2 clinical trial).</w:t>
      </w:r>
    </w:p>
    <w:p>
      <w:pPr>
        <w:spacing w:after="0" w:line="16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We consider our most direct competitors with respect to 4D-150 for the treatment of diabetic retinopathy and wet AMD to be Eylea (aflibercept) from Regeneron Pharmaceuticals Inc., which is the current wet AMD standard of care, and a combination of antibody-based programs including Lucentis and faricimab from Roche, KSI-301 from Kodiak Sciences Inc., and OPT-302 from Opthea Limited, and gene-therapy based programs including ADVM-022 from Adverum Biotechnologies and RGX-314 from RegenxBio Inc., which are both AAV-based programs in Phase 1 studies. In addition, Roche is developing the Port Delivery System with Lucentis for use in patients with wet AMD.</w:t>
      </w:r>
    </w:p>
    <w:p>
      <w:pPr>
        <w:spacing w:after="0" w:line="174" w:lineRule="exact"/>
        <w:rPr>
          <w:sz w:val="20"/>
          <w:szCs w:val="20"/>
          <w:color w:val="auto"/>
        </w:rPr>
      </w:pPr>
    </w:p>
    <w:p>
      <w:pPr>
        <w:ind w:left="120" w:right="280" w:firstLine="551"/>
        <w:spacing w:after="0" w:line="243" w:lineRule="auto"/>
        <w:rPr>
          <w:sz w:val="20"/>
          <w:szCs w:val="20"/>
          <w:color w:val="auto"/>
        </w:rPr>
      </w:pPr>
      <w:r>
        <w:rPr>
          <w:rFonts w:ascii="Arial" w:cs="Arial" w:eastAsia="Arial" w:hAnsi="Arial"/>
          <w:sz w:val="18"/>
          <w:szCs w:val="18"/>
          <w:color w:val="auto"/>
        </w:rPr>
        <w:t xml:space="preserve">We consider our most direct competitors with respect to 4D-310 for the treatment of Fabry disease to be Amicus Therapeutics, which has Galafold (migalastat) approved as a small molecule chaperone for specific mutations, and several gene therapy companies including AvroBio Inc., which is in Phase 3 development of an </w:t>
      </w:r>
      <w:r>
        <w:rPr>
          <w:rFonts w:ascii="Arial" w:cs="Arial" w:eastAsia="Arial" w:hAnsi="Arial"/>
          <w:sz w:val="18"/>
          <w:szCs w:val="18"/>
          <w:i w:val="1"/>
          <w:iCs w:val="1"/>
          <w:color w:val="auto"/>
        </w:rPr>
        <w:t>ex-vivo</w:t>
      </w:r>
      <w:r>
        <w:rPr>
          <w:rFonts w:ascii="Arial" w:cs="Arial" w:eastAsia="Arial" w:hAnsi="Arial"/>
          <w:sz w:val="18"/>
          <w:szCs w:val="18"/>
          <w:color w:val="auto"/>
        </w:rPr>
        <w:t xml:space="preserve"> lenti-AGA based program, Freeline Therapeutics Holdings Plc, which is in Phase 1 development of AAVS2-based FLT-190, and Sangamo, which is in Phase 1 development of AAV2/6 -based ST-920. Other competitors include Sanofi Genzyme, Takeda Pharmaceutical Company Limited and Protalix BioTherapeutics, all of which either commercialize or develop enzyme replacement therapy for the treatment of Fabry.</w:t>
      </w:r>
    </w:p>
    <w:p>
      <w:pPr>
        <w:spacing w:after="0" w:line="174" w:lineRule="exact"/>
        <w:rPr>
          <w:sz w:val="20"/>
          <w:szCs w:val="20"/>
          <w:color w:val="auto"/>
        </w:rPr>
      </w:pPr>
    </w:p>
    <w:p>
      <w:pPr>
        <w:ind w:left="120" w:right="140" w:firstLine="551"/>
        <w:spacing w:after="0" w:line="255" w:lineRule="auto"/>
        <w:rPr>
          <w:sz w:val="20"/>
          <w:szCs w:val="20"/>
          <w:color w:val="auto"/>
        </w:rPr>
      </w:pPr>
      <w:r>
        <w:rPr>
          <w:rFonts w:ascii="Arial" w:cs="Arial" w:eastAsia="Arial" w:hAnsi="Arial"/>
          <w:sz w:val="18"/>
          <w:szCs w:val="18"/>
          <w:color w:val="auto"/>
        </w:rPr>
        <w:t>We consider our most direct competitors with respect to 4D-710 for the treatment of cystic fibrosis to be Vertex, which has several approved CFTR modulators, as well as other gene therapy companies in preclinical development of cystic fibrosis programs, including Krystal Biotech Inc., Abeona Therapeutics Inc., Spirovant Sciences Inc. and Editas Medicine Inc.</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CMC Strategy</w:t>
      </w:r>
    </w:p>
    <w:p>
      <w:pPr>
        <w:spacing w:after="0" w:line="104"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In order to fulfill our strategy to maximize the robustness and internal control of our manufacturing processes from discovery and process development through to clinical-grade cGMP manufacturing, we have designed and are continually developing and scaling a robust in-house manufacturing platform for both GMP and non-GMP manufacturing. While many companies in the AAV gene therapy field in-license clinical trial material or manufacturing technologies from other companies or academic manufacturing centers, in contrast, our manufacturing processes were developed internally using internal technology transfers from our own process development labs. Our current in-house manufacturing capabilities include GMP manufacturing (upstream, downstream and fill/finish),</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00"/>
          </w:cols>
          <w:pgMar w:left="320" w:top="455" w:right="47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production capabilities for IND-enabling GLP toxicology studies and research candidate production. We intend to further scale these capabilities to support later stage clinical programs and indications requiring more patients and/or higher intravenous doses. In addition to our internal activities, we also collaborate with CMOs (Contract Manufacturing Organizations) such as Catalent.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Current Good Manufacturing Practices (cGMP) Capabilities</w:t>
      </w:r>
    </w:p>
    <w:p>
      <w:pPr>
        <w:spacing w:after="0" w:line="104" w:lineRule="exact"/>
        <w:rPr>
          <w:sz w:val="20"/>
          <w:szCs w:val="20"/>
          <w:color w:val="auto"/>
        </w:rPr>
      </w:pPr>
    </w:p>
    <w:p>
      <w:pPr>
        <w:ind w:left="120" w:right="20" w:firstLine="551"/>
        <w:spacing w:after="0" w:line="256" w:lineRule="auto"/>
        <w:rPr>
          <w:sz w:val="20"/>
          <w:szCs w:val="20"/>
          <w:color w:val="auto"/>
        </w:rPr>
      </w:pPr>
      <w:r>
        <w:rPr>
          <w:rFonts w:ascii="Arial" w:cs="Arial" w:eastAsia="Arial" w:hAnsi="Arial"/>
          <w:sz w:val="17"/>
          <w:szCs w:val="17"/>
          <w:color w:val="auto"/>
        </w:rPr>
        <w:t>Our team has extensive experience with the manufacturing and analytical testing of numerous unique AAV capsids. Our team has internally manufactured approximately 90 unique AAV vectors, including both proprietary evolved 4DMT capsid variants and naturally occurring capsids. Our team has manufactured over 160 total lots of AAV vectors for research or clinical use. We have in-house cGMP manufacturing capabilities for clinical trial material production. Our manufacturing team has completed and released multiple lots of clinical trial material for our three product candidates in clinical development. This total also includes 13 lots of product candidate material for GLP toxicology and biodistribution studies. Leveraging internal testing capabilities in addition to qualified contract testing laboratories, we fully test and release our GLP and GMP lots for use in toxicology and clinical trials, respectively. We have developed and qualified assays for characterization, in-process testing and release and stability testing of our internally and externally manufactured proprietary AAV vectors.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Process Development Capabilities</w:t>
      </w:r>
    </w:p>
    <w:p>
      <w:pPr>
        <w:spacing w:after="0" w:line="104" w:lineRule="exact"/>
        <w:rPr>
          <w:sz w:val="20"/>
          <w:szCs w:val="20"/>
          <w:color w:val="auto"/>
        </w:rPr>
      </w:pPr>
    </w:p>
    <w:p>
      <w:pPr>
        <w:ind w:left="120" w:right="100" w:firstLine="551"/>
        <w:spacing w:after="0" w:line="241" w:lineRule="auto"/>
        <w:rPr>
          <w:sz w:val="20"/>
          <w:szCs w:val="20"/>
          <w:color w:val="auto"/>
        </w:rPr>
      </w:pPr>
      <w:r>
        <w:rPr>
          <w:rFonts w:ascii="Arial" w:cs="Arial" w:eastAsia="Arial" w:hAnsi="Arial"/>
          <w:sz w:val="18"/>
          <w:szCs w:val="18"/>
          <w:color w:val="auto"/>
        </w:rPr>
        <w:t>We use robust, scalable and transferable manufacturing unit operations throughout both the vector characterization process and product development, which are both platform-specific and product-specific. The upstream manufacturing step involves triple plasmid transfections in an adherent HEK293 mammalian production cell line. Downstream manufacturing steps for purification and concentration include multiple orthogonal column chromatography steps and tangential flow filtration. The downstream purification columns used in our process are from stable sources including General Electric. Using internally developed manufacturing processes and testing, we characterize our novel capsids and payloads. In addition, leveraging internal expertise and capabilities, we package and test our novel vectors with payloads using internally developed manufacturing processes.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Manufacturing Facilities</w:t>
      </w:r>
    </w:p>
    <w:p>
      <w:pPr>
        <w:spacing w:after="0" w:line="104"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Our manufacturing facilities are on site at company headquarters in Emeryville, California and include process development labs, an analytical development lab, and a cGMP manufacturing facility. These manufacturing facilities are also designed for production of material for GLP toxicology and biodistribution studies. Our manufacturing facility is approximately 3,200 square feet, of which approximately 1,500 square feet is dedicated to product manufacturing. For larger scale production for Phase 1 to Phase 3 clinical trials as well as potentially commercial launch materials, we intend to build a second cGMP facility. In this new facility, we expect to utilize large-scale bioreactors that are designed to enable higher titer clinical trial material lots as well as commercial launch materials. These manufacturing facilities are also designed for production of material for GLP toxicology and biodistribution studies.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Manufacturing Team</w:t>
      </w:r>
    </w:p>
    <w:p>
      <w:pPr>
        <w:spacing w:after="0" w:line="104"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Our team of approximately 30 highly trained individuals is led by our Chief Technical Officer and Chief Operating Officer, Dr. Kamal, and includes eight Ph.D. scientists. Collectively, they have significant experience in viral vector manufacturing, chemistry-manufacturing-controls (CMC), regulatory affairs, analytical and process development, and quality assurance and controls. Our team also has experience prior to 4DMT with manufacturing multiple viral vectors from preclinical studies through to multiple Phase 3 trials. For example, Dr. Kamal helped to write and compile the AAV gene</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5" w:right="45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therapy BLA for Zolgensma (Novartis), the first AAV gene therapy approved for intravenous administration in infants and babies.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06" w:lineRule="exact"/>
        <w:rPr>
          <w:sz w:val="20"/>
          <w:szCs w:val="20"/>
          <w:color w:val="auto"/>
        </w:rPr>
      </w:pPr>
    </w:p>
    <w:p>
      <w:pPr>
        <w:ind w:left="120" w:right="80" w:firstLine="551"/>
        <w:spacing w:after="0" w:line="243" w:lineRule="auto"/>
        <w:rPr>
          <w:sz w:val="20"/>
          <w:szCs w:val="20"/>
          <w:color w:val="auto"/>
        </w:rPr>
      </w:pPr>
      <w:r>
        <w:rPr>
          <w:rFonts w:ascii="Arial" w:cs="Arial" w:eastAsia="Arial" w:hAnsi="Arial"/>
          <w:sz w:val="18"/>
          <w:szCs w:val="18"/>
          <w:color w:val="auto"/>
        </w:rPr>
        <w:t>Our commercial success depends in part on our ability to obtain and maintain proprietary protection for our product candidates, manufacturing and process discoveries, and other know-how, to operate without infringing the proprietary rights of others and to prevent others from infringing our proprietary rights. Our policy is to seek to protect our proprietary position by, among other methods, filing U.S. and foreign patent applications related to our proprietary technology, inventions and improvements that are important to the development and implementation of our business. We also rely on trade secrets, know-how, continuing technological innovation and potential in-licensing opportunities to develop and maintain our proprietary position.</w:t>
      </w:r>
    </w:p>
    <w:p>
      <w:pPr>
        <w:spacing w:after="0" w:line="17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Our product and lead optimization candidates were discovered by us utilizing our proprietary technology. We have filed several non-provisional and provisional patent applications, all owned by us, relating to our product and lead optimization candidates in the United States, certain foreign countries, and the World Intellectual Property Organization that are directed to compositions-of-matter, dosage unit forms, methods-of-treatment and medical use. We have also licensed several non-provisional patent applications, granted patents and international patent applications relating to our product and lead optimization candidates from U.C. Berkeley.</w:t>
      </w:r>
    </w:p>
    <w:p>
      <w:pPr>
        <w:spacing w:after="0" w:line="172" w:lineRule="exact"/>
        <w:rPr>
          <w:sz w:val="20"/>
          <w:szCs w:val="20"/>
          <w:color w:val="auto"/>
        </w:rPr>
      </w:pPr>
    </w:p>
    <w:p>
      <w:pPr>
        <w:ind w:left="120" w:right="60" w:firstLine="551"/>
        <w:spacing w:after="0" w:line="258" w:lineRule="auto"/>
        <w:rPr>
          <w:sz w:val="20"/>
          <w:szCs w:val="20"/>
          <w:color w:val="auto"/>
        </w:rPr>
      </w:pPr>
      <w:r>
        <w:rPr>
          <w:rFonts w:ascii="Arial" w:cs="Arial" w:eastAsia="Arial" w:hAnsi="Arial"/>
          <w:sz w:val="17"/>
          <w:szCs w:val="17"/>
          <w:color w:val="auto"/>
        </w:rPr>
        <w:t>As of September 30, 2020, our solely owned patent portfolio includes three pending U.S. non-provisional applications, seventy-six pending foreign applications, two of which have been allowed, six granted foreign patents. We expect that United States and European patents and the patents, if issued, would expire between May 2037 and November 2038, excluding any additional term from patent term adjustment or patent term extension if appropriate maintenance and other governmental fees are paid. Additional patent term for the presently issued or later issued U.S. patents may be awarded as a result of the patent term extension provision of the Hatch-Waxman Amendments of 1984. In the European Union member countries, a supplementary protection certificate, if obtained, provides a maximum five years of market exclusivity. Our solely owned patent portfolio also includes five pending U.S. provisional patent applications.</w:t>
      </w:r>
    </w:p>
    <w:p>
      <w:pPr>
        <w:spacing w:after="0" w:line="163" w:lineRule="exact"/>
        <w:rPr>
          <w:sz w:val="20"/>
          <w:szCs w:val="20"/>
          <w:color w:val="auto"/>
        </w:rPr>
      </w:pPr>
    </w:p>
    <w:p>
      <w:pPr>
        <w:ind w:left="120" w:right="240" w:firstLine="551"/>
        <w:spacing w:after="0"/>
        <w:rPr>
          <w:sz w:val="20"/>
          <w:szCs w:val="20"/>
          <w:color w:val="auto"/>
        </w:rPr>
      </w:pPr>
      <w:r>
        <w:rPr>
          <w:rFonts w:ascii="Arial" w:cs="Arial" w:eastAsia="Arial" w:hAnsi="Arial"/>
          <w:sz w:val="18"/>
          <w:szCs w:val="18"/>
          <w:color w:val="auto"/>
        </w:rPr>
        <w:t>In other jurisdictions (currently, Australia, Bahrain, Brazil, Canada, Chile, China, Colombia, Costa Rica, Egypt, India, Indonesia, Iran, Israel, Japan, Korea, Kuwait, Malaysia, Mexico, New Zealand, Oman, Peru, Philippines, Qatar, Russia, Saudi Arabia, Singapore, South Africa, Thailand, United Arab Emirates, Ukraine and Vietnam), granted patents, and any patents issued on pending applications, where applicable, relating to our product and lead optimization candidates, including composition of matter, dosage unit form, method-of-treatment and medical use, are expected to expire between May 2037 and November 2038, if the appropriate maintenance, renewal, annuity, and other government fees are paid. These patents and patent applications (if applicable), depending on the national laws, may benefit from extension of patent term in individual countries if regulatory approval of any of our product or lead optimization candidates is obtained in those countries. For example, in Japan, the term of a patent may be extended by a maximum of five years in certain circumstances.</w:t>
      </w:r>
    </w:p>
    <w:p>
      <w:pPr>
        <w:spacing w:after="0" w:line="176" w:lineRule="exact"/>
        <w:rPr>
          <w:sz w:val="20"/>
          <w:szCs w:val="20"/>
          <w:color w:val="auto"/>
        </w:rPr>
      </w:pPr>
    </w:p>
    <w:p>
      <w:pPr>
        <w:ind w:left="120" w:right="200" w:firstLine="551"/>
        <w:spacing w:after="0" w:line="248" w:lineRule="auto"/>
        <w:rPr>
          <w:sz w:val="20"/>
          <w:szCs w:val="20"/>
          <w:color w:val="auto"/>
        </w:rPr>
      </w:pPr>
      <w:r>
        <w:rPr>
          <w:rFonts w:ascii="Arial" w:cs="Arial" w:eastAsia="Arial" w:hAnsi="Arial"/>
          <w:sz w:val="18"/>
          <w:szCs w:val="18"/>
          <w:color w:val="auto"/>
        </w:rPr>
        <w:t>As of September 30, 2020, our in-licensed patent portfolio includes four granted U.S. patents and seven granted foreign patents; each of these patents is expected to expire between June 2024. and June 2029. Our in-licensed patent portfolio also includes four pending U.S. non-provisional patent applications and fourteen pending foreign patent applications. We expect that United States and European patents, if issued from applications in our in-licensed portfolio would expire between June 2024 and June 2038.</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060"/>
          </w:cols>
          <w:pgMar w:left="320" w:top="455" w:right="51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80" w:firstLine="551"/>
        <w:spacing w:after="0" w:line="241" w:lineRule="auto"/>
        <w:rPr>
          <w:sz w:val="20"/>
          <w:szCs w:val="20"/>
          <w:color w:val="auto"/>
        </w:rPr>
      </w:pPr>
      <w:r>
        <w:rPr>
          <w:rFonts w:ascii="Arial" w:cs="Arial" w:eastAsia="Arial" w:hAnsi="Arial"/>
          <w:sz w:val="18"/>
          <w:szCs w:val="18"/>
          <w:color w:val="auto"/>
        </w:rPr>
        <w:t>In other jurisdictions (currently, Australia, Brazil, Canada, China, France, Germany, Great Britain, Hong Kong, India, Italy, Japan, Korea and Mexico), granted patents issued on pending applications, where applicable, relating to our product and lead optimization candidates, including composition of matter and various other patents, including dosage unit form, method-of-treatment and medical use patents are expected to expire between June 2024 and June 2038, if the appropriate maintenance, renewal, annuity, and other government fees are paid. These patents and patent applications (if applicable), depending on the national laws, may benefit from extension of patent term in individual countries if regulatory approval of any of our product or lead optimization candidates is obtained in those countries. For example, in Japan, the term of a patent may be extended by a maximum of five years in certain circumstances.</w:t>
      </w:r>
    </w:p>
    <w:p>
      <w:pPr>
        <w:spacing w:after="0" w:line="179"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effective for 20 years from the earliest effective non-provisional filing date. In addition, in certain instances, a patent term can be extended to recapture a portion of the U.S. Patent and Trademark Office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is also 20 years from the earliest effective filing date. The actual protection afforded by a patent varies on a product by product basis, from country to 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80"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We also protect our proprietary technology and processes, in part, by confidentiality and invention assignment agreements with our employees, consultants, scientific advisors and other contractors. These agreements may be breached, and we may not have adequate remedies for any breach. In addition, our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w:t>
      </w:r>
    </w:p>
    <w:p>
      <w:pPr>
        <w:spacing w:after="0" w:line="172"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Our commercial success will also depend in part on not infringing the proprietary rights of third parties. It is uncertain whether the issuance of any third-party patent would require us to alter our development or commercial strategies, alter our drugs or processes, obtain licenses or cease certain activities. Our breach of any license agreements or failure to obtain a license to proprietary rights that we may require to develop or commercialize our future drugs may have a material adverse impact on us.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Strategic Collaborations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Collaboration and License Agreement with F. Hoffmann-La Roche Ltd and Hoffmann-La Roche Inc.</w:t>
      </w:r>
    </w:p>
    <w:p>
      <w:pPr>
        <w:spacing w:after="0" w:line="104" w:lineRule="exact"/>
        <w:rPr>
          <w:sz w:val="20"/>
          <w:szCs w:val="20"/>
          <w:color w:val="auto"/>
        </w:rPr>
      </w:pPr>
    </w:p>
    <w:p>
      <w:pPr>
        <w:ind w:left="120" w:right="240" w:firstLine="551"/>
        <w:spacing w:after="0" w:line="243" w:lineRule="auto"/>
        <w:rPr>
          <w:sz w:val="20"/>
          <w:szCs w:val="20"/>
          <w:color w:val="auto"/>
        </w:rPr>
      </w:pPr>
      <w:r>
        <w:rPr>
          <w:rFonts w:ascii="Arial" w:cs="Arial" w:eastAsia="Arial" w:hAnsi="Arial"/>
          <w:sz w:val="18"/>
          <w:szCs w:val="18"/>
          <w:color w:val="auto"/>
        </w:rPr>
        <w:t>In November 2017, we entered into a Collaboration and License Agreement (the Roche Agreement), with F. Hoffmann-La Roche Ltd and Hoffmann-La Roche Inc., collectively referred to as Roche. Under the Roche Agreement, we granted Roche an exclusive, sublicenseable, worldwide license under certain intellectual property rights to research, develop, make, use, import, export, and sell products and constructs using our proprietary AAV vectors to treat ophthalmological diseases and disorders, excluding treatment and prevention of cancer and central nervous system conditions (but not retinal nerves) and delivery of DNA-directed RNA interference (the Roche Field).</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20"/>
          </w:cols>
          <w:pgMar w:left="320" w:top="455" w:right="45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Under the terms of the Roche Agreement, we and Roche will engage in collaboration programs to develop one or more products, and choroideremia has been designated as the first collaboration program. We are primarily responsible for the initial development of such collaboration programs and Roche agreed to reimburse us for our development costs and expenses in accordance with the terms of the agreement. Upon completion of such initial development, we will transfer data, know-how and regulatory filings to the applicable collaboration program to Roche and Roche will be responsible for the development and commercialization of such program at its own cost and expense.</w:t>
      </w:r>
    </w:p>
    <w:p>
      <w:pPr>
        <w:spacing w:after="0" w:line="174"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Subject to the terms of the Roche Agreement, either party may also develop one or more programs in the Roche Field independent of the other party at such party’s own cost and expense. Roche has an option to elect one or more of the programs that we may independently develop under the agreement, including XLRP, which we have designated as our initial independent program. If Roche exercises its option, and subject to its payment of the applicable option exercise fee, we will transfer our data, know-how and regulatory filings related to such programs. If Roche does not exercise its option within the applicable option period, we will have the sole right to commercialization of such product. Each party agreed to various diligence obligations under the agreement.</w:t>
      </w:r>
    </w:p>
    <w:p>
      <w:pPr>
        <w:spacing w:after="0" w:line="174" w:lineRule="exact"/>
        <w:rPr>
          <w:sz w:val="20"/>
          <w:szCs w:val="20"/>
          <w:color w:val="auto"/>
        </w:rPr>
      </w:pPr>
    </w:p>
    <w:p>
      <w:pPr>
        <w:ind w:left="120" w:right="120" w:firstLine="551"/>
        <w:spacing w:after="0" w:line="239" w:lineRule="auto"/>
        <w:rPr>
          <w:sz w:val="20"/>
          <w:szCs w:val="20"/>
          <w:color w:val="auto"/>
        </w:rPr>
      </w:pPr>
      <w:r>
        <w:rPr>
          <w:rFonts w:ascii="Arial" w:cs="Arial" w:eastAsia="Arial" w:hAnsi="Arial"/>
          <w:sz w:val="18"/>
          <w:szCs w:val="18"/>
          <w:color w:val="auto"/>
        </w:rPr>
        <w:t>Pursuant to the Roche Agreement, we received an upfront payment from Roche of $21.0 million. In addition, we are entitled to contingent payments including (i) $1.0 million for each Roche nominated product beyond the first three, (ii) up to $30.0 million upon exercise of the option to convert a product we nominated and developed prior to pivotal clinical studies, (iii) up to $223.0 million in specified development milestones in connection with the licensed products, $86.0 million of which relate to choroideremia; and (iv) sales-based milestones of up to $123.0 million based on worldwide calendar year net sales in connection with licensed products. On a product-by-product basis, Roche will also be required to pay us tiered royalties for worldwide calendar year net sales of products at percentages ranging from the mid-to high-single digit to mid-teens, in each case subject to reductions in accordance with the terms of the agreement. The royalties are payable on a product-by-product and country-by-country basis until the later of ten years after the date of first commercial sale of such product in such country and the expiration of the last-to-expire licensed patent right covering such product, which will expire on May 12, 2037.</w:t>
      </w:r>
    </w:p>
    <w:p>
      <w:pPr>
        <w:spacing w:after="0" w:line="180"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The Roche Agreement will expire on the later of expiration of all payment obligations and the date when no products are actively developed by either party or both parties in accordance with the terms of the agreement. Either party may terminate the agreement in its entirety or on a country-by-country basis if the other party fails to cure its material breach within 90 days of receiving notice. Roche may terminate the agreement in its entirety, on a product-by-product basis or on a country-by-country basis upon 90 days’ prior written notice. If we terminate the agreement for Roche’s material breach or if Roche terminates the agreement without cause, the rights to the products generally revert back us. If we commercialize reverted products after such termination, we may be required to pay Roche tiered royalties for worldwide calendar year net sales of such products at percentages ranging from zero to the low-teens, in each case subject to reductions in accordance with the terms of the agreement. If Roche terminates the agreement for our material breach, Roche may retain its rights under the license that we grant to Roche under our intellectual property rights and Roche’s payment obligations will survive.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Collaboration and License Agreements with uniQure biopharma B.V.</w:t>
      </w:r>
    </w:p>
    <w:p>
      <w:pPr>
        <w:spacing w:after="0" w:line="104" w:lineRule="exact"/>
        <w:rPr>
          <w:sz w:val="20"/>
          <w:szCs w:val="20"/>
          <w:color w:val="auto"/>
        </w:rPr>
      </w:pPr>
    </w:p>
    <w:p>
      <w:pPr>
        <w:ind w:left="120" w:right="360" w:firstLine="551"/>
        <w:spacing w:after="0" w:line="255" w:lineRule="auto"/>
        <w:rPr>
          <w:sz w:val="20"/>
          <w:szCs w:val="20"/>
          <w:color w:val="auto"/>
        </w:rPr>
      </w:pPr>
      <w:r>
        <w:rPr>
          <w:rFonts w:ascii="Arial" w:cs="Arial" w:eastAsia="Arial" w:hAnsi="Arial"/>
          <w:sz w:val="18"/>
          <w:szCs w:val="18"/>
          <w:color w:val="auto"/>
        </w:rPr>
        <w:t>In August 2019, we entered into an Amended and Restated Collaboration and License Agreement (the Amended and Restated uniQure Agreement) with uniQure biopharma B.V., now uniQure N.V. (uniQure), which amended and restated the Collaboration and License Agreement that we entered into with uniQure in January 2014.</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5" w:right="45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firstLine="551"/>
        <w:spacing w:after="0" w:line="241" w:lineRule="auto"/>
        <w:rPr>
          <w:sz w:val="20"/>
          <w:szCs w:val="20"/>
          <w:color w:val="auto"/>
        </w:rPr>
      </w:pPr>
      <w:r>
        <w:rPr>
          <w:rFonts w:ascii="Arial" w:cs="Arial" w:eastAsia="Arial" w:hAnsi="Arial"/>
          <w:sz w:val="18"/>
          <w:szCs w:val="18"/>
          <w:color w:val="auto"/>
        </w:rPr>
        <w:t>Under the Amended and Restated uniQure Agreement, we granted uniQure an exclusive, sublicenseable, worldwide license under certain of our intellectual property rights, and other rights, to research, develop, make, use, and commercialize pre-selected AAV capsid variants (Selected Variants), and compounds and products containing such Selected Variants, using our proprietary AAV technology for delivery of gene therapy constructs to cells in the central nervous system and the liver (the uniQure Field). uniQure is solely responsible, at its cost and expense, to develop and commercialize the compounds and products containing the Selected Variants in accordance with the terms of the Amended and Restated uniQure Agreement. We retain all rights to all other AAV capsid variants, and compounds and products containing such AAV capsid variants, in the uniQure Field.</w:t>
      </w:r>
    </w:p>
    <w:p>
      <w:pPr>
        <w:spacing w:after="0" w:line="179"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Also in August 2019, we entered into a separate Collaboration and License Agreement with uniQure (Second uniQure Agreement). Under the Second uniQure Agreement, the parties agreed to research and develop new AAV capsid variants that are not Selected Variants (New Variants) using our proprietary AAV technology for delivery of transgene constructs that affect certain targets (uniQure Targets) in the uniQure Field. We are responsible for the research of the New Variants, and uniQure is responsible for the development and commercialization of a certain number of compounds and products containing New Variants, that affect the uniQure Targets (Licensed Products). We granted uniQure an exclusive, sublicenseable, worldwide license under certain of our intellectual property rights, and other rights, to research, develop, make, use, and commercialize the Licensed Products. We retain all rights to New Variants in the uniQure Field that affect targets other than the uniQure Targets. We also retain all rights to any new AAV capsid variants developed under the agreements that are not New Variants, and compounds and products containing such variants.</w:t>
      </w:r>
    </w:p>
    <w:p>
      <w:pPr>
        <w:spacing w:after="0" w:line="176"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Under both the Amended and Restated uniQure Agreement and the Second uniQure Agreement, uniQure will be required to pay us royalties on worldwide annual net sales of licensed products at a mid-single digit percentage rate, subject to certain specified reductions. These royalties are payable on a product-by-product and country-by-country basis until the latest of ten years after the date of the first commercial sale of such product in such country, the expiration of the last-to-expire licensed patent right covering such product in such country (of which there are none), and the expiration of any applicable exclusivity granted by a regulatory authority in such country for such product (the uniQure Royalty Term). uniQure will also be required to pay us a portion of the amounts it receives for licensing or sublicensing to third parties our intellectual property rights licensed or other rights otherwise granted under the Amended and Restated uniQure Agreement, and a portion of the amounts it receives for licensing to third parties our intellectual property rights granted under the or the Second uniQure Agreement, each at a rate between mid-single digit to mid-twenties percentages, depending on the stage of development at which such third-party grant occurs.</w:t>
      </w:r>
    </w:p>
    <w:p>
      <w:pPr>
        <w:spacing w:after="0" w:line="180"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Under both the Amended and Restated uniQure Agreement and the Second uniQure Agreement, under certain circumstances, we may propose to uniQure, and uniQure may grant to us, a non-exclusive right for us to develop and commercialize certain licensed products based on Selected Variants in the uniQure Field, or the New Variants in the uniQure Field to deliver transgene constructs that affect the uniQure Targets (4DMT Proposed Products). Pursuant to the Second uniQure Agreement, under certain circumstances, uniQure may propose to us, and we may grant to uniQuire a non-exclusive right for uniQure to develop and commercialize certain licensed products using any new AAV capsid variants developed under the agreement that are not New Variants in the uniQure Field to deliver transgene constructs that affect targets other than the uniQure Targets (uniQure Proposed Products). If either party obtains the rights to develop and commercialize a 4DMT Proposed Product or a uniQure Proposed Product, as applicable, such party will be required to pay the other party royalties on worldwide annual net sales of such products at a mid-single digit percentage rate, subject to specified reductions. These royalties will be payable on a product-by-product basis during the uniQure Royalty Term for such products. The party receiving such license will also be required to pay the other party a portion of the amounts that it may receive for licensing or sublicensing to third parties rights for</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20"/>
          </w:cols>
          <w:pgMar w:left="320" w:top="455" w:right="45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80"/>
        <w:spacing w:after="0" w:line="276" w:lineRule="auto"/>
        <w:rPr>
          <w:sz w:val="20"/>
          <w:szCs w:val="20"/>
          <w:color w:val="auto"/>
        </w:rPr>
      </w:pPr>
      <w:r>
        <w:rPr>
          <w:rFonts w:ascii="Arial" w:cs="Arial" w:eastAsia="Arial" w:hAnsi="Arial"/>
          <w:sz w:val="18"/>
          <w:szCs w:val="18"/>
          <w:color w:val="auto"/>
        </w:rPr>
        <w:t>such 4DMT Proposed Products or uniQure Proposed Products, as applicable, at a rate between mid-single digit to mid-twenties percentages depending on the stage of development at which the sublicense is granted.</w:t>
      </w:r>
    </w:p>
    <w:p>
      <w:pPr>
        <w:spacing w:after="0" w:line="145"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Each of the Amended and Restated uniQure Agreement and the Second uniQure Agreement will expire on the expiration of all payment obligations of the parties under such agreement. Each party may terminate either agreement for the other party’s insolvency or bankruptcy. Each party may also terminate either agreement in its entirety in some circumstances or on an indication-by-indication basis if the other party fails to cure its material breach under the applicable agreement within 90 days of receiving notice, subject to an additional cure period in accordance with the terms of such agreement. uniQure may terminate either agreement upon 90 days’ prior written notice. In addition, uniQure may terminate the Second uniQure Agreement at any point prior to the first anniversary of the effective date if the joint research committee determines that it would be futile to continue the research program under the agreement, including if such committee determines that certain agreed-upon development success criteria will not be able to be met, or if we are not making bona fide efforts to achieve the mutually agreed timelines set forth in the research plan. If we terminate either agreement for uniQure’s material breach, insolvency or bankruptcy or if uniQure terminates either agreement for convenience or due to its determination of futility, the rights to the Selected Variants, and compounds and products containing such Selected Variants, or the uniQure New Variants, and compounds and products containing such uniQure New Variants, as applicable, generally revert back to us. If uniQure terminates either agreement for our material breach under the applicable agreement, insolvency or bankruptcy, uniQure may retain its rights to the intellectual property license grant under such agreement and uniQure’s payment obligations will survive.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License and Bailment Agreements with The Regents of the University of California</w:t>
      </w:r>
    </w:p>
    <w:p>
      <w:pPr>
        <w:spacing w:after="0" w:line="10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In December 2013, we entered into two Exclusive License and Bailment Agreements (the UC Agreements) with The Regents of the University of California (the UC Regents) with one of the agreements covering AAV2 capsid mutants with novel properties for enhanced performance in gene therapy and the other covering AAV for enhanced gene delivery in the presence of neutralizing antibodies. Under both UC Agreements, the UC Regents granted us an exclusive, sublicenseable license under certain patent rights to make, use, sell, offer to sell, and import products and services, and to practice methods in the United States and foreign countries where the licensed patent rights exist. The license grant under one UC Agreement is in all fields of use and the license grant under the other UC Agreement is in all fields of use, with the exception of the ophthalmic field. We agreed to certain general and specific diligence obligations under both UC Agreements in connection with the development, manufacture and sales of the licensed products, services and methods, in accordance with the terms of the UC Agreements.</w:t>
      </w:r>
    </w:p>
    <w:p>
      <w:pPr>
        <w:spacing w:after="0" w:line="176"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Under each UC Agreement, we paid the UC Regents an upfront payment of $5,000. Further, at the closing of our Series A financing that was a qualified financing pursuant to the UC Agreements, we issued 311,812 shares of our common stock in aggregate under both agreements. Under each UC Agreement, we agreed to pay the UC Regents a specified annual license maintenance fee in each year in which we do not owe royalties to the UC Regents. We also agreed to pay the UC Regents a mid-teens to mid-twenties percentage range of any consideration, including royalties (Sublicense Consideration), we receive for the grant of a sublicense under the licensed patent rights under each UC Agreement, with the consideration payable to the UC Regents to not exceed such percentage range in the aggregate under both UC Agreements for the same sublicense grant. We may reduce any Sublicense Consideration if we sublicense any of our own or third-party patent rights under the sublicense grant based on the relative value of the sublicensed patents. Upon the achievement of specified development and regulatory milestones by the first licensed product or method, we will be required to pay the UC Regents up to $3.1 million under each UC Agreement. We will also be required to pay the UC Regents a royalty on net sales of licensed products, services and methods covered by</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5" w:right="45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1" w:lineRule="auto"/>
        <w:rPr>
          <w:sz w:val="20"/>
          <w:szCs w:val="20"/>
          <w:color w:val="auto"/>
        </w:rPr>
      </w:pPr>
      <w:r>
        <w:rPr>
          <w:rFonts w:ascii="Arial" w:cs="Arial" w:eastAsia="Arial" w:hAnsi="Arial"/>
          <w:sz w:val="18"/>
          <w:szCs w:val="18"/>
          <w:color w:val="auto"/>
        </w:rPr>
        <w:t>the patents licensed under the UC Agreements at a percentage in the low single-digit percentage rate, subject to certain specified reductions. Under the UC Agreements, a specified minimum annual royalty will also be due to the UC Regents beginning the first calendar year after the year in which any net sales of a licensed product first occur, such minimum royalty amount to increase on an annual basis, but not to exceed $0.1 million in the aggregate under both UC Agreements. Under each UC Agreement, royalties are payable until the expiration of the last-to-expire licensed patent right covering the licensed product, service or method, which will expire on June 28, 2038 (the UC Royalty Term). Milestone, royalty and sublicense revenue payments will be due to the UC Regents under only one of the UC Agreements covering any licensed product, regardless of the number of patents covering a given licensed product.</w:t>
      </w:r>
    </w:p>
    <w:p>
      <w:pPr>
        <w:spacing w:after="0" w:line="179" w:lineRule="exact"/>
        <w:rPr>
          <w:sz w:val="20"/>
          <w:szCs w:val="20"/>
          <w:color w:val="auto"/>
        </w:rPr>
      </w:pPr>
    </w:p>
    <w:p>
      <w:pPr>
        <w:ind w:left="120" w:right="140" w:firstLine="551"/>
        <w:spacing w:after="0" w:line="243" w:lineRule="auto"/>
        <w:rPr>
          <w:sz w:val="20"/>
          <w:szCs w:val="20"/>
          <w:color w:val="auto"/>
        </w:rPr>
      </w:pPr>
      <w:r>
        <w:rPr>
          <w:rFonts w:ascii="Arial" w:cs="Arial" w:eastAsia="Arial" w:hAnsi="Arial"/>
          <w:sz w:val="18"/>
          <w:szCs w:val="18"/>
          <w:color w:val="auto"/>
        </w:rPr>
        <w:t>Each UC Agreement will expire at the end of the UC Royalty Term. The UC Regents may terminate each of the UC Agreements if we fail to cure a breach of such UC Agreement within 60 days of notice. If we fail to meet our diligence obligations, the UC Regents has the right to either terminate the UC Agreement or to reduce our exclusive license to a non-exclusive license, after giving us 60 days to cure or request arbitration. We may terminate either UC Agreement at-will in its entirety or with respect to any portion of the licensed patent rights upon 90 days prior written notice. Each UC Agreement will terminate immediately if we or a third party on our behalf files a claim asserting that the licensed patent rights are invalid or unenforceable.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Cystic Fibrosis Foundation</w:t>
      </w:r>
    </w:p>
    <w:p>
      <w:pPr>
        <w:spacing w:after="0" w:line="104" w:lineRule="exact"/>
        <w:rPr>
          <w:sz w:val="20"/>
          <w:szCs w:val="20"/>
          <w:color w:val="auto"/>
        </w:rPr>
      </w:pPr>
    </w:p>
    <w:p>
      <w:pPr>
        <w:ind w:left="120" w:right="160" w:firstLine="551"/>
        <w:spacing w:after="0" w:line="248" w:lineRule="auto"/>
        <w:rPr>
          <w:sz w:val="20"/>
          <w:szCs w:val="20"/>
          <w:color w:val="auto"/>
        </w:rPr>
      </w:pPr>
      <w:r>
        <w:rPr>
          <w:rFonts w:ascii="Arial" w:cs="Arial" w:eastAsia="Arial" w:hAnsi="Arial"/>
          <w:sz w:val="18"/>
          <w:szCs w:val="18"/>
          <w:color w:val="auto"/>
        </w:rPr>
        <w:t>In 2016, we received a grant from Cystic Fibrosis Foundation (CFF) in the amount of $525,000 to support discovery and development of product candidates to treat cystic fibrosis. The grant was increased to $3.5 million in 2017 and was subsequently amended to allocate the $3.5 million to different milestones. The grant provides for repayment to CFF upon the commercialization of any product developed under the grant. The repayment is capped at nine times multiple of the grant actually paid to us.</w:t>
      </w:r>
    </w:p>
    <w:p>
      <w:pPr>
        <w:spacing w:after="0" w:line="170"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In April 2020, CFF made a $10.0 million investment in our Series C redeemable convertible preferred stock financing. In return for the investment, CFF received shares of our Series C redeemable convertible preferred stock, and we and CFF entered into a Funding Agreement (the Funding Agreement). Pursuant to the terms of the Funding Agreement, we agreed to use the proceeds of the CFF investment to support development of 4D-710, our product candidate for the treatment of cystic fibrosis, and to match CFF’s support for the product candidate. Upon acceptance by the FDA of an IND for 4D-710 (Acceptance), CFF will make an additional $4.0 million investment (the Subsequent Investment). If our common stock is publicly traded at the time of Acceptance, CFF will receive shares of common stock priced at the 10-day average reported closing price of our common stock for the date of Acceptance. If our common stock is not publicly traded at the time of Acceptance, CFF will receive a convertible note, which shall be convertible into a number of shares issued in our next private preferred stock financing or common stock if an IPO occurs after Acceptance and prior to the next private preferred stock financing. We have agreed to use the additional $4.0 million from the Subsequent Investment to support development of 4D-710 and to match CFF’s support of the product candidate. Under the terms of the Funding Agreement, neither the $ 10.0 million investment in the Series C redeemable convertible preferred stock nor the $4.0 million of funding upon Acceptance are restricted as to withdrawal or usage.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06" w:lineRule="exact"/>
        <w:rPr>
          <w:sz w:val="20"/>
          <w:szCs w:val="20"/>
          <w:color w:val="auto"/>
        </w:rPr>
      </w:pPr>
    </w:p>
    <w:p>
      <w:pPr>
        <w:ind w:left="120" w:right="360" w:firstLine="551"/>
        <w:spacing w:after="0" w:line="255" w:lineRule="auto"/>
        <w:rPr>
          <w:sz w:val="20"/>
          <w:szCs w:val="20"/>
          <w:color w:val="auto"/>
        </w:rPr>
      </w:pPr>
      <w:r>
        <w:rPr>
          <w:rFonts w:ascii="Arial" w:cs="Arial" w:eastAsia="Arial" w:hAnsi="Arial"/>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00"/>
          </w:cols>
          <w:pgMar w:left="320" w:top="455" w:right="47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63" w:lineRule="auto"/>
        <w:rPr>
          <w:sz w:val="20"/>
          <w:szCs w:val="20"/>
          <w:color w:val="auto"/>
        </w:rPr>
      </w:pPr>
      <w:r>
        <w:rPr>
          <w:rFonts w:ascii="Arial" w:cs="Arial" w:eastAsia="Arial" w:hAnsi="Arial"/>
          <w:sz w:val="17"/>
          <w:szCs w:val="17"/>
          <w:color w:val="auto"/>
        </w:rPr>
        <w:t>keeping, approval, advertising, promotion, marketing, post-approval monitoring, and post-approval reporting of biological product candidates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 The process of obtaining regulatory approvals and the subsequent compliance with applicable federal, state, local and foreign statutes and regulations require the expenditure of substantial time and financial resources.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Biologics Regulation</w:t>
      </w:r>
    </w:p>
    <w:p>
      <w:pPr>
        <w:spacing w:after="0" w:line="104" w:lineRule="exact"/>
        <w:rPr>
          <w:sz w:val="20"/>
          <w:szCs w:val="20"/>
          <w:color w:val="auto"/>
        </w:rPr>
      </w:pPr>
    </w:p>
    <w:p>
      <w:pPr>
        <w:ind w:left="120" w:right="220" w:firstLine="551"/>
        <w:spacing w:after="0" w:line="255" w:lineRule="auto"/>
        <w:rPr>
          <w:sz w:val="20"/>
          <w:szCs w:val="20"/>
          <w:color w:val="auto"/>
        </w:rPr>
      </w:pPr>
      <w:r>
        <w:rPr>
          <w:rFonts w:ascii="Arial" w:cs="Arial" w:eastAsia="Arial" w:hAnsi="Arial"/>
          <w:sz w:val="18"/>
          <w:szCs w:val="18"/>
          <w:color w:val="auto"/>
        </w:rPr>
        <w:t>In the United States, biological products are subject to regulation under the Federal Food, Drug, and Cosmetic Act, the Public Health Service Act, and other federal, state, local and foreign statutes and regulations. The process required by the FDA before biologic product candidates may be marketed in the United States generally involves the following:</w:t>
      </w:r>
    </w:p>
    <w:p>
      <w:pPr>
        <w:spacing w:after="0" w:line="69" w:lineRule="exact"/>
        <w:rPr>
          <w:sz w:val="20"/>
          <w:szCs w:val="20"/>
          <w:color w:val="auto"/>
        </w:rPr>
      </w:pPr>
    </w:p>
    <w:p>
      <w:pPr>
        <w:ind w:left="880" w:hanging="224"/>
        <w:spacing w:after="0"/>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performed in accordance with the FDA’s GLPs;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may begin;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approval by an IRB or ethics committee at each clinical site before the trial is commenced;</w:t>
      </w:r>
    </w:p>
    <w:p>
      <w:pPr>
        <w:spacing w:after="0" w:line="117" w:lineRule="exact"/>
        <w:rPr>
          <w:rFonts w:ascii="Arial" w:cs="Arial" w:eastAsia="Arial" w:hAnsi="Arial"/>
          <w:sz w:val="18"/>
          <w:szCs w:val="18"/>
          <w:color w:val="auto"/>
        </w:rPr>
      </w:pPr>
    </w:p>
    <w:p>
      <w:pPr>
        <w:ind w:left="880" w:right="420" w:hanging="224"/>
        <w:spacing w:after="0" w:line="276" w:lineRule="auto"/>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purity and potency of the proposed biologic product candidate for its intended purpose;</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preparation of and submission to the FDA of a BLA after completion of all pivotal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117" w:lineRule="exact"/>
        <w:rPr>
          <w:rFonts w:ascii="Arial" w:cs="Arial" w:eastAsia="Arial" w:hAnsi="Arial"/>
          <w:sz w:val="18"/>
          <w:szCs w:val="18"/>
          <w:color w:val="auto"/>
        </w:rPr>
      </w:pPr>
    </w:p>
    <w:p>
      <w:pPr>
        <w:ind w:left="880" w:hanging="224"/>
        <w:spacing w:after="0" w:line="248" w:lineRule="auto"/>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at which the proposed product is produced to assess compliance with cGMP and to assure that the facilities, methods and controls are adequate to preserve the biological product’s continued safety, purity and potency, and of selected clinical investigation sites to assess compliance with Good Clinical Practices (GCPs); and</w:t>
      </w:r>
    </w:p>
    <w:p>
      <w:pPr>
        <w:spacing w:after="0" w:line="75" w:lineRule="exact"/>
        <w:rPr>
          <w:rFonts w:ascii="Arial" w:cs="Arial" w:eastAsia="Arial" w:hAnsi="Arial"/>
          <w:sz w:val="18"/>
          <w:szCs w:val="18"/>
          <w:color w:val="auto"/>
        </w:rPr>
      </w:pPr>
    </w:p>
    <w:p>
      <w:pPr>
        <w:ind w:left="880" w:right="20" w:hanging="224"/>
        <w:spacing w:after="0" w:line="276" w:lineRule="auto"/>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FDA review and approval of the BLA to permit commercial marketing of the product for particular indications for use in the United States.</w:t>
      </w:r>
    </w:p>
    <w:p>
      <w:pPr>
        <w:spacing w:after="0" w:line="145"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 xml:space="preserve">Prior to beginning the first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protocol(s) for clinical trials. The IND also includes results of animal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76" w:lineRule="exact"/>
        <w:rPr>
          <w:sz w:val="20"/>
          <w:szCs w:val="20"/>
          <w:color w:val="auto"/>
        </w:rPr>
      </w:pPr>
    </w:p>
    <w:p>
      <w:pPr>
        <w:ind w:left="120" w:right="700" w:firstLine="551"/>
        <w:spacing w:after="0" w:line="276" w:lineRule="auto"/>
        <w:rPr>
          <w:sz w:val="20"/>
          <w:szCs w:val="20"/>
          <w:color w:val="auto"/>
        </w:rPr>
      </w:pPr>
      <w:r>
        <w:rPr>
          <w:rFonts w:ascii="Arial" w:cs="Arial" w:eastAsia="Arial" w:hAnsi="Arial"/>
          <w:sz w:val="18"/>
          <w:szCs w:val="18"/>
          <w:color w:val="auto"/>
        </w:rPr>
        <w:t>In addition to the submission of an IND to the FDA, under the National Institutes of Health, or NIH, Guidelines for Research Involving Recombinant DNA Molecules (NIH Guidelines), supervision of</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5" w:right="45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43" w:lineRule="auto"/>
        <w:rPr>
          <w:sz w:val="20"/>
          <w:szCs w:val="20"/>
          <w:color w:val="auto"/>
        </w:rPr>
      </w:pPr>
      <w:r>
        <w:rPr>
          <w:rFonts w:ascii="Arial" w:cs="Arial" w:eastAsia="Arial" w:hAnsi="Arial"/>
          <w:sz w:val="18"/>
          <w:szCs w:val="18"/>
          <w:color w:val="auto"/>
        </w:rPr>
        <w:t>certain human gene transfer trials may also require evaluation and assessment by an institutional biosafety committee (IBC), a local institutional committee that reviews and oversees research utilizing recombinant or synthetic nucleic acid molecules at that institution. The IBC assesses the safety of the research and identifies any potential risk to the public health or the environment, and such assessment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spacing w:after="0" w:line="174" w:lineRule="exact"/>
        <w:rPr>
          <w:sz w:val="20"/>
          <w:szCs w:val="20"/>
          <w:color w:val="auto"/>
        </w:rPr>
      </w:pPr>
    </w:p>
    <w:p>
      <w:pPr>
        <w:ind w:left="120" w:right="240" w:firstLine="551"/>
        <w:spacing w:after="0" w:line="254"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w:t>
      </w:r>
    </w:p>
    <w:p>
      <w:pPr>
        <w:ind w:left="120"/>
        <w:spacing w:after="0" w:line="253" w:lineRule="auto"/>
        <w:rPr>
          <w:sz w:val="20"/>
          <w:szCs w:val="20"/>
          <w:color w:val="auto"/>
        </w:rPr>
      </w:pPr>
      <w:r>
        <w:rPr>
          <w:rFonts w:ascii="Arial" w:cs="Arial" w:eastAsia="Arial" w:hAnsi="Arial"/>
          <w:sz w:val="17"/>
          <w:szCs w:val="17"/>
          <w:color w:val="auto"/>
        </w:rPr>
        <w:t>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166" w:lineRule="exact"/>
        <w:rPr>
          <w:sz w:val="20"/>
          <w:szCs w:val="20"/>
          <w:color w:val="auto"/>
        </w:rPr>
      </w:pPr>
    </w:p>
    <w:p>
      <w:pPr>
        <w:ind w:left="120" w:right="520" w:firstLine="551"/>
        <w:spacing w:after="0" w:line="276" w:lineRule="auto"/>
        <w:rPr>
          <w:sz w:val="20"/>
          <w:szCs w:val="20"/>
          <w:color w:val="auto"/>
        </w:rPr>
      </w:pPr>
      <w:r>
        <w:rPr>
          <w:rFonts w:ascii="Arial" w:cs="Arial" w:eastAsia="Arial" w:hAnsi="Arial"/>
          <w:sz w:val="18"/>
          <w:szCs w:val="18"/>
          <w:color w:val="auto"/>
        </w:rPr>
        <w:t>For purposes of BLA approval, human clinical trials are typically conducted in three sequential phases that may overlap or be combined:</w:t>
      </w:r>
    </w:p>
    <w:p>
      <w:pPr>
        <w:spacing w:after="0" w:line="50" w:lineRule="exact"/>
        <w:rPr>
          <w:sz w:val="20"/>
          <w:szCs w:val="20"/>
          <w:color w:val="auto"/>
        </w:rPr>
      </w:pPr>
    </w:p>
    <w:p>
      <w:pPr>
        <w:ind w:left="880" w:right="180" w:hanging="224"/>
        <w:spacing w:after="0" w:line="248" w:lineRule="auto"/>
        <w:tabs>
          <w:tab w:leader="none" w:pos="8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Phase 1—The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75" w:lineRule="exact"/>
        <w:rPr>
          <w:rFonts w:ascii="Arial" w:cs="Arial" w:eastAsia="Arial" w:hAnsi="Arial"/>
          <w:sz w:val="18"/>
          <w:szCs w:val="18"/>
          <w:color w:val="auto"/>
        </w:rPr>
      </w:pPr>
    </w:p>
    <w:p>
      <w:pPr>
        <w:ind w:left="880" w:right="40" w:hanging="224"/>
        <w:spacing w:after="0" w:line="248" w:lineRule="auto"/>
        <w:tabs>
          <w:tab w:leader="none" w:pos="8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Phase 2—The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75" w:lineRule="exact"/>
        <w:rPr>
          <w:rFonts w:ascii="Arial" w:cs="Arial" w:eastAsia="Arial" w:hAnsi="Arial"/>
          <w:sz w:val="18"/>
          <w:szCs w:val="18"/>
          <w:color w:val="auto"/>
        </w:rPr>
      </w:pPr>
    </w:p>
    <w:p>
      <w:pPr>
        <w:ind w:left="880" w:right="200" w:hanging="224"/>
        <w:spacing w:after="0" w:line="248" w:lineRule="auto"/>
        <w:tabs>
          <w:tab w:leader="none" w:pos="8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Phase 3—The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70" w:lineRule="exact"/>
        <w:rPr>
          <w:sz w:val="20"/>
          <w:szCs w:val="20"/>
          <w:color w:val="auto"/>
        </w:rPr>
      </w:pPr>
    </w:p>
    <w:p>
      <w:pPr>
        <w:ind w:left="120" w:right="220" w:firstLine="551"/>
        <w:spacing w:after="0" w:line="276" w:lineRule="auto"/>
        <w:rPr>
          <w:sz w:val="20"/>
          <w:szCs w:val="20"/>
          <w:color w:val="auto"/>
        </w:rPr>
      </w:pPr>
      <w:r>
        <w:rPr>
          <w:rFonts w:ascii="Arial" w:cs="Arial" w:eastAsia="Arial" w:hAnsi="Arial"/>
          <w:sz w:val="18"/>
          <w:szCs w:val="18"/>
          <w:color w:val="auto"/>
        </w:rPr>
        <w:t>In some cases, the FDA may require, or companies may voluntarily pursue, additional clinical trials after a product is approved to gain more information about the product. These so-called Phase 4 studies may also be made a condition to approval of the BLA.</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20"/>
          </w:cols>
          <w:pgMar w:left="320" w:top="455" w:right="45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80" w:firstLine="551"/>
        <w:spacing w:after="0" w:line="243" w:lineRule="auto"/>
        <w:rPr>
          <w:sz w:val="20"/>
          <w:szCs w:val="20"/>
          <w:color w:val="auto"/>
        </w:rPr>
      </w:pPr>
      <w:r>
        <w:rPr>
          <w:rFonts w:ascii="Arial" w:cs="Arial" w:eastAsia="Arial" w:hAnsi="Arial"/>
          <w:sz w:val="18"/>
          <w:szCs w:val="18"/>
          <w:color w:val="auto"/>
        </w:rPr>
        <w:t>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The manufacturing process must be capable of consistently producing quality batches of the product candidate and, among other things,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BLA Submission and Review by the FDA</w:t>
      </w:r>
    </w:p>
    <w:p>
      <w:pPr>
        <w:spacing w:after="0" w:line="104"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the product, or from a number of alternative sources, including studies initiated by investigators. The submission of a BLA requires payment of a substantial user fee to FDA, and the sponsor of an approved BLA is also subject to an annual program fee. A waiver of user fees may be obtained under certain limited circumstances. Additionally, no user fees are assessed on BLAs for products designated as orphan drugs, unless the product also includes a non-orphan indication.</w:t>
      </w:r>
    </w:p>
    <w:p>
      <w:pPr>
        <w:spacing w:after="0" w:line="17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Within 60 days following submission of the application, the FDA reviews a BLA submitted to determine if it is substantially complete before the FDA accepts it for filing. The FDA may refuse to file any BLA that it deems incomplete or not properly reviewable at the time of submission and may request additional information. In this event, the BLA must be resubmitted with the additional information. Once a BLA has been accepted for filing, the FDA’s goal is to review standard applications within ten months after the filing date, or, if the application qualifies for priority review, six months after the filing date. Priority review designation will direct overall attention and resources to the evaluation of applications for products that, if approved, would be significant improvements in the safety or effectiveness of the treatment, diagnosis, or prevention of serious conditions.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also convene an advisory committee to provide clinical insight on application review questions. The FDA is not bound by recommendations of an advisory committee, but it considers such recommendations when making decisions regarding approval.</w:t>
      </w:r>
    </w:p>
    <w:p>
      <w:pPr>
        <w:spacing w:after="0" w:line="183"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Before approving a BLA,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 BLA, the FDA will typically inspect one or more clinical sites to assure compliance with 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79" w:lineRule="exact"/>
        <w:rPr>
          <w:sz w:val="20"/>
          <w:szCs w:val="20"/>
          <w:color w:val="auto"/>
        </w:rPr>
      </w:pPr>
    </w:p>
    <w:p>
      <w:pPr>
        <w:ind w:left="120" w:right="340" w:firstLine="551"/>
        <w:spacing w:after="0" w:line="276" w:lineRule="auto"/>
        <w:rPr>
          <w:sz w:val="20"/>
          <w:szCs w:val="20"/>
          <w:color w:val="auto"/>
        </w:rPr>
      </w:pPr>
      <w:r>
        <w:rPr>
          <w:rFonts w:ascii="Arial" w:cs="Arial" w:eastAsia="Arial" w:hAnsi="Arial"/>
          <w:sz w:val="18"/>
          <w:szCs w:val="18"/>
          <w:color w:val="auto"/>
        </w:rPr>
        <w:t>After the FDA evaluates a BLA and conducts inspections of manufacturing facilities where the investigational product and/or its drug substance will be produced, the FDA may issue an approval</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080"/>
          </w:cols>
          <w:pgMar w:left="320" w:top="455" w:right="49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41" w:lineRule="auto"/>
        <w:rPr>
          <w:sz w:val="20"/>
          <w:szCs w:val="20"/>
          <w:color w:val="auto"/>
        </w:rPr>
      </w:pPr>
      <w:r>
        <w:rPr>
          <w:rFonts w:ascii="Arial" w:cs="Arial" w:eastAsia="Arial" w:hAnsi="Arial"/>
          <w:sz w:val="18"/>
          <w:szCs w:val="18"/>
          <w:color w:val="auto"/>
        </w:rPr>
        <w:t>letter or a Complete Response Letter (CRL). An approval letter authorizes commercial marketing of the product with specific prescribing information for specific indications. A CRL will describe all of the deficiencies that the FDA has identified in the BLA, except that where the FDA determines that the data supporting the application are inadequate to support approval, the FDA may issue the CRL without first conducting required inspections, testing submitted product lots, and/or reviewing proposed labeling. In issuing the CRL,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79"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Phase IV post-market studies and surveillance to further assess and monitor the product’s safety and effectiveness after commercialization, and may limit further marketing of the product based on the results of these post-marketing studies.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0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A sponsor may seek approval of its product candidate under programs designed to accelerate FDA’s review and approval of new drugs and biological products that meet certain criteria. Specifically, new biological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more frequent interactions with the applicable FDA review team during product development and, once a BLA is submitted, the product candidate may be eligible for priority review. For a fast track product, the FDA may consider sections of the BLA for review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 A fast track designated product candidate may also qualify for priority review, under which the FDA sets the target date for FDA action on the BLA at six months after the FDA accepts the application for filing.</w:t>
      </w:r>
    </w:p>
    <w:p>
      <w:pPr>
        <w:spacing w:after="0" w:line="176"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20"/>
          </w:cols>
          <w:pgMar w:left="320" w:top="455" w:right="45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firstLine="551"/>
        <w:spacing w:after="0" w:line="239" w:lineRule="auto"/>
        <w:rPr>
          <w:sz w:val="20"/>
          <w:szCs w:val="20"/>
          <w:color w:val="auto"/>
        </w:rPr>
      </w:pPr>
      <w:r>
        <w:rPr>
          <w:rFonts w:ascii="Arial" w:cs="Arial" w:eastAsia="Arial" w:hAnsi="Arial"/>
          <w:sz w:val="18"/>
          <w:szCs w:val="18"/>
          <w:color w:val="auto"/>
        </w:rPr>
        <w:t>In 2017, the FDA established a new regenerative medicine advanced therapy (RMAT) designation as part of its implementation of the 21st Century Cures Act. The RMAT designation program is intended to fulfill the 21st Century Cures Act requirement that the FDA facilitate an efficient development program for, and expedite review of, any drug or biologic that meets the following criteria: (i) the drug or biologic qualifies as a RMAT, which is defined as a cell therapy, therapeutic tissue engineering product, human cell and tissue product, or any combination product using such therapies or products, with limited exceptions; (ii) the drug or biologic is intended to treat, modify, reverse, or cure a serious or life-threatening disease or condition; and (iii) preliminary clinical evidence indicates that the drug or biologic has the potential to address unmet medical needs for such a disease or condition. RMAT designation provides all the benefits of breakthrough therapy designation, including more frequent meetings with the FDA to discuss the development plan for the product candidate and eligibility for rolling review and priority review. Product candidates granted RMAT designation may also be eligible for accelerated approval on the basis of a surrogate or intermediate endpoint reasonably likely to predict long-term clinical benefit, or reliance upon data obtained from a meaningful number of clinical trial sites, including through expansion of trials to additional sites.</w:t>
      </w:r>
    </w:p>
    <w:p>
      <w:pPr>
        <w:spacing w:after="0" w:line="17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Any marketing application for a drug or biologic submitted to the FDA for approval, including a product candidate with a fast track designation, RMAT designation and/or breakthrough therapy designation, may be eligible for other types of FDA programs intended to expedite the FDA review and approval process, such as priority review and accelerated approval. A product candidate is eligible for priority review if it is designed to treat a serious or life-threatening disease or condition, and if approved, would provide a significant improvement in safety or effectiveness compared to available alternatives for such disease or condition. For original BLAs, priority review designation means the FDA’s goal is to take action on the marketing application within six months of the 60-day filing date (as compared to ten months under standard review). Under the accelerated approval program, the FDA may approve a BLA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Post-marketing studies or completion of ongoing studies after marketing approval are generally required to verify the biologic’s clinical benefit in relationship to the surrogate endpoint or ultimate outcome in relationship to the clinical benefit. In addition, the FDA currently requires as a condition for accelerated approval pre-approval of promotional materials, which could adversely impact the timing of the commercial launch of the product. FDA may withdraw approval of a drug or indication approved under accelerated approval on an expedited basis if, for example, the sponsor fails to conduct required post-marketing trials in a timely manner or if such trials fail to verify the predicted clinical benefit of the product.</w:t>
      </w:r>
    </w:p>
    <w:p>
      <w:pPr>
        <w:spacing w:after="0" w:line="186" w:lineRule="exact"/>
        <w:rPr>
          <w:sz w:val="20"/>
          <w:szCs w:val="20"/>
          <w:color w:val="auto"/>
        </w:rPr>
      </w:pPr>
    </w:p>
    <w:p>
      <w:pPr>
        <w:ind w:left="120" w:right="200" w:firstLine="551"/>
        <w:spacing w:after="0" w:line="248" w:lineRule="auto"/>
        <w:rPr>
          <w:sz w:val="20"/>
          <w:szCs w:val="20"/>
          <w:color w:val="auto"/>
        </w:rPr>
      </w:pPr>
      <w:r>
        <w:rPr>
          <w:rFonts w:ascii="Arial" w:cs="Arial" w:eastAsia="Arial" w:hAnsi="Arial"/>
          <w:sz w:val="18"/>
          <w:szCs w:val="18"/>
          <w:color w:val="auto"/>
        </w:rPr>
        <w:t>Fast Track designation, priority review, accelerated approval, RMAT designation and breakthrough therapy designation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Orphan Drug Designation and Exclusivity</w:t>
      </w:r>
    </w:p>
    <w:p>
      <w:pPr>
        <w:spacing w:after="0" w:line="104" w:lineRule="exact"/>
        <w:rPr>
          <w:sz w:val="20"/>
          <w:szCs w:val="20"/>
          <w:color w:val="auto"/>
        </w:rPr>
      </w:pPr>
    </w:p>
    <w:p>
      <w:pPr>
        <w:ind w:left="120" w:right="180" w:firstLine="551"/>
        <w:spacing w:after="0" w:line="245" w:lineRule="auto"/>
        <w:rPr>
          <w:sz w:val="20"/>
          <w:szCs w:val="20"/>
          <w:color w:val="auto"/>
        </w:rPr>
      </w:pPr>
      <w:r>
        <w:rPr>
          <w:rFonts w:ascii="Arial" w:cs="Arial" w:eastAsia="Arial" w:hAnsi="Arial"/>
          <w:sz w:val="18"/>
          <w:szCs w:val="18"/>
          <w:color w:val="auto"/>
        </w:rPr>
        <w:t>Under the Orphan Drug Act, the FDA may grant orphan designation to a drug or biologic intended to treat a rare disease or condition, defined as a disease or condition with a patient population of fewer than 200,000 individuals in the United States, or a patient population greater than 200,000 individuals in the United States and when there is no reasonable expectation that the cost of developing and making available the drug or biologic in the United States will be recovered from sales in the United States for that drug or biologic. Orphan drug designation must be requested before submitting a</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40"/>
          </w:cols>
          <w:pgMar w:left="320" w:top="455" w:right="43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76" w:lineRule="auto"/>
        <w:rPr>
          <w:sz w:val="20"/>
          <w:szCs w:val="20"/>
          <w:color w:val="auto"/>
        </w:rPr>
      </w:pPr>
      <w:r>
        <w:rPr>
          <w:rFonts w:ascii="Arial" w:cs="Arial" w:eastAsia="Arial" w:hAnsi="Arial"/>
          <w:sz w:val="18"/>
          <w:szCs w:val="18"/>
          <w:color w:val="auto"/>
        </w:rPr>
        <w:t>BLA. After the FDA grants orphan drug designation, the generic identity of the therapeutic agent and its potential orphan use are disclosed publicly by the FDA.</w:t>
      </w:r>
    </w:p>
    <w:p>
      <w:pPr>
        <w:spacing w:after="0" w:line="145"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user fee.</w:t>
      </w:r>
    </w:p>
    <w:p>
      <w:pPr>
        <w:spacing w:after="0" w:line="180"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A designated orphan drug many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the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 We have obtained orphan drug designation for 4D-110 for the treatment of Chroideremia and for 4D-310 for the treatment of Fabry disease, and we plan to seek additional orphan drug designations for some or all of our product candidates in specific orphan indications in which there is a medically plausible basis for the use of these products.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0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Biologics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320" w:top="455" w:right="45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79" w:lineRule="exact"/>
        <w:rPr>
          <w:sz w:val="20"/>
          <w:szCs w:val="20"/>
          <w:color w:val="auto"/>
        </w:rPr>
      </w:pPr>
    </w:p>
    <w:p>
      <w:pPr>
        <w:ind w:left="880" w:right="380" w:hanging="224"/>
        <w:spacing w:after="0" w:line="276" w:lineRule="auto"/>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fines, warning letters, or untitled letters;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clinical holds on clinical studies;</w:t>
      </w:r>
    </w:p>
    <w:p>
      <w:pPr>
        <w:spacing w:after="0" w:line="117" w:lineRule="exact"/>
        <w:rPr>
          <w:rFonts w:ascii="Arial" w:cs="Arial" w:eastAsia="Arial" w:hAnsi="Arial"/>
          <w:sz w:val="18"/>
          <w:szCs w:val="18"/>
          <w:color w:val="auto"/>
        </w:rPr>
      </w:pPr>
    </w:p>
    <w:p>
      <w:pPr>
        <w:ind w:left="880" w:right="420" w:hanging="224"/>
        <w:spacing w:after="0" w:line="276" w:lineRule="auto"/>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17" w:lineRule="exact"/>
        <w:rPr>
          <w:rFonts w:ascii="Arial" w:cs="Arial" w:eastAsia="Arial" w:hAnsi="Arial"/>
          <w:sz w:val="18"/>
          <w:szCs w:val="18"/>
          <w:color w:val="auto"/>
        </w:rPr>
      </w:pPr>
    </w:p>
    <w:p>
      <w:pPr>
        <w:ind w:left="880" w:right="60" w:hanging="224"/>
        <w:spacing w:after="0" w:line="276" w:lineRule="auto"/>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2"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Biosimilars and Exclusivity</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The Affordable Care Act, signed into law in 2010, includes a subtitle called the BPCIA, which created an abbreviated approval pathway for biological products that are biosimilar to or interchangeable with an FDA-licensed reference biological product. 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20"/>
          </w:cols>
          <w:pgMar w:left="320" w:top="455" w:right="45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48" w:lineRule="auto"/>
        <w:rPr>
          <w:sz w:val="20"/>
          <w:szCs w:val="20"/>
          <w:color w:val="auto"/>
        </w:rPr>
      </w:pPr>
      <w:r>
        <w:rPr>
          <w:rFonts w:ascii="Arial" w:cs="Arial" w:eastAsia="Arial" w:hAnsi="Arial"/>
          <w:sz w:val="18"/>
          <w:szCs w:val="18"/>
          <w:color w:val="auto"/>
        </w:rPr>
        <w:t>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70"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80" w:lineRule="exact"/>
        <w:rPr>
          <w:sz w:val="20"/>
          <w:szCs w:val="20"/>
          <w:color w:val="auto"/>
        </w:rPr>
      </w:pPr>
    </w:p>
    <w:p>
      <w:pPr>
        <w:ind w:left="120" w:right="80" w:firstLine="551"/>
        <w:spacing w:after="0" w:line="248" w:lineRule="auto"/>
        <w:rPr>
          <w:sz w:val="20"/>
          <w:szCs w:val="20"/>
          <w:color w:val="auto"/>
        </w:rPr>
      </w:pPr>
      <w:r>
        <w:rPr>
          <w:rFonts w:ascii="Arial" w:cs="Arial" w:eastAsia="Arial" w:hAnsi="Arial"/>
          <w:sz w:val="18"/>
          <w:szCs w:val="18"/>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70" w:lineRule="exact"/>
        <w:rPr>
          <w:sz w:val="20"/>
          <w:szCs w:val="20"/>
          <w:color w:val="auto"/>
        </w:rPr>
      </w:pPr>
    </w:p>
    <w:p>
      <w:pPr>
        <w:ind w:left="120" w:right="220" w:firstLine="551"/>
        <w:spacing w:after="0" w:line="248" w:lineRule="auto"/>
        <w:rPr>
          <w:sz w:val="20"/>
          <w:szCs w:val="20"/>
          <w:color w:val="auto"/>
        </w:rPr>
      </w:pPr>
      <w:r>
        <w:rPr>
          <w:rFonts w:ascii="Arial" w:cs="Arial" w:eastAsia="Arial" w:hAnsi="Arial"/>
          <w:sz w:val="18"/>
          <w:szCs w:val="18"/>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04"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Pharmaceutical companies are subject to additional healthcare regulation and enforcement by the federal government and by authorities in the states and foreign jurisdictions in which they conduct their business. Such laws include, without limitation, U.S. federal and state anti-kickback, fraud and abuse, false claims, pricing reporting, data privacy and security, and transparency laws and regulations as well as similar foreign laws in the jurisdictions outside the U.S. For example, the federal Anti-Kickback Statute prohibits, among other things, individuals or entities from knowingly and willfully offering, paying, soliciting or receiving remuneration, directly or indirectly, overtly or covertly, in cash or in kind to induce or in return for purchasing, leasing, ordering or arranging for or recommending the purchase, lease or order of any item or service reimbursable under Medicare, Medicaid or other federal healthcare programs. A person or entity does not need to have actual knowledge of this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civil False Claims Act and the civil monetary penalties statute. The federal civil and criminal false claims laws, including the civil False Claims Act, prohibit, among other things, any individual or entity from knowingly presenting, or causing to be presented, a false claim for payment to the federal government or knowingly making, using or causing to be made or used a false record or statement material to a false or fraudulent claim to the federal government. The federal Health Insurance Portability and Accountability Act of 1996 (HIPAA), created additional federal civil and criminal statutes that prohibit, among other things, knowingly and willfully executing a scheme to defraud any healthcare benefit program. Similar to the U.S. federal Anti-Kickback Statute, a person or entity does not need to have actual knowledge of the healthcare fraud</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080"/>
          </w:cols>
          <w:pgMar w:left="320" w:top="455" w:right="49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43" w:lineRule="auto"/>
        <w:rPr>
          <w:sz w:val="20"/>
          <w:szCs w:val="20"/>
          <w:color w:val="auto"/>
        </w:rPr>
      </w:pPr>
      <w:r>
        <w:rPr>
          <w:rFonts w:ascii="Arial" w:cs="Arial" w:eastAsia="Arial" w:hAnsi="Arial"/>
          <w:sz w:val="18"/>
          <w:szCs w:val="18"/>
          <w:color w:val="auto"/>
        </w:rPr>
        <w:t>statute implemented under HIPAA or specific intent to violate it in order to have committed a violation. 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certain other health care professionals beginning in 2022, and teaching hospitals, and applicable manufacturers and applicable group purchasing organizations to report annually to CMS ownership and investment interests held by physicians and their immediate family members.</w:t>
      </w:r>
    </w:p>
    <w:p>
      <w:pPr>
        <w:spacing w:after="0" w:line="17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or which require tracking gifts and other remuneration and items of value provided to physicians, other healthcare providers and entities; state and local laws that require the registration of pharmaceutical sales representatives. Violation of any of such laws or any other governmental regulations that apply may result in significant penalties, including, without limitation, administrative civil and criminal penalties, damages, disgorgement fines, additional reporting requirements and oversight obligations, contractual damages, the curtailment or restructuring of operations, exclusion from participation in governmental healthcare programs and imprisonment.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Data Privacy and Security Laws</w:t>
      </w:r>
    </w:p>
    <w:p>
      <w:pPr>
        <w:spacing w:after="0" w:line="104"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Pharmaceutical companies may be subject to domestic and foreign privacy, security and data breach notification laws, which are rapidly evolving in many jurisdictions worldwide. In the United States, federal and state health information laws may govern the collection, use, disclosure and protection of health-related and other personal information. HIPAA, as amended by the Health Information Technology for Economic and Clinical Health Act of 2009, and regulations implemented thereunder, which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 State laws may be more stringent, broader in scope or offer greater individual rights with respect to protected health information (PHI) than HIPAA and state laws may differ from each other, which may complicate compliance efforts. For example, California enacted the California Consumer Privacy Act (the CCPA) on June 28, 2018, which went into effect on January 1, 2020. The CCPA gives California residents expanded rights regarding their personal information. Although CCPA contains certain exemptions for health-related information, including PHI, uncertainties over how it applies and how our treatment of non-PHI personal information may be interpreted mean that the CCPA may ultimately increase our compliance costs and potential liability. Entities that are found to be in violation of HIPAA as the result of a breach of unsecured PHI, a complaint about privacy practices or an audit by the Department of Health and Human Services (HHS) may be subject to significant civil, criminal and administrative fines and penalties and/or additional reporting and oversight obligations if required to enter into a resolution agreement and corrective action plan with HHS to settle allegations of HIPAA non-compliance.</w:t>
      </w:r>
    </w:p>
    <w:p>
      <w:pPr>
        <w:spacing w:after="0" w:line="186" w:lineRule="exact"/>
        <w:rPr>
          <w:sz w:val="20"/>
          <w:szCs w:val="20"/>
          <w:color w:val="auto"/>
        </w:rPr>
      </w:pPr>
    </w:p>
    <w:p>
      <w:pPr>
        <w:ind w:left="120" w:right="240" w:firstLine="551"/>
        <w:spacing w:after="0" w:line="276" w:lineRule="auto"/>
        <w:rPr>
          <w:sz w:val="20"/>
          <w:szCs w:val="20"/>
          <w:color w:val="auto"/>
        </w:rPr>
      </w:pPr>
      <w:r>
        <w:rPr>
          <w:rFonts w:ascii="Arial" w:cs="Arial" w:eastAsia="Arial" w:hAnsi="Arial"/>
          <w:sz w:val="18"/>
          <w:szCs w:val="18"/>
          <w:color w:val="auto"/>
        </w:rPr>
        <w:t>European Union member states, the United Kingdom, Switzerland and other jurisdictions have also adopted data protection laws and regulations, which impose significant compliance obligations. In</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5" w:right="45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 European Economic Area (EEA) and the United Kingdom, the collection and use of personal data, including clinical trial data, is governed by the provisions of the General Data Protection Regulation (GDPR). The GDPR became effective on May 25, 2018, and imposes strict requirements for processing the personal data of individuals within the EEA and the United Kingdom. The GDPR, together with national legislation, regulations and guidelines of the European Union and EEA member states and the United Kingdom governing the processing of personal data, impose strict obligations and restrictions on the ability to collect, analyze and transfer personal data, including health data from clinical trials and adverse event reporting. In particular, these obligations and restrictions concern the consent of the individuals to whom the personal data relates, the information provided to the individuals, the transfer of personal data out of the EEA or the United Kingdom, security breach notifications, security and confidentiality of the personal data and imposition of substantial potential fines for breaches of the data protection obligations. The law is also developing rapidly and, in July 2020, the Court of Justice of the European Union limited how organizations could lawfully transfer personal data from the EU to the U.S. European data protection authorities may interpret the GDPR and national laws differently and impose additional requirements, which add to the complexity of processing personal data in or from the EEA or United Kingdom. Guidance on implementation and compliance practices are often updated or otherwise revised.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0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particularly for gene therapy products where the Centers for Medicare &amp; Medicaid Services (CMS) and other third-party payors in the United States have not yet established a uniform policy of coverage and reimbursement. Therefore, decisions.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and clinical support for the use of a product to each payor separately and can be a time-consuming process, with no assurance that coverage and adequate reimbursement will be applied consistently or obtained in the first instance.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180"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In addition, third-party payors are increasingly reducing reimbursements for pharmaceutical products and services. The U.S. government and state legislatures have continued implementing cost-containment programs, including price controls, restrictions on coverage and reimbursement and requirements for substitution of generic products. Third-party payors are more and more challenging the prices charged, examining the medical necessity and reviewing the cost 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w:t>
      </w:r>
    </w:p>
    <w:p>
      <w:pPr>
        <w:spacing w:after="0" w:line="179" w:lineRule="exact"/>
        <w:rPr>
          <w:sz w:val="20"/>
          <w:szCs w:val="20"/>
          <w:color w:val="auto"/>
        </w:rPr>
      </w:pPr>
    </w:p>
    <w:p>
      <w:pPr>
        <w:jc w:val="both"/>
        <w:ind w:left="120" w:right="240" w:firstLine="551"/>
        <w:spacing w:after="0" w:line="255" w:lineRule="auto"/>
        <w:rPr>
          <w:sz w:val="20"/>
          <w:szCs w:val="20"/>
          <w:color w:val="auto"/>
        </w:rPr>
      </w:pPr>
      <w:r>
        <w:rPr>
          <w:rFonts w:ascii="Arial" w:cs="Arial" w:eastAsia="Arial" w:hAnsi="Arial"/>
          <w:sz w:val="18"/>
          <w:szCs w:val="18"/>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20"/>
          </w:cols>
          <w:pgMar w:left="320" w:top="455" w:right="45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us placing the medicinal product on the market.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0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the United States and certain foreign jurisdictions, there have been, and we expect there will continue to be, a number of legislative and regulatory changes to the healthcare system. In March 2010, the Patient Protection and Affordable Care Act, as amended by the Health Care and Education Reconciliation Act (collectively the ACA) was signed into law, which substantially changed the way healthcare is financed by both governmental and private insurers in the United States. The ACA contains a number of provisions, including those governing enrollment in federal healthcare programs, reimbursement adjustments and fraud and abuse changes. Additionally, the ACA increased the minimum level of Medicaid rebates payable by manufacturers of brand name drugs from 15.1% to 23.1%; required collection of rebates for drugs paid by Medicaid managed care organizations;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created a new Patient-Centered Outcomes Research Institute to oversee, identify priorities in, and conduct comparative clinical effectiveness research, along with funding for such research; and established a Center for Medicare &amp; Medicaid Innovation at CMS to test innovative payment and service delivery models to lower Medicare and Medicaid spending, potentially including prescription drug spending.</w:t>
      </w:r>
    </w:p>
    <w:p>
      <w:pPr>
        <w:spacing w:after="0" w:line="180"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Since its enactment, there have been judicial and Congressional challenges to certain aspects of the ACA, and we expect there will be additional challenges and amendments to the ACA in the future. For example, in 2017, Congress enacted the Tax Cuts and Jobs Act, which eliminated the tax-based shared responsibility payment imposed by the ACA on certain individuals who fail to maintain qualifying health coverage for all or part of a year that is commonly referred to as the “individual mandate.” On December 14, 2018, a U.S. District Court Judge in the Northern District of Texas (the Texas District Court Judge), ruled that the individual mandate is a critical and inseverable feature of the ACA, and therefore, because it was repealed as part of the Tax Cuts and Jobs Act, the remaining provisions of the ACA are invalid as well. On March 2, 2020, the U.S. Supreme Court granted the petitions for writs of certiorari to review the case, although it is unclear when a decision will be made or how the Supreme Court will rule. It is also unclear how other efforts to challenge, repeal or replace the ACA will impact the ACA.</w:t>
      </w:r>
    </w:p>
    <w:p>
      <w:pPr>
        <w:spacing w:after="0" w:line="176" w:lineRule="exact"/>
        <w:rPr>
          <w:sz w:val="20"/>
          <w:szCs w:val="20"/>
          <w:color w:val="auto"/>
        </w:rPr>
      </w:pPr>
    </w:p>
    <w:p>
      <w:pPr>
        <w:ind w:left="120" w:right="140" w:firstLine="551"/>
        <w:spacing w:after="0" w:line="248" w:lineRule="auto"/>
        <w:rPr>
          <w:sz w:val="20"/>
          <w:szCs w:val="20"/>
          <w:color w:val="auto"/>
        </w:rPr>
      </w:pPr>
      <w:r>
        <w:rPr>
          <w:rFonts w:ascii="Arial" w:cs="Arial" w:eastAsia="Arial" w:hAnsi="Arial"/>
          <w:sz w:val="18"/>
          <w:szCs w:val="18"/>
          <w:color w:val="auto"/>
        </w:rPr>
        <w:t>Other legislative changes have been proposed and adopted since the ACA was enacted, including aggregate reductions of Medicare payments to providers of 2% per fiscal year and reduced payments to several types of Medicare providers, which will remain in effect through 2030, with the exception of a temporary suspension from May 1, 2020 through December 31, 2020, absent additional congressional action.</w:t>
      </w:r>
    </w:p>
    <w:p>
      <w:pPr>
        <w:spacing w:after="0" w:line="170" w:lineRule="exact"/>
        <w:rPr>
          <w:sz w:val="20"/>
          <w:szCs w:val="20"/>
          <w:color w:val="auto"/>
        </w:rPr>
      </w:pPr>
    </w:p>
    <w:p>
      <w:pPr>
        <w:ind w:left="120" w:right="240" w:firstLine="551"/>
        <w:spacing w:after="0" w:line="276" w:lineRule="auto"/>
        <w:rPr>
          <w:sz w:val="20"/>
          <w:szCs w:val="20"/>
          <w:color w:val="auto"/>
        </w:rPr>
      </w:pPr>
      <w:r>
        <w:rPr>
          <w:rFonts w:ascii="Arial" w:cs="Arial" w:eastAsia="Arial" w:hAnsi="Arial"/>
          <w:sz w:val="18"/>
          <w:szCs w:val="18"/>
          <w:color w:val="auto"/>
        </w:rPr>
        <w:t>Moreover, there has recently been heightened governmental scrutiny over the manner in which manufacturers set prices for their marketed products, which has resulted in several Congressional</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inquiries and proposed and enacted legislation designed, among other things, to bring more transparency to product pricing, review the relationship between pricing and manufacturer patient programs and reform government program reimbursement methodologies for pharmaceutical products.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Additionally, the Trump administration’s budget proposal for the fiscal year 2021 includes a $135 billion allowance to support legislative proposals seeking to reduce drug prices, increase competition, lower out-of-pocket drug costs for patients, and increase patient access to lower-cost generic and biosimilar drugs. Further, on July 24, 2020, the Trump administration announced four executive orders related to prescription drug pricing that attempt to implement several of the administration’s proposals. While some existing measures may require additional authorization to become effective, Congress and the Trump administration have each indicated that it will continue to seek new legislative and/or administrative measures to control drug costs.</w:t>
      </w:r>
    </w:p>
    <w:p>
      <w:pPr>
        <w:spacing w:after="0" w:line="176"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Furthermore, there has been increased interest by third-party payors and governmental authorities in reference pricing systems and publication of discounts and list prices.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 and Human Capital</w:t>
      </w:r>
    </w:p>
    <w:p>
      <w:pPr>
        <w:spacing w:after="0" w:line="106"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As of September 30, 2020, we had 78 full-time employees. Of these employees, 56 are engaged in research and development. Our employees are not represented by labor unions or covered by collective bargaining agreements. We consider our relationship with our employees to be good.</w:t>
      </w:r>
    </w:p>
    <w:p>
      <w:pPr>
        <w:spacing w:after="0" w:line="164" w:lineRule="exact"/>
        <w:rPr>
          <w:sz w:val="20"/>
          <w:szCs w:val="20"/>
          <w:color w:val="auto"/>
        </w:rPr>
      </w:pPr>
    </w:p>
    <w:p>
      <w:pPr>
        <w:ind w:left="120" w:right="360" w:firstLine="551"/>
        <w:spacing w:after="0" w:line="248"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06" w:lineRule="exact"/>
        <w:rPr>
          <w:sz w:val="20"/>
          <w:szCs w:val="20"/>
          <w:color w:val="auto"/>
        </w:rPr>
      </w:pPr>
    </w:p>
    <w:p>
      <w:pPr>
        <w:ind w:left="120" w:right="200" w:firstLine="551"/>
        <w:spacing w:after="0" w:line="255" w:lineRule="auto"/>
        <w:rPr>
          <w:sz w:val="20"/>
          <w:szCs w:val="20"/>
          <w:color w:val="auto"/>
        </w:rPr>
      </w:pPr>
      <w:r>
        <w:rPr>
          <w:rFonts w:ascii="Arial" w:cs="Arial" w:eastAsia="Arial" w:hAnsi="Arial"/>
          <w:sz w:val="18"/>
          <w:szCs w:val="18"/>
          <w:color w:val="auto"/>
        </w:rPr>
        <w:t>We lease approximately 51,000 square feet of office and laboratory space in Emeryville, California under leases that expire in September 2026 and December 2029. We believe that our facilities are adequate to meet our current needs, and that suitable additional alternative spaces will be available in the future on commercially reasonable terms, if required.</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20"/>
          </w:cols>
          <w:pgMar w:left="320" w:top="455" w:right="45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06"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are not currently a party to any material legal proceedings. We may, however, in the ordinary course of business face various claims brought by third parties and we may, from time to time, make claims or take legal actions to assert our rights, including intellectual property rights as well as claims relating to employment matters and the safety or efficacy of our products. Any of these claims could subject us to costly litigation and, while we generally believe that we have adequate insurance to cover many different types of liabilities,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operations, cash flows and financial position. Additionally, any such claims, whether or not successful, could damage our reputation and business.</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020"/>
          </w:cols>
          <w:pgMar w:left="320" w:top="455" w:right="55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November 13, 2020:</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1980" w:type="dxa"/>
            <w:vAlign w:val="bottom"/>
          </w:tcPr>
          <w:p>
            <w:pPr>
              <w:spacing w:after="0"/>
              <w:rPr>
                <w:sz w:val="15"/>
                <w:szCs w:val="15"/>
                <w:color w:val="auto"/>
              </w:rPr>
            </w:pPr>
          </w:p>
        </w:tc>
        <w:tc>
          <w:tcPr>
            <w:tcW w:w="400" w:type="dxa"/>
            <w:vAlign w:val="bottom"/>
          </w:tcPr>
          <w:p>
            <w:pPr>
              <w:spacing w:after="0"/>
              <w:rPr>
                <w:sz w:val="20"/>
                <w:szCs w:val="20"/>
                <w:color w:val="auto"/>
              </w:rPr>
            </w:pPr>
            <w:r>
              <w:rPr>
                <w:rFonts w:ascii="Arial" w:cs="Arial" w:eastAsia="Arial" w:hAnsi="Arial"/>
                <w:sz w:val="14"/>
                <w:szCs w:val="14"/>
                <w:b w:val="1"/>
                <w:bCs w:val="1"/>
                <w:color w:val="auto"/>
                <w:w w:val="99"/>
              </w:rPr>
              <w:t>Name</w:t>
            </w:r>
          </w:p>
        </w:tc>
        <w:tc>
          <w:tcPr>
            <w:tcW w:w="2200" w:type="dxa"/>
            <w:vAlign w:val="bottom"/>
          </w:tcPr>
          <w:p>
            <w:pPr>
              <w:spacing w:after="0"/>
              <w:rPr>
                <w:sz w:val="15"/>
                <w:szCs w:val="15"/>
                <w:color w:val="auto"/>
              </w:rPr>
            </w:pPr>
          </w:p>
        </w:tc>
        <w:tc>
          <w:tcPr>
            <w:tcW w:w="280" w:type="dxa"/>
            <w:vAlign w:val="bottom"/>
          </w:tcPr>
          <w:p>
            <w:pPr>
              <w:jc w:val="center"/>
              <w:spacing w:after="0"/>
              <w:rPr>
                <w:sz w:val="20"/>
                <w:szCs w:val="20"/>
                <w:color w:val="auto"/>
              </w:rPr>
            </w:pPr>
            <w:r>
              <w:rPr>
                <w:rFonts w:ascii="Arial" w:cs="Arial" w:eastAsia="Arial" w:hAnsi="Arial"/>
                <w:sz w:val="14"/>
                <w:szCs w:val="14"/>
                <w:b w:val="1"/>
                <w:bCs w:val="1"/>
                <w:color w:val="auto"/>
              </w:rPr>
              <w:t>Age</w:t>
            </w:r>
          </w:p>
        </w:tc>
        <w:tc>
          <w:tcPr>
            <w:tcW w:w="2840" w:type="dxa"/>
            <w:vAlign w:val="bottom"/>
          </w:tcPr>
          <w:p>
            <w:pPr>
              <w:spacing w:after="0"/>
              <w:rPr>
                <w:sz w:val="15"/>
                <w:szCs w:val="15"/>
                <w:color w:val="auto"/>
              </w:rPr>
            </w:pPr>
          </w:p>
        </w:tc>
        <w:tc>
          <w:tcPr>
            <w:tcW w:w="3320" w:type="dxa"/>
            <w:vAlign w:val="bottom"/>
            <w:gridSpan w:val="2"/>
          </w:tcPr>
          <w:p>
            <w:pPr>
              <w:spacing w:after="0"/>
              <w:rPr>
                <w:sz w:val="20"/>
                <w:szCs w:val="20"/>
                <w:color w:val="auto"/>
              </w:rPr>
            </w:pPr>
            <w:r>
              <w:rPr>
                <w:rFonts w:ascii="Arial" w:cs="Arial" w:eastAsia="Arial" w:hAnsi="Arial"/>
                <w:sz w:val="14"/>
                <w:szCs w:val="14"/>
                <w:b w:val="1"/>
                <w:bCs w:val="1"/>
                <w:color w:val="auto"/>
              </w:rPr>
              <w:t>Position(s)</w:t>
            </w:r>
          </w:p>
        </w:tc>
      </w:tr>
      <w:tr>
        <w:trPr>
          <w:trHeight w:val="20"/>
        </w:trPr>
        <w:tc>
          <w:tcPr>
            <w:tcW w:w="1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45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Executive Officers and Employee Directors</w:t>
            </w:r>
          </w:p>
        </w:tc>
        <w:tc>
          <w:tcPr>
            <w:tcW w:w="28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r>
      <w:tr>
        <w:trPr>
          <w:trHeight w:val="203"/>
        </w:trPr>
        <w:tc>
          <w:tcPr>
            <w:tcW w:w="4580" w:type="dxa"/>
            <w:vAlign w:val="bottom"/>
            <w:gridSpan w:val="3"/>
          </w:tcPr>
          <w:p>
            <w:pPr>
              <w:spacing w:after="0" w:line="202" w:lineRule="exact"/>
              <w:rPr>
                <w:sz w:val="20"/>
                <w:szCs w:val="20"/>
                <w:color w:val="auto"/>
              </w:rPr>
            </w:pPr>
            <w:r>
              <w:rPr>
                <w:rFonts w:ascii="Arial" w:cs="Arial" w:eastAsia="Arial" w:hAnsi="Arial"/>
                <w:sz w:val="18"/>
                <w:szCs w:val="18"/>
                <w:color w:val="auto"/>
              </w:rPr>
              <w:t>David Kirn, M.D.</w:t>
            </w:r>
          </w:p>
        </w:tc>
        <w:tc>
          <w:tcPr>
            <w:tcW w:w="280" w:type="dxa"/>
            <w:vAlign w:val="bottom"/>
          </w:tcPr>
          <w:p>
            <w:pPr>
              <w:jc w:val="center"/>
              <w:spacing w:after="0" w:line="202" w:lineRule="exact"/>
              <w:rPr>
                <w:sz w:val="20"/>
                <w:szCs w:val="20"/>
                <w:color w:val="auto"/>
              </w:rPr>
            </w:pPr>
            <w:r>
              <w:rPr>
                <w:rFonts w:ascii="Arial" w:cs="Arial" w:eastAsia="Arial" w:hAnsi="Arial"/>
                <w:sz w:val="18"/>
                <w:szCs w:val="18"/>
                <w:color w:val="auto"/>
                <w:w w:val="99"/>
              </w:rPr>
              <w:t>58</w:t>
            </w:r>
          </w:p>
        </w:tc>
        <w:tc>
          <w:tcPr>
            <w:tcW w:w="6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Chief Executive Officer and Director</w:t>
            </w:r>
          </w:p>
        </w:tc>
      </w:tr>
      <w:tr>
        <w:trPr>
          <w:trHeight w:val="203"/>
        </w:trPr>
        <w:tc>
          <w:tcPr>
            <w:tcW w:w="45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August Moretti</w:t>
            </w:r>
          </w:p>
        </w:tc>
        <w:tc>
          <w:tcPr>
            <w:tcW w:w="2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70</w:t>
            </w:r>
          </w:p>
        </w:tc>
        <w:tc>
          <w:tcPr>
            <w:tcW w:w="6160" w:type="dxa"/>
            <w:vAlign w:val="bottom"/>
            <w:gridSpan w:val="3"/>
            <w:shd w:val="clear" w:color="auto" w:fill="CCEEFF"/>
          </w:tcPr>
          <w:p>
            <w:pPr>
              <w:ind w:left="260"/>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4580" w:type="dxa"/>
            <w:vAlign w:val="bottom"/>
            <w:gridSpan w:val="3"/>
          </w:tcPr>
          <w:p>
            <w:pPr>
              <w:spacing w:after="0" w:line="202" w:lineRule="exact"/>
              <w:rPr>
                <w:sz w:val="20"/>
                <w:szCs w:val="20"/>
                <w:color w:val="auto"/>
              </w:rPr>
            </w:pPr>
            <w:r>
              <w:rPr>
                <w:rFonts w:ascii="Arial" w:cs="Arial" w:eastAsia="Arial" w:hAnsi="Arial"/>
                <w:sz w:val="18"/>
                <w:szCs w:val="18"/>
                <w:color w:val="auto"/>
              </w:rPr>
              <w:t>Theresa Janke</w:t>
            </w:r>
          </w:p>
        </w:tc>
        <w:tc>
          <w:tcPr>
            <w:tcW w:w="280" w:type="dxa"/>
            <w:vAlign w:val="bottom"/>
          </w:tcPr>
          <w:p>
            <w:pPr>
              <w:jc w:val="center"/>
              <w:spacing w:after="0" w:line="202" w:lineRule="exact"/>
              <w:rPr>
                <w:sz w:val="20"/>
                <w:szCs w:val="20"/>
                <w:color w:val="auto"/>
              </w:rPr>
            </w:pPr>
            <w:r>
              <w:rPr>
                <w:rFonts w:ascii="Arial" w:cs="Arial" w:eastAsia="Arial" w:hAnsi="Arial"/>
                <w:sz w:val="18"/>
                <w:szCs w:val="18"/>
                <w:color w:val="auto"/>
                <w:w w:val="99"/>
              </w:rPr>
              <w:t>46</w:t>
            </w:r>
          </w:p>
        </w:tc>
        <w:tc>
          <w:tcPr>
            <w:tcW w:w="6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Chief Strategy Officer</w:t>
            </w:r>
          </w:p>
        </w:tc>
      </w:tr>
      <w:tr>
        <w:trPr>
          <w:trHeight w:val="203"/>
        </w:trPr>
        <w:tc>
          <w:tcPr>
            <w:tcW w:w="45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Peter Francis, M.D., Ph.D.</w:t>
            </w:r>
          </w:p>
        </w:tc>
        <w:tc>
          <w:tcPr>
            <w:tcW w:w="2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52</w:t>
            </w:r>
          </w:p>
        </w:tc>
        <w:tc>
          <w:tcPr>
            <w:tcW w:w="6160" w:type="dxa"/>
            <w:vAlign w:val="bottom"/>
            <w:gridSpan w:val="3"/>
            <w:shd w:val="clear" w:color="auto" w:fill="CCEEFF"/>
          </w:tcPr>
          <w:p>
            <w:pPr>
              <w:ind w:left="260"/>
              <w:spacing w:after="0" w:line="202" w:lineRule="exact"/>
              <w:rPr>
                <w:sz w:val="20"/>
                <w:szCs w:val="20"/>
                <w:color w:val="auto"/>
              </w:rPr>
            </w:pPr>
            <w:r>
              <w:rPr>
                <w:rFonts w:ascii="Arial" w:cs="Arial" w:eastAsia="Arial" w:hAnsi="Arial"/>
                <w:sz w:val="18"/>
                <w:szCs w:val="18"/>
                <w:color w:val="auto"/>
              </w:rPr>
              <w:t>Chief Scientific Officer</w:t>
            </w:r>
          </w:p>
        </w:tc>
      </w:tr>
      <w:tr>
        <w:trPr>
          <w:trHeight w:val="203"/>
        </w:trPr>
        <w:tc>
          <w:tcPr>
            <w:tcW w:w="4580" w:type="dxa"/>
            <w:vAlign w:val="bottom"/>
            <w:gridSpan w:val="3"/>
          </w:tcPr>
          <w:p>
            <w:pPr>
              <w:spacing w:after="0" w:line="202" w:lineRule="exact"/>
              <w:rPr>
                <w:sz w:val="20"/>
                <w:szCs w:val="20"/>
                <w:color w:val="auto"/>
              </w:rPr>
            </w:pPr>
            <w:r>
              <w:rPr>
                <w:rFonts w:ascii="Arial" w:cs="Arial" w:eastAsia="Arial" w:hAnsi="Arial"/>
                <w:sz w:val="18"/>
                <w:szCs w:val="18"/>
                <w:color w:val="auto"/>
              </w:rPr>
              <w:t>Fred Kamal, Ph.D.</w:t>
            </w:r>
          </w:p>
        </w:tc>
        <w:tc>
          <w:tcPr>
            <w:tcW w:w="280" w:type="dxa"/>
            <w:vAlign w:val="bottom"/>
          </w:tcPr>
          <w:p>
            <w:pPr>
              <w:jc w:val="center"/>
              <w:spacing w:after="0" w:line="202" w:lineRule="exact"/>
              <w:rPr>
                <w:sz w:val="20"/>
                <w:szCs w:val="20"/>
                <w:color w:val="auto"/>
              </w:rPr>
            </w:pPr>
            <w:r>
              <w:rPr>
                <w:rFonts w:ascii="Arial" w:cs="Arial" w:eastAsia="Arial" w:hAnsi="Arial"/>
                <w:sz w:val="18"/>
                <w:szCs w:val="18"/>
                <w:color w:val="auto"/>
                <w:w w:val="99"/>
              </w:rPr>
              <w:t>58</w:t>
            </w:r>
          </w:p>
        </w:tc>
        <w:tc>
          <w:tcPr>
            <w:tcW w:w="6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Chief Operating Officer and Chief Technical Officer</w:t>
            </w:r>
          </w:p>
        </w:tc>
      </w:tr>
      <w:tr>
        <w:trPr>
          <w:trHeight w:val="203"/>
        </w:trPr>
        <w:tc>
          <w:tcPr>
            <w:tcW w:w="45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Robert Fishman, M.D.</w:t>
            </w:r>
          </w:p>
        </w:tc>
        <w:tc>
          <w:tcPr>
            <w:tcW w:w="2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58</w:t>
            </w:r>
          </w:p>
        </w:tc>
        <w:tc>
          <w:tcPr>
            <w:tcW w:w="6160" w:type="dxa"/>
            <w:vAlign w:val="bottom"/>
            <w:gridSpan w:val="3"/>
            <w:shd w:val="clear" w:color="auto" w:fill="CCEEFF"/>
          </w:tcPr>
          <w:p>
            <w:pPr>
              <w:ind w:left="260"/>
              <w:spacing w:after="0" w:line="202" w:lineRule="exact"/>
              <w:rPr>
                <w:sz w:val="20"/>
                <w:szCs w:val="20"/>
                <w:color w:val="auto"/>
              </w:rPr>
            </w:pPr>
            <w:r>
              <w:rPr>
                <w:rFonts w:ascii="Arial" w:cs="Arial" w:eastAsia="Arial" w:hAnsi="Arial"/>
                <w:sz w:val="18"/>
                <w:szCs w:val="18"/>
                <w:color w:val="auto"/>
              </w:rPr>
              <w:t>Chief Medical Officer</w:t>
            </w:r>
          </w:p>
        </w:tc>
      </w:tr>
      <w:tr>
        <w:trPr>
          <w:trHeight w:val="310"/>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Non-Employee Directors</w:t>
            </w:r>
          </w:p>
        </w:tc>
        <w:tc>
          <w:tcPr>
            <w:tcW w:w="2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03"/>
        </w:trPr>
        <w:tc>
          <w:tcPr>
            <w:tcW w:w="45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John F. Milligan, Ph.D.</w:t>
            </w:r>
          </w:p>
        </w:tc>
        <w:tc>
          <w:tcPr>
            <w:tcW w:w="2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59</w:t>
            </w:r>
          </w:p>
        </w:tc>
        <w:tc>
          <w:tcPr>
            <w:tcW w:w="6160" w:type="dxa"/>
            <w:vAlign w:val="bottom"/>
            <w:gridSpan w:val="3"/>
            <w:shd w:val="clear" w:color="auto" w:fill="CCEEFF"/>
          </w:tcPr>
          <w:p>
            <w:pPr>
              <w:ind w:left="260"/>
              <w:spacing w:after="0" w:line="202" w:lineRule="exact"/>
              <w:rPr>
                <w:sz w:val="20"/>
                <w:szCs w:val="20"/>
                <w:color w:val="auto"/>
              </w:rPr>
            </w:pPr>
            <w:r>
              <w:rPr>
                <w:rFonts w:ascii="Arial" w:cs="Arial" w:eastAsia="Arial" w:hAnsi="Arial"/>
                <w:sz w:val="18"/>
                <w:szCs w:val="18"/>
                <w:color w:val="auto"/>
              </w:rPr>
              <w:t>Executive Chairman</w:t>
            </w:r>
          </w:p>
        </w:tc>
      </w:tr>
      <w:tr>
        <w:trPr>
          <w:trHeight w:val="203"/>
        </w:trPr>
        <w:tc>
          <w:tcPr>
            <w:tcW w:w="4580" w:type="dxa"/>
            <w:vAlign w:val="bottom"/>
            <w:gridSpan w:val="3"/>
          </w:tcPr>
          <w:p>
            <w:pPr>
              <w:spacing w:after="0" w:line="202" w:lineRule="exact"/>
              <w:rPr>
                <w:sz w:val="20"/>
                <w:szCs w:val="20"/>
                <w:color w:val="auto"/>
              </w:rPr>
            </w:pPr>
            <w:r>
              <w:rPr>
                <w:rFonts w:ascii="Arial" w:cs="Arial" w:eastAsia="Arial" w:hAnsi="Arial"/>
                <w:sz w:val="18"/>
                <w:szCs w:val="18"/>
                <w:color w:val="auto"/>
              </w:rPr>
              <w:t>William Burkoth, MBA(1)(2)</w:t>
            </w:r>
          </w:p>
        </w:tc>
        <w:tc>
          <w:tcPr>
            <w:tcW w:w="280" w:type="dxa"/>
            <w:vAlign w:val="bottom"/>
          </w:tcPr>
          <w:p>
            <w:pPr>
              <w:jc w:val="center"/>
              <w:spacing w:after="0" w:line="202" w:lineRule="exact"/>
              <w:rPr>
                <w:sz w:val="20"/>
                <w:szCs w:val="20"/>
                <w:color w:val="auto"/>
              </w:rPr>
            </w:pPr>
            <w:r>
              <w:rPr>
                <w:rFonts w:ascii="Arial" w:cs="Arial" w:eastAsia="Arial" w:hAnsi="Arial"/>
                <w:sz w:val="18"/>
                <w:szCs w:val="18"/>
                <w:color w:val="auto"/>
                <w:w w:val="99"/>
              </w:rPr>
              <w:t>44</w:t>
            </w:r>
          </w:p>
        </w:tc>
        <w:tc>
          <w:tcPr>
            <w:tcW w:w="6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45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Jacob Chacko, M.D., MBA(2)</w:t>
            </w:r>
          </w:p>
        </w:tc>
        <w:tc>
          <w:tcPr>
            <w:tcW w:w="2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42</w:t>
            </w:r>
          </w:p>
        </w:tc>
        <w:tc>
          <w:tcPr>
            <w:tcW w:w="6160" w:type="dxa"/>
            <w:vAlign w:val="bottom"/>
            <w:gridSpan w:val="3"/>
            <w:shd w:val="clear" w:color="auto" w:fill="CCEEFF"/>
          </w:tcPr>
          <w:p>
            <w:pPr>
              <w:ind w:left="26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4580" w:type="dxa"/>
            <w:vAlign w:val="bottom"/>
            <w:gridSpan w:val="3"/>
          </w:tcPr>
          <w:p>
            <w:pPr>
              <w:spacing w:after="0" w:line="202" w:lineRule="exact"/>
              <w:rPr>
                <w:sz w:val="20"/>
                <w:szCs w:val="20"/>
                <w:color w:val="auto"/>
              </w:rPr>
            </w:pPr>
            <w:r>
              <w:rPr>
                <w:rFonts w:ascii="Arial" w:cs="Arial" w:eastAsia="Arial" w:hAnsi="Arial"/>
                <w:sz w:val="18"/>
                <w:szCs w:val="18"/>
                <w:color w:val="auto"/>
              </w:rPr>
              <w:t>Susannah Gray, MBA(1)(2)</w:t>
            </w:r>
          </w:p>
        </w:tc>
        <w:tc>
          <w:tcPr>
            <w:tcW w:w="280" w:type="dxa"/>
            <w:vAlign w:val="bottom"/>
          </w:tcPr>
          <w:p>
            <w:pPr>
              <w:jc w:val="center"/>
              <w:spacing w:after="0" w:line="202" w:lineRule="exact"/>
              <w:rPr>
                <w:sz w:val="20"/>
                <w:szCs w:val="20"/>
                <w:color w:val="auto"/>
              </w:rPr>
            </w:pPr>
            <w:r>
              <w:rPr>
                <w:rFonts w:ascii="Arial" w:cs="Arial" w:eastAsia="Arial" w:hAnsi="Arial"/>
                <w:sz w:val="18"/>
                <w:szCs w:val="18"/>
                <w:color w:val="auto"/>
                <w:w w:val="99"/>
              </w:rPr>
              <w:t>60</w:t>
            </w:r>
          </w:p>
        </w:tc>
        <w:tc>
          <w:tcPr>
            <w:tcW w:w="6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45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Nancy Miller-Rich(1)(4)</w:t>
            </w:r>
          </w:p>
        </w:tc>
        <w:tc>
          <w:tcPr>
            <w:tcW w:w="2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61</w:t>
            </w:r>
          </w:p>
        </w:tc>
        <w:tc>
          <w:tcPr>
            <w:tcW w:w="6160" w:type="dxa"/>
            <w:vAlign w:val="bottom"/>
            <w:gridSpan w:val="3"/>
            <w:shd w:val="clear" w:color="auto" w:fill="CCEEFF"/>
          </w:tcPr>
          <w:p>
            <w:pPr>
              <w:ind w:left="26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4580" w:type="dxa"/>
            <w:vAlign w:val="bottom"/>
            <w:gridSpan w:val="3"/>
          </w:tcPr>
          <w:p>
            <w:pPr>
              <w:spacing w:after="0" w:line="202" w:lineRule="exact"/>
              <w:rPr>
                <w:sz w:val="20"/>
                <w:szCs w:val="20"/>
                <w:color w:val="auto"/>
              </w:rPr>
            </w:pPr>
            <w:r>
              <w:rPr>
                <w:rFonts w:ascii="Arial" w:cs="Arial" w:eastAsia="Arial" w:hAnsi="Arial"/>
                <w:sz w:val="18"/>
                <w:szCs w:val="18"/>
                <w:color w:val="auto"/>
              </w:rPr>
              <w:t>David Schaffer, Ph.D.(3)(4)</w:t>
            </w:r>
          </w:p>
        </w:tc>
        <w:tc>
          <w:tcPr>
            <w:tcW w:w="280" w:type="dxa"/>
            <w:vAlign w:val="bottom"/>
          </w:tcPr>
          <w:p>
            <w:pPr>
              <w:jc w:val="center"/>
              <w:spacing w:after="0" w:line="202" w:lineRule="exact"/>
              <w:rPr>
                <w:sz w:val="20"/>
                <w:szCs w:val="20"/>
                <w:color w:val="auto"/>
              </w:rPr>
            </w:pPr>
            <w:r>
              <w:rPr>
                <w:rFonts w:ascii="Arial" w:cs="Arial" w:eastAsia="Arial" w:hAnsi="Arial"/>
                <w:sz w:val="18"/>
                <w:szCs w:val="18"/>
                <w:color w:val="auto"/>
                <w:w w:val="99"/>
              </w:rPr>
              <w:t>49</w:t>
            </w:r>
          </w:p>
        </w:tc>
        <w:tc>
          <w:tcPr>
            <w:tcW w:w="6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Director and Chief Scientific Advisor</w:t>
            </w:r>
          </w:p>
        </w:tc>
      </w:tr>
      <w:tr>
        <w:trPr>
          <w:trHeight w:val="203"/>
        </w:trPr>
        <w:tc>
          <w:tcPr>
            <w:tcW w:w="45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Charles Theuer, M.D., Ph.D.(2)(3)(4)</w:t>
            </w:r>
          </w:p>
        </w:tc>
        <w:tc>
          <w:tcPr>
            <w:tcW w:w="2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57</w:t>
            </w:r>
          </w:p>
        </w:tc>
        <w:tc>
          <w:tcPr>
            <w:tcW w:w="6160" w:type="dxa"/>
            <w:vAlign w:val="bottom"/>
            <w:gridSpan w:val="3"/>
            <w:shd w:val="clear" w:color="auto" w:fill="CCEEFF"/>
          </w:tcPr>
          <w:p>
            <w:pPr>
              <w:ind w:left="26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4580" w:type="dxa"/>
            <w:vAlign w:val="bottom"/>
            <w:gridSpan w:val="3"/>
          </w:tcPr>
          <w:p>
            <w:pPr>
              <w:spacing w:after="0" w:line="202" w:lineRule="exact"/>
              <w:rPr>
                <w:sz w:val="20"/>
                <w:szCs w:val="20"/>
                <w:color w:val="auto"/>
              </w:rPr>
            </w:pPr>
            <w:r>
              <w:rPr>
                <w:rFonts w:ascii="Arial" w:cs="Arial" w:eastAsia="Arial" w:hAnsi="Arial"/>
                <w:sz w:val="18"/>
                <w:szCs w:val="18"/>
                <w:color w:val="auto"/>
              </w:rPr>
              <w:t>Shawn Cline Tomasello, MBA(1)(3)</w:t>
            </w:r>
          </w:p>
        </w:tc>
        <w:tc>
          <w:tcPr>
            <w:tcW w:w="280" w:type="dxa"/>
            <w:vAlign w:val="bottom"/>
          </w:tcPr>
          <w:p>
            <w:pPr>
              <w:jc w:val="center"/>
              <w:spacing w:after="0" w:line="202" w:lineRule="exact"/>
              <w:rPr>
                <w:sz w:val="20"/>
                <w:szCs w:val="20"/>
                <w:color w:val="auto"/>
              </w:rPr>
            </w:pPr>
            <w:r>
              <w:rPr>
                <w:rFonts w:ascii="Arial" w:cs="Arial" w:eastAsia="Arial" w:hAnsi="Arial"/>
                <w:sz w:val="18"/>
                <w:szCs w:val="18"/>
                <w:color w:val="auto"/>
                <w:w w:val="99"/>
              </w:rPr>
              <w:t>62</w:t>
            </w:r>
          </w:p>
        </w:tc>
        <w:tc>
          <w:tcPr>
            <w:tcW w:w="61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45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Tony Yao, M.D., Ph.D.(1)(4)</w:t>
            </w:r>
          </w:p>
        </w:tc>
        <w:tc>
          <w:tcPr>
            <w:tcW w:w="2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48</w:t>
            </w:r>
          </w:p>
        </w:tc>
        <w:tc>
          <w:tcPr>
            <w:tcW w:w="6160" w:type="dxa"/>
            <w:vAlign w:val="bottom"/>
            <w:gridSpan w:val="3"/>
            <w:shd w:val="clear" w:color="auto" w:fill="CCEEFF"/>
          </w:tcPr>
          <w:p>
            <w:pPr>
              <w:ind w:left="260"/>
              <w:spacing w:after="0" w:line="202" w:lineRule="exact"/>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hanging="424"/>
        <w:spacing w:after="0"/>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17" w:lineRule="exact"/>
        <w:rPr>
          <w:rFonts w:ascii="Arial" w:cs="Arial" w:eastAsia="Arial" w:hAnsi="Arial"/>
          <w:sz w:val="18"/>
          <w:szCs w:val="18"/>
          <w:color w:val="auto"/>
        </w:rPr>
      </w:pPr>
    </w:p>
    <w:p>
      <w:pPr>
        <w:ind w:left="540" w:hanging="424"/>
        <w:spacing w:after="0" w:line="234" w:lineRule="auto"/>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Member of audit committee.</w:t>
      </w:r>
    </w:p>
    <w:p>
      <w:pPr>
        <w:ind w:left="540" w:hanging="424"/>
        <w:spacing w:after="0" w:line="234" w:lineRule="auto"/>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Member of nominating and corporate governance committee.</w:t>
      </w:r>
    </w:p>
    <w:p>
      <w:pPr>
        <w:ind w:left="540" w:hanging="424"/>
        <w:spacing w:after="0"/>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Member of the science and technology committee.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Employee Directors</w:t>
      </w:r>
    </w:p>
    <w:p>
      <w:pPr>
        <w:spacing w:after="0" w:line="106"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i w:val="1"/>
          <w:iCs w:val="1"/>
          <w:color w:val="auto"/>
        </w:rPr>
        <w:t xml:space="preserve">David Kirn, M.D., </w:t>
      </w:r>
      <w:r>
        <w:rPr>
          <w:rFonts w:ascii="Arial" w:cs="Arial" w:eastAsia="Arial" w:hAnsi="Arial"/>
          <w:sz w:val="18"/>
          <w:szCs w:val="18"/>
          <w:color w:val="auto"/>
        </w:rPr>
        <w:t>is our co-founder and has served as our Chief Executive Officer and served on our board of directors since our</w:t>
      </w:r>
      <w:r>
        <w:rPr>
          <w:rFonts w:ascii="Arial" w:cs="Arial" w:eastAsia="Arial" w:hAnsi="Arial"/>
          <w:sz w:val="18"/>
          <w:szCs w:val="18"/>
          <w:i w:val="1"/>
          <w:iCs w:val="1"/>
          <w:color w:val="auto"/>
        </w:rPr>
        <w:t xml:space="preserve"> </w:t>
      </w:r>
      <w:r>
        <w:rPr>
          <w:rFonts w:ascii="Arial" w:cs="Arial" w:eastAsia="Arial" w:hAnsi="Arial"/>
          <w:sz w:val="18"/>
          <w:szCs w:val="18"/>
          <w:color w:val="auto"/>
        </w:rPr>
        <w:t>inception in 2013. Dr. Kirn previously served as the Executive Chairman of our board until August 2020 when John Milligan, Ph.D. assumed the position. Dr. Kirn is an Adjunct Professor of Bioengineering at U.C. Berkeley. He previously served as Executive Chairman of the board of Ignite Immunotherapy Inc., where he was a co-founder. Dr. Kirn held senior development positions at Onyx Pharmaceuticals and Celgene, and he was a senior advisor on viral vector gene therapeutics and cancer immunotherapy for over 10 years with numerous companies, including Biogen Idec, Novartis, Cell Genesys, Pfizer and Bayer. Dr. Kirn received a B.A. in Physiology (Departmental Citation; Phi Beta Kappa) from U.C. Berkeley in 1985, an M.D. (Alpha Omega Alpha) from U.C. San Francisco Medical School in 1989 and completed internal medicine residency training at Harvard Medical School, Brigham and Women’s Hospital (including a term as Chief Medical Resident at affiliated VA hospital). He has also completed hematology-oncology and clinical research fellowships at U.C. San Francisco and completed a certificate of business excellence from the Haas Business School at U.C. Berkeley. In 2013, he was awarded the Johnson &amp; Johnson Entrepreneur Innovator award from the J&amp;J Innovation Center. We believe that Dr. Kirn is qualified to serve as a member of our board of directors based on his perspective and the experience he brings as one of our founders and Chief Executive Officer, and because of his extensive experience at other life science companies.</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40"/>
          </w:cols>
          <w:pgMar w:left="320" w:top="455" w:right="43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firstLine="551"/>
        <w:spacing w:after="0" w:line="241" w:lineRule="auto"/>
        <w:rPr>
          <w:sz w:val="20"/>
          <w:szCs w:val="20"/>
          <w:color w:val="auto"/>
        </w:rPr>
      </w:pPr>
      <w:r>
        <w:rPr>
          <w:rFonts w:ascii="Arial" w:cs="Arial" w:eastAsia="Arial" w:hAnsi="Arial"/>
          <w:sz w:val="18"/>
          <w:szCs w:val="18"/>
          <w:i w:val="1"/>
          <w:iCs w:val="1"/>
          <w:color w:val="auto"/>
        </w:rPr>
        <w:t xml:space="preserve">August Moretti </w:t>
      </w:r>
      <w:r>
        <w:rPr>
          <w:rFonts w:ascii="Arial" w:cs="Arial" w:eastAsia="Arial" w:hAnsi="Arial"/>
          <w:sz w:val="18"/>
          <w:szCs w:val="18"/>
          <w:color w:val="auto"/>
        </w:rPr>
        <w:t>has served as our Chief Financial Officer since January 2019. Mr. Moretti previously served as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at Assertio Therapeutics (formerly Depomed, Inc.), a publicly held specialty pharmaceuticals company focused in pain and neurology, from January 2012 until August 2018. From 2004 to December 2011, Mr. Moretti served as Chief Financial Officer and Senior Vice President of Alexza Pharmaceuticals, Inc., a publicly-held pharmaceutical company. From 2001 to 2004, Mr. Moretti served as Chief Financial Officer and General Counsel of Alavita, Inc., a privately held personalized medicine company. From 1982 to 2000 Mr. Moretti was a partner in an international law firm. Mr. Moretti received his B.A. in Economics from Princeton University in 1972. He received his J.D. from Harvard Law School in 1975.</w:t>
      </w:r>
    </w:p>
    <w:p>
      <w:pPr>
        <w:spacing w:after="0" w:line="179"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i w:val="1"/>
          <w:iCs w:val="1"/>
          <w:color w:val="auto"/>
        </w:rPr>
        <w:t xml:space="preserve">Theresa Janke </w:t>
      </w:r>
      <w:r>
        <w:rPr>
          <w:rFonts w:ascii="Arial" w:cs="Arial" w:eastAsia="Arial" w:hAnsi="Arial"/>
          <w:sz w:val="18"/>
          <w:szCs w:val="18"/>
          <w:color w:val="auto"/>
        </w:rPr>
        <w:t>is a co-founder and has served in positions of increasing responsibility since our inception. She served as our Chief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Officer from April 2018 until February 2020, at which point she began serving as our Chief Strategy Officer. Ms. Janke previously served in various consulting roles in 2013-2014 including: Senior Director of Corporate Projects &amp; Alliance Management at SillaJen, Inc. (formerly Jennerex Biotherapeutics Inc.), a biotech company focused on engineering and developing oncolytic immunotherapeutics, and Director, Clinical Research &amp; Development—Strategy and Alliances at Celgene Corporation, a global biopharmaceutical company. Prior to that, she served in positions of increasing responsibility, including Director of Clinical Operations, at Jennerex Biotherapeutics Inc., an oncolytic immunotherapy biotech company, from 2007 through 2013. She was a co-founder and served on the board of directors of Ignite Immunotherapy Inc., a private biotech company focused on oncolytic cancer vaccine discovery and development. Ms. Janke received a B.S. in Biopsychology from the U.C. Santa Barbara in 1996.</w:t>
      </w:r>
    </w:p>
    <w:p>
      <w:pPr>
        <w:spacing w:after="0" w:line="176"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i w:val="1"/>
          <w:iCs w:val="1"/>
          <w:color w:val="auto"/>
        </w:rPr>
        <w:t>Peter Francis, M.D., Ph.D.</w:t>
      </w:r>
      <w:r>
        <w:rPr>
          <w:rFonts w:ascii="Arial" w:cs="Arial" w:eastAsia="Arial" w:hAnsi="Arial"/>
          <w:sz w:val="18"/>
          <w:szCs w:val="18"/>
          <w:color w:val="auto"/>
        </w:rPr>
        <w:t>, has served as our Chief Scientific Officer since February 2020. Dr. Francis previously served as our</w:t>
      </w:r>
      <w:r>
        <w:rPr>
          <w:rFonts w:ascii="Arial" w:cs="Arial" w:eastAsia="Arial" w:hAnsi="Arial"/>
          <w:sz w:val="18"/>
          <w:szCs w:val="18"/>
          <w:i w:val="1"/>
          <w:iCs w:val="1"/>
          <w:color w:val="auto"/>
        </w:rPr>
        <w:t xml:space="preserve"> </w:t>
      </w:r>
      <w:r>
        <w:rPr>
          <w:rFonts w:ascii="Arial" w:cs="Arial" w:eastAsia="Arial" w:hAnsi="Arial"/>
          <w:sz w:val="18"/>
          <w:szCs w:val="18"/>
          <w:color w:val="auto"/>
        </w:rPr>
        <w:t>Chief Medical Officer from January 2019 to February 2020 and as our Senior Vice President, Clinical Translational R&amp;D, and Retina Therapeutic Area Head from August 2018 to January 2019. Dr. Francis previously served as Chief Medical Officer at RetroSense Therapeutics from February 2012 until August 2016 when it was purchased by Allergan Inc. Dr. Francis practices as a physician at Orion Eye Center. Dr. Francis received his B.Sc. in Molecular Cell Biology from the University of Southampton, England in 1991. He earned his M.D. from the University of Southampton, England in 1992. He earned his Ph.D. in ophthalmic genetics from University College, London in 2000.</w:t>
      </w:r>
    </w:p>
    <w:p>
      <w:pPr>
        <w:spacing w:after="0" w:line="179"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i w:val="1"/>
          <w:iCs w:val="1"/>
          <w:color w:val="auto"/>
        </w:rPr>
        <w:t xml:space="preserve">Fred Kamal, Ph.D., </w:t>
      </w:r>
      <w:r>
        <w:rPr>
          <w:rFonts w:ascii="Arial" w:cs="Arial" w:eastAsia="Arial" w:hAnsi="Arial"/>
          <w:sz w:val="18"/>
          <w:szCs w:val="18"/>
          <w:color w:val="auto"/>
        </w:rPr>
        <w:t>has served as our Chief Operating Officer since February 2020 and has served as our Chief Technical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since October 2018. Dr. Kamal previously served as Senior Vice President of Quality and Regulatory CMC for AveXis Inc., a gene therapy company, from May 2017 through August 2018. Prior to AveXis, Dr. Kamal served as the Vice President of Quality for Juno Therapeutics from May 2015 through April 2017 and prior to that Dr. Kamal served as the Vice President of Quality and Regulatory CMC for Intermune Inc. from January 2013 through March 2015. Dr. Kamal received his B.S. in Chemistry from San Jose State University in 1986. Dr. Kamal received his M.Sc. in Chemistry from The American University in 2000. He received his Ph.D. in Chemistry from The American University in 2003.</w:t>
      </w:r>
    </w:p>
    <w:p>
      <w:pPr>
        <w:spacing w:after="0" w:line="179" w:lineRule="exact"/>
        <w:rPr>
          <w:sz w:val="20"/>
          <w:szCs w:val="20"/>
          <w:color w:val="auto"/>
        </w:rPr>
      </w:pPr>
    </w:p>
    <w:p>
      <w:pPr>
        <w:ind w:left="120" w:right="100" w:firstLine="551"/>
        <w:spacing w:after="0" w:line="245" w:lineRule="auto"/>
        <w:rPr>
          <w:sz w:val="20"/>
          <w:szCs w:val="20"/>
          <w:color w:val="auto"/>
        </w:rPr>
      </w:pPr>
      <w:r>
        <w:rPr>
          <w:rFonts w:ascii="Arial" w:cs="Arial" w:eastAsia="Arial" w:hAnsi="Arial"/>
          <w:sz w:val="18"/>
          <w:szCs w:val="18"/>
          <w:i w:val="1"/>
          <w:iCs w:val="1"/>
          <w:color w:val="auto"/>
        </w:rPr>
        <w:t>Robert Fishman, M.D.</w:t>
      </w:r>
      <w:r>
        <w:rPr>
          <w:rFonts w:ascii="Arial" w:cs="Arial" w:eastAsia="Arial" w:hAnsi="Arial"/>
          <w:sz w:val="18"/>
          <w:szCs w:val="18"/>
          <w:color w:val="auto"/>
        </w:rPr>
        <w:t>, has served as our Chief Medical Officer since October 2020. He previously served as the Chief Medical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of Xoc Pharmaceuticals, Inc., a private biopharmaceutical company, from February 2019 to October 2020. Prior to that, he served as the Chief Medical Officer of Corcept Therapeutics, a publicly traded biotechnology company, from September 2015 to January 2019. Dr. Fishman received his undergraduate degree in Biology from Harvard University in 1982, and his M.D. from Stanford University School of Medicine in 1986.</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20"/>
          </w:cols>
          <w:pgMar w:left="320" w:top="455" w:right="45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Directors</w:t>
      </w:r>
    </w:p>
    <w:p>
      <w:pPr>
        <w:spacing w:after="0" w:line="106"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i w:val="1"/>
          <w:iCs w:val="1"/>
          <w:color w:val="auto"/>
        </w:rPr>
        <w:t xml:space="preserve">John F. Milligan, Ph.D. </w:t>
      </w:r>
      <w:r>
        <w:rPr>
          <w:rFonts w:ascii="Arial" w:cs="Arial" w:eastAsia="Arial" w:hAnsi="Arial"/>
          <w:sz w:val="18"/>
          <w:szCs w:val="18"/>
          <w:color w:val="auto"/>
        </w:rPr>
        <w:t>has served as Executive Chairman of our board of directors since August 2020. Dr. Milligan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the President and Chief Executive Officer of Gilead Sciences, Inc. from May 2008 and March 2016, respectively, until February 2019, and spent a total of 29 years at Gilead in various roles since 1990. Prior to joining Gilead, Dr. Milligan was a postdoctoral research fellow at the University of California San Francisco Medical Center. Dr. Milligan has served on the board of directors of Pacific Biosciences of California since July 2013, and also serves as the Chair of the Board of Trustees of Ohio Wesleyan University. Dr. Milligan received his B.A. in Chemistry from Ohio Wesleyan University in 1983 and his Ph.D. from the University of Illinois at Urbana-Champaign in 1988. We believe Dr. Milligan is qualified to serve as a member of our board of directors based on his extensive experience and leadership roles in the biopharmaceutical industry.</w:t>
      </w:r>
    </w:p>
    <w:p>
      <w:pPr>
        <w:spacing w:after="0" w:line="180" w:lineRule="exact"/>
        <w:rPr>
          <w:sz w:val="20"/>
          <w:szCs w:val="20"/>
          <w:color w:val="auto"/>
        </w:rPr>
      </w:pPr>
    </w:p>
    <w:p>
      <w:pPr>
        <w:ind w:left="120" w:right="40" w:firstLine="551"/>
        <w:spacing w:after="0" w:line="262" w:lineRule="auto"/>
        <w:rPr>
          <w:sz w:val="20"/>
          <w:szCs w:val="20"/>
          <w:color w:val="auto"/>
        </w:rPr>
      </w:pPr>
      <w:r>
        <w:rPr>
          <w:rFonts w:ascii="Arial" w:cs="Arial" w:eastAsia="Arial" w:hAnsi="Arial"/>
          <w:sz w:val="17"/>
          <w:szCs w:val="17"/>
          <w:i w:val="1"/>
          <w:iCs w:val="1"/>
          <w:color w:val="auto"/>
        </w:rPr>
        <w:t xml:space="preserve">William Burkoth, MBA, </w:t>
      </w:r>
      <w:r>
        <w:rPr>
          <w:rFonts w:ascii="Arial" w:cs="Arial" w:eastAsia="Arial" w:hAnsi="Arial"/>
          <w:sz w:val="17"/>
          <w:szCs w:val="17"/>
          <w:color w:val="auto"/>
        </w:rPr>
        <w:t>has served as a member of our board of directors since March 2019. Mr. Burkoth has served on the venture</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team of Pfizer Inc. since 2004 and is currently Executive Director at Pfizer Inc. and Senior Partner at Pfizer Ventures.</w:t>
      </w:r>
    </w:p>
    <w:p>
      <w:pPr>
        <w:ind w:left="120"/>
        <w:spacing w:after="0" w:line="238" w:lineRule="auto"/>
        <w:rPr>
          <w:sz w:val="20"/>
          <w:szCs w:val="20"/>
          <w:color w:val="auto"/>
        </w:rPr>
      </w:pPr>
      <w:r>
        <w:rPr>
          <w:rFonts w:ascii="Arial" w:cs="Arial" w:eastAsia="Arial" w:hAnsi="Arial"/>
          <w:sz w:val="18"/>
          <w:szCs w:val="18"/>
          <w:color w:val="auto"/>
        </w:rPr>
        <w:t>Mr. Burkoth worked in business development at Galileo Pharmaceuticals, Inc. and at IntraBiotics Pharmaceuticals, Inc. from 2002 to 2004. Mr. Burkoth worked as an analyst at Bay City Capital, a life sciences venture capital firm, from 1999 to 2002. He previously served on the board of directors of the following publicly-held company: NovoCure Limited from July 2009 to May 2019. Mr. Burkoth received a B.A. in Chemistry from Whitman College in 1999 and an M.B.A. from Columbia Business School in 2011. We believe Mr. Burkoth is qualified to serve as a member of our board of directors based on his finance background and his extensive investment experience in the life science industry.</w:t>
      </w:r>
    </w:p>
    <w:p>
      <w:pPr>
        <w:spacing w:after="0" w:line="177"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i w:val="1"/>
          <w:iCs w:val="1"/>
          <w:color w:val="auto"/>
        </w:rPr>
        <w:t>Jacob Chacko, M.D., MBA</w:t>
      </w:r>
      <w:r>
        <w:rPr>
          <w:rFonts w:ascii="Arial" w:cs="Arial" w:eastAsia="Arial" w:hAnsi="Arial"/>
          <w:sz w:val="18"/>
          <w:szCs w:val="18"/>
          <w:color w:val="auto"/>
        </w:rPr>
        <w:t>, has served as a member of our board of directors since March 2019. Dr. Chacko has served as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of ORIC Pharmaceuticals, Inc., a clinical-stage oncology company focused on discovery and development of novel therapies against treatment-resistant cancers, since May 2018. Prior to ORIC, Dr. Chacko served as Chief Financial Officer of Ignyta, Inc., a publicly traded precision oncology company, from May 2014 until February 2018 when Ignyta was acquired by Roche Holdings, Inc. Prior to Ignyta, Dr. Chacko was an investor at TPG Capital from August 2008 until May 2014. From 2002 until 2003, Dr. Chacko was a consultant serving healthcare clients at McKinsey &amp; Company. Dr. Chacko currently serves on the board of directors of Turning Point Therapeutics, Inc., a publicly-traded biotechnology company, from November 2018. Dr. Chacko served on the board of directors of RentPath Inc., a digital media company, from 2011 until 2014, Envision Pharmaceutical Services, LLC from 2013 until 2014, Bonti, Inc., a biotechnology company, from February 2018 until October 2018 and the Packard Children’s Health Alliance at the Lucile Packard Children’s Hospital Stanford from 2013 until June 2017. Dr. Chacko currently chairs the Western Regional Selection Committee for the Marshall Scholarship. Dr. Chacko concurrently received his M.D. from the U.C. Los Angeles and his M.B.A. from Harvard Business School. Dr. Chacko received a M.Sc. from Oxford University as a Marshall Scholar. We believe Dr. Chacko is qualified to serve as a member of our board of directors based on his medical and finance background, his experience in investing in life science companies and his service on the boards of public and private companies.</w:t>
      </w:r>
    </w:p>
    <w:p>
      <w:pPr>
        <w:spacing w:after="0" w:line="177"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i w:val="1"/>
          <w:iCs w:val="1"/>
          <w:color w:val="auto"/>
        </w:rPr>
        <w:t>Susannah Gray, MBA</w:t>
      </w:r>
      <w:r>
        <w:rPr>
          <w:rFonts w:ascii="Arial" w:cs="Arial" w:eastAsia="Arial" w:hAnsi="Arial"/>
          <w:sz w:val="18"/>
          <w:szCs w:val="18"/>
          <w:color w:val="auto"/>
        </w:rPr>
        <w:t>, has served as a member of our board of directors since July 2020. Ms. Gray served as the Executive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Finance and Strategy of Royalty Pharma Management, LLC, a buyer of pharmaceutical royalties and a funder across the biopharmaceutical industry, and in various other similar roles from 2005 until 2019. Prior to Royalty Pharma, Ms. Gray served as a managing director and senior analyst covering the healthcare sector of CIBS World Market’s high yield group from 2002 to 2004, and also previously served in similar roles at Merrill Lynch and Chase Securities, Inc. (predecessor of JP Morgan Securities, Inc.). Ms. Gray currently serves on the board of directors of Susan G. Komen and serves on the Board of Trustees of Wesleyan</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00"/>
          </w:cols>
          <w:pgMar w:left="320" w:top="455" w:right="47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University. Ms. Gray received a B.A. from Wesleyan University in 1982 and an M.B.A. from Columbia University in 1990. We believe</w:t>
      </w:r>
    </w:p>
    <w:p>
      <w:pPr>
        <w:spacing w:after="0" w:line="18" w:lineRule="exact"/>
        <w:rPr>
          <w:sz w:val="20"/>
          <w:szCs w:val="20"/>
          <w:color w:val="auto"/>
        </w:rPr>
      </w:pPr>
    </w:p>
    <w:p>
      <w:pPr>
        <w:ind w:left="120"/>
        <w:spacing w:after="0" w:line="250" w:lineRule="auto"/>
        <w:rPr>
          <w:sz w:val="20"/>
          <w:szCs w:val="20"/>
          <w:color w:val="auto"/>
        </w:rPr>
      </w:pPr>
      <w:r>
        <w:rPr>
          <w:rFonts w:ascii="Arial" w:cs="Arial" w:eastAsia="Arial" w:hAnsi="Arial"/>
          <w:sz w:val="18"/>
          <w:szCs w:val="18"/>
          <w:color w:val="auto"/>
        </w:rPr>
        <w:t>Ms. Gray is qualified to serve as a member of our board of directors based on her experience in corporate finance and capital markets and previous experience in investment banking covering the healthcare sector.</w:t>
      </w:r>
    </w:p>
    <w:p>
      <w:pPr>
        <w:spacing w:after="0" w:line="168"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i w:val="1"/>
          <w:iCs w:val="1"/>
          <w:color w:val="auto"/>
        </w:rPr>
        <w:t>Nancy Miller-Rich</w:t>
      </w:r>
      <w:r>
        <w:rPr>
          <w:rFonts w:ascii="Arial" w:cs="Arial" w:eastAsia="Arial" w:hAnsi="Arial"/>
          <w:sz w:val="18"/>
          <w:szCs w:val="18"/>
          <w:color w:val="auto"/>
        </w:rPr>
        <w:t>, has served as a member of our board of directors since November 2020. She has served as a consultant and</w:t>
      </w:r>
      <w:r>
        <w:rPr>
          <w:rFonts w:ascii="Arial" w:cs="Arial" w:eastAsia="Arial" w:hAnsi="Arial"/>
          <w:sz w:val="18"/>
          <w:szCs w:val="18"/>
          <w:i w:val="1"/>
          <w:iCs w:val="1"/>
          <w:color w:val="auto"/>
        </w:rPr>
        <w:t xml:space="preserve"> </w:t>
      </w:r>
      <w:r>
        <w:rPr>
          <w:rFonts w:ascii="Arial" w:cs="Arial" w:eastAsia="Arial" w:hAnsi="Arial"/>
          <w:sz w:val="18"/>
          <w:szCs w:val="18"/>
          <w:color w:val="auto"/>
        </w:rPr>
        <w:t>advisor to various pharmaceutical and biotechnology companies since September 2017. Previously, Ms. Miller-Rich served in a number of leadership roles at Merck &amp; Co., Inc. and, prior to the merger of the two companies, at Schering-Plough Corporation, including most recently as Senior Vice President, Global Human Health Business Development &amp; Licensing, Strategy and Commercial Support from November 2013 to September 2017 and as Group Vice President, Consumer Care Global New Ventures and Strategic Commercial Development from January 2007 to November 2013. Prior to joining Schering-Plough in 1990, Ms. Miller-Rich served in a variety of commercial and marketing roles at Sandoz Pharmaceuticals and Sterling Drug, Inc. Ms. Miller-Rich has served on the board of directors of several publicly-traded biotechnology companies, such as Intercept Pharmaceuticals, Inc. since April 2018, Aldeyra Therapeutics, Inc. since January 2020, and Kadmon Holdings, Inc. since October 2020. She received her undergraduate degree in Business Administration, Marketing, from Ithaca College in New York in 1981. We believe Ms. Miller-Rich is qualified to serve as a member of our board of directors based on her extensive experience as a director of publicly traded biotechnology companies.</w:t>
      </w:r>
    </w:p>
    <w:p>
      <w:pPr>
        <w:spacing w:after="0" w:line="176"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i w:val="1"/>
          <w:iCs w:val="1"/>
          <w:color w:val="auto"/>
        </w:rPr>
        <w:t xml:space="preserve">David Schaffer, Ph.D. </w:t>
      </w:r>
      <w:r>
        <w:rPr>
          <w:rFonts w:ascii="Arial" w:cs="Arial" w:eastAsia="Arial" w:hAnsi="Arial"/>
          <w:sz w:val="18"/>
          <w:szCs w:val="18"/>
          <w:color w:val="auto"/>
        </w:rPr>
        <w:t>is our co-founder and has served as our Chief Scientific Advisor and a member of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since our inception in 2013. Dr. Schaffer has served as a Professor of Chemical and Biomolecular Engineering, Bioengineering, Molecular and Cell Biology, and the Helen Wills Neuroscience Institute at the U.C. Berkeley since 1999 and has served as the Director of the Berkeley Stem Cell Center since 2011. He previously served on the board of directors of uniQure NV, a publicly held company, from January 2014 to June 2020. Dr. Schaffer received a B.S. in Chemical Engineering from Stanford University in 1993. He earned his Ph.D. in Chemical Engineering from the Massachusetts Institute of Technology in 1998. We believe Dr. Schaffer is qualified to serve as a member of our board of directors based on his perspective and the experience he brings as one of our founders, and because of his scientific expertise and leading work in directed evolution.</w:t>
      </w:r>
    </w:p>
    <w:p>
      <w:pPr>
        <w:spacing w:after="0" w:line="180"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i w:val="1"/>
          <w:iCs w:val="1"/>
          <w:color w:val="auto"/>
        </w:rPr>
        <w:t>Charles Theuer, M.D., Ph.D.</w:t>
      </w:r>
      <w:r>
        <w:rPr>
          <w:rFonts w:ascii="Arial" w:cs="Arial" w:eastAsia="Arial" w:hAnsi="Arial"/>
          <w:sz w:val="18"/>
          <w:szCs w:val="18"/>
          <w:color w:val="auto"/>
        </w:rPr>
        <w:t>, has served as a member of our board of directors since December 2015. Dr. Theuer has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Chief Executive Officer at Tracon Pharmaceuticals, Inc., since June 2006. He previously served as Chief Medical Officer at TargeGen, Inc. until June 2006. He currently serves on the board of directors of the following publicly-held companies: Tracon Pharmaceuticals Inc., since June 2006 and Oncternal Therapeutics Inc. since May 2018, where he serves on the Science and Development and Nominating and Corporate Governance committees. Dr. Theuer received a B.S. in Life Sciences from the Massachusetts Institute of Technology in 1985. He received his M.D. from U.C. San Francisco in 1989. He received his Ph.D. in Environmental Health Science from U.C. Irvine in 2002. We believe that Dr. Theuer is qualified to serve as a member of our board of directors based on his medical and scientific background and because of his experience in leading and serving on the boards of public and private life science companies.</w:t>
      </w:r>
    </w:p>
    <w:p>
      <w:pPr>
        <w:spacing w:after="0" w:line="176"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i w:val="1"/>
          <w:iCs w:val="1"/>
          <w:color w:val="auto"/>
        </w:rPr>
        <w:t>Shawn Cline Tomasello, MBA</w:t>
      </w:r>
      <w:r>
        <w:rPr>
          <w:rFonts w:ascii="Arial" w:cs="Arial" w:eastAsia="Arial" w:hAnsi="Arial"/>
          <w:sz w:val="18"/>
          <w:szCs w:val="18"/>
          <w:color w:val="auto"/>
        </w:rPr>
        <w:t>, has served as a member of our board of directors since November 2020. She served as Chief</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Officer of Kite Pharma from December 2015 to July 2018. Before that, Ms. Tomasello served as the Chief Commercial Officer of Commercial and Medical Affairs at Pharmacyclics, LLC from August 2014 to August 2015. She has served on the boards of several publicly traded biotechnology companies including UroGen Pharma since July 2018, Mesoblast Ltd. since July 2018 and Gamida-Cell Ltd. since March 2019. Ms. Tomasello received her undergraduate degree in marketing from the University of Cincinnati in 1982 and her MBA from Murray State University in Kentucky in 1989. We believe Ms. Tomasello is qualified to serve as a member of our</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20"/>
          </w:cols>
          <w:pgMar w:left="320" w:top="455" w:right="45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76" w:lineRule="auto"/>
        <w:rPr>
          <w:sz w:val="20"/>
          <w:szCs w:val="20"/>
          <w:color w:val="auto"/>
        </w:rPr>
      </w:pPr>
      <w:r>
        <w:rPr>
          <w:rFonts w:ascii="Arial" w:cs="Arial" w:eastAsia="Arial" w:hAnsi="Arial"/>
          <w:sz w:val="18"/>
          <w:szCs w:val="18"/>
          <w:color w:val="auto"/>
        </w:rPr>
        <w:t>board of directors based on her extensive experience in building successful commercial operations for biopharmaceutical companies and her experience as a director of publicly traded life science companies.</w:t>
      </w:r>
    </w:p>
    <w:p>
      <w:pPr>
        <w:spacing w:after="0" w:line="145" w:lineRule="exact"/>
        <w:rPr>
          <w:sz w:val="20"/>
          <w:szCs w:val="20"/>
          <w:color w:val="auto"/>
        </w:rPr>
      </w:pPr>
    </w:p>
    <w:p>
      <w:pPr>
        <w:ind w:left="120" w:right="20" w:firstLine="551"/>
        <w:spacing w:after="0" w:line="260" w:lineRule="auto"/>
        <w:rPr>
          <w:sz w:val="20"/>
          <w:szCs w:val="20"/>
          <w:color w:val="auto"/>
        </w:rPr>
      </w:pPr>
      <w:r>
        <w:rPr>
          <w:rFonts w:ascii="Arial" w:cs="Arial" w:eastAsia="Arial" w:hAnsi="Arial"/>
          <w:sz w:val="17"/>
          <w:szCs w:val="17"/>
          <w:i w:val="1"/>
          <w:iCs w:val="1"/>
          <w:color w:val="auto"/>
        </w:rPr>
        <w:t xml:space="preserve">Tony Yao, M.D., Ph.D. </w:t>
      </w:r>
      <w:r>
        <w:rPr>
          <w:rFonts w:ascii="Arial" w:cs="Arial" w:eastAsia="Arial" w:hAnsi="Arial"/>
          <w:sz w:val="17"/>
          <w:szCs w:val="17"/>
          <w:color w:val="auto"/>
        </w:rPr>
        <w:t>has served as a member of our board of directors since August 2018. Dr. Yao has served as portfolio</w:t>
      </w:r>
      <w:r>
        <w:rPr>
          <w:rFonts w:ascii="Arial" w:cs="Arial" w:eastAsia="Arial" w:hAnsi="Arial"/>
          <w:sz w:val="17"/>
          <w:szCs w:val="17"/>
          <w:i w:val="1"/>
          <w:iCs w:val="1"/>
          <w:color w:val="auto"/>
        </w:rPr>
        <w:t xml:space="preserve"> </w:t>
      </w:r>
      <w:r>
        <w:rPr>
          <w:rFonts w:ascii="Arial" w:cs="Arial" w:eastAsia="Arial" w:hAnsi="Arial"/>
          <w:sz w:val="17"/>
          <w:szCs w:val="17"/>
          <w:color w:val="auto"/>
        </w:rPr>
        <w:t>manager of life science strategy at ArrowMark Partners since April 2012. He previously served as an equity analyst at Janus Capital Group until March 2012. He currently serves on the board of directors of the following publicly-held company: Precision Biosciences since June 2018, where he serves on the compensation and audit committee. Dr. Yao received a B.S. in biochemistry from Brown University in 1994. He earned an M.D. and a Ph.D. in Immunology from Stanford University in 2002. We believe that Dr. Yao is qualified to serve as a member of our board of directors based on his scientific background and his extensive experience in investing in life science companies.</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Composition</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04" w:lineRule="exact"/>
        <w:rPr>
          <w:sz w:val="20"/>
          <w:szCs w:val="20"/>
          <w:color w:val="auto"/>
        </w:rPr>
      </w:pPr>
    </w:p>
    <w:p>
      <w:pPr>
        <w:ind w:left="120" w:right="80" w:firstLine="551"/>
        <w:spacing w:after="0" w:line="239" w:lineRule="auto"/>
        <w:rPr>
          <w:sz w:val="20"/>
          <w:szCs w:val="20"/>
          <w:color w:val="auto"/>
        </w:rPr>
      </w:pPr>
      <w:r>
        <w:rPr>
          <w:rFonts w:ascii="Arial" w:cs="Arial" w:eastAsia="Arial" w:hAnsi="Arial"/>
          <w:sz w:val="18"/>
          <w:szCs w:val="18"/>
          <w:color w:val="auto"/>
        </w:rPr>
        <w:t>Our board of directors currently consists of 10 members. Our board of directors has determined that all of our directors, other than Dr. Kirn, qualify as “independent” directors in accordance with the Nasdaq Global Select Market listing requirements. Dr. Kirn is not considered independent because he is an employee. The Nasdaq Global Select Market’s independence definition includes a series of objective tests, such as that the director is not, and has not been for at least three years, one of our employees and that neither the director nor any of his or her family members has engaged in various types of business dealings with us. In addition, as required by the Nasdaq Global Select Market rules, our board of directors has made a subjective determination as to each independent director that no relationships exist that,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There are no family relationships among any of our directors or executive officers.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04"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color w:val="auto"/>
        </w:rPr>
        <w:t>In accordance with our amended and restated certificate of incorporation to be in effect immediately prior to the consummation of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Effective upon the consummation of this offering, we expect that our directors will be divided among the three classes as follows:</w:t>
      </w:r>
    </w:p>
    <w:p>
      <w:pPr>
        <w:spacing w:after="0" w:line="78" w:lineRule="exact"/>
        <w:rPr>
          <w:sz w:val="20"/>
          <w:szCs w:val="20"/>
          <w:color w:val="auto"/>
        </w:rPr>
      </w:pPr>
    </w:p>
    <w:p>
      <w:pPr>
        <w:ind w:left="880" w:right="380" w:hanging="224"/>
        <w:spacing w:after="0" w:line="276" w:lineRule="auto"/>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Class I directors will be Mr. Burkoth and Drs. Kirn, Schaffer and Yao, and their terms will expire at the annual meeting of stockholders to be held in 2021;</w:t>
      </w:r>
    </w:p>
    <w:p>
      <w:pPr>
        <w:spacing w:after="0" w:line="50"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Class II directors will be Ms. Gray, Drs. Chacko and Theuer, and their terms will expire at the annual meeting of stockholders to be held in 2022; and</w:t>
      </w:r>
    </w:p>
    <w:p>
      <w:pPr>
        <w:spacing w:after="0" w:line="50" w:lineRule="exact"/>
        <w:rPr>
          <w:rFonts w:ascii="Arial" w:cs="Arial" w:eastAsia="Arial" w:hAnsi="Arial"/>
          <w:sz w:val="18"/>
          <w:szCs w:val="18"/>
          <w:color w:val="auto"/>
        </w:rPr>
      </w:pPr>
    </w:p>
    <w:p>
      <w:pPr>
        <w:ind w:left="880" w:right="200" w:hanging="224"/>
        <w:spacing w:after="0" w:line="276" w:lineRule="auto"/>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Class III directors will be Dr. Milligan, Mses. Miller-Rich and Tomasello, and their terms will expire at the annual meeting of stockholders to be held in 2023.</w:t>
      </w:r>
    </w:p>
    <w:p>
      <w:pPr>
        <w:spacing w:after="0" w:line="145" w:lineRule="exact"/>
        <w:rPr>
          <w:sz w:val="20"/>
          <w:szCs w:val="20"/>
          <w:color w:val="auto"/>
        </w:rPr>
      </w:pPr>
    </w:p>
    <w:p>
      <w:pPr>
        <w:ind w:left="120" w:right="60" w:firstLine="551"/>
        <w:spacing w:after="0" w:line="276" w:lineRule="auto"/>
        <w:rPr>
          <w:sz w:val="20"/>
          <w:szCs w:val="20"/>
          <w:color w:val="auto"/>
        </w:rPr>
      </w:pPr>
      <w:r>
        <w:rPr>
          <w:rFonts w:ascii="Arial" w:cs="Arial" w:eastAsia="Arial" w:hAnsi="Arial"/>
          <w:sz w:val="18"/>
          <w:szCs w:val="18"/>
          <w:color w:val="auto"/>
        </w:rPr>
        <w:t>Our amended and restated certificate of incorporation will provide that the authorized number of directors may be changed only by resolution of our board of directors. Any additional directorships</w:t>
      </w:r>
    </w:p>
    <w:p>
      <w:pPr>
        <w:spacing w:after="0" w:line="7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060"/>
          </w:cols>
          <w:pgMar w:left="320" w:top="455" w:right="51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board of directors or a change in control.</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Arrangements</w:t>
      </w:r>
    </w:p>
    <w:p>
      <w:pPr>
        <w:spacing w:after="0" w:line="104" w:lineRule="exact"/>
        <w:rPr>
          <w:sz w:val="20"/>
          <w:szCs w:val="20"/>
          <w:color w:val="auto"/>
        </w:rPr>
      </w:pPr>
    </w:p>
    <w:p>
      <w:pPr>
        <w:ind w:left="120" w:right="680" w:firstLine="551"/>
        <w:spacing w:after="0" w:line="248" w:lineRule="auto"/>
        <w:rPr>
          <w:sz w:val="20"/>
          <w:szCs w:val="20"/>
          <w:color w:val="auto"/>
        </w:rPr>
      </w:pPr>
      <w:r>
        <w:rPr>
          <w:rFonts w:ascii="Arial" w:cs="Arial" w:eastAsia="Arial" w:hAnsi="Arial"/>
          <w:sz w:val="18"/>
          <w:szCs w:val="18"/>
          <w:color w:val="auto"/>
        </w:rPr>
        <w:t>The election of the members of our board of directors is governed by the Third Amended and Restated Investors’ Rights Agreement, dated as of April 29, 2020, that we entered into with certain holders of our common stock and certain holders of our redeemable convertible preferred stock (the Investors’ Rights Agreement) and the related provisions of our amended and restated certificate of incorporation.</w:t>
      </w:r>
    </w:p>
    <w:p>
      <w:pPr>
        <w:spacing w:after="0" w:line="170" w:lineRule="exact"/>
        <w:rPr>
          <w:sz w:val="20"/>
          <w:szCs w:val="20"/>
          <w:color w:val="auto"/>
        </w:rPr>
      </w:pPr>
    </w:p>
    <w:p>
      <w:pPr>
        <w:jc w:val="both"/>
        <w:ind w:left="120" w:firstLine="551"/>
        <w:spacing w:after="0" w:line="255" w:lineRule="auto"/>
        <w:rPr>
          <w:sz w:val="20"/>
          <w:szCs w:val="20"/>
          <w:color w:val="auto"/>
        </w:rPr>
      </w:pPr>
      <w:r>
        <w:rPr>
          <w:rFonts w:ascii="Arial" w:cs="Arial" w:eastAsia="Arial" w:hAnsi="Arial"/>
          <w:sz w:val="18"/>
          <w:szCs w:val="18"/>
          <w:color w:val="auto"/>
        </w:rPr>
        <w:t>Pursuant to the Investors’ Rights Agreement, the holders of our common stock and redeemable convertible preferred stock who are parties to the Investors’ Rights Agreement are obligated to vote for the election of certain designees of our board of directors which are as follows:</w:t>
      </w:r>
    </w:p>
    <w:p>
      <w:pPr>
        <w:spacing w:after="0" w:line="69" w:lineRule="exact"/>
        <w:rPr>
          <w:sz w:val="20"/>
          <w:szCs w:val="20"/>
          <w:color w:val="auto"/>
        </w:rPr>
      </w:pPr>
    </w:p>
    <w:p>
      <w:pPr>
        <w:ind w:left="880" w:hanging="224"/>
        <w:spacing w:after="0"/>
        <w:tabs>
          <w:tab w:leader="none" w:pos="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one member designated by Pfizer, for which Mr. Burkoth has been designated;</w:t>
      </w:r>
    </w:p>
    <w:p>
      <w:pPr>
        <w:spacing w:after="0" w:line="117" w:lineRule="exact"/>
        <w:rPr>
          <w:rFonts w:ascii="Arial" w:cs="Arial" w:eastAsia="Arial" w:hAnsi="Arial"/>
          <w:sz w:val="18"/>
          <w:szCs w:val="18"/>
          <w:color w:val="auto"/>
        </w:rPr>
      </w:pPr>
    </w:p>
    <w:p>
      <w:pPr>
        <w:ind w:left="880" w:right="180" w:hanging="224"/>
        <w:spacing w:after="0" w:line="276" w:lineRule="auto"/>
        <w:tabs>
          <w:tab w:leader="none" w:pos="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one member designated by the holders of a majority of our Series B redeemable convertible preferred stock, voting exclusively and as a separate class, for which Dr. Yao has been designated;</w:t>
      </w:r>
    </w:p>
    <w:p>
      <w:pPr>
        <w:spacing w:after="0" w:line="50" w:lineRule="exact"/>
        <w:rPr>
          <w:rFonts w:ascii="Arial" w:cs="Arial" w:eastAsia="Arial" w:hAnsi="Arial"/>
          <w:sz w:val="18"/>
          <w:szCs w:val="18"/>
          <w:color w:val="auto"/>
        </w:rPr>
      </w:pPr>
    </w:p>
    <w:p>
      <w:pPr>
        <w:ind w:left="880" w:right="180" w:hanging="224"/>
        <w:spacing w:after="0" w:line="276" w:lineRule="auto"/>
        <w:tabs>
          <w:tab w:leader="none" w:pos="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one member designated by the holders of a majority of our Series C redeemable convertible preferred stock, voting exclusively as a separate class, for which Dr. Milligan has been designated;</w:t>
      </w:r>
    </w:p>
    <w:p>
      <w:pPr>
        <w:spacing w:after="0" w:line="50" w:lineRule="exact"/>
        <w:rPr>
          <w:rFonts w:ascii="Arial" w:cs="Arial" w:eastAsia="Arial" w:hAnsi="Arial"/>
          <w:sz w:val="18"/>
          <w:szCs w:val="18"/>
          <w:color w:val="auto"/>
        </w:rPr>
      </w:pPr>
    </w:p>
    <w:p>
      <w:pPr>
        <w:ind w:left="880" w:right="140" w:hanging="224"/>
        <w:spacing w:after="0" w:line="255" w:lineRule="auto"/>
        <w:tabs>
          <w:tab w:leader="none" w:pos="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two members designated by the holders of a majority of our common stock (other than any common stock issued or issuable upon the conversion of the redeemable convertible preferred stock), voting exclusively and together as a single class, for which Dr. Kirn and Dr. Shaffer have been designated; and</w:t>
      </w:r>
    </w:p>
    <w:p>
      <w:pPr>
        <w:spacing w:after="0" w:line="69" w:lineRule="exact"/>
        <w:rPr>
          <w:rFonts w:ascii="Arial" w:cs="Arial" w:eastAsia="Arial" w:hAnsi="Arial"/>
          <w:sz w:val="18"/>
          <w:szCs w:val="18"/>
          <w:color w:val="auto"/>
        </w:rPr>
      </w:pPr>
    </w:p>
    <w:p>
      <w:pPr>
        <w:jc w:val="both"/>
        <w:ind w:left="880" w:right="200" w:hanging="224"/>
        <w:spacing w:after="0" w:line="243" w:lineRule="auto"/>
        <w:tabs>
          <w:tab w:leader="none" w:pos="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three members, who are not otherwise affiliated with any of our investors, the first of whom shall be mutually agreed upon by a majority of the other members of our board of directors, for which Ms. Gray has been designated; the second of whom shall be proposed by our management subject to the approval of a majority of the members of our board of directors, for which</w:t>
      </w:r>
    </w:p>
    <w:p>
      <w:pPr>
        <w:ind w:left="880" w:right="20"/>
        <w:spacing w:after="0"/>
        <w:rPr>
          <w:rFonts w:ascii="Arial" w:cs="Arial" w:eastAsia="Arial" w:hAnsi="Arial"/>
          <w:sz w:val="18"/>
          <w:szCs w:val="18"/>
          <w:color w:val="auto"/>
        </w:rPr>
      </w:pPr>
      <w:r>
        <w:rPr>
          <w:rFonts w:ascii="Arial" w:cs="Arial" w:eastAsia="Arial" w:hAnsi="Arial"/>
          <w:sz w:val="18"/>
          <w:szCs w:val="18"/>
          <w:color w:val="auto"/>
        </w:rPr>
        <w:t>Dr. Theuer has been designated; and the third of whom shall be an individual that satisfies the independence, financial literacy and financial expertise requirements to serve as an audit committee chairperson pursuant to relevant SEC and Nasdaq laws and regulations, and mutually acceptable to a majority of the other members of our board of directors, for which Dr. Chacko has been designated.</w:t>
      </w:r>
    </w:p>
    <w:p>
      <w:pPr>
        <w:spacing w:after="0" w:line="176" w:lineRule="exact"/>
        <w:rPr>
          <w:sz w:val="20"/>
          <w:szCs w:val="20"/>
          <w:color w:val="auto"/>
        </w:rPr>
      </w:pPr>
    </w:p>
    <w:p>
      <w:pPr>
        <w:ind w:left="120" w:right="180" w:firstLine="551"/>
        <w:spacing w:after="0" w:line="248" w:lineRule="auto"/>
        <w:rPr>
          <w:sz w:val="20"/>
          <w:szCs w:val="20"/>
          <w:color w:val="auto"/>
        </w:rPr>
      </w:pPr>
      <w:r>
        <w:rPr>
          <w:rFonts w:ascii="Arial" w:cs="Arial" w:eastAsia="Arial" w:hAnsi="Arial"/>
          <w:sz w:val="18"/>
          <w:szCs w:val="18"/>
          <w:color w:val="auto"/>
        </w:rPr>
        <w:t>The above provisions of Investors’ Rights Agreement will terminate upon the consummation of this offering and our amended and restated certificate of incorporation will be amended and restated, after which there will be no further contractual obligations or charter provisions regarding the election of our directors. Our directors hold office until their successors have been elected and qualified or appointed, or the earlier of their death, resignation or removal.</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Leadership Structure of our Board</w:t>
      </w:r>
    </w:p>
    <w:p>
      <w:pPr>
        <w:spacing w:after="0" w:line="106"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color w:val="auto"/>
        </w:rPr>
        <w:t>Our amended and restated bylaws and corporate governance guidelines will provide our board of directors with flexibility to combine or separate the positions of Chairman of our board of directors and Chief Executive Officer and to implement a lead director in accordance with its determination that utilizing one or the other structure would be in our best interest. Dr. Milligan currently serves as the Executive Chairman of our board of directors. In that role, Dr. Milligan presides over the executive sessions of our board of directors and as a liaison between management and our board of directors.</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20"/>
          </w:cols>
          <w:pgMar w:left="320" w:top="455" w:right="45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40" w:firstLine="551"/>
        <w:spacing w:after="0" w:line="306" w:lineRule="auto"/>
        <w:rPr>
          <w:sz w:val="20"/>
          <w:szCs w:val="20"/>
          <w:color w:val="auto"/>
        </w:rPr>
      </w:pPr>
      <w:r>
        <w:rPr>
          <w:rFonts w:ascii="Arial" w:cs="Arial" w:eastAsia="Arial" w:hAnsi="Arial"/>
          <w:sz w:val="17"/>
          <w:szCs w:val="17"/>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our Board in Risk Oversight Process</w:t>
      </w:r>
    </w:p>
    <w:p>
      <w:pPr>
        <w:spacing w:after="0" w:line="106" w:lineRule="exact"/>
        <w:rPr>
          <w:sz w:val="20"/>
          <w:szCs w:val="20"/>
          <w:color w:val="auto"/>
        </w:rPr>
      </w:pPr>
    </w:p>
    <w:p>
      <w:pPr>
        <w:ind w:left="120" w:right="200" w:firstLine="551"/>
        <w:spacing w:after="0" w:line="241" w:lineRule="auto"/>
        <w:rPr>
          <w:sz w:val="20"/>
          <w:szCs w:val="20"/>
          <w:color w:val="auto"/>
        </w:rPr>
      </w:pPr>
      <w:r>
        <w:rPr>
          <w:rFonts w:ascii="Arial" w:cs="Arial" w:eastAsia="Arial" w:hAnsi="Arial"/>
          <w:sz w:val="18"/>
          <w:szCs w:val="18"/>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our board of directors at regular board meetings as part of management presentations that focus on particular business functions, operations or strategies, and presents the steps taken by management to mitigate or eliminate such risks.</w:t>
      </w:r>
    </w:p>
    <w:p>
      <w:pPr>
        <w:spacing w:after="0" w:line="179"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While our board of directors is responsible for monitoring and assessing strategic risk exposure, our audit committee is responsible for overseeing our major financial risk exposures and the steps our management has taken to monitor and control these exposures. The audit committee also monitors compliance with legal and regulatory requirements and considers and approves or disapproves any related person transactions. Our nominating and corporate governance committee monitors the effectiveness of our corporate governance guidelines. Our compensation committee assesses and monitors whether any of our compensation policies and programs has the potential to encourage excessive risk-taking.</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106" w:lineRule="exact"/>
        <w:rPr>
          <w:sz w:val="20"/>
          <w:szCs w:val="20"/>
          <w:color w:val="auto"/>
        </w:rPr>
      </w:pPr>
    </w:p>
    <w:p>
      <w:pPr>
        <w:ind w:left="120" w:right="240" w:firstLine="551"/>
        <w:spacing w:after="0" w:line="255" w:lineRule="auto"/>
        <w:rPr>
          <w:sz w:val="20"/>
          <w:szCs w:val="20"/>
          <w:color w:val="auto"/>
        </w:rPr>
      </w:pPr>
      <w:r>
        <w:rPr>
          <w:rFonts w:ascii="Arial" w:cs="Arial" w:eastAsia="Arial" w:hAnsi="Arial"/>
          <w:sz w:val="18"/>
          <w:szCs w:val="18"/>
          <w:color w:val="auto"/>
        </w:rPr>
        <w:t>Our board of directors has the following standing committees: an audit committee, a compensation committee, a nominating and corporate governance committee and a science and technology committee. Our board of directors may establish other committees to facilitate the management of our business. The composition and functions of each committee are described below.</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audit committee oversees our corporate accounting and financial reporting process. Among other matters, the audit committee:</w:t>
      </w:r>
    </w:p>
    <w:p>
      <w:pPr>
        <w:spacing w:after="0" w:line="129" w:lineRule="exact"/>
        <w:rPr>
          <w:sz w:val="20"/>
          <w:szCs w:val="20"/>
          <w:color w:val="auto"/>
        </w:rPr>
      </w:pPr>
    </w:p>
    <w:p>
      <w:pPr>
        <w:ind w:left="880" w:hanging="224"/>
        <w:spacing w:after="0"/>
        <w:tabs>
          <w:tab w:leader="none" w:pos="8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appoints our independent registered public accounting firm;</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evaluates the independent registered public accounting firm’s qualifications, independence and performance;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determines the engagement of the independent registered public accounting firm;</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reviews and approves the scope of the annual audit and pre-approves the audit and non-audit fees and services;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reviews and approves all related party transactions on an ongoing basis;</w:t>
      </w:r>
    </w:p>
    <w:p>
      <w:pPr>
        <w:spacing w:after="0" w:line="117" w:lineRule="exact"/>
        <w:rPr>
          <w:rFonts w:ascii="Arial" w:cs="Arial" w:eastAsia="Arial" w:hAnsi="Arial"/>
          <w:sz w:val="18"/>
          <w:szCs w:val="18"/>
          <w:color w:val="auto"/>
        </w:rPr>
      </w:pPr>
    </w:p>
    <w:p>
      <w:pPr>
        <w:ind w:left="880" w:right="520" w:hanging="224"/>
        <w:spacing w:after="0" w:line="276" w:lineRule="auto"/>
        <w:tabs>
          <w:tab w:leader="none" w:pos="8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establishes procedures for the receipt, retention and treatment of complaints received by us regarding accounting, internal accounting controls or auditing matters</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00"/>
          </w:cols>
          <w:pgMar w:left="320" w:top="455" w:right="47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line="276" w:lineRule="auto"/>
        <w:tabs>
          <w:tab w:leader="none" w:pos="8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discusses with management and the independent registered public accounting firm the results of the annual audit and the review of our quarterly financial statements;</w:t>
      </w:r>
    </w:p>
    <w:p>
      <w:pPr>
        <w:spacing w:after="0" w:line="50" w:lineRule="exact"/>
        <w:rPr>
          <w:rFonts w:ascii="Arial" w:cs="Arial" w:eastAsia="Arial" w:hAnsi="Arial"/>
          <w:sz w:val="18"/>
          <w:szCs w:val="18"/>
          <w:color w:val="auto"/>
        </w:rPr>
      </w:pPr>
    </w:p>
    <w:p>
      <w:pPr>
        <w:ind w:left="880" w:right="480" w:hanging="224"/>
        <w:spacing w:after="0" w:line="276" w:lineRule="auto"/>
        <w:tabs>
          <w:tab w:leader="none" w:pos="8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approves the retention of the independent registered public accounting firm to perform any proposed permissible non-audit services;</w:t>
      </w:r>
    </w:p>
    <w:p>
      <w:pPr>
        <w:spacing w:after="0" w:line="50" w:lineRule="exact"/>
        <w:rPr>
          <w:rFonts w:ascii="Arial" w:cs="Arial" w:eastAsia="Arial" w:hAnsi="Arial"/>
          <w:sz w:val="18"/>
          <w:szCs w:val="18"/>
          <w:color w:val="auto"/>
        </w:rPr>
      </w:pPr>
    </w:p>
    <w:p>
      <w:pPr>
        <w:ind w:left="880" w:right="260" w:hanging="224"/>
        <w:spacing w:after="0" w:line="276" w:lineRule="auto"/>
        <w:tabs>
          <w:tab w:leader="none" w:pos="8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monitors the rotation of partners of the independent registered public accounting firm on our engagement team in accordance with requirements established by the SEC;</w:t>
      </w:r>
    </w:p>
    <w:p>
      <w:pPr>
        <w:spacing w:after="0" w:line="50" w:lineRule="exact"/>
        <w:rPr>
          <w:rFonts w:ascii="Arial" w:cs="Arial" w:eastAsia="Arial" w:hAnsi="Arial"/>
          <w:sz w:val="18"/>
          <w:szCs w:val="18"/>
          <w:color w:val="auto"/>
        </w:rPr>
      </w:pPr>
    </w:p>
    <w:p>
      <w:pPr>
        <w:ind w:left="880" w:right="100" w:hanging="224"/>
        <w:spacing w:after="0" w:line="276" w:lineRule="auto"/>
        <w:tabs>
          <w:tab w:leader="none" w:pos="8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discusses on a periodic basis, or as appropriate, with management our policies and procedures with respect to risk assessment and risk management;</w:t>
      </w:r>
    </w:p>
    <w:p>
      <w:pPr>
        <w:spacing w:after="0" w:line="50" w:lineRule="exact"/>
        <w:rPr>
          <w:rFonts w:ascii="Arial" w:cs="Arial" w:eastAsia="Arial" w:hAnsi="Arial"/>
          <w:sz w:val="18"/>
          <w:szCs w:val="18"/>
          <w:color w:val="auto"/>
        </w:rPr>
      </w:pPr>
    </w:p>
    <w:p>
      <w:pPr>
        <w:ind w:left="880" w:right="240" w:hanging="224"/>
        <w:spacing w:after="0" w:line="276" w:lineRule="auto"/>
        <w:tabs>
          <w:tab w:leader="none" w:pos="8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is responsible for reviewing our financial statements and our management’s discussion and analysis of financial condition and results of operations to be included in our annual and quarterly reports to be filed with the SEC;</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annually reviews and assesses internal controls and treasury functions including cash management procedures;</w:t>
      </w:r>
    </w:p>
    <w:p>
      <w:pPr>
        <w:spacing w:after="0" w:line="117" w:lineRule="exact"/>
        <w:rPr>
          <w:rFonts w:ascii="Arial" w:cs="Arial" w:eastAsia="Arial" w:hAnsi="Arial"/>
          <w:sz w:val="18"/>
          <w:szCs w:val="18"/>
          <w:color w:val="auto"/>
        </w:rPr>
      </w:pPr>
    </w:p>
    <w:p>
      <w:pPr>
        <w:ind w:left="880" w:right="160" w:hanging="224"/>
        <w:spacing w:after="0" w:line="276" w:lineRule="auto"/>
        <w:tabs>
          <w:tab w:leader="none" w:pos="8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investigates any reports received through the ethics helpline and report to our board of directors periodically with respect to the information received through the ethics helpline and any related investigations;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reviews our critical accounting policies and estimates;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reviews the audit committee charter and the committee’s performance at least annually.</w:t>
      </w:r>
    </w:p>
    <w:p>
      <w:pPr>
        <w:spacing w:after="0" w:line="212"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Effective upon the consummation of this offering, the members of our audit committee will be Mr. Burkoth, Dr. Chacko, Ms. Gray and Dr. Theuer. Dr. Chacko will serve as the chairperson of the committee. All members of our audit committee will meet the requirements for financial literacy under the applicable rules and regulations of the SEC and the Nasdaq Global Select Market. Our board of directors will have determined that Dr. Chacko is an audit committee financial expert as defined under the applicable rules of the SEC and has the requisite financial sophistication as defined under the applicable rules and regulations of The Nasdaq Global Select Market. Under the rules of the SEC, members of the audit committee must also meet heightened independence standards. Our board of directors will have determined that each of Mr. Burkoth, Dr. Chacko, Ms. Gray and Dr. Theuer are independent under the applicable rules of the SEC and The Nasdaq Global Select Market. The audit committee will operate under a written charter that satisfies the applicable standards of the SEC and the Nasdaq Global Select Market.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0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Our compensation committee oversees policies relating to compensation and benefits of our officers and employees. The compensation committee reviews and approves or recommends corporate goals and objectives relevant to compensation of our executive officers (other than our Chief Executive Officer), evaluates the performance of these officers in light of those goals and objectives and approves the compensation of these officers based on such evaluations. The compensation committee also reviews and approves or makes recommendations to our board of directors regarding the issuance of stock options and other awards under our stock plans to our executive officers (other than our Chief Executive Officer). The compensation committee reviews the performance of our Chief Executive Officer and makes recommendations to our board of directors with respect to his compensation and our board of directors retains the authority to make compensation decisions relative to our Chief Executive Officer. The compensation committee will review and evaluate, at least annually, the performance of the compensation committee and its members, including compliance by the compensation committee with its charter.</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00"/>
          </w:cols>
          <w:pgMar w:left="320" w:top="455" w:right="47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60" w:firstLine="551"/>
        <w:spacing w:after="0" w:line="243" w:lineRule="auto"/>
        <w:rPr>
          <w:sz w:val="20"/>
          <w:szCs w:val="20"/>
          <w:color w:val="auto"/>
        </w:rPr>
      </w:pPr>
      <w:r>
        <w:rPr>
          <w:rFonts w:ascii="Arial" w:cs="Arial" w:eastAsia="Arial" w:hAnsi="Arial"/>
          <w:sz w:val="18"/>
          <w:szCs w:val="18"/>
          <w:color w:val="auto"/>
        </w:rPr>
        <w:t>Effective upon the consummation of this offering, the members of our compensation committee will be Mr. Burkoth, Ms. Gray, Ms. Miller-Rich, Ms. Tomasello and Dr. Yao. Ms. Gray will serve as the chairman of the committee. Each of the members of our compensation committee will be independent under the applicable rules and regulations of the Nasdaq Global Select Market, will be a “non-employee director” as defined in Rule 16b-3 promulgated under the Exchange Act and will be an “outside director” as that term is defined in Section 162(m) of the U.S. Internal Revenue Code of 1986, as amended (Section 162(m)). The compensation committee will operate under a written charter that satisfies the applicable standards of the SEC and the Nasdaq Global Select Market.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04"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The nominating and corporate governance committee is responsible for making recommendations to our board of directors regarding candidates for directorships and the size and composition of our board of directors. In addition, the nominating and corporate governance committee is responsible for overseeing our corporate governance policies and reporting and making recommendations to our board of directors concerning governance matters.</w:t>
      </w:r>
    </w:p>
    <w:p>
      <w:pPr>
        <w:spacing w:after="0" w:line="170"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Effective upon the consummation of this offering, the members of our nominating and corporate governance committee will be Dr. Schaffer, Dr. Theuer and Ms. Tomasello. Dr. Theuer will serve as the chairman of the committee. Each of the members of our nominating and corporate governance committee will be an independent director under the applicable rules and regulations of the Nasdaq Global Select Market relating to nominating and corporate governance committee independence. The nominating and corporate governance committee will operate under a written charter that satisfies the applicable standards of the SEC and the Nasdaq Global Select Market.</w:t>
      </w:r>
    </w:p>
    <w:p>
      <w:pPr>
        <w:spacing w:after="0" w:line="200" w:lineRule="exact"/>
        <w:rPr>
          <w:sz w:val="20"/>
          <w:szCs w:val="20"/>
          <w:color w:val="auto"/>
        </w:rPr>
      </w:pP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Science and Technology Committee</w:t>
      </w:r>
    </w:p>
    <w:p>
      <w:pPr>
        <w:spacing w:after="0" w:line="104"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Our science and technology committee reviews, evaluates and advises the board of directors on the overall strategy, direction and effectiveness of our technology and research and development activities, monitors and evaluates trends in technologies relevant to our present and future business and evaluates and advises the board of directors and management on the soundness, opportunities and risks associated with the products, programs and technologies in which we are or may be considering investing our research and development efforts. The science and technology committee reports regularly to the board of directors and will periodically evaluate its own performance.</w:t>
      </w:r>
    </w:p>
    <w:p>
      <w:pPr>
        <w:spacing w:after="0" w:line="174" w:lineRule="exact"/>
        <w:rPr>
          <w:sz w:val="20"/>
          <w:szCs w:val="20"/>
          <w:color w:val="auto"/>
        </w:rPr>
      </w:pPr>
    </w:p>
    <w:p>
      <w:pPr>
        <w:ind w:left="120" w:right="320" w:firstLine="551"/>
        <w:spacing w:after="0" w:line="276" w:lineRule="auto"/>
        <w:rPr>
          <w:sz w:val="20"/>
          <w:szCs w:val="20"/>
          <w:color w:val="auto"/>
        </w:rPr>
      </w:pPr>
      <w:r>
        <w:rPr>
          <w:rFonts w:ascii="Arial" w:cs="Arial" w:eastAsia="Arial" w:hAnsi="Arial"/>
          <w:sz w:val="18"/>
          <w:szCs w:val="18"/>
          <w:color w:val="auto"/>
        </w:rPr>
        <w:t>Effective upon the consummation of this offering, the members of the science and technology committee will be Ms. Miller-Rich, Dr. Theuer, Dr. Schaffer and Dr. Yao. Dr. Schaffer will serve as the chair of the committee.</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06" w:lineRule="exact"/>
        <w:rPr>
          <w:sz w:val="20"/>
          <w:szCs w:val="20"/>
          <w:color w:val="auto"/>
        </w:rPr>
      </w:pPr>
    </w:p>
    <w:p>
      <w:pPr>
        <w:ind w:left="120" w:right="260" w:firstLine="551"/>
        <w:spacing w:after="0" w:line="248" w:lineRule="auto"/>
        <w:rPr>
          <w:sz w:val="20"/>
          <w:szCs w:val="20"/>
          <w:color w:val="auto"/>
        </w:rPr>
      </w:pPr>
      <w:r>
        <w:rPr>
          <w:rFonts w:ascii="Arial" w:cs="Arial" w:eastAsia="Arial" w:hAnsi="Arial"/>
          <w:sz w:val="18"/>
          <w:szCs w:val="18"/>
          <w:color w:val="auto"/>
        </w:rPr>
        <w:t>None of the members of the compensation committee is currently, or has been at any time, one of our executive officers or employees. None of our executive officers currently serves, or has served during the last year, as a member of the board of directors or compensation committee of any entity that has one or more executive officers serving as a member of our board of directors or on our compensation committee.</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Diversity</w:t>
      </w:r>
    </w:p>
    <w:p>
      <w:pPr>
        <w:spacing w:after="0" w:line="106" w:lineRule="exact"/>
        <w:rPr>
          <w:sz w:val="20"/>
          <w:szCs w:val="20"/>
          <w:color w:val="auto"/>
        </w:rPr>
      </w:pPr>
    </w:p>
    <w:p>
      <w:pPr>
        <w:jc w:val="both"/>
        <w:ind w:left="120" w:right="40" w:firstLine="551"/>
        <w:spacing w:after="0" w:line="255" w:lineRule="auto"/>
        <w:rPr>
          <w:sz w:val="20"/>
          <w:szCs w:val="20"/>
          <w:color w:val="auto"/>
        </w:rPr>
      </w:pPr>
      <w:r>
        <w:rPr>
          <w:rFonts w:ascii="Arial" w:cs="Arial" w:eastAsia="Arial" w:hAnsi="Arial"/>
          <w:sz w:val="18"/>
          <w:szCs w:val="18"/>
          <w:color w:val="auto"/>
        </w:rPr>
        <w:t>Upon consummation of this offering, our nominating and corporate governance committee will be responsible for reviewing with our board of directors, on an annual basis, the appropriate characteristics, skills and experience required for our board of directors as a whole and its individual</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20"/>
          </w:cols>
          <w:pgMar w:left="320" w:top="455" w:right="45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members. In evaluating the suitability of individual candidates (both new candidates and current members), the nominating and corporate governance committee, in recommending candidates for election, and our board of directors, in approving (and, in the case of vacancies, appointing) such candidates, may take into account many factors, including but not limited to the following:</w:t>
      </w:r>
    </w:p>
    <w:p>
      <w:pPr>
        <w:spacing w:after="0" w:line="69" w:lineRule="exact"/>
        <w:rPr>
          <w:sz w:val="20"/>
          <w:szCs w:val="20"/>
          <w:color w:val="auto"/>
        </w:rPr>
      </w:pPr>
    </w:p>
    <w:p>
      <w:pPr>
        <w:ind w:left="880" w:hanging="224"/>
        <w:spacing w:after="0"/>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personal and professional integrity;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ethics and values;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experience in corporate management, such as serving as an officer or former officer of a publicly held company;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experience in the industries in which we compete;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experience as a board member or executive officer of another publicly held company;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diversity of expertise and experience in substantive matters pertaining to our business relative to other board members;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conflicts of interest;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practical and mature business judgment.</w:t>
      </w:r>
    </w:p>
    <w:p>
      <w:pPr>
        <w:spacing w:after="0" w:line="212" w:lineRule="exact"/>
        <w:rPr>
          <w:sz w:val="20"/>
          <w:szCs w:val="20"/>
          <w:color w:val="auto"/>
        </w:rPr>
      </w:pPr>
    </w:p>
    <w:p>
      <w:pPr>
        <w:ind w:left="120" w:right="20" w:firstLine="551"/>
        <w:spacing w:after="0" w:line="277" w:lineRule="auto"/>
        <w:rPr>
          <w:sz w:val="20"/>
          <w:szCs w:val="20"/>
          <w:color w:val="auto"/>
        </w:rPr>
      </w:pPr>
      <w:r>
        <w:rPr>
          <w:rFonts w:ascii="Arial" w:cs="Arial" w:eastAsia="Arial" w:hAnsi="Arial"/>
          <w:sz w:val="17"/>
          <w:szCs w:val="17"/>
          <w:color w:val="auto"/>
        </w:rPr>
        <w:t>Currently, our board of directors evaluates, and following the consummation of this offering will evaluate, each individual in the context of our board of directors as a whole, with the objective of assembling a group that can best maximize the success of the business and represent stockholder interests through the exercise of sound judgment using its diversity of experience in these various areas.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06"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Prior to the consummation of this offering, we will adopt a code of business conduct and ethics that will apply to all of our employees, officers and directors, including those officers responsible for financial reporting. Following the consummation of this offering, the code of business conduct and ethics will be available on our website. We expect that any amendments to the code, or any waivers of its requirements, will be disclosed on our website.</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Liability and Indemnification Matters</w:t>
      </w:r>
    </w:p>
    <w:p>
      <w:pPr>
        <w:spacing w:after="0" w:line="106"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Our amended and restated certificate of incorporation, which will become effective immediately prior to the consummation of this offering, will contain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76" w:lineRule="exact"/>
        <w:rPr>
          <w:sz w:val="20"/>
          <w:szCs w:val="20"/>
          <w:color w:val="auto"/>
        </w:rPr>
      </w:pPr>
    </w:p>
    <w:p>
      <w:pPr>
        <w:ind w:left="880" w:hanging="224"/>
        <w:spacing w:after="0"/>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17" w:lineRule="exact"/>
        <w:rPr>
          <w:rFonts w:ascii="Arial" w:cs="Arial" w:eastAsia="Arial" w:hAnsi="Arial"/>
          <w:sz w:val="18"/>
          <w:szCs w:val="18"/>
          <w:color w:val="auto"/>
        </w:rPr>
      </w:pPr>
    </w:p>
    <w:p>
      <w:pPr>
        <w:ind w:left="880" w:right="500" w:hanging="224"/>
        <w:spacing w:after="0" w:line="276" w:lineRule="auto"/>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12" w:lineRule="exact"/>
        <w:rPr>
          <w:sz w:val="20"/>
          <w:szCs w:val="20"/>
          <w:color w:val="auto"/>
        </w:rPr>
      </w:pPr>
    </w:p>
    <w:p>
      <w:pPr>
        <w:ind w:left="120" w:right="280" w:firstLine="551"/>
        <w:spacing w:after="0" w:line="255" w:lineRule="auto"/>
        <w:rPr>
          <w:sz w:val="20"/>
          <w:szCs w:val="20"/>
          <w:color w:val="auto"/>
        </w:rPr>
      </w:pPr>
      <w:r>
        <w:rPr>
          <w:rFonts w:ascii="Arial" w:cs="Arial" w:eastAsia="Arial" w:hAnsi="Arial"/>
          <w:sz w:val="18"/>
          <w:szCs w:val="18"/>
          <w:color w:val="auto"/>
        </w:rPr>
        <w:t>Each of our amended and restated certificate of incorporation and amended and restated bylaws, which will become effective immediately prior to the consummation of this offering, will provide that we are required to indemnify our directors and officers, in each case to the fullest extent permitted by</w:t>
      </w:r>
    </w:p>
    <w:p>
      <w:pPr>
        <w:spacing w:after="0" w:line="9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040"/>
          </w:cols>
          <w:pgMar w:left="320" w:top="455" w:right="53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Delaware law. Our amended and restated bylaws will also obligate us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 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spacing w:after="0" w:line="180" w:lineRule="exact"/>
        <w:rPr>
          <w:sz w:val="20"/>
          <w:szCs w:val="20"/>
          <w:color w:val="auto"/>
        </w:rPr>
      </w:pPr>
    </w:p>
    <w:p>
      <w:pPr>
        <w:ind w:left="120" w:right="180" w:firstLine="551"/>
        <w:spacing w:after="0" w:line="245"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10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Historically, we have not had a formalized non-employee director compensation program. However, we have generally adopted a practice of paying director fees of $35,000 per year, which we recently increased to $40,000 per year, and issuing options to purchase shares of our common stock targeted at certain percentages of our fully diluted capitalization to our independent directors. We paid director fees in the amount of $35,000 to both of our independent directors, Dr. Theuer and Dr. Chacko, for their board service in fiscal year 2019, although Dr. Chacko’s amount was pro-rated for his partial service in 2019 starting in March 2019. In addition, during March 2019, we issued to Dr. Theuer an option to purchase 22,500 shares of our common stock, with per share exercise price of $9.41, which vested as to 100% of its shares in March 2020, subject to Dr. Theuer’s continued service to us through such date. In addition, during March 2019, we issued to Dr. Chacko an option to purchase 37,500 shares of our common stock, with per share exercise price of $9.41, which vested as to one-third of the shares in March 2020 and as to 1/36</w:t>
      </w:r>
      <w:r>
        <w:rPr>
          <w:rFonts w:ascii="Arial" w:cs="Arial" w:eastAsia="Arial" w:hAnsi="Arial"/>
          <w:sz w:val="15"/>
          <w:szCs w:val="15"/>
          <w:color w:val="auto"/>
        </w:rPr>
        <w:t>th</w:t>
      </w:r>
      <w:r>
        <w:rPr>
          <w:rFonts w:ascii="Arial" w:cs="Arial" w:eastAsia="Arial" w:hAnsi="Arial"/>
          <w:sz w:val="18"/>
          <w:szCs w:val="18"/>
          <w:color w:val="auto"/>
        </w:rPr>
        <w:t xml:space="preserve"> of the aggregate shares in substantially equal monthly installments thereafter, subject to Dr. Chacko’s continued service to us through the applicable vesting date. All unvested options accelerate in full on a change in control. We did not make any other equity grants to our non-employee directors in 2019. In addition, we paid consulting fees in the amount of $50,000 to Dr. Schaffer for research services he provided to us in addition to his service as a member of the board of directors, and we increased Dr. Schaffer’s consulting fees to $85,000 per year beginning July 1, 2020. We paid Dr. Schaffer a one-time bonus of $25,000 for his services in connection with our Series C financing. We also provide reimbursement to our non-employee directors for their reasonable expenses incurred in attending meetings of our board of directors and committees of our board of directors.</w:t>
      </w:r>
    </w:p>
    <w:p>
      <w:pPr>
        <w:spacing w:after="0" w:line="186" w:lineRule="exact"/>
        <w:rPr>
          <w:sz w:val="20"/>
          <w:szCs w:val="20"/>
          <w:color w:val="auto"/>
        </w:rPr>
      </w:pPr>
    </w:p>
    <w:p>
      <w:pPr>
        <w:ind w:left="120" w:right="120" w:firstLine="551"/>
        <w:spacing w:after="0" w:line="243" w:lineRule="auto"/>
        <w:rPr>
          <w:sz w:val="20"/>
          <w:szCs w:val="20"/>
          <w:color w:val="auto"/>
        </w:rPr>
      </w:pPr>
      <w:r>
        <w:rPr>
          <w:rFonts w:ascii="Arial" w:cs="Arial" w:eastAsia="Arial" w:hAnsi="Arial"/>
          <w:sz w:val="18"/>
          <w:szCs w:val="18"/>
          <w:color w:val="auto"/>
        </w:rPr>
        <w:t>In August 2020, we entered into a letter agreement with John Milligan, Ph.D. to serve as a member of our board and its Executive Chairman. Under such letter agreement, Dr. Milligan is eligible to receive an annual cash retainer of $150,000, reimbursement of legal fees incurred in negotiating the letter agreement up to $15,000 and was granted an option to purchase 335,243 shares of our common stock. The option will vest as to 25% of the shares on August 17, 2021 and as to 1/48</w:t>
      </w:r>
      <w:r>
        <w:rPr>
          <w:rFonts w:ascii="Arial" w:cs="Arial" w:eastAsia="Arial" w:hAnsi="Arial"/>
          <w:sz w:val="15"/>
          <w:szCs w:val="15"/>
          <w:color w:val="auto"/>
        </w:rPr>
        <w:t>th</w:t>
      </w:r>
      <w:r>
        <w:rPr>
          <w:rFonts w:ascii="Arial" w:cs="Arial" w:eastAsia="Arial" w:hAnsi="Arial"/>
          <w:sz w:val="18"/>
          <w:szCs w:val="18"/>
          <w:color w:val="auto"/>
        </w:rPr>
        <w:t xml:space="preserve"> of the aggregate shares in substantially equal monthly installments thereafter, subject to Dr. Milligan’s continued service to us through the applicable vesting date. Any unvested shares subject to the option will accelerate in full on a change in control.</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20"/>
          </w:cols>
          <w:pgMar w:left="320" w:top="455" w:right="45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In July 2020, we entered into a letter agreement with Susannah Gray to serve as a member of our board. Under such letter agreement, Ms. Gray is eligible to receive an annual cash retainer of $40,000 and was granted an option to purchase 45,000 shares of our common stock. The option will vest as to 33% of the shares on July 20, 2021 and as to 1/36th of the aggregate shares in substantially equal monthly installments thereafter, subject to Ms. Gray’s continued service to us through the applicable vesting date. Any unvested shares subject to the option will accelerate in full on a change in control.</w:t>
      </w:r>
    </w:p>
    <w:p>
      <w:pPr>
        <w:spacing w:after="0" w:line="172"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We have approved a compensation policy for our non-employee directors, or the Director Compensation Program, to be effective in connection with the consummation of this offering. Pursuant to the Director Compensation Program, our non-employee directors will receive cash compensation as follows:</w:t>
      </w:r>
    </w:p>
    <w:p>
      <w:pPr>
        <w:spacing w:after="0" w:line="69" w:lineRule="exact"/>
        <w:rPr>
          <w:sz w:val="20"/>
          <w:szCs w:val="20"/>
          <w:color w:val="auto"/>
        </w:rPr>
      </w:pPr>
    </w:p>
    <w:p>
      <w:pPr>
        <w:ind w:left="880" w:hanging="224"/>
        <w:spacing w:after="0"/>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Each non-employee director will receive an annual cash retainer in the amount of $40,000 per year.</w:t>
      </w:r>
    </w:p>
    <w:p>
      <w:pPr>
        <w:spacing w:after="0" w:line="117" w:lineRule="exact"/>
        <w:rPr>
          <w:rFonts w:ascii="Arial" w:cs="Arial" w:eastAsia="Arial" w:hAnsi="Arial"/>
          <w:sz w:val="18"/>
          <w:szCs w:val="18"/>
          <w:color w:val="auto"/>
        </w:rPr>
      </w:pPr>
    </w:p>
    <w:p>
      <w:pPr>
        <w:jc w:val="both"/>
        <w:ind w:left="880" w:right="120" w:hanging="224"/>
        <w:spacing w:after="0" w:line="255" w:lineRule="auto"/>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chairperson of the audit committee will receive additional annual cash compensation in the amount of $20,000 per year for such chairperson’s service on the audit committee. Each non-chairperson member of the audit committee will receive additional annual cash compensation in the amount of $10,000 per year for such member’s service on the audit committee.</w:t>
      </w:r>
    </w:p>
    <w:p>
      <w:pPr>
        <w:spacing w:after="0" w:line="69" w:lineRule="exact"/>
        <w:rPr>
          <w:rFonts w:ascii="Arial" w:cs="Arial" w:eastAsia="Arial" w:hAnsi="Arial"/>
          <w:sz w:val="18"/>
          <w:szCs w:val="18"/>
          <w:color w:val="auto"/>
        </w:rPr>
      </w:pPr>
    </w:p>
    <w:p>
      <w:pPr>
        <w:ind w:left="880" w:right="100" w:hanging="224"/>
        <w:spacing w:after="0" w:line="248" w:lineRule="auto"/>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chairperson of the compensation committee will receive additional annual cash compensation in the amount of $15,000 per year for such chairperson’s service on the compensation committee. Each non-chairperson member of the compensation committee will receive additional annual cash compensation in the amount of $7,500 per year for such member’s service on the compensation committee.</w:t>
      </w:r>
    </w:p>
    <w:p>
      <w:pPr>
        <w:spacing w:after="0" w:line="75" w:lineRule="exact"/>
        <w:rPr>
          <w:rFonts w:ascii="Arial" w:cs="Arial" w:eastAsia="Arial" w:hAnsi="Arial"/>
          <w:sz w:val="18"/>
          <w:szCs w:val="18"/>
          <w:color w:val="auto"/>
        </w:rPr>
      </w:pPr>
    </w:p>
    <w:p>
      <w:pPr>
        <w:ind w:left="880" w:right="60" w:hanging="224"/>
        <w:spacing w:after="0" w:line="245" w:lineRule="auto"/>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chairperson of the nominating and corporate governance committee will receive additional annual cash compensation in the amount of $10,000 per year for such chairperson’s service on the nominating and corporate governance committee. Each non-chairperson member of the nominating and corporate governance committee will receive additional annual cash compensation in the amount of $5,000 per year for such member’s service on the nominating and corporate governance committee.</w:t>
      </w:r>
    </w:p>
    <w:p>
      <w:pPr>
        <w:spacing w:after="0" w:line="77" w:lineRule="exact"/>
        <w:rPr>
          <w:rFonts w:ascii="Arial" w:cs="Arial" w:eastAsia="Arial" w:hAnsi="Arial"/>
          <w:sz w:val="18"/>
          <w:szCs w:val="18"/>
          <w:color w:val="auto"/>
        </w:rPr>
      </w:pPr>
    </w:p>
    <w:p>
      <w:pPr>
        <w:ind w:left="880" w:right="20" w:hanging="224"/>
        <w:spacing w:after="0" w:line="248" w:lineRule="auto"/>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chairperson of the science and technology committee will receive additional annual cash compensation in the amount of $10,000 per year for such chairperson’s service on the science and technology committee. Each non-chairperson member of the science and technology committee will receive additional annual cash compensation in the amount of $5,000 per year for such member’s service on the science and technology committee.</w:t>
      </w:r>
    </w:p>
    <w:p>
      <w:pPr>
        <w:spacing w:after="0" w:line="170"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Under the Director Compensation Program, each non-employee director will automatically be granted an option to purchase 45,000 shares of our common stock upon the director’s initial appointment or election to our board of directors, referred to as the Initial Grant, and an option to purchase 22,500 shares of our common stock automatically on the date of each annual stockholders’ meeting thereafter, referred to as the Annual Grant. The Initial Grant and the Annual Grant will vest as to 33.3% on the first anniversary of the date of grant and as to 1/36</w:t>
      </w:r>
      <w:r>
        <w:rPr>
          <w:rFonts w:ascii="Arial" w:cs="Arial" w:eastAsia="Arial" w:hAnsi="Arial"/>
          <w:sz w:val="15"/>
          <w:szCs w:val="15"/>
          <w:color w:val="auto"/>
        </w:rPr>
        <w:t>th</w:t>
      </w:r>
      <w:r>
        <w:rPr>
          <w:rFonts w:ascii="Arial" w:cs="Arial" w:eastAsia="Arial" w:hAnsi="Arial"/>
          <w:sz w:val="18"/>
          <w:szCs w:val="18"/>
          <w:color w:val="auto"/>
        </w:rPr>
        <w:t xml:space="preserve"> on each monthly anniversary thereafter, subject to continued service through each applicable vesting date. The exercise price per share of director options is equal to the fair market value of a share of our common stock on the grant date, and the director options will vest in full upon the consummation of a Change in Control (as defined in the 2020 Plan).</w:t>
      </w:r>
    </w:p>
    <w:p>
      <w:pPr>
        <w:spacing w:after="0" w:line="179" w:lineRule="exact"/>
        <w:rPr>
          <w:sz w:val="20"/>
          <w:szCs w:val="20"/>
          <w:color w:val="auto"/>
        </w:rPr>
      </w:pPr>
    </w:p>
    <w:p>
      <w:pPr>
        <w:ind w:left="120" w:right="280" w:firstLine="551"/>
        <w:spacing w:after="0" w:line="276" w:lineRule="auto"/>
        <w:rPr>
          <w:sz w:val="20"/>
          <w:szCs w:val="20"/>
          <w:color w:val="auto"/>
        </w:rPr>
      </w:pPr>
      <w:r>
        <w:rPr>
          <w:rFonts w:ascii="Arial" w:cs="Arial" w:eastAsia="Arial" w:hAnsi="Arial"/>
          <w:sz w:val="18"/>
          <w:szCs w:val="18"/>
          <w:color w:val="auto"/>
        </w:rPr>
        <w:t>The following table summarizes the total compensation earned during the year ended December 31, 2019 for our non-employee directors. We appointed John Milligan as a member of our</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20"/>
          </w:cols>
          <w:pgMar w:left="320" w:top="455" w:right="45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40"/>
        <w:spacing w:after="0" w:line="276" w:lineRule="auto"/>
        <w:rPr>
          <w:sz w:val="20"/>
          <w:szCs w:val="20"/>
          <w:color w:val="auto"/>
        </w:rPr>
      </w:pPr>
      <w:r>
        <w:rPr>
          <w:rFonts w:ascii="Arial" w:cs="Arial" w:eastAsia="Arial" w:hAnsi="Arial"/>
          <w:sz w:val="18"/>
          <w:szCs w:val="18"/>
          <w:color w:val="auto"/>
        </w:rPr>
        <w:t>board and its Executive Chairman, Susannah Gray, Nancy Miller-Rich and Shawn Cline Tomasello as members of our board, in August, July, November and November 2020, respectively, so they are not included in the table below.</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Fees</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Earned</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or Paid</w:t>
            </w: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Option</w:t>
            </w: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All Other</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6620" w:type="dxa"/>
            <w:vAlign w:val="bottom"/>
            <w:vMerge w:val="restart"/>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 Cash</w:t>
            </w: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Awards</w:t>
            </w: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Compensation</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400" w:type="dxa"/>
            <w:vAlign w:val="bottom"/>
            <w:tcBorders>
              <w:bottom w:val="single" w:sz="8" w:color="auto"/>
            </w:tcBorders>
            <w:vMerge w:val="continue"/>
          </w:tcPr>
          <w:p>
            <w:pPr>
              <w:spacing w:after="0"/>
              <w:rPr>
                <w:sz w:val="15"/>
                <w:szCs w:val="15"/>
                <w:color w:val="auto"/>
              </w:rPr>
            </w:pPr>
          </w:p>
        </w:tc>
        <w:tc>
          <w:tcPr>
            <w:tcW w:w="6620" w:type="dxa"/>
            <w:vAlign w:val="bottom"/>
            <w:vMerge w:val="continue"/>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26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($)(2)</w:t>
            </w:r>
          </w:p>
        </w:tc>
        <w:tc>
          <w:tcPr>
            <w:tcW w:w="280" w:type="dxa"/>
            <w:vAlign w:val="bottom"/>
          </w:tcPr>
          <w:p>
            <w:pPr>
              <w:spacing w:after="0"/>
              <w:rPr>
                <w:sz w:val="15"/>
                <w:szCs w:val="15"/>
                <w:color w:val="auto"/>
              </w:rPr>
            </w:pPr>
          </w:p>
        </w:tc>
        <w:tc>
          <w:tcPr>
            <w:tcW w:w="720" w:type="dxa"/>
            <w:vAlign w:val="bottom"/>
          </w:tcPr>
          <w:p>
            <w:pPr>
              <w:jc w:val="right"/>
              <w:ind w:right="195"/>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0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David Schaffer, Ph.D.</w:t>
            </w:r>
          </w:p>
        </w:tc>
        <w:tc>
          <w:tcPr>
            <w:tcW w:w="6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50,000</w:t>
            </w:r>
          </w:p>
        </w:tc>
        <w:tc>
          <w:tcPr>
            <w:tcW w:w="2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50,000</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20" w:type="dxa"/>
            <w:vAlign w:val="bottom"/>
            <w:gridSpan w:val="2"/>
          </w:tcPr>
          <w:p>
            <w:pPr>
              <w:spacing w:after="0" w:line="202" w:lineRule="exact"/>
              <w:rPr>
                <w:sz w:val="20"/>
                <w:szCs w:val="20"/>
                <w:color w:val="auto"/>
              </w:rPr>
            </w:pPr>
            <w:r>
              <w:rPr>
                <w:rFonts w:ascii="Arial" w:cs="Arial" w:eastAsia="Arial" w:hAnsi="Arial"/>
                <w:sz w:val="18"/>
                <w:szCs w:val="18"/>
                <w:color w:val="auto"/>
              </w:rPr>
              <w:t>Charles Theuer, M.D., Ph.D.</w:t>
            </w: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35,000</w:t>
            </w:r>
          </w:p>
        </w:tc>
        <w:tc>
          <w:tcPr>
            <w:tcW w:w="10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159,295</w:t>
            </w: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194,295</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Jacob Chacko, M.D.(3)</w:t>
            </w: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27,417</w:t>
            </w:r>
          </w:p>
        </w:tc>
        <w:tc>
          <w:tcPr>
            <w:tcW w:w="10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273,091</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300,508</w:t>
            </w:r>
          </w:p>
        </w:tc>
        <w:tc>
          <w:tcPr>
            <w:tcW w:w="0" w:type="dxa"/>
            <w:vAlign w:val="bottom"/>
          </w:tcPr>
          <w:p>
            <w:pPr>
              <w:spacing w:after="0"/>
              <w:rPr>
                <w:sz w:val="1"/>
                <w:szCs w:val="1"/>
                <w:color w:val="auto"/>
              </w:rPr>
            </w:pPr>
          </w:p>
        </w:tc>
      </w:tr>
      <w:tr>
        <w:trPr>
          <w:trHeight w:val="203"/>
        </w:trPr>
        <w:tc>
          <w:tcPr>
            <w:tcW w:w="7020" w:type="dxa"/>
            <w:vAlign w:val="bottom"/>
            <w:gridSpan w:val="2"/>
          </w:tcPr>
          <w:p>
            <w:pPr>
              <w:spacing w:after="0" w:line="202" w:lineRule="exact"/>
              <w:rPr>
                <w:sz w:val="20"/>
                <w:szCs w:val="20"/>
                <w:color w:val="auto"/>
              </w:rPr>
            </w:pPr>
            <w:r>
              <w:rPr>
                <w:rFonts w:ascii="Arial" w:cs="Arial" w:eastAsia="Arial" w:hAnsi="Arial"/>
                <w:sz w:val="18"/>
                <w:szCs w:val="18"/>
                <w:color w:val="auto"/>
              </w:rPr>
              <w:t>Tony Yao, M.D., Ph.D.</w:t>
            </w: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William Burkoth</w:t>
            </w: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right="140" w:hanging="424"/>
        <w:spacing w:after="0" w:line="239" w:lineRule="auto"/>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Amounts shown represent the grant date fair value of options granted during fiscal year 2019 as calculated in accordance with ASC Topic 718. See Note 12 of the financial statements included in this prospectus for the assumptions used in calculating this amount. As of December 31, 2019, Dr. Theuer held options to purchase 45,517 shares of our common stock, Dr. Chacko held options to purchase 37,500 shares of our common stock and no other non-employee directors held any outstanding options or other equity awards.</w:t>
      </w:r>
    </w:p>
    <w:p>
      <w:pPr>
        <w:spacing w:after="0" w:line="3" w:lineRule="exact"/>
        <w:rPr>
          <w:rFonts w:ascii="Arial" w:cs="Arial" w:eastAsia="Arial" w:hAnsi="Arial"/>
          <w:sz w:val="18"/>
          <w:szCs w:val="18"/>
          <w:color w:val="auto"/>
        </w:rPr>
      </w:pPr>
    </w:p>
    <w:p>
      <w:pPr>
        <w:ind w:left="540" w:hanging="424"/>
        <w:spacing w:after="0" w:line="234" w:lineRule="auto"/>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Amount represents $50,000 consulting payments paid to Dr. Schaffer in consideration for research services provided us in 2019.</w:t>
      </w:r>
    </w:p>
    <w:p>
      <w:pPr>
        <w:ind w:left="540" w:right="280" w:hanging="424"/>
        <w:spacing w:after="0" w:line="250" w:lineRule="auto"/>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Dr. Chacko was initially appointed as a member of the board in late March 2019, and his board director fees were pro-rated for his partial service in 2019.</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40"/>
          </w:cols>
          <w:pgMar w:left="320" w:top="455" w:right="43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14"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The following is a discussion and analysis of compensation arrangements of our named executive officers (NEOs). This discussion contains forward 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174"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color w:val="auto"/>
        </w:rPr>
        <w:t>We seek to ensure that the total compensation paid to our executive officers is reasonable and competitive. Compensation of our executives is structured around the achievement of individual performance and near-term corporate targets as well as long-term business objectives.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NEOs for fiscal year 2019 were as follows:</w:t>
      </w:r>
    </w:p>
    <w:p>
      <w:pPr>
        <w:spacing w:after="0" w:line="117" w:lineRule="exact"/>
        <w:rPr>
          <w:sz w:val="20"/>
          <w:szCs w:val="20"/>
          <w:color w:val="auto"/>
        </w:rPr>
      </w:pPr>
    </w:p>
    <w:p>
      <w:pPr>
        <w:ind w:left="880" w:hanging="224"/>
        <w:spacing w:after="0"/>
        <w:tabs>
          <w:tab w:leader="none" w:pos="8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David Kirn, M.D., our Chief Executive Officer;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Peter Francis, M.D., Ph.D., our Chief Medical Officer;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August Moretti, our Chief Financial Officer.</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Moretti started employment with us on January 7, 2019 and Dr. Francis was promoted to our Chief Medical Officer on</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January 15, 2019 when he was formerly our Senior Vice President, Clinical Translational R&amp;D Program Leader, Retina Therapeutic Area.</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2019 Summary Compensation Table</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concerning the compensation of our NEOs for the years ended December 31, 2018 and</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2019.</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Non-Equity</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Incentive</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Option</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Plan</w:t>
            </w: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All Other</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24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Salary</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Bonus</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Awards</w:t>
            </w: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Compensation</w:t>
            </w: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Compensation</w:t>
            </w: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1940" w:type="dxa"/>
            <w:vAlign w:val="bottom"/>
            <w:tcBorders>
              <w:bottom w:val="single" w:sz="8" w:color="auto"/>
            </w:tcBorders>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740" w:type="dxa"/>
            <w:vAlign w:val="bottom"/>
          </w:tcPr>
          <w:p>
            <w:pPr>
              <w:jc w:val="right"/>
              <w:ind w:right="19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620" w:type="dxa"/>
            <w:vAlign w:val="bottom"/>
          </w:tcPr>
          <w:p>
            <w:pPr>
              <w:jc w:val="right"/>
              <w:ind w:right="13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16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($)(2)</w:t>
            </w:r>
          </w:p>
        </w:tc>
        <w:tc>
          <w:tcPr>
            <w:tcW w:w="16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($)(3)</w:t>
            </w:r>
          </w:p>
        </w:tc>
        <w:tc>
          <w:tcPr>
            <w:tcW w:w="160" w:type="dxa"/>
            <w:vAlign w:val="bottom"/>
          </w:tcPr>
          <w:p>
            <w:pPr>
              <w:spacing w:after="0"/>
              <w:rPr>
                <w:sz w:val="15"/>
                <w:szCs w:val="15"/>
                <w:color w:val="auto"/>
              </w:rPr>
            </w:pPr>
          </w:p>
        </w:tc>
        <w:tc>
          <w:tcPr>
            <w:tcW w:w="900" w:type="dxa"/>
            <w:vAlign w:val="bottom"/>
          </w:tcPr>
          <w:p>
            <w:pPr>
              <w:jc w:val="right"/>
              <w:ind w:right="275"/>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180" w:type="dxa"/>
            <w:vAlign w:val="bottom"/>
            <w:tcBorders>
              <w:top w:val="single" w:sz="8" w:color="CCEEFF"/>
            </w:tcBorders>
            <w:gridSpan w:val="2"/>
            <w:shd w:val="clear" w:color="auto" w:fill="CCEEFF"/>
          </w:tcPr>
          <w:p>
            <w:pPr>
              <w:spacing w:after="0" w:line="167" w:lineRule="exact"/>
              <w:rPr>
                <w:sz w:val="20"/>
                <w:szCs w:val="20"/>
                <w:color w:val="auto"/>
              </w:rPr>
            </w:pPr>
            <w:r>
              <w:rPr>
                <w:rFonts w:ascii="Arial" w:cs="Arial" w:eastAsia="Arial" w:hAnsi="Arial"/>
                <w:sz w:val="18"/>
                <w:szCs w:val="18"/>
                <w:color w:val="auto"/>
              </w:rPr>
              <w:t>David Kirn, M.D.</w:t>
            </w: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ind w:left="60"/>
              <w:spacing w:after="0" w:line="167" w:lineRule="exact"/>
              <w:rPr>
                <w:sz w:val="20"/>
                <w:szCs w:val="20"/>
                <w:color w:val="auto"/>
              </w:rPr>
            </w:pPr>
            <w:r>
              <w:rPr>
                <w:rFonts w:ascii="Arial" w:cs="Arial" w:eastAsia="Arial" w:hAnsi="Arial"/>
                <w:sz w:val="18"/>
                <w:szCs w:val="18"/>
                <w:color w:val="auto"/>
                <w:w w:val="94"/>
              </w:rPr>
              <w:t>2019</w:t>
            </w:r>
          </w:p>
        </w:tc>
        <w:tc>
          <w:tcPr>
            <w:tcW w:w="16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8"/>
                <w:szCs w:val="18"/>
                <w:color w:val="auto"/>
              </w:rPr>
              <w:t>430,000</w:t>
            </w:r>
          </w:p>
        </w:tc>
        <w:tc>
          <w:tcPr>
            <w:tcW w:w="16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8"/>
                <w:szCs w:val="18"/>
                <w:color w:val="auto"/>
              </w:rPr>
              <w:t>111,800</w:t>
            </w:r>
          </w:p>
        </w:tc>
        <w:tc>
          <w:tcPr>
            <w:tcW w:w="16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8"/>
                <w:szCs w:val="18"/>
                <w:color w:val="auto"/>
              </w:rPr>
              <w:t>12,500</w:t>
            </w:r>
          </w:p>
        </w:tc>
        <w:tc>
          <w:tcPr>
            <w:tcW w:w="16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8"/>
                <w:szCs w:val="18"/>
                <w:color w:val="auto"/>
              </w:rPr>
              <w:t>554,300</w:t>
            </w: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8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2018</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396,445</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137,700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12,250</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546,395</w:t>
            </w:r>
          </w:p>
        </w:tc>
        <w:tc>
          <w:tcPr>
            <w:tcW w:w="0" w:type="dxa"/>
            <w:vAlign w:val="bottom"/>
          </w:tcPr>
          <w:p>
            <w:pPr>
              <w:spacing w:after="0"/>
              <w:rPr>
                <w:sz w:val="1"/>
                <w:szCs w:val="1"/>
                <w:color w:val="auto"/>
              </w:rPr>
            </w:pPr>
          </w:p>
        </w:tc>
      </w:tr>
      <w:tr>
        <w:trPr>
          <w:trHeight w:val="203"/>
        </w:trPr>
        <w:tc>
          <w:tcPr>
            <w:tcW w:w="41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180" w:type="dxa"/>
            <w:vAlign w:val="bottom"/>
            <w:gridSpan w:val="2"/>
          </w:tcPr>
          <w:p>
            <w:pPr>
              <w:spacing w:after="0" w:line="180" w:lineRule="exact"/>
              <w:rPr>
                <w:sz w:val="20"/>
                <w:szCs w:val="20"/>
                <w:color w:val="auto"/>
              </w:rPr>
            </w:pPr>
            <w:r>
              <w:rPr>
                <w:rFonts w:ascii="Arial" w:cs="Arial" w:eastAsia="Arial" w:hAnsi="Arial"/>
                <w:sz w:val="18"/>
                <w:szCs w:val="18"/>
                <w:color w:val="auto"/>
              </w:rPr>
              <w:t>Peter Francis, M.D., Ph.D.</w:t>
            </w:r>
          </w:p>
        </w:tc>
        <w:tc>
          <w:tcPr>
            <w:tcW w:w="100" w:type="dxa"/>
            <w:vAlign w:val="bottom"/>
          </w:tcPr>
          <w:p>
            <w:pPr>
              <w:spacing w:after="0"/>
              <w:rPr>
                <w:sz w:val="15"/>
                <w:szCs w:val="15"/>
                <w:color w:val="auto"/>
              </w:rPr>
            </w:pPr>
          </w:p>
        </w:tc>
        <w:tc>
          <w:tcPr>
            <w:tcW w:w="620" w:type="dxa"/>
            <w:vAlign w:val="bottom"/>
            <w:gridSpan w:val="2"/>
          </w:tcPr>
          <w:p>
            <w:pPr>
              <w:ind w:left="60"/>
              <w:spacing w:after="0" w:line="180" w:lineRule="exact"/>
              <w:rPr>
                <w:sz w:val="20"/>
                <w:szCs w:val="20"/>
                <w:color w:val="auto"/>
              </w:rPr>
            </w:pPr>
            <w:r>
              <w:rPr>
                <w:rFonts w:ascii="Arial" w:cs="Arial" w:eastAsia="Arial" w:hAnsi="Arial"/>
                <w:sz w:val="18"/>
                <w:szCs w:val="18"/>
                <w:color w:val="auto"/>
              </w:rPr>
              <w:t>2019</w:t>
            </w:r>
          </w:p>
        </w:tc>
        <w:tc>
          <w:tcPr>
            <w:tcW w:w="900" w:type="dxa"/>
            <w:vAlign w:val="bottom"/>
            <w:gridSpan w:val="2"/>
          </w:tcPr>
          <w:p>
            <w:pPr>
              <w:jc w:val="right"/>
              <w:ind w:right="160"/>
              <w:spacing w:after="0" w:line="180" w:lineRule="exact"/>
              <w:rPr>
                <w:sz w:val="20"/>
                <w:szCs w:val="20"/>
                <w:color w:val="auto"/>
              </w:rPr>
            </w:pPr>
            <w:r>
              <w:rPr>
                <w:rFonts w:ascii="Arial" w:cs="Arial" w:eastAsia="Arial" w:hAnsi="Arial"/>
                <w:sz w:val="18"/>
                <w:szCs w:val="18"/>
                <w:color w:val="auto"/>
              </w:rPr>
              <w:t>322,917</w:t>
            </w:r>
          </w:p>
        </w:tc>
        <w:tc>
          <w:tcPr>
            <w:tcW w:w="780" w:type="dxa"/>
            <w:vAlign w:val="bottom"/>
            <w:gridSpan w:val="2"/>
          </w:tcPr>
          <w:p>
            <w:pPr>
              <w:jc w:val="right"/>
              <w:ind w:right="160"/>
              <w:spacing w:after="0" w:line="180"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line="180" w:lineRule="exact"/>
              <w:rPr>
                <w:sz w:val="20"/>
                <w:szCs w:val="20"/>
                <w:color w:val="auto"/>
              </w:rPr>
            </w:pPr>
            <w:r>
              <w:rPr>
                <w:rFonts w:ascii="Arial" w:cs="Arial" w:eastAsia="Arial" w:hAnsi="Arial"/>
                <w:sz w:val="18"/>
                <w:szCs w:val="18"/>
                <w:color w:val="auto"/>
              </w:rPr>
              <w:t>1,069,139</w:t>
            </w:r>
          </w:p>
        </w:tc>
        <w:tc>
          <w:tcPr>
            <w:tcW w:w="1200" w:type="dxa"/>
            <w:vAlign w:val="bottom"/>
            <w:gridSpan w:val="2"/>
          </w:tcPr>
          <w:p>
            <w:pPr>
              <w:jc w:val="right"/>
              <w:ind w:right="160"/>
              <w:spacing w:after="0" w:line="180" w:lineRule="exact"/>
              <w:rPr>
                <w:sz w:val="20"/>
                <w:szCs w:val="20"/>
                <w:color w:val="auto"/>
              </w:rPr>
            </w:pPr>
            <w:r>
              <w:rPr>
                <w:rFonts w:ascii="Arial" w:cs="Arial" w:eastAsia="Arial" w:hAnsi="Arial"/>
                <w:sz w:val="18"/>
                <w:szCs w:val="18"/>
                <w:color w:val="auto"/>
              </w:rPr>
              <w:t>77,419</w:t>
            </w:r>
          </w:p>
        </w:tc>
        <w:tc>
          <w:tcPr>
            <w:tcW w:w="1200" w:type="dxa"/>
            <w:vAlign w:val="bottom"/>
            <w:gridSpan w:val="2"/>
          </w:tcPr>
          <w:p>
            <w:pPr>
              <w:jc w:val="right"/>
              <w:ind w:right="160"/>
              <w:spacing w:after="0" w:line="180" w:lineRule="exact"/>
              <w:rPr>
                <w:sz w:val="20"/>
                <w:szCs w:val="20"/>
                <w:color w:val="auto"/>
              </w:rPr>
            </w:pPr>
            <w:r>
              <w:rPr>
                <w:rFonts w:ascii="Arial" w:cs="Arial" w:eastAsia="Arial" w:hAnsi="Arial"/>
                <w:sz w:val="18"/>
                <w:szCs w:val="18"/>
                <w:color w:val="auto"/>
              </w:rPr>
              <w:t>84,537</w:t>
            </w:r>
          </w:p>
        </w:tc>
        <w:tc>
          <w:tcPr>
            <w:tcW w:w="980" w:type="dxa"/>
            <w:vAlign w:val="bottom"/>
            <w:gridSpan w:val="2"/>
          </w:tcPr>
          <w:p>
            <w:pPr>
              <w:jc w:val="right"/>
              <w:ind w:right="80"/>
              <w:spacing w:after="0" w:line="180" w:lineRule="exact"/>
              <w:rPr>
                <w:sz w:val="20"/>
                <w:szCs w:val="20"/>
                <w:color w:val="auto"/>
              </w:rPr>
            </w:pPr>
            <w:r>
              <w:rPr>
                <w:rFonts w:ascii="Arial" w:cs="Arial" w:eastAsia="Arial" w:hAnsi="Arial"/>
                <w:sz w:val="18"/>
                <w:szCs w:val="18"/>
                <w:color w:val="auto"/>
              </w:rPr>
              <w:t>1,554,012</w:t>
            </w:r>
          </w:p>
        </w:tc>
        <w:tc>
          <w:tcPr>
            <w:tcW w:w="0" w:type="dxa"/>
            <w:vAlign w:val="bottom"/>
          </w:tcPr>
          <w:p>
            <w:pPr>
              <w:spacing w:after="0"/>
              <w:rPr>
                <w:sz w:val="1"/>
                <w:szCs w:val="1"/>
                <w:color w:val="auto"/>
              </w:rPr>
            </w:pPr>
          </w:p>
        </w:tc>
      </w:tr>
      <w:tr>
        <w:trPr>
          <w:trHeight w:val="243"/>
        </w:trPr>
        <w:tc>
          <w:tcPr>
            <w:tcW w:w="4180" w:type="dxa"/>
            <w:vAlign w:val="bottom"/>
            <w:gridSpan w:val="2"/>
            <w:vMerge w:val="restart"/>
          </w:tcPr>
          <w:p>
            <w:pPr>
              <w:ind w:left="180"/>
              <w:spacing w:after="0"/>
              <w:rPr>
                <w:sz w:val="20"/>
                <w:szCs w:val="20"/>
                <w:color w:val="auto"/>
              </w:rPr>
            </w:pPr>
            <w:r>
              <w:rPr>
                <w:rFonts w:ascii="Arial" w:cs="Arial" w:eastAsia="Arial" w:hAnsi="Arial"/>
                <w:sz w:val="18"/>
                <w:szCs w:val="18"/>
                <w:i w:val="1"/>
                <w:iCs w:val="1"/>
                <w:color w:val="auto"/>
              </w:rPr>
              <w:t>Chief Medical Officer</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2018</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270,000</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24,300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200,024</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65,610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46,204</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606,138</w:t>
            </w:r>
          </w:p>
        </w:tc>
        <w:tc>
          <w:tcPr>
            <w:tcW w:w="0" w:type="dxa"/>
            <w:vAlign w:val="bottom"/>
          </w:tcPr>
          <w:p>
            <w:pPr>
              <w:spacing w:after="0"/>
              <w:rPr>
                <w:sz w:val="1"/>
                <w:szCs w:val="1"/>
                <w:color w:val="auto"/>
              </w:rPr>
            </w:pPr>
          </w:p>
        </w:tc>
      </w:tr>
      <w:tr>
        <w:trPr>
          <w:trHeight w:val="185"/>
        </w:trPr>
        <w:tc>
          <w:tcPr>
            <w:tcW w:w="4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1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August Moretti</w:t>
            </w:r>
          </w:p>
        </w:tc>
        <w:tc>
          <w:tcPr>
            <w:tcW w:w="720" w:type="dxa"/>
            <w:vAlign w:val="bottom"/>
            <w:gridSpan w:val="3"/>
            <w:shd w:val="clear" w:color="auto" w:fill="CCEEFF"/>
          </w:tcPr>
          <w:p>
            <w:pPr>
              <w:ind w:left="160"/>
              <w:spacing w:after="0" w:line="182" w:lineRule="exact"/>
              <w:rPr>
                <w:sz w:val="20"/>
                <w:szCs w:val="20"/>
                <w:color w:val="auto"/>
              </w:rPr>
            </w:pPr>
            <w:r>
              <w:rPr>
                <w:rFonts w:ascii="Arial" w:cs="Arial" w:eastAsia="Arial" w:hAnsi="Arial"/>
                <w:sz w:val="18"/>
                <w:szCs w:val="18"/>
                <w:color w:val="auto"/>
              </w:rPr>
              <w:t>2019</w:t>
            </w:r>
          </w:p>
        </w:tc>
        <w:tc>
          <w:tcPr>
            <w:tcW w:w="90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374,242</w:t>
            </w:r>
          </w:p>
        </w:tc>
        <w:tc>
          <w:tcPr>
            <w:tcW w:w="78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1,661,243</w:t>
            </w:r>
          </w:p>
        </w:tc>
        <w:tc>
          <w:tcPr>
            <w:tcW w:w="120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89,725</w:t>
            </w:r>
          </w:p>
        </w:tc>
        <w:tc>
          <w:tcPr>
            <w:tcW w:w="120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12,500</w:t>
            </w:r>
          </w:p>
        </w:tc>
        <w:tc>
          <w:tcPr>
            <w:tcW w:w="98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2,137,710</w:t>
            </w:r>
          </w:p>
        </w:tc>
        <w:tc>
          <w:tcPr>
            <w:tcW w:w="0" w:type="dxa"/>
            <w:vAlign w:val="bottom"/>
          </w:tcPr>
          <w:p>
            <w:pPr>
              <w:spacing w:after="0"/>
              <w:rPr>
                <w:sz w:val="1"/>
                <w:szCs w:val="1"/>
                <w:color w:val="auto"/>
              </w:rPr>
            </w:pPr>
          </w:p>
        </w:tc>
      </w:tr>
      <w:tr>
        <w:trPr>
          <w:trHeight w:val="223"/>
        </w:trPr>
        <w:tc>
          <w:tcPr>
            <w:tcW w:w="41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Financial Officer(4)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jc w:val="both"/>
        <w:ind w:left="540" w:right="60" w:hanging="424"/>
        <w:spacing w:after="0" w:line="243" w:lineRule="auto"/>
        <w:tabs>
          <w:tab w:leader="none" w:pos="5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Amounts shown represents the grant date fair value of options granted during fiscal year 2019 as calculated in accordance with ASC Topic 718. See Note 12 of the financial statements included in this registration statement for the assumptions used in calculating this amount.</w:t>
      </w:r>
    </w:p>
    <w:p>
      <w:pPr>
        <w:ind w:left="540" w:right="140" w:hanging="424"/>
        <w:spacing w:after="0" w:line="234" w:lineRule="auto"/>
        <w:tabs>
          <w:tab w:leader="none" w:pos="5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Amounts represent the annual performance-based cash bonuses earned by our NEOs based on the achievement of certain corporate performance objectives during 2019. These amounts were paid to the NEOs in early 2020. Please see the descriptions of the annual performance bonuses paid to our named executive officers under “2019 Bonuses” below.</w:t>
      </w:r>
    </w:p>
    <w:p>
      <w:pPr>
        <w:spacing w:after="0" w:line="2" w:lineRule="exact"/>
        <w:rPr>
          <w:rFonts w:ascii="Arial" w:cs="Arial" w:eastAsia="Arial" w:hAnsi="Arial"/>
          <w:sz w:val="18"/>
          <w:szCs w:val="18"/>
          <w:color w:val="auto"/>
        </w:rPr>
      </w:pPr>
    </w:p>
    <w:p>
      <w:pPr>
        <w:ind w:left="540" w:hanging="424"/>
        <w:spacing w:after="0" w:line="234" w:lineRule="auto"/>
        <w:tabs>
          <w:tab w:leader="none" w:pos="5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For 2019, amounts represent: (i) for Dr. Kirn, $12,500 for matching contributions made by us under our 401(k) plan; (ii) for</w:t>
      </w:r>
    </w:p>
    <w:p>
      <w:pPr>
        <w:ind w:left="540" w:right="340"/>
        <w:spacing w:after="0" w:line="234" w:lineRule="auto"/>
        <w:rPr>
          <w:rFonts w:ascii="Arial" w:cs="Arial" w:eastAsia="Arial" w:hAnsi="Arial"/>
          <w:sz w:val="18"/>
          <w:szCs w:val="18"/>
          <w:color w:val="auto"/>
        </w:rPr>
      </w:pPr>
      <w:r>
        <w:rPr>
          <w:rFonts w:ascii="Arial" w:cs="Arial" w:eastAsia="Arial" w:hAnsi="Arial"/>
          <w:sz w:val="18"/>
          <w:szCs w:val="18"/>
          <w:color w:val="auto"/>
        </w:rPr>
        <w:t>Dr. Francis, $72,037 for reimbursements of travel expenses and $12,500 for matching contributions made by us under our 401(k) plan; and (iii) for Mr. Moretti, $12,500 for matching contributions made by us under our 401(k) plan.</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Mr. Moretti commenced employment with us on January 7, 2019.</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40"/>
          </w:cols>
          <w:pgMar w:left="320" w:top="455" w:right="43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2019 Fiscal Year End</w:t>
      </w:r>
    </w:p>
    <w:p>
      <w:pPr>
        <w:spacing w:after="0" w:line="106" w:lineRule="exact"/>
        <w:rPr>
          <w:sz w:val="20"/>
          <w:szCs w:val="20"/>
          <w:color w:val="auto"/>
        </w:rPr>
      </w:pPr>
    </w:p>
    <w:p>
      <w:pPr>
        <w:ind w:left="120" w:right="540" w:firstLine="551"/>
        <w:spacing w:after="0" w:line="276" w:lineRule="auto"/>
        <w:rPr>
          <w:sz w:val="20"/>
          <w:szCs w:val="20"/>
          <w:color w:val="auto"/>
        </w:rPr>
      </w:pPr>
      <w:r>
        <w:rPr>
          <w:rFonts w:ascii="Arial" w:cs="Arial" w:eastAsia="Arial" w:hAnsi="Arial"/>
          <w:sz w:val="18"/>
          <w:szCs w:val="18"/>
          <w:color w:val="auto"/>
        </w:rPr>
        <w:t>The following table lists all outstanding equity awards held by our NEOs as of December 31, 2019. Dr. Kirn does not hold any outstanding equity awards as of December 31, 2019.</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0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Option Awards</w:t>
            </w:r>
          </w:p>
        </w:tc>
        <w:tc>
          <w:tcPr>
            <w:tcW w:w="8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00" w:type="dxa"/>
            <w:vAlign w:val="bottom"/>
            <w:gridSpan w:val="2"/>
          </w:tcPr>
          <w:p>
            <w:pPr>
              <w:jc w:val="center"/>
              <w:ind w:right="440"/>
              <w:spacing w:after="0" w:line="141" w:lineRule="exact"/>
              <w:rPr>
                <w:sz w:val="20"/>
                <w:szCs w:val="20"/>
                <w:color w:val="auto"/>
              </w:rPr>
            </w:pPr>
            <w:r>
              <w:rPr>
                <w:rFonts w:ascii="Arial" w:cs="Arial" w:eastAsia="Arial" w:hAnsi="Arial"/>
                <w:sz w:val="14"/>
                <w:szCs w:val="14"/>
                <w:b w:val="1"/>
                <w:bCs w:val="1"/>
                <w:color w:val="auto"/>
              </w:rPr>
              <w:t>Number</w:t>
            </w:r>
          </w:p>
        </w:tc>
        <w:tc>
          <w:tcPr>
            <w:tcW w:w="1440" w:type="dxa"/>
            <w:vAlign w:val="bottom"/>
            <w:gridSpan w:val="2"/>
          </w:tcPr>
          <w:p>
            <w:pPr>
              <w:jc w:val="center"/>
              <w:ind w:right="460"/>
              <w:spacing w:after="0" w:line="141" w:lineRule="exact"/>
              <w:rPr>
                <w:sz w:val="20"/>
                <w:szCs w:val="20"/>
                <w:color w:val="auto"/>
              </w:rPr>
            </w:pPr>
            <w:r>
              <w:rPr>
                <w:rFonts w:ascii="Arial" w:cs="Arial" w:eastAsia="Arial" w:hAnsi="Arial"/>
                <w:sz w:val="14"/>
                <w:szCs w:val="14"/>
                <w:b w:val="1"/>
                <w:bCs w:val="1"/>
                <w:color w:val="auto"/>
              </w:rPr>
              <w:t>Number</w:t>
            </w: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of Securities</w:t>
            </w: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Of Securities</w:t>
            </w: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Underlying</w:t>
            </w: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Underlying</w:t>
            </w: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Unexercised</w:t>
            </w: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Unexercised</w:t>
            </w: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Option</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780" w:type="dxa"/>
            <w:vAlign w:val="bottom"/>
            <w:gridSpan w:val="2"/>
          </w:tcPr>
          <w:p>
            <w:pPr>
              <w:ind w:left="300"/>
              <w:spacing w:after="0"/>
              <w:rPr>
                <w:sz w:val="20"/>
                <w:szCs w:val="20"/>
                <w:color w:val="auto"/>
              </w:rPr>
            </w:pPr>
            <w:r>
              <w:rPr>
                <w:rFonts w:ascii="Arial" w:cs="Arial" w:eastAsia="Arial" w:hAnsi="Arial"/>
                <w:sz w:val="14"/>
                <w:szCs w:val="14"/>
                <w:b w:val="1"/>
                <w:bCs w:val="1"/>
                <w:color w:val="auto"/>
              </w:rPr>
              <w:t>Vesting</w:t>
            </w: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Options</w:t>
            </w: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Options</w:t>
            </w: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Exercise</w:t>
            </w:r>
          </w:p>
        </w:tc>
        <w:tc>
          <w:tcPr>
            <w:tcW w:w="920" w:type="dxa"/>
            <w:vAlign w:val="bottom"/>
            <w:gridSpan w:val="2"/>
          </w:tcPr>
          <w:p>
            <w:pPr>
              <w:ind w:left="20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62"/>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4140" w:type="dxa"/>
            <w:vAlign w:val="bottom"/>
            <w:vMerge w:val="restart"/>
          </w:tcPr>
          <w:p>
            <w:pPr>
              <w:spacing w:after="0"/>
              <w:rPr>
                <w:sz w:val="14"/>
                <w:szCs w:val="14"/>
                <w:color w:val="auto"/>
              </w:rPr>
            </w:pPr>
          </w:p>
        </w:tc>
        <w:tc>
          <w:tcPr>
            <w:tcW w:w="17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Commencement</w:t>
            </w: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Exercisable</w:t>
            </w: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Unexercisable</w:t>
            </w: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9"/>
              </w:rPr>
              <w:t>Price</w:t>
            </w: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84"/>
        </w:trPr>
        <w:tc>
          <w:tcPr>
            <w:tcW w:w="400" w:type="dxa"/>
            <w:vAlign w:val="bottom"/>
            <w:tcBorders>
              <w:bottom w:val="single" w:sz="8" w:color="auto"/>
            </w:tcBorders>
            <w:vMerge w:val="continue"/>
          </w:tcPr>
          <w:p>
            <w:pPr>
              <w:spacing w:after="0"/>
              <w:rPr>
                <w:sz w:val="15"/>
                <w:szCs w:val="15"/>
                <w:color w:val="auto"/>
              </w:rPr>
            </w:pPr>
          </w:p>
        </w:tc>
        <w:tc>
          <w:tcPr>
            <w:tcW w:w="4140" w:type="dxa"/>
            <w:vAlign w:val="bottom"/>
            <w:vMerge w:val="continue"/>
          </w:tcPr>
          <w:p>
            <w:pPr>
              <w:spacing w:after="0"/>
              <w:rPr>
                <w:sz w:val="15"/>
                <w:szCs w:val="15"/>
                <w:color w:val="auto"/>
              </w:rPr>
            </w:pPr>
          </w:p>
        </w:tc>
        <w:tc>
          <w:tcPr>
            <w:tcW w:w="1780" w:type="dxa"/>
            <w:vAlign w:val="bottom"/>
            <w:gridSpan w:val="2"/>
          </w:tcPr>
          <w:p>
            <w:pPr>
              <w:ind w:left="320"/>
              <w:spacing w:after="0"/>
              <w:rPr>
                <w:sz w:val="20"/>
                <w:szCs w:val="20"/>
                <w:color w:val="auto"/>
              </w:rPr>
            </w:pPr>
            <w:r>
              <w:rPr>
                <w:rFonts w:ascii="Arial" w:cs="Arial" w:eastAsia="Arial" w:hAnsi="Arial"/>
                <w:sz w:val="14"/>
                <w:szCs w:val="14"/>
                <w:b w:val="1"/>
                <w:bCs w:val="1"/>
                <w:color w:val="auto"/>
              </w:rPr>
              <w:t>Date(1)</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5"/>
                <w:szCs w:val="15"/>
                <w:color w:val="auto"/>
              </w:rPr>
            </w:pPr>
          </w:p>
        </w:tc>
        <w:tc>
          <w:tcPr>
            <w:tcW w:w="920" w:type="dxa"/>
            <w:vAlign w:val="bottom"/>
            <w:gridSpan w:val="2"/>
          </w:tcPr>
          <w:p>
            <w:pPr>
              <w:ind w:left="28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90"/>
        </w:trPr>
        <w:tc>
          <w:tcPr>
            <w:tcW w:w="45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Peter Francis, M.D., Ph.D.</w:t>
            </w:r>
          </w:p>
        </w:tc>
        <w:tc>
          <w:tcPr>
            <w:tcW w:w="1120" w:type="dxa"/>
            <w:vAlign w:val="bottom"/>
            <w:tcBorders>
              <w:top w:val="single" w:sz="8" w:color="auto"/>
            </w:tcBorders>
            <w:shd w:val="clear" w:color="auto" w:fill="CCEEFF"/>
          </w:tcPr>
          <w:p>
            <w:pPr>
              <w:ind w:left="320"/>
              <w:spacing w:after="0" w:line="189" w:lineRule="exact"/>
              <w:rPr>
                <w:sz w:val="20"/>
                <w:szCs w:val="20"/>
                <w:color w:val="auto"/>
              </w:rPr>
            </w:pPr>
            <w:r>
              <w:rPr>
                <w:rFonts w:ascii="Arial" w:cs="Arial" w:eastAsia="Arial" w:hAnsi="Arial"/>
                <w:sz w:val="18"/>
                <w:szCs w:val="18"/>
                <w:color w:val="auto"/>
                <w:w w:val="76"/>
              </w:rPr>
              <w:t>9/30/2016(2)</w:t>
            </w:r>
          </w:p>
        </w:tc>
        <w:tc>
          <w:tcPr>
            <w:tcW w:w="6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59,070</w:t>
            </w:r>
          </w:p>
        </w:tc>
        <w:tc>
          <w:tcPr>
            <w:tcW w:w="44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15,930</w:t>
            </w:r>
          </w:p>
        </w:tc>
        <w:tc>
          <w:tcPr>
            <w:tcW w:w="4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ind w:left="240"/>
              <w:spacing w:after="0" w:line="189" w:lineRule="exact"/>
              <w:rPr>
                <w:sz w:val="20"/>
                <w:szCs w:val="20"/>
                <w:color w:val="auto"/>
              </w:rPr>
            </w:pPr>
            <w:r>
              <w:rPr>
                <w:rFonts w:ascii="Arial" w:cs="Arial" w:eastAsia="Arial" w:hAnsi="Arial"/>
                <w:sz w:val="18"/>
                <w:szCs w:val="18"/>
                <w:color w:val="auto"/>
                <w:w w:val="91"/>
              </w:rPr>
              <w:t>3.19</w:t>
            </w:r>
          </w:p>
        </w:tc>
        <w:tc>
          <w:tcPr>
            <w:tcW w:w="4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ind w:left="60"/>
              <w:spacing w:after="0" w:line="189" w:lineRule="exact"/>
              <w:rPr>
                <w:sz w:val="20"/>
                <w:szCs w:val="20"/>
                <w:color w:val="auto"/>
              </w:rPr>
            </w:pPr>
            <w:r>
              <w:rPr>
                <w:rFonts w:ascii="Arial" w:cs="Arial" w:eastAsia="Arial" w:hAnsi="Arial"/>
                <w:sz w:val="18"/>
                <w:szCs w:val="18"/>
                <w:color w:val="auto"/>
                <w:w w:val="97"/>
              </w:rPr>
              <w:t>4/19/2028</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78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1/15/2019(3)</w:t>
            </w:r>
          </w:p>
        </w:tc>
        <w:tc>
          <w:tcPr>
            <w:tcW w:w="13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33,614</w:t>
            </w:r>
          </w:p>
        </w:tc>
        <w:tc>
          <w:tcPr>
            <w:tcW w:w="14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113,066</w:t>
            </w:r>
          </w:p>
        </w:tc>
        <w:tc>
          <w:tcPr>
            <w:tcW w:w="10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9.41</w:t>
            </w:r>
          </w:p>
        </w:tc>
        <w:tc>
          <w:tcPr>
            <w:tcW w:w="9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3/19/2029</w:t>
            </w:r>
          </w:p>
        </w:tc>
        <w:tc>
          <w:tcPr>
            <w:tcW w:w="0" w:type="dxa"/>
            <w:vAlign w:val="bottom"/>
          </w:tcPr>
          <w:p>
            <w:pPr>
              <w:spacing w:after="0"/>
              <w:rPr>
                <w:sz w:val="1"/>
                <w:szCs w:val="1"/>
                <w:color w:val="auto"/>
              </w:rPr>
            </w:pPr>
          </w:p>
        </w:tc>
      </w:tr>
      <w:tr>
        <w:trPr>
          <w:trHeight w:val="203"/>
        </w:trPr>
        <w:tc>
          <w:tcPr>
            <w:tcW w:w="4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August Moretti.</w:t>
            </w:r>
          </w:p>
        </w:tc>
        <w:tc>
          <w:tcPr>
            <w:tcW w:w="17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1/7/2019</w:t>
            </w:r>
          </w:p>
        </w:tc>
        <w:tc>
          <w:tcPr>
            <w:tcW w:w="13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225,060</w:t>
            </w:r>
          </w:p>
        </w:tc>
        <w:tc>
          <w:tcPr>
            <w:tcW w:w="104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9.41</w:t>
            </w:r>
          </w:p>
        </w:tc>
        <w:tc>
          <w:tcPr>
            <w:tcW w:w="92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3/19/2029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right="140" w:hanging="424"/>
        <w:spacing w:after="0" w:line="243" w:lineRule="auto"/>
        <w:tabs>
          <w:tab w:leader="none" w:pos="5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Except as otherwise noted, options vest as to 25% of the shares on the one year anniversary of the vesting commencement date and vest as to 1/48</w:t>
      </w:r>
      <w:r>
        <w:rPr>
          <w:rFonts w:ascii="Arial" w:cs="Arial" w:eastAsia="Arial" w:hAnsi="Arial"/>
          <w:sz w:val="15"/>
          <w:szCs w:val="15"/>
          <w:color w:val="auto"/>
        </w:rPr>
        <w:t>th</w:t>
      </w:r>
      <w:r>
        <w:rPr>
          <w:rFonts w:ascii="Arial" w:cs="Arial" w:eastAsia="Arial" w:hAnsi="Arial"/>
          <w:sz w:val="18"/>
          <w:szCs w:val="18"/>
          <w:color w:val="auto"/>
        </w:rPr>
        <w:t xml:space="preserve"> of the shares monthly thereafter, such that all awards will be vested on the four year anniversary of the vesting commencement date, subject to the holder continuing to provide services to us through such vesting date.</w:t>
      </w:r>
    </w:p>
    <w:p>
      <w:pPr>
        <w:ind w:left="540" w:right="160" w:hanging="424"/>
        <w:spacing w:after="0" w:line="234" w:lineRule="auto"/>
        <w:tabs>
          <w:tab w:leader="none" w:pos="5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options vested as to 11,280 of the shares on the one year anniversary of the vesting commencement date and vest as to 1,770 of the remaining shares monthly thereafter, subject to the holder continuing to provide services through such vesting date.</w:t>
      </w:r>
    </w:p>
    <w:p>
      <w:pPr>
        <w:spacing w:after="0" w:line="1" w:lineRule="exact"/>
        <w:rPr>
          <w:rFonts w:ascii="Arial" w:cs="Arial" w:eastAsia="Arial" w:hAnsi="Arial"/>
          <w:sz w:val="18"/>
          <w:szCs w:val="18"/>
          <w:color w:val="auto"/>
        </w:rPr>
      </w:pPr>
    </w:p>
    <w:p>
      <w:pPr>
        <w:ind w:left="540" w:right="20" w:hanging="424"/>
        <w:spacing w:after="0" w:line="242" w:lineRule="auto"/>
        <w:tabs>
          <w:tab w:leader="none" w:pos="5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option vests as to 1/48</w:t>
      </w:r>
      <w:r>
        <w:rPr>
          <w:rFonts w:ascii="Arial" w:cs="Arial" w:eastAsia="Arial" w:hAnsi="Arial"/>
          <w:sz w:val="15"/>
          <w:szCs w:val="15"/>
          <w:color w:val="auto"/>
        </w:rPr>
        <w:t>th</w:t>
      </w:r>
      <w:r>
        <w:rPr>
          <w:rFonts w:ascii="Arial" w:cs="Arial" w:eastAsia="Arial" w:hAnsi="Arial"/>
          <w:sz w:val="18"/>
          <w:szCs w:val="18"/>
          <w:color w:val="auto"/>
        </w:rPr>
        <w:t xml:space="preserve"> of the shares on each monthly anniversary of the vesting commencement date, such that all awards will be vested on the four year anniversary of the vesting commencement date, subject to the holder continuing to provide services to us through such vesting date.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2019 Salaries</w:t>
      </w:r>
    </w:p>
    <w:p>
      <w:pPr>
        <w:spacing w:after="0" w:line="104" w:lineRule="exact"/>
        <w:rPr>
          <w:sz w:val="20"/>
          <w:szCs w:val="20"/>
          <w:color w:val="auto"/>
        </w:rPr>
      </w:pPr>
    </w:p>
    <w:p>
      <w:pPr>
        <w:ind w:left="120" w:right="60" w:firstLine="551"/>
        <w:spacing w:after="0" w:line="306" w:lineRule="auto"/>
        <w:rPr>
          <w:sz w:val="20"/>
          <w:szCs w:val="20"/>
          <w:color w:val="auto"/>
        </w:rPr>
      </w:pPr>
      <w:r>
        <w:rPr>
          <w:rFonts w:ascii="Arial" w:cs="Arial" w:eastAsia="Arial" w:hAnsi="Arial"/>
          <w:sz w:val="17"/>
          <w:szCs w:val="17"/>
          <w:color w:val="auto"/>
        </w:rPr>
        <w:t>Our NEOs each receive a base salary to compensate them for services rendered to our company. The base salary payable to each NEO is intended to provide a fixed component of compensation reflecting the executive’s skill set, experience, role and responsibilities.</w:t>
      </w:r>
    </w:p>
    <w:p>
      <w:pPr>
        <w:spacing w:after="0" w:line="123" w:lineRule="exact"/>
        <w:rPr>
          <w:sz w:val="20"/>
          <w:szCs w:val="20"/>
          <w:color w:val="auto"/>
        </w:rPr>
      </w:pPr>
    </w:p>
    <w:p>
      <w:pPr>
        <w:ind w:left="120" w:right="200" w:firstLine="551"/>
        <w:spacing w:after="0" w:line="276" w:lineRule="auto"/>
        <w:rPr>
          <w:sz w:val="20"/>
          <w:szCs w:val="20"/>
          <w:color w:val="auto"/>
        </w:rPr>
      </w:pPr>
      <w:r>
        <w:rPr>
          <w:rFonts w:ascii="Arial" w:cs="Arial" w:eastAsia="Arial" w:hAnsi="Arial"/>
          <w:sz w:val="18"/>
          <w:szCs w:val="18"/>
          <w:color w:val="auto"/>
        </w:rPr>
        <w:t>For fiscal year 2019, Dr. Kirn’s annual base salary was $430,000, Dr. Francis’ base salary was increased to $325,000 effective as of January 15, 2019 and Mr. Moretti’s base salary was $380,000 (pro-rated for his partial employment with us in 2019).</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2019 Bonuses</w:t>
      </w:r>
    </w:p>
    <w:p>
      <w:pPr>
        <w:spacing w:after="0" w:line="104"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color w:val="auto"/>
        </w:rPr>
        <w:t>We maintain an annual performance-based cash bonus program in which each of our NEOs participated in 2019. Each NEO’s target bonus is expressed as a percentage of base salary which can be achieved by meeting company goals at target level. The 2019 annual bonuses for Drs. Kirn and Francis and Mr. Moretti were targeted at 40%, 35% and 35%, respectively, of their respective base salaries. Our board of directors has historically reviewed these target percentages to ensure they are adequate, but does not follow a formula. Instead, our board of directors set these rates based on each NEO’s experience in their role with us and the level of responsibility held by the NEO, which we believe directly correlates to their ability to influence corporate results.</w:t>
      </w:r>
    </w:p>
    <w:p>
      <w:pPr>
        <w:spacing w:after="0" w:line="174" w:lineRule="exact"/>
        <w:rPr>
          <w:sz w:val="20"/>
          <w:szCs w:val="20"/>
          <w:color w:val="auto"/>
        </w:rPr>
      </w:pPr>
    </w:p>
    <w:p>
      <w:pPr>
        <w:ind w:left="120" w:right="80" w:firstLine="551"/>
        <w:spacing w:after="0" w:line="306" w:lineRule="auto"/>
        <w:rPr>
          <w:sz w:val="20"/>
          <w:szCs w:val="20"/>
          <w:color w:val="auto"/>
        </w:rPr>
      </w:pPr>
      <w:r>
        <w:rPr>
          <w:rFonts w:ascii="Arial" w:cs="Arial" w:eastAsia="Arial" w:hAnsi="Arial"/>
          <w:sz w:val="17"/>
          <w:szCs w:val="17"/>
          <w:color w:val="auto"/>
        </w:rPr>
        <w:t>For determining performance bonus amounts, our board of directors set certain corporate performance goals after receiving input from our Chief Executive Officer. The performance goals generally relate to product development and other goals relating to our business.</w:t>
      </w:r>
    </w:p>
    <w:p>
      <w:pPr>
        <w:spacing w:after="0" w:line="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40"/>
          </w:cols>
          <w:pgMar w:left="320" w:top="455" w:right="43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551"/>
        <w:spacing w:after="0" w:line="277" w:lineRule="auto"/>
        <w:rPr>
          <w:sz w:val="20"/>
          <w:szCs w:val="20"/>
          <w:color w:val="auto"/>
        </w:rPr>
      </w:pPr>
      <w:r>
        <w:rPr>
          <w:rFonts w:ascii="Arial" w:cs="Arial" w:eastAsia="Arial" w:hAnsi="Arial"/>
          <w:sz w:val="17"/>
          <w:szCs w:val="17"/>
          <w:color w:val="auto"/>
        </w:rPr>
        <w:t>Following its review and determinations of corporate performance for 2019, our board of directors determined an achievement level of 65% for Dr. Kirn and 68.5% for Dr. Francis and Mr. Moretti. The actual amount of the cash bonuses awarded to each NEO for 2019 performance are set forth above in the Summary Compensation Table in the column titled “Non-Equity Incentive Plan Compensation.”</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04" w:lineRule="exact"/>
        <w:rPr>
          <w:sz w:val="20"/>
          <w:szCs w:val="20"/>
          <w:color w:val="auto"/>
        </w:rPr>
      </w:pPr>
    </w:p>
    <w:p>
      <w:pPr>
        <w:ind w:left="120" w:right="160" w:firstLine="551"/>
        <w:spacing w:after="0" w:line="257" w:lineRule="auto"/>
        <w:rPr>
          <w:sz w:val="20"/>
          <w:szCs w:val="20"/>
          <w:color w:val="auto"/>
        </w:rPr>
      </w:pPr>
      <w:r>
        <w:rPr>
          <w:rFonts w:ascii="Arial" w:cs="Arial" w:eastAsia="Arial" w:hAnsi="Arial"/>
          <w:sz w:val="17"/>
          <w:szCs w:val="17"/>
          <w:color w:val="auto"/>
        </w:rPr>
        <w:t>In March 2019, we granted to Dr. Francis an option to purchase 146,680 shares of our common stock in connection with his promotion to our Chief Medical Officer. The option vests and become exercisable as to 1/48</w:t>
      </w:r>
      <w:r>
        <w:rPr>
          <w:rFonts w:ascii="Arial" w:cs="Arial" w:eastAsia="Arial" w:hAnsi="Arial"/>
          <w:sz w:val="14"/>
          <w:szCs w:val="14"/>
          <w:color w:val="auto"/>
        </w:rPr>
        <w:t>th</w:t>
      </w:r>
      <w:r>
        <w:rPr>
          <w:rFonts w:ascii="Arial" w:cs="Arial" w:eastAsia="Arial" w:hAnsi="Arial"/>
          <w:sz w:val="17"/>
          <w:szCs w:val="17"/>
          <w:color w:val="auto"/>
        </w:rPr>
        <w:t xml:space="preserve"> of the shares on each monthly anniversary of January 15, 2019, subject to his continued service through the applicable vesting date. In addition, in March 2019, we granted to</w:t>
      </w:r>
    </w:p>
    <w:p>
      <w:pPr>
        <w:spacing w:after="0" w:line="2"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Mr. Moretti an option to purchase 225,060 shares of our common stock in connection with his commencement of employment. The option vests and becomes exercisable as to 25% of the shares on the one year anniversary of January 7, 2019 and vest as to 1/48</w:t>
      </w:r>
      <w:r>
        <w:rPr>
          <w:rFonts w:ascii="Arial" w:cs="Arial" w:eastAsia="Arial" w:hAnsi="Arial"/>
          <w:sz w:val="15"/>
          <w:szCs w:val="15"/>
          <w:color w:val="auto"/>
        </w:rPr>
        <w:t>th</w:t>
      </w:r>
      <w:r>
        <w:rPr>
          <w:rFonts w:ascii="Arial" w:cs="Arial" w:eastAsia="Arial" w:hAnsi="Arial"/>
          <w:sz w:val="18"/>
          <w:szCs w:val="18"/>
          <w:color w:val="auto"/>
        </w:rPr>
        <w:t xml:space="preserve"> of the shares monthly thereafter, subject to his continued service through the applicable vesting date. The exercise price per share for each option was $9.41, which was the fair market value of our common stock as of the date of grant.</w:t>
      </w:r>
    </w:p>
    <w:p>
      <w:pPr>
        <w:spacing w:after="0" w:line="176"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We adopted the 2020 Plan in order to facilitate the grant of cash and equity incentives to directors, employees (including our NEOs) and consultants of our company and certain of its affiliates and to enable us to obtain and retain services of these individuals, which is essential to our long-term success. The 2020 Plan is effective on the date on which it is adopted by our board of directors, subject to approval of such plan by our stockholders. For additional information about the 2020 Plan, please see the section titled “Equity Compensation Plans” below.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Elements of Compensation</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Retirement Savings and Health and Welfare Benefits</w:t>
      </w:r>
    </w:p>
    <w:p>
      <w:pPr>
        <w:spacing w:after="0" w:line="104"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color w:val="auto"/>
        </w:rPr>
        <w:t>We currently maintain a 401(k) retirement savings plan for our employees, including our NEOs, who satisfy certain eligibility requirements. Our NEOs are eligible to participate in the 401(k) plan on the same terms as other full-time employees. We make matching contributions equal to 50% of employee contributions of the first ten percent of compensation. Matching contributions will vest annually over 4 years. We believe that providing a vehicle for tax-deferred retirement savings though our 401(k) plan adds to the overall desirability of our executive compensation package and further incentivizes our employees, including our NEOs, in accordance with our compensation policies.</w:t>
      </w:r>
    </w:p>
    <w:p>
      <w:pPr>
        <w:spacing w:after="0" w:line="174" w:lineRule="exact"/>
        <w:rPr>
          <w:sz w:val="20"/>
          <w:szCs w:val="20"/>
          <w:color w:val="auto"/>
        </w:rPr>
      </w:pPr>
    </w:p>
    <w:p>
      <w:pPr>
        <w:ind w:left="120" w:right="120" w:firstLine="551"/>
        <w:spacing w:after="0" w:line="255" w:lineRule="auto"/>
        <w:rPr>
          <w:sz w:val="20"/>
          <w:szCs w:val="20"/>
          <w:color w:val="auto"/>
        </w:rPr>
      </w:pPr>
      <w:r>
        <w:rPr>
          <w:rFonts w:ascii="Arial" w:cs="Arial" w:eastAsia="Arial" w:hAnsi="Arial"/>
          <w:sz w:val="18"/>
          <w:szCs w:val="18"/>
          <w:color w:val="auto"/>
        </w:rPr>
        <w:t>All of our full-time employees, including our NEOs, are eligible to participate in our health and welfare plans, including medical, dental and vision benefits; medical and dependent care flexible spending accounts; short-term and long-term disability insurance; and life and AD&amp;D insurance.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Perquisites and Other Personal Benefits</w:t>
      </w:r>
    </w:p>
    <w:p>
      <w:pPr>
        <w:spacing w:after="0" w:line="104"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We provide limited perquisites to our NEOs, such as the reimbursement of Dr. Francis’ travel reimbursements, when our compensation committee determines that such perquisites are necessary or advisable to fairly compensate or incentivize our employees. We reimbursed Dr. Francis in the amount of $72,037 in 2019 for travel-related expenses incurred in connection with his travel between his home office in Oregon and our headquarters in California.</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Compensation Arrangements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04" w:lineRule="exact"/>
        <w:rPr>
          <w:sz w:val="20"/>
          <w:szCs w:val="20"/>
          <w:color w:val="auto"/>
        </w:rPr>
      </w:pPr>
    </w:p>
    <w:p>
      <w:pPr>
        <w:ind w:left="120" w:right="480" w:firstLine="551"/>
        <w:spacing w:after="0" w:line="276" w:lineRule="auto"/>
        <w:rPr>
          <w:sz w:val="20"/>
          <w:szCs w:val="20"/>
          <w:color w:val="auto"/>
        </w:rPr>
      </w:pPr>
      <w:r>
        <w:rPr>
          <w:rFonts w:ascii="Arial" w:cs="Arial" w:eastAsia="Arial" w:hAnsi="Arial"/>
          <w:sz w:val="18"/>
          <w:szCs w:val="18"/>
          <w:color w:val="auto"/>
        </w:rPr>
        <w:t>As of December 31, 2019, we were party to offer letters with each of our NEOs, which set forth their initial base salary, annual bonus opportunity, initial stock option grant, benefit plans participation and the other benefits noted below for each NEO.</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120"/>
          </w:cols>
          <w:pgMar w:left="320" w:top="455" w:right="45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i w:val="1"/>
          <w:iCs w:val="1"/>
          <w:color w:val="auto"/>
        </w:rPr>
        <w:t xml:space="preserve">David Kirn, M.D. </w:t>
      </w:r>
      <w:r>
        <w:rPr>
          <w:rFonts w:ascii="Arial" w:cs="Arial" w:eastAsia="Arial" w:hAnsi="Arial"/>
          <w:sz w:val="18"/>
          <w:szCs w:val="18"/>
          <w:color w:val="auto"/>
        </w:rPr>
        <w:t>In addition to the above, Dr. Kirn is eligible to receive certain severance benefits upon qualifying terminations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offer letter. In the event we terminate Dr. Kirn other than for cause or Dr. Kirn resigns for good reason, then (i) he will receive a lump sum payment equal to 12 months of his base salary, (ii) a lump sum cash payment equal to his prorated annual target bonus for the year in which the termination occurs and (iii) reimbursement of COBRA premiums for up to 12 months. The severance benefits set forth above are subject to his timely execution and non-revocation of a general release of claims against us. In addition, effective as of late 2018, the board approved that Dr. Kirn is also eligible for 100% accelerated vesting of any of his outstanding equity awards upon a change in control, subject to his continued employment through such date.</w:t>
      </w:r>
    </w:p>
    <w:p>
      <w:pPr>
        <w:spacing w:after="0" w:line="179" w:lineRule="exact"/>
        <w:rPr>
          <w:sz w:val="20"/>
          <w:szCs w:val="20"/>
          <w:color w:val="auto"/>
        </w:rPr>
      </w:pPr>
    </w:p>
    <w:p>
      <w:pPr>
        <w:ind w:left="120" w:right="160" w:firstLine="551"/>
        <w:spacing w:after="0" w:line="243" w:lineRule="auto"/>
        <w:rPr>
          <w:sz w:val="20"/>
          <w:szCs w:val="20"/>
          <w:color w:val="auto"/>
        </w:rPr>
      </w:pPr>
      <w:r>
        <w:rPr>
          <w:rFonts w:ascii="Arial" w:cs="Arial" w:eastAsia="Arial" w:hAnsi="Arial"/>
          <w:sz w:val="18"/>
          <w:szCs w:val="18"/>
          <w:i w:val="1"/>
          <w:iCs w:val="1"/>
          <w:color w:val="auto"/>
        </w:rPr>
        <w:t xml:space="preserve">Peter Francis, M.D., Ph.D. </w:t>
      </w:r>
      <w:r>
        <w:rPr>
          <w:rFonts w:ascii="Arial" w:cs="Arial" w:eastAsia="Arial" w:hAnsi="Arial"/>
          <w:sz w:val="18"/>
          <w:szCs w:val="18"/>
          <w:color w:val="auto"/>
        </w:rPr>
        <w:t>In addition to the above, effective as of Dr. Francis’ promotion in early 2019, Dr. Francis is eligible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certain severance benefits upon qualifying terminations under the offer letter. In the event we terminate Dr. Francis other than for cause or Dr. Francis resigns for good reason, then (i) he will receive a lump sum payment equal to 9 months of his base salary and</w:t>
      </w:r>
    </w:p>
    <w:p>
      <w:pPr>
        <w:spacing w:after="0" w:line="1" w:lineRule="exact"/>
        <w:rPr>
          <w:sz w:val="20"/>
          <w:szCs w:val="20"/>
          <w:color w:val="auto"/>
        </w:rPr>
      </w:pPr>
    </w:p>
    <w:p>
      <w:pPr>
        <w:ind w:left="120" w:right="20" w:hanging="4"/>
        <w:spacing w:after="0" w:line="242" w:lineRule="auto"/>
        <w:tabs>
          <w:tab w:leader="none" w:pos="37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reimbursement of COBRA premiums for up to 9 months. In addition to the severance benefits above, in the event we undergo a change in control, he will receive accelerated vesting of 100% of the then-unvested equity awards held by him. The severance benefits set forth above are subject to his timely execution and non-revocation of a general release of claims against us.</w:t>
      </w:r>
    </w:p>
    <w:p>
      <w:pPr>
        <w:spacing w:after="0" w:line="175"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i w:val="1"/>
          <w:iCs w:val="1"/>
          <w:color w:val="auto"/>
        </w:rPr>
        <w:t xml:space="preserve">August Moretti. </w:t>
      </w:r>
      <w:r>
        <w:rPr>
          <w:rFonts w:ascii="Arial" w:cs="Arial" w:eastAsia="Arial" w:hAnsi="Arial"/>
          <w:sz w:val="18"/>
          <w:szCs w:val="18"/>
          <w:color w:val="auto"/>
        </w:rPr>
        <w:t>In addition to the above, Mr. Moretti is eligible to receive certain severance benefits upon qualifying terminations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offer letter. In the event we terminate Mr. Moretti other than for cause or Mr. Moretti resigns for good reason, in any case, outside of 1 month prior to, or 12 months following a change in control (as defined in the 2015 Plan), then he will receive (i) a lump sum payment equal to 9 months of his base salary and (ii) reimbursement of COBRA premiums for up to 9 months. In the event we terminate Mr. Moretti other than for cause or Mr. Moretti resigns for good reason, in any case, within the 1 month prior to or the 12 months following a change in control, then, in addition to the benefits in (i) and (ii) above, he will receive accelerated vesting of 100% of the then-unvested equity awards held by him. The severance benefits set forth above are subject to his timely execution and non-revocation of a general release of claims against us and continued compliance with the Confidential Information and Invention Assignment Agreement.</w:t>
      </w:r>
    </w:p>
    <w:p>
      <w:pPr>
        <w:spacing w:after="0" w:line="180"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For the purposes of Drs. Kirn’s and Francis’ offer letters, “cause” is defined as (i) their material failure to perform their principally assigned duties or responsibilities as an employee, director or consultant (other than a failure resulting from disability (as defined under Section 22(e)(3) of the Code); provided that, the failure to achieve certain results, such as the our business plan, in and of itself, would not constitute “cause”; (ii) their engaging in any act of dishonesty, fraud or material misrepresentation; (iii) their violation of any federal or state law or regulation applicable to our business that results in or could reasonably be expected to result in harm or creates material risk, as determined by the board of directors; (iv) their breach of any confidentiality agreement or invention assignment agreement, or any other material contract made between us and them or violation of any of our written policies; or (v) their being convicted of, or entering a plea of nolo contendere to, any crime or committing any act of moral turpitude. In the case of (i) above, we shall not terminate Drs. Kirn or Francis without first providing them with written notice of the acts or omissions constituting the grounds for such termination and expiration of a reasonable cure period not to exceed thirty 30 days following the date of such notice if we reasonably judge that such failure may be cured within 30 days.</w:t>
      </w:r>
    </w:p>
    <w:p>
      <w:pPr>
        <w:spacing w:after="0" w:line="176"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For the purposes of Mr. Moretti’s offer letter, “cause” is defined as (i) his material failure to perform his principally assigned duties or responsibilities as an employee, director or consultant (other than a failure resulting from disability (as defined under Section 22(e)(3) of the Code); provided that, the failure to achieve certain results, such as our business plan, in and of itself, would not constitute “cause”;</w:t>
      </w:r>
    </w:p>
    <w:p>
      <w:pPr>
        <w:spacing w:after="0" w:line="1" w:lineRule="exact"/>
        <w:rPr>
          <w:sz w:val="20"/>
          <w:szCs w:val="20"/>
          <w:color w:val="auto"/>
        </w:rPr>
      </w:pPr>
    </w:p>
    <w:p>
      <w:pPr>
        <w:ind w:left="120" w:right="440" w:hanging="4"/>
        <w:spacing w:after="0" w:line="250" w:lineRule="auto"/>
        <w:tabs>
          <w:tab w:leader="none" w:pos="37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his engaging in any act of dishonesty, fraud or material misrepresentation; (iii) his violation of any federal or state law or regulation applicable to our business that results in or could reasonably</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20"/>
          </w:cols>
          <w:pgMar w:left="320" w:top="455" w:right="45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 expected to result in harm, or creates material risk, as determined by the board of directors; (iv) his breach of any confidentiality agreement or invention assignment agreement, or any other material contract between him and us or his violation of any of our written policies (or any of our affiliates); (v) his being convicted of, or entering a plea of nolo contendere to, any crime or committing any act of moral turpitude; or (vi) his commission of any act or involvement in any situation, or occurrence, which brings him into widespread public disrepute, contempt, scandal or ridicule, or which justifiably shocks, insults or offends a significant portion of the community, or his being subject to publicity for any such conduct or involvement in such conduct. In the case of (i) above, we shall not terminate Mr. Moretti without first providing him with written notice of the acts or omissions constituting the grounds for such termination and expiration of a reasonable cure period not to exceed thirty 30 days following the date of such notice if we reasonably judge that such failure may be cured within 30 days.</w:t>
      </w:r>
    </w:p>
    <w:p>
      <w:pPr>
        <w:spacing w:after="0" w:line="176"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For the purposes of Mr. Moretti’s offer letter, “good reason” is defined as (i) a material diminution in his salary except for across-the-board salary reductions similarly affecting all or substantially all similarly situated employees, (ii) a material diminution in his authority, duties or responsibilities or (iii) a change of more than 50 miles in the geographic location at which he provides services, provided, however, that in the event of the occurrence of a good reason condition listed above, he must provide notice to us within 30 days of the initial occurrence of such condition and allow us 30 days in which to cure such condition. Additionally, in the event we fail to cure the condition within the cure period provided, he must terminate employment with us within sixty (60) days of the end of the cure period.</w:t>
      </w:r>
    </w:p>
    <w:p>
      <w:pPr>
        <w:spacing w:after="0" w:line="174" w:lineRule="exact"/>
        <w:rPr>
          <w:sz w:val="20"/>
          <w:szCs w:val="20"/>
          <w:color w:val="auto"/>
        </w:rPr>
      </w:pPr>
    </w:p>
    <w:p>
      <w:pPr>
        <w:jc w:val="both"/>
        <w:ind w:left="120" w:right="40" w:firstLine="551"/>
        <w:spacing w:after="0" w:line="262" w:lineRule="auto"/>
        <w:rPr>
          <w:sz w:val="20"/>
          <w:szCs w:val="20"/>
          <w:color w:val="auto"/>
        </w:rPr>
      </w:pPr>
      <w:r>
        <w:rPr>
          <w:rFonts w:ascii="Arial" w:cs="Arial" w:eastAsia="Arial" w:hAnsi="Arial"/>
          <w:sz w:val="17"/>
          <w:szCs w:val="17"/>
          <w:color w:val="auto"/>
        </w:rPr>
        <w:t>For the purposes of Dr. Francis’ offer letter, “good reason” is defined as the occurrence, without his written consent, of (i) a material diminution in his salary except for across-the-board salary reductions similarly affecting all or substantially all similarly situated employees,</w:t>
      </w:r>
    </w:p>
    <w:p>
      <w:pPr>
        <w:ind w:left="120" w:right="80" w:hanging="4"/>
        <w:spacing w:after="0" w:line="237" w:lineRule="auto"/>
        <w:tabs>
          <w:tab w:leader="none" w:pos="37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material and adverse change, including any material diminution in his title, duties, authority or responsibilities, but excluding any such changes in the event of a change of control; provided his remaining duties and responsibilities are consistent with industry norms for the title, (iii) a change of more than 50 miles in the geographic location of our offices, (iv) assignment of duties materially inconsistent with his position, or (v) any material breach by us of the offer letter; provided, however, that in the event of the occurrence of a good reason condition listed above, he must provide written notice to us within 20 days of the initial occurrence of such condition and allow us 30 days in which to cure such condition. His termination will be effective once the 30 day period has lapsed and we have failed to materially cure such acts, failures or failures to act that gave rise to the good reason. We may, in our sole election, waive any cure period such that his termination will be effective on such earlier date determined by our board of directors.</w:t>
      </w:r>
    </w:p>
    <w:p>
      <w:pPr>
        <w:spacing w:after="0" w:line="179"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For the purposes of Dr. Kirn’s offer letter, “good reason” is defined as (i) a change of more than 50 miles in the geographic location of our offices; (ii) his removal from the our board of directors or (iii) any material and adverse change, including any material diminution in his title, duties, authority or responsibilities, but excluding any such changes or changes in reporting relationships in the event of a Change of Control; provided his remaining duties and responsibilities are consistent with industry norms for the title.</w:t>
      </w:r>
    </w:p>
    <w:p>
      <w:pPr>
        <w:spacing w:after="0" w:line="170" w:lineRule="exact"/>
        <w:rPr>
          <w:sz w:val="20"/>
          <w:szCs w:val="20"/>
          <w:color w:val="auto"/>
        </w:rPr>
      </w:pPr>
    </w:p>
    <w:p>
      <w:pPr>
        <w:ind w:left="120" w:right="60" w:firstLine="551"/>
        <w:spacing w:after="0" w:line="241" w:lineRule="auto"/>
        <w:rPr>
          <w:sz w:val="20"/>
          <w:szCs w:val="20"/>
          <w:color w:val="auto"/>
        </w:rPr>
      </w:pPr>
      <w:r>
        <w:rPr>
          <w:rFonts w:ascii="Arial" w:cs="Arial" w:eastAsia="Arial" w:hAnsi="Arial"/>
          <w:sz w:val="18"/>
          <w:szCs w:val="18"/>
          <w:color w:val="auto"/>
        </w:rPr>
        <w:t>For the purposes of Dr. Kirn’s offer letter, a “change in control” occurs when any “person” (as such term is used in Sections 13(d) and 14(d) of the Securities Exchange Act of 1934, as amended) is or becomes the “beneficial owner” (as defined in Rule 13d-3 under the Securities Exchange Act of 1934), directly or indirectly, of our securities representing more than 50% of the total voting power or (ii) on the date of the consummation of a merger or consolidation with any other corporation that has been approved by our stockholders, other than a merger or consolidation which would result in our voting securities outstanding immediately prior to the merger or consolidation continuing to represent at least 50% of the total voting power represented by our voting securities or the voting securities such surviving entity or its parent outstanding immediately after such merger or consolidation; or (iii) the date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20"/>
          </w:cols>
          <w:pgMar w:left="320" w:top="455" w:right="459" w:bottom="1440" w:gutter="0" w:footer="0" w:header="0"/>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of the consummation of the sale or disposition by us of all or substantially all the our assets. A transaction will not be deemed a change in control under Dr. Kirn’s offer letter unless the transaction qualifies as a “change in control event” within the meaning of Section 409A of the Code.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 Plans</w:t>
      </w:r>
    </w:p>
    <w:p>
      <w:pPr>
        <w:spacing w:after="0" w:line="106"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The following summarizes the material terms of the long-term incentive compensation plan in which our NEOs will be eligible to participate following the consummation of this offering and our 2015 Equity Incentive Plan, referred to as the 2015 Plan, under which we have previously made periodic grants of equity and equity-based awards to our NEOs and other key employees. We intend to file with the SEC a registration statement on Form S-8 covering the shares of our common stock issuable under the 2020 Plan, the 2015 Plan and the ESPP.</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Incentive Award Plan</w:t>
      </w:r>
    </w:p>
    <w:p>
      <w:pPr>
        <w:spacing w:after="0" w:line="104" w:lineRule="exact"/>
        <w:rPr>
          <w:sz w:val="20"/>
          <w:szCs w:val="20"/>
          <w:color w:val="auto"/>
        </w:rPr>
      </w:pPr>
    </w:p>
    <w:p>
      <w:pPr>
        <w:jc w:val="both"/>
        <w:ind w:left="120" w:right="200" w:firstLine="551"/>
        <w:spacing w:after="0" w:line="248" w:lineRule="auto"/>
        <w:rPr>
          <w:sz w:val="20"/>
          <w:szCs w:val="20"/>
          <w:color w:val="auto"/>
        </w:rPr>
      </w:pPr>
      <w:r>
        <w:rPr>
          <w:rFonts w:ascii="Arial" w:cs="Arial" w:eastAsia="Arial" w:hAnsi="Arial"/>
          <w:sz w:val="18"/>
          <w:szCs w:val="18"/>
          <w:color w:val="auto"/>
        </w:rPr>
        <w:t>We have adopted the 2020 Plan, which became effective upon the day prior to the effectiveness of the registration statement to which this prospectus relates, subject to approval of such plan by our stockholders. The principal purpose of the 2020 Plan is to attract, retain and motivate selected employees, consultants and directors through the granting of stock-based compensation awards and cash-based performance bonus awards. The material terms of the 2020 Plan, as it is currently contemplated, are summarized below.</w:t>
      </w:r>
    </w:p>
    <w:p>
      <w:pPr>
        <w:spacing w:after="0" w:line="170" w:lineRule="exact"/>
        <w:rPr>
          <w:sz w:val="20"/>
          <w:szCs w:val="20"/>
          <w:color w:val="auto"/>
        </w:rPr>
      </w:pPr>
    </w:p>
    <w:p>
      <w:pPr>
        <w:ind w:left="120" w:right="120" w:firstLine="551"/>
        <w:spacing w:after="0" w:line="241"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Under the 2020 Plan, 2,606,546 shares of our common stock are initially reserved for issuance pursuant to a</w:t>
      </w:r>
      <w:r>
        <w:rPr>
          <w:rFonts w:ascii="Arial" w:cs="Arial" w:eastAsia="Arial" w:hAnsi="Arial"/>
          <w:sz w:val="18"/>
          <w:szCs w:val="18"/>
          <w:i w:val="1"/>
          <w:iCs w:val="1"/>
          <w:color w:val="auto"/>
        </w:rPr>
        <w:t xml:space="preserve"> </w:t>
      </w:r>
      <w:r>
        <w:rPr>
          <w:rFonts w:ascii="Arial" w:cs="Arial" w:eastAsia="Arial" w:hAnsi="Arial"/>
          <w:sz w:val="18"/>
          <w:szCs w:val="18"/>
          <w:color w:val="auto"/>
        </w:rPr>
        <w:t>variety of stock-based compensation awards, including stock options, stock appreciation rights (SARs) restricted stock awards, restricted stock unit awards and other stock-based awards. The number of shares initially reserved for issuance or transfer pursuant to awards under the 2020 Plan will be increased by an annual increase on the first day of each fiscal year beginning in 2021 and ending in 2030, equal to the lesser of (i) five percent of the shares of stock outstanding (on an as converted basis) on the last day of the immediately preceding fiscal year and (ii) such smaller number of shares of stock as determined by our board of directors; provided, however, that no more than 18,000,000 shares of stock may be issued upon the exercise of incentive stock options.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counting provisions are in effect for the share reserve under the 2020 Plan:</w:t>
      </w:r>
    </w:p>
    <w:p>
      <w:pPr>
        <w:spacing w:after="0" w:line="117" w:lineRule="exact"/>
        <w:rPr>
          <w:sz w:val="20"/>
          <w:szCs w:val="20"/>
          <w:color w:val="auto"/>
        </w:rPr>
      </w:pPr>
    </w:p>
    <w:p>
      <w:pPr>
        <w:ind w:left="880" w:right="380" w:hanging="224"/>
        <w:spacing w:after="0" w:line="276" w:lineRule="auto"/>
        <w:tabs>
          <w:tab w:leader="none" w:pos="8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the extent that an award terminates, expires or lapses for any reason or an award is settled in cash without the delivery of shares, any shares subject to the award at such time will be available for future grants under the 2020 Plan;</w:t>
      </w:r>
    </w:p>
    <w:p>
      <w:pPr>
        <w:spacing w:after="0" w:line="50" w:lineRule="exact"/>
        <w:rPr>
          <w:rFonts w:ascii="Arial" w:cs="Arial" w:eastAsia="Arial" w:hAnsi="Arial"/>
          <w:sz w:val="18"/>
          <w:szCs w:val="18"/>
          <w:color w:val="auto"/>
        </w:rPr>
      </w:pPr>
    </w:p>
    <w:p>
      <w:pPr>
        <w:ind w:left="880" w:right="100" w:hanging="224"/>
        <w:spacing w:after="0" w:line="276" w:lineRule="auto"/>
        <w:tabs>
          <w:tab w:leader="none" w:pos="8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the extent shares are tendered or withheld to satisfy the grant, exercise price or tax withholding obligation with respect to any award under the 2020 Plan, such tendered or withheld shares will be available for future grants under the 2020 Plan;</w:t>
      </w:r>
    </w:p>
    <w:p>
      <w:pPr>
        <w:spacing w:after="0" w:line="50" w:lineRule="exact"/>
        <w:rPr>
          <w:rFonts w:ascii="Arial" w:cs="Arial" w:eastAsia="Arial" w:hAnsi="Arial"/>
          <w:sz w:val="18"/>
          <w:szCs w:val="18"/>
          <w:color w:val="auto"/>
        </w:rPr>
      </w:pPr>
    </w:p>
    <w:p>
      <w:pPr>
        <w:ind w:left="880" w:right="240" w:hanging="224"/>
        <w:spacing w:after="0" w:line="276" w:lineRule="auto"/>
        <w:tabs>
          <w:tab w:leader="none" w:pos="8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the extent shares subject to SARs are not issued in connection with the stock settlement of SARs on exercise thereof, such shares will be available for future grants under the 2020 Plan;</w:t>
      </w:r>
    </w:p>
    <w:p>
      <w:pPr>
        <w:spacing w:after="0" w:line="50" w:lineRule="exact"/>
        <w:rPr>
          <w:rFonts w:ascii="Arial" w:cs="Arial" w:eastAsia="Arial" w:hAnsi="Arial"/>
          <w:sz w:val="18"/>
          <w:szCs w:val="18"/>
          <w:color w:val="auto"/>
        </w:rPr>
      </w:pPr>
    </w:p>
    <w:p>
      <w:pPr>
        <w:ind w:left="880" w:right="380" w:hanging="224"/>
        <w:spacing w:after="0" w:line="276" w:lineRule="auto"/>
        <w:tabs>
          <w:tab w:leader="none" w:pos="8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the extent that shares of our common stock are repurchased by us prior to vesting so that shares are returned to us, such shares will be available for future grants under the 2020 Plan;</w:t>
      </w:r>
    </w:p>
    <w:p>
      <w:pPr>
        <w:spacing w:after="0" w:line="50" w:lineRule="exact"/>
        <w:rPr>
          <w:rFonts w:ascii="Arial" w:cs="Arial" w:eastAsia="Arial" w:hAnsi="Arial"/>
          <w:sz w:val="18"/>
          <w:szCs w:val="18"/>
          <w:color w:val="auto"/>
        </w:rPr>
      </w:pPr>
    </w:p>
    <w:p>
      <w:pPr>
        <w:ind w:left="880" w:right="200" w:hanging="224"/>
        <w:spacing w:after="0" w:line="276" w:lineRule="auto"/>
        <w:tabs>
          <w:tab w:leader="none" w:pos="8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payment of dividend equivalents in cash in conjunction with any outstanding awards will not be counted against the shares available for issuance under the 2020 Plan; and</w:t>
      </w:r>
    </w:p>
    <w:p>
      <w:pPr>
        <w:spacing w:after="0" w:line="50" w:lineRule="exact"/>
        <w:rPr>
          <w:rFonts w:ascii="Arial" w:cs="Arial" w:eastAsia="Arial" w:hAnsi="Arial"/>
          <w:sz w:val="18"/>
          <w:szCs w:val="18"/>
          <w:color w:val="auto"/>
        </w:rPr>
      </w:pPr>
    </w:p>
    <w:p>
      <w:pPr>
        <w:ind w:left="880" w:right="40" w:hanging="224"/>
        <w:spacing w:after="0" w:line="255" w:lineRule="auto"/>
        <w:tabs>
          <w:tab w:leader="none" w:pos="8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the extent permitted by applicable law or any exchange rule, shares issued in assumption of, or in substitution for, any outstanding awards of any entity acquired in any form of combination by us or any of our subsidiaries will not be counted against the shares available for issuance under the 2020 Plan.</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00"/>
          </w:cols>
          <w:pgMar w:left="320" w:top="455" w:right="479" w:bottom="1440" w:gutter="0" w:footer="0" w:header="0"/>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compensation committee of our board of directors is expected to administer the 2020 Plan unless our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assumes authority for administration. The compensation committee must consist of at least three members of our board of directors, each of whom is intended to qualify as a “non-employee director” for purposes of Rule 16b-3 under the Exchange Act and an “independent director” within the meaning of the rules of the applicable stock exchange, or other principal securities market on which shares of our common stock are traded. The 2020 Plan provides that the board or compensation committee may delegate its authority to grant awards to employees other than executive officers and certain senior executives to a committee consisting of one or more members of our board of directors or one or more of our officers, other than awards made to our non-employee directors, which must be approved by our full board of directors.</w:t>
      </w:r>
    </w:p>
    <w:p>
      <w:pPr>
        <w:spacing w:after="0" w:line="180"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Subject to the terms and conditions of the 2020 Plan, the administrator has the authority to select the persons to whom awards are to be made, to determine the number of shares to be subject to awards and the terms and conditions of awards, and to make all other determinations and to take all other actions necessary or advisable for the administration of the 2020 Plan. The administrator is also authorized to adopt, amend or rescind rules relating to administration of the 2020 Plan. Our board of directors may at any time remove the compensation committee as the administrator and revest in itself the authority to administer the 2020 Plan. The full board of directors will administer the 2020 Plan with respect to awards to non-employee directors.</w:t>
      </w:r>
    </w:p>
    <w:p>
      <w:pPr>
        <w:spacing w:after="0" w:line="174"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Options, SARs, restricted stock and all other stock-based and cash-based awards under the 2020 Plan may be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to individuals who are then our officers, employees or consultants or are the officers, employees or consultants of certain of our subsidiaries. Such awards also may be granted to our directors. Only employees of our company or certain of our subsidiaries may be granted incentive stock options (ISOs).</w:t>
      </w:r>
    </w:p>
    <w:p>
      <w:pPr>
        <w:spacing w:after="0" w:line="170" w:lineRule="exact"/>
        <w:rPr>
          <w:sz w:val="20"/>
          <w:szCs w:val="20"/>
          <w:color w:val="auto"/>
        </w:rPr>
      </w:pPr>
    </w:p>
    <w:p>
      <w:pPr>
        <w:jc w:val="both"/>
        <w:ind w:left="120" w:right="140" w:firstLine="551"/>
        <w:spacing w:after="0" w:line="255" w:lineRule="auto"/>
        <w:rPr>
          <w:sz w:val="20"/>
          <w:szCs w:val="20"/>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 The 2020 Plan provides that the administrator may grant or issue stock options, SARs, restricted stock, 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units, other stock- or cash-based awards and dividend equivalents or any combination thereof. Each award will be set forth in a separate agreement with the person receiving the award and will indicate the type, terms and conditions of the award.</w:t>
      </w:r>
    </w:p>
    <w:p>
      <w:pPr>
        <w:spacing w:after="0" w:line="69" w:lineRule="exact"/>
        <w:rPr>
          <w:sz w:val="20"/>
          <w:szCs w:val="20"/>
          <w:color w:val="auto"/>
        </w:rPr>
      </w:pPr>
    </w:p>
    <w:p>
      <w:pPr>
        <w:ind w:left="880" w:right="80" w:hanging="224"/>
        <w:spacing w:after="0" w:line="243" w:lineRule="auto"/>
        <w:tabs>
          <w:tab w:leader="none" w:pos="880"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Nonstatutory stock options</w:t>
      </w:r>
      <w:r>
        <w:rPr>
          <w:rFonts w:ascii="Arial" w:cs="Arial" w:eastAsia="Arial" w:hAnsi="Arial"/>
          <w:sz w:val="18"/>
          <w:szCs w:val="18"/>
          <w:color w:val="auto"/>
        </w:rPr>
        <w:t>. Nonstatutory Stock Options (NSOs) will provide for the right to purchase shares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at a specified price which may not be less than fair market value on the date of grant, and usually will become exercisable (at the discretion of the administrator) in one or more installments after the grant date, subject to the participant’s continued employment or service with us and/or subject to the satisfaction of corporate performance targets and individual performance targets established by the administrator. NSOs may be granted for any term specified by the administrator that does not exceed ten years.</w:t>
      </w:r>
    </w:p>
    <w:p>
      <w:pPr>
        <w:spacing w:after="0" w:line="79" w:lineRule="exact"/>
        <w:rPr>
          <w:rFonts w:ascii="Arial" w:cs="Arial" w:eastAsia="Arial" w:hAnsi="Arial"/>
          <w:sz w:val="18"/>
          <w:szCs w:val="18"/>
          <w:color w:val="auto"/>
        </w:rPr>
      </w:pPr>
    </w:p>
    <w:p>
      <w:pPr>
        <w:ind w:left="880" w:right="20" w:hanging="224"/>
        <w:spacing w:after="0" w:line="241" w:lineRule="auto"/>
        <w:tabs>
          <w:tab w:leader="none" w:pos="880"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Incentive stock options</w:t>
      </w:r>
      <w:r>
        <w:rPr>
          <w:rFonts w:ascii="Arial" w:cs="Arial" w:eastAsia="Arial" w:hAnsi="Arial"/>
          <w:sz w:val="18"/>
          <w:szCs w:val="18"/>
          <w:color w:val="auto"/>
        </w:rPr>
        <w:t>. ISOs will be designed in a manner intended to comply with the provisions of Section 422 of the Code</w:t>
      </w:r>
      <w:r>
        <w:rPr>
          <w:rFonts w:ascii="Arial" w:cs="Arial" w:eastAsia="Arial" w:hAnsi="Arial"/>
          <w:sz w:val="18"/>
          <w:szCs w:val="18"/>
          <w:i w:val="1"/>
          <w:iCs w:val="1"/>
          <w:color w:val="auto"/>
        </w:rPr>
        <w:t xml:space="preserve"> </w:t>
      </w:r>
      <w:r>
        <w:rPr>
          <w:rFonts w:ascii="Arial" w:cs="Arial" w:eastAsia="Arial" w:hAnsi="Arial"/>
          <w:sz w:val="18"/>
          <w:szCs w:val="18"/>
          <w:color w:val="auto"/>
        </w:rPr>
        <w:t>and will be subject to specified restrictions contained in the Code. Among such restrictions, ISOs must have an exercise price of not less than the fair market value of a share of common stock on the date of grant, may only be granted to employees and must not be exercisable after a period of ten years measured from the date of grant. In the case of an ISO granted to an individual who owns (or is deemed to own) at least 10% of the total combined voting power of all classes of our capital stock, the 2020 Plan provides that the exercise price must be at least 110% of the fair market value of a share of common stock on the date of grant and the ISO must not be exercisable after a period of five years measured from the date of grant.</w:t>
      </w:r>
    </w:p>
    <w:p>
      <w:pPr>
        <w:spacing w:after="0" w:line="84" w:lineRule="exact"/>
        <w:rPr>
          <w:rFonts w:ascii="Arial" w:cs="Arial" w:eastAsia="Arial" w:hAnsi="Arial"/>
          <w:sz w:val="18"/>
          <w:szCs w:val="18"/>
          <w:color w:val="auto"/>
        </w:rPr>
      </w:pPr>
    </w:p>
    <w:p>
      <w:pPr>
        <w:ind w:left="880" w:right="260" w:hanging="224"/>
        <w:spacing w:after="0" w:line="255" w:lineRule="auto"/>
        <w:tabs>
          <w:tab w:leader="none" w:pos="880"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Restricted stock may be granted to any eligible individual and made subject to such restrictions as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administrator. Restricted stock, typically, may be forfeited for no consideration or repurchased by us at the original purchase price if the</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00"/>
          </w:cols>
          <w:pgMar w:left="320" w:top="455" w:right="47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380"/>
        <w:spacing w:after="0" w:line="248" w:lineRule="auto"/>
        <w:rPr>
          <w:sz w:val="20"/>
          <w:szCs w:val="20"/>
          <w:color w:val="auto"/>
        </w:rPr>
      </w:pPr>
      <w:r>
        <w:rPr>
          <w:rFonts w:ascii="Arial" w:cs="Arial" w:eastAsia="Arial" w:hAnsi="Arial"/>
          <w:sz w:val="18"/>
          <w:szCs w:val="18"/>
          <w:color w:val="auto"/>
        </w:rPr>
        <w:t>conditions or restrictions on vesting are not met. In general, restricted stock may not be sold or otherwise transferred until restrictions are removed or expire. Purchasers of restricted stock, unlike recipients of options, will have voting rights and will have the right to receive dividends, if any, prior to the time when the restrictions lapse, however, extraordinary dividends will generally be placed in escrow, and will not be released until restrictions are removed or expire.</w:t>
      </w:r>
    </w:p>
    <w:p>
      <w:pPr>
        <w:spacing w:after="0" w:line="76" w:lineRule="exact"/>
        <w:rPr>
          <w:sz w:val="20"/>
          <w:szCs w:val="20"/>
          <w:color w:val="auto"/>
        </w:rPr>
      </w:pPr>
    </w:p>
    <w:p>
      <w:pPr>
        <w:ind w:left="880" w:right="140" w:hanging="224"/>
        <w:spacing w:after="0" w:line="243" w:lineRule="auto"/>
        <w:tabs>
          <w:tab w:leader="none" w:pos="880"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Restricted stock units may be awarded to any eligible individual, typically without payment of</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but subject to vesting conditions based on continued employment or service or on performance criteria established by the administrator. Like restricted stock, restricted stock units may not be sold, or otherwise transferred or hypothecated, until vesting conditions are removed or expire. Unlike restricted stock, stock underlying restricted stock units will not be issued until the restricted stock units have vested, and recipients of restricted stock units generally will have no voting or dividend rights prior to the time when vesting conditions are satisfied.</w:t>
      </w:r>
    </w:p>
    <w:p>
      <w:pPr>
        <w:spacing w:after="0" w:line="79" w:lineRule="exact"/>
        <w:rPr>
          <w:rFonts w:ascii="Arial" w:cs="Arial" w:eastAsia="Arial" w:hAnsi="Arial"/>
          <w:sz w:val="18"/>
          <w:szCs w:val="18"/>
          <w:color w:val="auto"/>
        </w:rPr>
      </w:pPr>
    </w:p>
    <w:p>
      <w:pPr>
        <w:ind w:left="880" w:right="20" w:hanging="224"/>
        <w:spacing w:after="0" w:line="245" w:lineRule="auto"/>
        <w:tabs>
          <w:tab w:leader="none" w:pos="880"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SARs may be granted in connection with stock options or other awards, or separately. SARs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in connection with stock options or other awards typically will provide for payments to the holder based upon increases in the price of our common stock over a set exercise price. The exercise price of any SAR granted under the 2020 Plan must be at least 100% of the fair market value of a share of our common stock on the date of grant. SARs under the 2020 Plan will be settled in cash or shares of our common stock, or in a combination of both, at the election of the administrator.</w:t>
      </w:r>
    </w:p>
    <w:p>
      <w:pPr>
        <w:spacing w:after="0" w:line="77" w:lineRule="exact"/>
        <w:rPr>
          <w:rFonts w:ascii="Arial" w:cs="Arial" w:eastAsia="Arial" w:hAnsi="Arial"/>
          <w:sz w:val="18"/>
          <w:szCs w:val="18"/>
          <w:color w:val="auto"/>
        </w:rPr>
      </w:pPr>
    </w:p>
    <w:p>
      <w:pPr>
        <w:ind w:left="880" w:hanging="224"/>
        <w:spacing w:after="0" w:line="241" w:lineRule="auto"/>
        <w:tabs>
          <w:tab w:leader="none" w:pos="880"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Other stock or cash based awards</w:t>
      </w:r>
      <w:r>
        <w:rPr>
          <w:rFonts w:ascii="Arial" w:cs="Arial" w:eastAsia="Arial" w:hAnsi="Arial"/>
          <w:sz w:val="18"/>
          <w:szCs w:val="18"/>
          <w:color w:val="auto"/>
        </w:rPr>
        <w:t>. Other stock or cash based awards are awards of cash, fully vested shares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and other awards valued wholly or partially by referring to, or otherwise based on, shares of our common stock. Other stock or cash 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will determine the terms and conditions of other stock or cash based awards, which may include vesting conditions based on continued service, performance and/or other conditions.</w:t>
      </w:r>
    </w:p>
    <w:p>
      <w:pPr>
        <w:spacing w:after="0" w:line="84" w:lineRule="exact"/>
        <w:rPr>
          <w:rFonts w:ascii="Arial" w:cs="Arial" w:eastAsia="Arial" w:hAnsi="Arial"/>
          <w:sz w:val="18"/>
          <w:szCs w:val="18"/>
          <w:color w:val="auto"/>
        </w:rPr>
      </w:pPr>
    </w:p>
    <w:p>
      <w:pPr>
        <w:ind w:left="880" w:right="120" w:hanging="224"/>
        <w:spacing w:after="0" w:line="243" w:lineRule="auto"/>
        <w:tabs>
          <w:tab w:leader="none" w:pos="880"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Dividend equivalents</w:t>
      </w:r>
      <w:r>
        <w:rPr>
          <w:rFonts w:ascii="Arial" w:cs="Arial" w:eastAsia="Arial" w:hAnsi="Arial"/>
          <w:sz w:val="18"/>
          <w:szCs w:val="18"/>
          <w:color w:val="auto"/>
        </w:rPr>
        <w:t>. Dividend equivalents represent the right to receive the equivalent value of dividends paid on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common stock and may be granted alone or in tandem with awards other than stock options or SARs. Dividend equivalents are credited as of dividend payments dates during the period between a specified date and the date such award terminates or expires, as determined by the plan administrator. In addition, dividend equivalents with respect to shares covered by a performance award will only be paid to the participant at the same time or times and to the same extent that the vesting conditions, if any, are subsequently satisfied and the performance award vests with respect to such shares.</w:t>
      </w:r>
    </w:p>
    <w:p>
      <w:pPr>
        <w:spacing w:after="0" w:line="174" w:lineRule="exact"/>
        <w:rPr>
          <w:sz w:val="20"/>
          <w:szCs w:val="20"/>
          <w:color w:val="auto"/>
        </w:rPr>
      </w:pPr>
    </w:p>
    <w:p>
      <w:pPr>
        <w:ind w:left="120" w:right="240" w:firstLine="551"/>
        <w:spacing w:after="0" w:line="276" w:lineRule="auto"/>
        <w:rPr>
          <w:sz w:val="20"/>
          <w:szCs w:val="20"/>
          <w:color w:val="auto"/>
        </w:rPr>
      </w:pPr>
      <w:r>
        <w:rPr>
          <w:rFonts w:ascii="Arial" w:cs="Arial" w:eastAsia="Arial" w:hAnsi="Arial"/>
          <w:sz w:val="18"/>
          <w:szCs w:val="18"/>
          <w:color w:val="auto"/>
        </w:rPr>
        <w:t>Any award may be granted as a performance award, meaning that the award will be subject to vesting and/or payment based on the attainment of specified performance goals.</w:t>
      </w:r>
    </w:p>
    <w:p>
      <w:pPr>
        <w:spacing w:after="0" w:line="145"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a change in control, unless the plan administrator elects to terminate an award in exchange for</w:t>
      </w:r>
      <w:r>
        <w:rPr>
          <w:rFonts w:ascii="Arial" w:cs="Arial" w:eastAsia="Arial" w:hAnsi="Arial"/>
          <w:sz w:val="18"/>
          <w:szCs w:val="18"/>
          <w:i w:val="1"/>
          <w:iCs w:val="1"/>
          <w:color w:val="auto"/>
        </w:rPr>
        <w:t xml:space="preserve"> </w:t>
      </w:r>
      <w:r>
        <w:rPr>
          <w:rFonts w:ascii="Arial" w:cs="Arial" w:eastAsia="Arial" w:hAnsi="Arial"/>
          <w:sz w:val="18"/>
          <w:szCs w:val="18"/>
          <w:color w:val="auto"/>
        </w:rPr>
        <w:t>cash, rights or other property, or cause an award to accelerate in full prior to the change in control, such award will continue in effect or be assumed or substituted by the acquirer, provided that any performance-based portion of the award will be subject to the terms and conditions of the applicable award agreement. In the event the acquirer refuses to assume or replace awards granted, prior to the consummation of such transaction, awards issued under the 2020 Plan will be subject to accelerated vesting such that 100% of such awards will become vested and exercisable or payable, as applicable. The administrator may also make appropriate adjustments to awards under the 2020 Plan and is authorized to provide for the acceleration, cash-out, termination, assumption,</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00"/>
          </w:cols>
          <w:pgMar w:left="320" w:top="455" w:right="47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960"/>
        <w:spacing w:after="0" w:line="276" w:lineRule="auto"/>
        <w:rPr>
          <w:sz w:val="20"/>
          <w:szCs w:val="20"/>
          <w:color w:val="auto"/>
        </w:rPr>
      </w:pPr>
      <w:r>
        <w:rPr>
          <w:rFonts w:ascii="Arial" w:cs="Arial" w:eastAsia="Arial" w:hAnsi="Arial"/>
          <w:sz w:val="18"/>
          <w:szCs w:val="18"/>
          <w:color w:val="auto"/>
        </w:rPr>
        <w:t>substitution or conversion of such awards in the event of a change in control or certain other unusual or nonrecurring events or transactions.</w:t>
      </w:r>
    </w:p>
    <w:p>
      <w:pPr>
        <w:spacing w:after="0" w:line="145" w:lineRule="exact"/>
        <w:rPr>
          <w:sz w:val="20"/>
          <w:szCs w:val="20"/>
          <w:color w:val="auto"/>
        </w:rPr>
      </w:pPr>
    </w:p>
    <w:p>
      <w:pPr>
        <w:ind w:left="120" w:firstLine="551"/>
        <w:spacing w:after="0"/>
        <w:rPr>
          <w:sz w:val="20"/>
          <w:szCs w:val="20"/>
          <w:color w:val="auto"/>
        </w:rPr>
      </w:pPr>
      <w:r>
        <w:rPr>
          <w:rFonts w:ascii="Arial" w:cs="Arial" w:eastAsia="Arial" w:hAnsi="Arial"/>
          <w:sz w:val="18"/>
          <w:szCs w:val="18"/>
          <w:i w:val="1"/>
          <w:iCs w:val="1"/>
          <w:color w:val="auto"/>
        </w:rPr>
        <w:t>Adjustments of awards</w:t>
      </w:r>
      <w:r>
        <w:rPr>
          <w:rFonts w:ascii="Arial" w:cs="Arial" w:eastAsia="Arial" w:hAnsi="Arial"/>
          <w:sz w:val="18"/>
          <w:szCs w:val="18"/>
          <w:color w:val="auto"/>
        </w:rPr>
        <w:t>. In the event of any stock dividend or other distribution, stock split, reverse stock split, reorganization,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or exchange of shares, merger, consolidation, split-up, spin-off, recapitalization, repurchase or any other corporate event affecting the number of outstanding shares of our common stock or the share price of our common stock that would require adjustments to the 2020 Plan or any awards under the 2020 Plan in order to prevent the dilution or enlargement of the potential benefits intended to be made available thereunder, the administrator will make appropriate, proportionate adjustments to: (i) the aggregate number and type of shares subject to the 2020 Plan; (ii) the number and kind of shares subject to outstanding awards and terms and conditions of outstanding awards (including, without limitation, any applicable performance targets or criteria with respect to such awards); and (iii) the grant or exercise price per share of any outstanding awards under the 2020 Plan.</w:t>
      </w:r>
    </w:p>
    <w:p>
      <w:pPr>
        <w:spacing w:after="0" w:line="180"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The administrator may terminate, amend or modify the 2020 Plan at any time and from time to time.</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we must generally obtain stockholder approval to the extent required by applicable law, rule or regulation (including any applicable stock exchange rule). Notwithstanding the foregoing, an option may be amended to reduce the per share exercise price below the per share exercise price of such option on the grant date and options may be granted in exchange for, or in connection with, the cancellation or surrender of options having a higher per share exercise price without receiving additional stockholder approval.</w:t>
      </w:r>
    </w:p>
    <w:p>
      <w:pPr>
        <w:spacing w:after="0" w:line="172" w:lineRule="exact"/>
        <w:rPr>
          <w:sz w:val="20"/>
          <w:szCs w:val="20"/>
          <w:color w:val="auto"/>
        </w:rPr>
      </w:pPr>
    </w:p>
    <w:p>
      <w:pPr>
        <w:ind w:left="120" w:right="240" w:firstLine="551"/>
        <w:spacing w:after="0" w:line="248" w:lineRule="auto"/>
        <w:rPr>
          <w:sz w:val="20"/>
          <w:szCs w:val="20"/>
          <w:color w:val="auto"/>
        </w:rPr>
      </w:pPr>
      <w:r>
        <w:rPr>
          <w:rFonts w:ascii="Arial" w:cs="Arial" w:eastAsia="Arial" w:hAnsi="Arial"/>
          <w:sz w:val="18"/>
          <w:szCs w:val="18"/>
          <w:color w:val="auto"/>
        </w:rPr>
        <w:t>No incentive stock options may be granted pursuant to the 2020 Plan after the tenth anniversary of the effective date of the 2020 Plan, and no additional annual share increases to the 2020 Plan’s aggregate share limit will occur from and after such anniversary. Any award that is outstanding on the termination date of the 2020 Plan will remain in force according to the terms of the 2020 Plan and the applicable award agreement.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2015 Equity Incentive Plan</w:t>
      </w:r>
    </w:p>
    <w:p>
      <w:pPr>
        <w:spacing w:after="0" w:line="104" w:lineRule="exact"/>
        <w:rPr>
          <w:sz w:val="20"/>
          <w:szCs w:val="20"/>
          <w:color w:val="auto"/>
        </w:rPr>
      </w:pPr>
    </w:p>
    <w:p>
      <w:pPr>
        <w:ind w:left="120" w:right="220" w:firstLine="551"/>
        <w:spacing w:after="0" w:line="255" w:lineRule="auto"/>
        <w:rPr>
          <w:sz w:val="20"/>
          <w:szCs w:val="20"/>
          <w:color w:val="auto"/>
        </w:rPr>
      </w:pPr>
      <w:r>
        <w:rPr>
          <w:rFonts w:ascii="Arial" w:cs="Arial" w:eastAsia="Arial" w:hAnsi="Arial"/>
          <w:sz w:val="18"/>
          <w:szCs w:val="18"/>
          <w:color w:val="auto"/>
        </w:rPr>
        <w:t>On March 20, 2015, our board of directors adopted, and our stockholders approved, the 2015 Plan. Following the offering, and in connection with the effectiveness of our 2020 Plan, the 2015 Plan will terminate, and no further awards will be granted under the 2015 Plan. However, all outstanding awards will continue to be governed by their existing terms.</w:t>
      </w:r>
    </w:p>
    <w:p>
      <w:pPr>
        <w:spacing w:after="0" w:line="164"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board of directors, or a committee thereof appointed by our board of directors, has the authority to administer</w:t>
      </w:r>
      <w:r>
        <w:rPr>
          <w:rFonts w:ascii="Arial" w:cs="Arial" w:eastAsia="Arial" w:hAnsi="Arial"/>
          <w:sz w:val="18"/>
          <w:szCs w:val="18"/>
          <w:i w:val="1"/>
          <w:iCs w:val="1"/>
          <w:color w:val="auto"/>
        </w:rPr>
        <w:t xml:space="preserve"> </w:t>
      </w:r>
      <w:r>
        <w:rPr>
          <w:rFonts w:ascii="Arial" w:cs="Arial" w:eastAsia="Arial" w:hAnsi="Arial"/>
          <w:sz w:val="18"/>
          <w:szCs w:val="18"/>
          <w:color w:val="auto"/>
        </w:rPr>
        <w:t>the 2015 Plan and the awards granted under it. The plan administrator has broad authority to make determinations and interpretations under, prescribe forms for use with and adopt rules for the administration of, the 2015 Plan, subject to its express terms and conditions. The plan administrator also sets the terms and conditions of all awards under the 2015 Plan, including any vesting and acceleration conditions.</w:t>
      </w:r>
    </w:p>
    <w:p>
      <w:pPr>
        <w:spacing w:after="0" w:line="172"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i w:val="1"/>
          <w:iCs w:val="1"/>
          <w:color w:val="auto"/>
        </w:rPr>
        <w:t>Limitation on awards and shares available</w:t>
      </w:r>
      <w:r>
        <w:rPr>
          <w:rFonts w:ascii="Arial" w:cs="Arial" w:eastAsia="Arial" w:hAnsi="Arial"/>
          <w:sz w:val="18"/>
          <w:szCs w:val="18"/>
          <w:color w:val="auto"/>
        </w:rPr>
        <w:t>. The aggregate number of shares of our common stock that is authorized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2015 Plan is 4,189,028, which shares may be authorized but unissued shares, reacquired common stock or represent shares underlying forfeited awards. Shares tendered or withheld to satisfy grant or exercise price or tax withholding obligations associated with an award granted under the 2015 Plan and shares issued pursuant to awards of restricted stock or restricted stock units that are repurchased by us or are forfeited due to the failure to vest may be used again for new grants under the 2015 Plan.</w:t>
      </w:r>
    </w:p>
    <w:p>
      <w:pPr>
        <w:spacing w:after="0" w:line="172" w:lineRule="exact"/>
        <w:rPr>
          <w:sz w:val="20"/>
          <w:szCs w:val="20"/>
          <w:color w:val="auto"/>
        </w:rPr>
      </w:pPr>
    </w:p>
    <w:p>
      <w:pPr>
        <w:ind w:left="120" w:right="400" w:firstLine="551"/>
        <w:spacing w:after="0" w:line="276" w:lineRule="auto"/>
        <w:rPr>
          <w:sz w:val="20"/>
          <w:szCs w:val="20"/>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 The 2015 Plan provides that the administrator may grant or issue ISOs, NSOs, SARs, restricted stock and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units to our employees, directors and consultants, provided that</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120"/>
          </w:cols>
          <w:pgMar w:left="320" w:top="455" w:right="45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580"/>
        <w:spacing w:after="0" w:line="255" w:lineRule="auto"/>
        <w:rPr>
          <w:sz w:val="20"/>
          <w:szCs w:val="20"/>
          <w:color w:val="auto"/>
        </w:rPr>
      </w:pPr>
      <w:r>
        <w:rPr>
          <w:rFonts w:ascii="Arial" w:cs="Arial" w:eastAsia="Arial" w:hAnsi="Arial"/>
          <w:sz w:val="18"/>
          <w:szCs w:val="18"/>
          <w:color w:val="auto"/>
        </w:rPr>
        <w:t>only employees may be granted ISOs. Awards under the 2015 Plan are set forth in award agreements, which detail the terms and conditions of the awards, including any applicable vesting and payment terms and post-termination exercise limitations. Awards are generally settled in shares of our common stock.</w:t>
      </w:r>
    </w:p>
    <w:p>
      <w:pPr>
        <w:spacing w:after="0" w:line="69" w:lineRule="exact"/>
        <w:rPr>
          <w:sz w:val="20"/>
          <w:szCs w:val="20"/>
          <w:color w:val="auto"/>
        </w:rPr>
      </w:pPr>
    </w:p>
    <w:p>
      <w:pPr>
        <w:ind w:left="880" w:right="20" w:hanging="224"/>
        <w:spacing w:after="0"/>
        <w:tabs>
          <w:tab w:leader="none" w:pos="880"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Stock options provide for the purchase of shares of our common stock in the future at an exercise price set on</w:t>
      </w:r>
      <w:r>
        <w:rPr>
          <w:rFonts w:ascii="Arial" w:cs="Arial" w:eastAsia="Arial" w:hAnsi="Arial"/>
          <w:sz w:val="18"/>
          <w:szCs w:val="18"/>
          <w:i w:val="1"/>
          <w:iCs w:val="1"/>
          <w:color w:val="auto"/>
        </w:rPr>
        <w:t xml:space="preserve"> </w:t>
      </w:r>
      <w:r>
        <w:rPr>
          <w:rFonts w:ascii="Arial" w:cs="Arial" w:eastAsia="Arial" w:hAnsi="Arial"/>
          <w:sz w:val="18"/>
          <w:szCs w:val="18"/>
          <w:color w:val="auto"/>
        </w:rPr>
        <w:t>the grant date. ISOs, by contrast to NSOs, may provide tax deferral beyond exercise and favorable capital gains tax treatment to their holders if certain holding period and other Internal Revenue Code requirements are satisfied. The exercise price of a stock option may not be less than 100% of the fair market value of the underlying share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 Vesting conditions determined by the plan administrator may apply to stock options and may include continued service, performance and/or other conditions. A stock option may provide for “early exercise” prior to vesting in exchange for shares of restricted shares that vest on the option’s vesting schedule.</w:t>
      </w:r>
    </w:p>
    <w:p>
      <w:pPr>
        <w:spacing w:after="0" w:line="81" w:lineRule="exact"/>
        <w:rPr>
          <w:rFonts w:ascii="Arial" w:cs="Arial" w:eastAsia="Arial" w:hAnsi="Arial"/>
          <w:sz w:val="18"/>
          <w:szCs w:val="18"/>
          <w:color w:val="auto"/>
        </w:rPr>
      </w:pPr>
    </w:p>
    <w:p>
      <w:pPr>
        <w:ind w:left="880" w:right="40" w:hanging="224"/>
        <w:spacing w:after="0" w:line="245" w:lineRule="auto"/>
        <w:tabs>
          <w:tab w:leader="none" w:pos="880"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SARs may be granted in connection with stock options or other awards, or separately. SARs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in connection with stock options or other awards typically will provide for payments to the holder based upon increases in the price of our common stock over a set exercise price. The exercise price of any SAR granted under the 2015 Plan must be at least 100% of the fair market value of a share of our common stock on the date of grant. SARs under the 2015 Plan will be settled in cash or shares of our common stock, or in a combination of both, as set forth in the applicable award agreement.</w:t>
      </w:r>
    </w:p>
    <w:p>
      <w:pPr>
        <w:spacing w:after="0" w:line="77" w:lineRule="exact"/>
        <w:rPr>
          <w:rFonts w:ascii="Arial" w:cs="Arial" w:eastAsia="Arial" w:hAnsi="Arial"/>
          <w:sz w:val="18"/>
          <w:szCs w:val="18"/>
          <w:color w:val="auto"/>
        </w:rPr>
      </w:pPr>
    </w:p>
    <w:p>
      <w:pPr>
        <w:ind w:left="880" w:right="280" w:hanging="224"/>
        <w:spacing w:after="0" w:line="245" w:lineRule="auto"/>
        <w:tabs>
          <w:tab w:leader="none" w:pos="880"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Restricted stock may be granted to any eligible individual and made subject to such restrictions as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administrator. Restricted stock, typically, may be forfeited for no consideration or repurchased by us at the original purchase price if the conditions or restrictions on vesting are not met. In general, restricted stock may not be sold or otherwise transferred until restrictions are removed or expire. Purchasers of restricted stock, unlike recipients of options, will have voting rights and will have the right to receive dividends, if any, prior to the time when the restrictions lapse.</w:t>
      </w:r>
    </w:p>
    <w:p>
      <w:pPr>
        <w:spacing w:after="0" w:line="77" w:lineRule="exact"/>
        <w:rPr>
          <w:rFonts w:ascii="Arial" w:cs="Arial" w:eastAsia="Arial" w:hAnsi="Arial"/>
          <w:sz w:val="18"/>
          <w:szCs w:val="18"/>
          <w:color w:val="auto"/>
        </w:rPr>
      </w:pPr>
    </w:p>
    <w:p>
      <w:pPr>
        <w:ind w:left="880" w:right="220" w:hanging="224"/>
        <w:spacing w:after="0" w:line="243" w:lineRule="auto"/>
        <w:tabs>
          <w:tab w:leader="none" w:pos="880"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Restricted stock units may be awarded to any eligible individual, typically without payment of</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but subject to vesting conditions continuing service with us or our affiliates, the attainment of performance goals and/or such other conditions as the plan administrator may determine. Like restricted stock, restricted stock units may not be sold, or otherwise transferred or hypothecated, until vesting conditions are removed or expire. Unlike restricted stock, stock underlying restricted stock units will not be issued until the restricted stock units have vested, and recipients of restricted stock units generally will have no voting or dividend rights prior to the time when vesting conditions are satisfied.</w:t>
      </w:r>
    </w:p>
    <w:p>
      <w:pPr>
        <w:spacing w:after="0" w:line="174" w:lineRule="exact"/>
        <w:rPr>
          <w:sz w:val="20"/>
          <w:szCs w:val="20"/>
          <w:color w:val="auto"/>
        </w:rPr>
      </w:pPr>
    </w:p>
    <w:p>
      <w:pPr>
        <w:ind w:left="120" w:firstLine="551"/>
        <w:spacing w:after="0"/>
        <w:rPr>
          <w:sz w:val="20"/>
          <w:szCs w:val="20"/>
          <w:color w:val="auto"/>
        </w:rPr>
      </w:pPr>
      <w:r>
        <w:rPr>
          <w:rFonts w:ascii="Arial" w:cs="Arial" w:eastAsia="Arial" w:hAnsi="Arial"/>
          <w:sz w:val="18"/>
          <w:szCs w:val="18"/>
          <w:i w:val="1"/>
          <w:iCs w:val="1"/>
          <w:color w:val="auto"/>
        </w:rPr>
        <w:t xml:space="preserve">Certain transactions. </w:t>
      </w:r>
      <w:r>
        <w:rPr>
          <w:rFonts w:ascii="Arial" w:cs="Arial" w:eastAsia="Arial" w:hAnsi="Arial"/>
          <w:sz w:val="18"/>
          <w:szCs w:val="18"/>
          <w:color w:val="auto"/>
        </w:rPr>
        <w:t>The plan administrator has broad discretion to equitably adjust the provisions of the 2015 Plan,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and conditions of existing and future awards, to prevent the diminution or enlargement of intended benefits and facilitate necessary or desirable changes in the event of certain transactions and events affecting our common stock, such as a dividend or other distribution (whether in the form of cash, Shares, other securities or other property), recapitalization, reincorporation, stock split, reverse stock split, reorganization, merger, consolidation, split-up, spin-off, combination, reclassification, repurchase or exchange of our shares or our other securities, or other change in our corporate structure. In the event of a merger with or into another corporation or other entity or a change in control (as defined in the 2015 Plan), the plan administrator may provide, in any combination hereof, subject to the applicable award agreement and without the participant’s consent, that (i) the surviving entity assume outstanding awards or substitute economically</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20"/>
          </w:cols>
          <w:pgMar w:left="320" w:top="455" w:right="459" w:bottom="1440" w:gutter="0" w:footer="0" w:header="0"/>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20"/>
        <w:spacing w:after="0" w:line="257" w:lineRule="auto"/>
        <w:rPr>
          <w:sz w:val="20"/>
          <w:szCs w:val="20"/>
          <w:color w:val="auto"/>
        </w:rPr>
      </w:pPr>
      <w:r>
        <w:rPr>
          <w:rFonts w:ascii="Arial" w:cs="Arial" w:eastAsia="Arial" w:hAnsi="Arial"/>
          <w:sz w:val="17"/>
          <w:szCs w:val="17"/>
          <w:color w:val="auto"/>
        </w:rPr>
        <w:t>equivalent awards for such outstanding awards; (ii) that the participant’s awards will terminate upon or immediately prior to the consummation of the merger or change in control; (iii) outstanding awards will vest and become exercisable, realizable or payable, or restrictions applicable to an award will lapse, in whole or in part prior to or upon consummation of such merger or change in control; and</w:t>
      </w:r>
    </w:p>
    <w:p>
      <w:pPr>
        <w:spacing w:after="0" w:line="2" w:lineRule="exact"/>
        <w:rPr>
          <w:sz w:val="20"/>
          <w:szCs w:val="20"/>
          <w:color w:val="auto"/>
        </w:rPr>
      </w:pPr>
    </w:p>
    <w:p>
      <w:pPr>
        <w:ind w:left="120" w:hanging="4"/>
        <w:spacing w:after="0" w:line="256" w:lineRule="auto"/>
        <w:tabs>
          <w:tab w:leader="none" w:pos="4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termination of an award in exchange for any combination of cash, property or other rights, if any, selected by the administrator in its sole discretion, equal in value to the cash or other property that would have been attained upon the exercise of such award or realization of the participant’s rights as of the date of the occurrence of the transaction. The administrator may also make appropriate adjustments to awards under the 2015 Plan and is authorized to provide for the acceleration, cash-out, termination, assumption, substitution or conversion of such awards in the event of a change in control or certain other unusual or nonrecurring events or transactions.</w:t>
      </w:r>
    </w:p>
    <w:p>
      <w:pPr>
        <w:spacing w:after="0" w:line="164"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i w:val="1"/>
          <w:iCs w:val="1"/>
          <w:color w:val="auto"/>
        </w:rPr>
        <w:t xml:space="preserve">Foreign participants, transferability and participant payments. </w:t>
      </w:r>
      <w:r>
        <w:rPr>
          <w:rFonts w:ascii="Arial" w:cs="Arial" w:eastAsia="Arial" w:hAnsi="Arial"/>
          <w:sz w:val="18"/>
          <w:szCs w:val="18"/>
          <w:color w:val="auto"/>
        </w:rPr>
        <w:t>The plan administrator may establish sub-plans under the 2015</w:t>
      </w:r>
      <w:r>
        <w:rPr>
          <w:rFonts w:ascii="Arial" w:cs="Arial" w:eastAsia="Arial" w:hAnsi="Arial"/>
          <w:sz w:val="18"/>
          <w:szCs w:val="18"/>
          <w:i w:val="1"/>
          <w:iCs w:val="1"/>
          <w:color w:val="auto"/>
        </w:rPr>
        <w:t xml:space="preserve"> </w:t>
      </w:r>
      <w:r>
        <w:rPr>
          <w:rFonts w:ascii="Arial" w:cs="Arial" w:eastAsia="Arial" w:hAnsi="Arial"/>
          <w:sz w:val="18"/>
          <w:szCs w:val="18"/>
          <w:color w:val="auto"/>
        </w:rPr>
        <w:t>Plan, subject to the share limits described above, containing such limitations and other terms and conditions that the plan administrator determines is necessary or desirable to satisfy blue sky, securities, tax or other laws of various jurisdictions in which we intend to grant awards or qualifying for favorable tax treatment under applicable foreign laws. With limited exceptions for gifts or executors of the participant’s estate upon the participant’s death, in connection with certain acquisitions or a change in control, and transfers to us, awards under the 2015 Plan are generally non-transferable prior to exercise or delivery and are exercisable only by the participant. With regard to tax withholding, exercise price and purchase price obligations arising in connection with awards under the 2015 Plan, as applicable, the plan administrator may, in its discretion, accept cash, check, promissory note, shares of our common stock that meet specified conditions, such other consideration and method of payment for the issuance of shares, to the extent permitted by applicable laws, by “net exercise,” a “market sell order” or any combination thereof.</w:t>
      </w:r>
    </w:p>
    <w:p>
      <w:pPr>
        <w:spacing w:after="0" w:line="180" w:lineRule="exact"/>
        <w:rPr>
          <w:sz w:val="20"/>
          <w:szCs w:val="20"/>
          <w:color w:val="auto"/>
        </w:rPr>
      </w:pPr>
    </w:p>
    <w:p>
      <w:pPr>
        <w:ind w:left="120" w:right="60" w:firstLine="551"/>
        <w:spacing w:after="0" w:line="241" w:lineRule="auto"/>
        <w:rPr>
          <w:sz w:val="20"/>
          <w:szCs w:val="20"/>
          <w:color w:val="auto"/>
        </w:rPr>
      </w:pPr>
      <w:r>
        <w:rPr>
          <w:rFonts w:ascii="Arial" w:cs="Arial" w:eastAsia="Arial" w:hAnsi="Arial"/>
          <w:sz w:val="18"/>
          <w:szCs w:val="18"/>
          <w:i w:val="1"/>
          <w:iCs w:val="1"/>
          <w:color w:val="auto"/>
        </w:rPr>
        <w:t>Amendment; termination</w:t>
      </w:r>
      <w:r>
        <w:rPr>
          <w:rFonts w:ascii="Arial" w:cs="Arial" w:eastAsia="Arial" w:hAnsi="Arial"/>
          <w:sz w:val="18"/>
          <w:szCs w:val="18"/>
          <w:color w:val="auto"/>
        </w:rPr>
        <w:t>. Our board of directors may amend or terminate the 2015 Plan at any time; however, (i) no amendment</w:t>
      </w:r>
      <w:r>
        <w:rPr>
          <w:rFonts w:ascii="Arial" w:cs="Arial" w:eastAsia="Arial" w:hAnsi="Arial"/>
          <w:sz w:val="18"/>
          <w:szCs w:val="18"/>
          <w:i w:val="1"/>
          <w:iCs w:val="1"/>
          <w:color w:val="auto"/>
        </w:rPr>
        <w:t xml:space="preserve"> </w:t>
      </w:r>
      <w:r>
        <w:rPr>
          <w:rFonts w:ascii="Arial" w:cs="Arial" w:eastAsia="Arial" w:hAnsi="Arial"/>
          <w:sz w:val="18"/>
          <w:szCs w:val="18"/>
          <w:color w:val="auto"/>
        </w:rPr>
        <w:t>or termination may adversely affect an outstanding award without the affected participant’s written consent and (ii) except in connection with certain changes in our capital structure, stockholder approval will be required for (A) any amendment that increases the number of shares available under the 2015 Plan or extends the term of the 2015 Plan, or (B) as required under applicable law. No award may be granted pursuant to the 2015 Plan after the ten year anniversary of the date the 2015 Plan, as amended or restated, was approved by our board of directors or our stockholders (whichever was earlier), however, we will cease granting awards under the 2015 Plan upon effectiveness of the 2020 Plan.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file with the SEC a registration statement on Form S-8 covering our shares of common stock issuable under the 2015</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Plan.</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04" w:lineRule="exact"/>
        <w:rPr>
          <w:sz w:val="20"/>
          <w:szCs w:val="20"/>
          <w:color w:val="auto"/>
        </w:rPr>
      </w:pPr>
    </w:p>
    <w:p>
      <w:pPr>
        <w:ind w:left="120" w:right="120" w:firstLine="551"/>
        <w:spacing w:after="0" w:line="248" w:lineRule="auto"/>
        <w:rPr>
          <w:sz w:val="20"/>
          <w:szCs w:val="20"/>
          <w:color w:val="auto"/>
        </w:rPr>
      </w:pPr>
      <w:r>
        <w:rPr>
          <w:rFonts w:ascii="Arial" w:cs="Arial" w:eastAsia="Arial" w:hAnsi="Arial"/>
          <w:sz w:val="18"/>
          <w:szCs w:val="18"/>
          <w:color w:val="auto"/>
        </w:rPr>
        <w:t>We adopted and our stockholders approved the ESPP, which became effective upon the day prior to the effectiveness of the registration statement to which this prospectus relates. The ESPP is designed to allow our eligible employees to purchase shares of our common stock, at semi-annual intervals, with their accumulated payroll deductions. The ESPP is intended to qualify under Section 423 of the Code. The material terms of the ESPP are summarized below.</w:t>
      </w:r>
    </w:p>
    <w:p>
      <w:pPr>
        <w:spacing w:after="0" w:line="170" w:lineRule="exact"/>
        <w:rPr>
          <w:sz w:val="20"/>
          <w:szCs w:val="20"/>
          <w:color w:val="auto"/>
        </w:rPr>
      </w:pPr>
    </w:p>
    <w:p>
      <w:pPr>
        <w:ind w:left="120" w:right="120" w:firstLine="551"/>
        <w:spacing w:after="0" w:line="277"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Subject to the terms and conditions of the ESPP, our compensation committee will administer the ESPP. Our</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committee can delegate administrative tasks under the ESPP to the services of an agent and/or employees to assist in the administration of the ESPP. The administrator will have the discretionary authority to administer and interpret the ESPP. Interpretations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120"/>
          </w:cols>
          <w:pgMar w:left="320" w:top="455" w:right="459" w:bottom="1440" w:gutter="0" w:footer="0" w:header="0"/>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560"/>
        <w:spacing w:after="0" w:line="276" w:lineRule="auto"/>
        <w:rPr>
          <w:sz w:val="20"/>
          <w:szCs w:val="20"/>
          <w:color w:val="auto"/>
        </w:rPr>
      </w:pPr>
      <w:r>
        <w:rPr>
          <w:rFonts w:ascii="Arial" w:cs="Arial" w:eastAsia="Arial" w:hAnsi="Arial"/>
          <w:sz w:val="18"/>
          <w:szCs w:val="18"/>
          <w:color w:val="auto"/>
        </w:rPr>
        <w:t>and constructions of the administrator of any provision of the ESPP or of any rights thereunder will be conclusive and binding on all persons. We will bear all expenses and liabilities incurred by the ESPP administrator.</w:t>
      </w:r>
    </w:p>
    <w:p>
      <w:pPr>
        <w:spacing w:after="0" w:line="145"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The maximum number of shares of our common stock which are authorized for sale under the ESPP is equal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sum of (i) 252,337 shares of common stock and (ii) an annual increase on the first day of each year beginning in 2021 and ending in 2030, equal to the lesser of (A) one percent of the shares of common stock outstanding (on an as converted basis) on the last day of the immediately preceding fiscal year and (B) such number of shares of common stock as determined by our board of directors; provided, however, no more than 15,000,000 shares of our common stock may be issued under the ESPP. The shares reserved for issuance under the ESPP may be authorized but unissued shares or reacquired shares.</w:t>
      </w:r>
    </w:p>
    <w:p>
      <w:pPr>
        <w:spacing w:after="0" w:line="17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Employees eligible to participate in the ESPP for a given offering period generally include employees who are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employed by us or one of our subsidiaries on the first day of the offering period, or the enrollment date. Our employees (and, if applicable, any employees of our subsidiaries) who customarily work less than five months in a calendar year or are customarily scheduled to work less than 20 hours per week will not be eligible to participate in the ESPP. Finally, an employee who owns (or is deemed to own through attribution) 5% or more of the combined voting power or value of all our classes of stock or of one of our subsidiaries will not be allowed to participate in the ESPP.</w:t>
      </w:r>
    </w:p>
    <w:p>
      <w:pPr>
        <w:spacing w:after="0" w:line="174" w:lineRule="exact"/>
        <w:rPr>
          <w:sz w:val="20"/>
          <w:szCs w:val="20"/>
          <w:color w:val="auto"/>
        </w:rPr>
      </w:pPr>
    </w:p>
    <w:p>
      <w:pPr>
        <w:ind w:left="120" w:right="20" w:firstLine="551"/>
        <w:spacing w:after="0" w:line="260" w:lineRule="auto"/>
        <w:rPr>
          <w:sz w:val="20"/>
          <w:szCs w:val="20"/>
          <w:color w:val="auto"/>
        </w:rPr>
      </w:pPr>
      <w:r>
        <w:rPr>
          <w:rFonts w:ascii="Arial" w:cs="Arial" w:eastAsia="Arial" w:hAnsi="Arial"/>
          <w:sz w:val="17"/>
          <w:szCs w:val="17"/>
          <w:i w:val="1"/>
          <w:iCs w:val="1"/>
          <w:color w:val="auto"/>
        </w:rPr>
        <w:t>Participation</w:t>
      </w:r>
      <w:r>
        <w:rPr>
          <w:rFonts w:ascii="Arial" w:cs="Arial" w:eastAsia="Arial" w:hAnsi="Arial"/>
          <w:sz w:val="17"/>
          <w:szCs w:val="17"/>
          <w:color w:val="auto"/>
        </w:rPr>
        <w:t>. Employees will enroll under the ESPP by completing a payroll deduction form permitting the deduction from their</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of at least 1% of their compensation but not more than 15% of their compensation. Such payroll deductions may be expressed as either a whole number percentage or a fixed dollar amount, and the accumulated deductions will be applied to the purchase of shares on each purchase date. However, a participant may not purchase more than 60,000 shares in each offering period and may not subscribe for more than $25,000 in fair market value of shares of our common stock (determined at the time the option is granted) during any calendar year. The ESPP administrator has the authority to change these limitations for any subsequent offering period.</w:t>
      </w:r>
    </w:p>
    <w:p>
      <w:pPr>
        <w:spacing w:after="0" w:line="160"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i w:val="1"/>
          <w:iCs w:val="1"/>
          <w:color w:val="auto"/>
        </w:rPr>
        <w:t>Offerings</w:t>
      </w:r>
      <w:r>
        <w:rPr>
          <w:rFonts w:ascii="Arial" w:cs="Arial" w:eastAsia="Arial" w:hAnsi="Arial"/>
          <w:sz w:val="18"/>
          <w:szCs w:val="18"/>
          <w:color w:val="auto"/>
        </w:rPr>
        <w:t>. Generally, the ESPP will offer employees the option to purchase shares through a series of overlapping 24-month</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periods, and each offering period will generally be comprised of four 6-month purchase periods. The initial offering period under the ESPP will be longer than 24 months, commencing February 15, 2021 and ending on May 14, 2023. The initial purchase period under the ESPP will commence on February 15, 2021 and end on November 14, 2021, with the remaining purchase periods in the initial offering period to be comprised of consecutive six month periods. In no event may an offering period be longer than 27 months in length.</w:t>
      </w:r>
    </w:p>
    <w:p>
      <w:pPr>
        <w:spacing w:after="0" w:line="172" w:lineRule="exact"/>
        <w:rPr>
          <w:sz w:val="20"/>
          <w:szCs w:val="20"/>
          <w:color w:val="auto"/>
        </w:rPr>
      </w:pPr>
    </w:p>
    <w:p>
      <w:pPr>
        <w:jc w:val="both"/>
        <w:ind w:left="120" w:right="100" w:firstLine="551"/>
        <w:spacing w:after="0" w:line="255" w:lineRule="auto"/>
        <w:rPr>
          <w:sz w:val="20"/>
          <w:szCs w:val="20"/>
          <w:color w:val="auto"/>
        </w:rPr>
      </w:pPr>
      <w:r>
        <w:rPr>
          <w:rFonts w:ascii="Arial" w:cs="Arial" w:eastAsia="Arial" w:hAnsi="Arial"/>
          <w:sz w:val="18"/>
          <w:szCs w:val="18"/>
          <w:color w:val="auto"/>
        </w:rPr>
        <w:t>The option purchase price will be the lower of 85% of the closing trading price per share of our common stock on the trading date immediately preceding the first day of an offering period in which a participant is enrolled or 85% of the closing trading price per share on the trading day immediately preceding the last day of each purchase period.</w:t>
      </w:r>
    </w:p>
    <w:p>
      <w:pPr>
        <w:spacing w:after="0" w:line="164" w:lineRule="exact"/>
        <w:rPr>
          <w:sz w:val="20"/>
          <w:szCs w:val="20"/>
          <w:color w:val="auto"/>
        </w:rPr>
      </w:pPr>
    </w:p>
    <w:p>
      <w:pPr>
        <w:jc w:val="both"/>
        <w:ind w:left="120" w:right="200" w:firstLine="551"/>
        <w:spacing w:after="0" w:line="248" w:lineRule="auto"/>
        <w:rPr>
          <w:sz w:val="20"/>
          <w:szCs w:val="20"/>
          <w:color w:val="auto"/>
        </w:rPr>
      </w:pPr>
      <w:r>
        <w:rPr>
          <w:rFonts w:ascii="Arial" w:cs="Arial" w:eastAsia="Arial" w:hAnsi="Arial"/>
          <w:sz w:val="18"/>
          <w:szCs w:val="18"/>
          <w:color w:val="auto"/>
        </w:rPr>
        <w:t>Unless a participant has previously canceled his or her participation in the ESPP before the purchase date, the participant will be deemed to have exercised his or her option in full as of each purchase date. Upon exercise, the participant will purchase the number of whole shares that his or her accumulated payroll deductions will buy at the option purchase price, subject to the participation limitations listed above.</w:t>
      </w:r>
    </w:p>
    <w:p>
      <w:pPr>
        <w:spacing w:after="0" w:line="170"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A participant may cancel his or her payroll deduction authorization at any time prior to the end of the offering period. Upon cancellation, the participant will have the option to either (i) receive a refund of the participant’s account balance in cash without interest or (ii) exercise the participant’s option for</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080"/>
          </w:cols>
          <w:pgMar w:left="320" w:top="455" w:right="49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45" w:lineRule="auto"/>
        <w:rPr>
          <w:sz w:val="20"/>
          <w:szCs w:val="20"/>
          <w:color w:val="auto"/>
        </w:rPr>
      </w:pPr>
      <w:r>
        <w:rPr>
          <w:rFonts w:ascii="Arial" w:cs="Arial" w:eastAsia="Arial" w:hAnsi="Arial"/>
          <w:sz w:val="18"/>
          <w:szCs w:val="18"/>
          <w:color w:val="auto"/>
        </w:rPr>
        <w:t>the current offering period for the maximum number of shares of common stock on the applicable purchase date, with the remaining account balance refunded in cash without interest. Following at least one payroll deduction, a participant may also decrease (but not increase) his or her payroll deduction authorization once during any offering period. If a participant wants to increase or decrease the rate of payroll withholding, he or she may do so effective for the next offering period by submitting a new form before the offering period for which such change is to be effective.</w:t>
      </w:r>
    </w:p>
    <w:p>
      <w:pPr>
        <w:spacing w:after="0" w:line="172" w:lineRule="exact"/>
        <w:rPr>
          <w:sz w:val="20"/>
          <w:szCs w:val="20"/>
          <w:color w:val="auto"/>
        </w:rPr>
      </w:pPr>
    </w:p>
    <w:p>
      <w:pPr>
        <w:ind w:left="120" w:right="220" w:firstLine="551"/>
        <w:spacing w:after="0" w:line="248" w:lineRule="auto"/>
        <w:rPr>
          <w:sz w:val="20"/>
          <w:szCs w:val="20"/>
          <w:color w:val="auto"/>
        </w:rPr>
      </w:pPr>
      <w:r>
        <w:rPr>
          <w:rFonts w:ascii="Arial" w:cs="Arial" w:eastAsia="Arial" w:hAnsi="Arial"/>
          <w:sz w:val="18"/>
          <w:szCs w:val="18"/>
          <w:color w:val="auto"/>
        </w:rPr>
        <w:t>A participant may not assign, transfer, pledge or otherwise dispose of (other than by will or the laws of descent and distribution) payroll deductions credited to a participant’s account or any rights to exercise an option or to receive shares of our common stock under the ESPP, and during a participant’s lifetime, options in the ESPP shall be exercisable only by such participant. Any such attempt at assignment, transfer, pledge or other disposition will not be given effect.</w:t>
      </w:r>
    </w:p>
    <w:p>
      <w:pPr>
        <w:spacing w:after="0" w:line="170"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i w:val="1"/>
          <w:iCs w:val="1"/>
          <w:color w:val="auto"/>
        </w:rPr>
        <w:t>Adjustments upon changes in recapitalization, dissolution, liquidation, merger or asset sale</w:t>
      </w:r>
      <w:r>
        <w:rPr>
          <w:rFonts w:ascii="Arial" w:cs="Arial" w:eastAsia="Arial" w:hAnsi="Arial"/>
          <w:sz w:val="18"/>
          <w:szCs w:val="18"/>
          <w:color w:val="auto"/>
        </w:rPr>
        <w:t>. In the event of any increase or</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the number of issued shares of our common stock resulting from a stock split, reverse stock split, stock dividend, combination or reclassification of the common stock, or any other increase or decrease in the number of shares of common stock effected without receipt of consideration by us, we will proportionately adjust the aggregate number of shares of our common stock offered under the ESPP, the number and price of shares which any participant has elected to purchase under the ESPP and the maximum number of shares which a participant may elect to purchase in any single offering period. If there is a proposal to dissolve or liquidate us, then the ESPP will terminate immediately prior to the consummation of such proposed dissolution or liquidation, and any offering period and purchase period then in progress will be shortened by setting a new purchase date to take place before the date of our dissolution or liquidation. We will notify each participant of such change in writing at least ten business days prior to the new exercise date. If we undergo a merger with or into another corporation or sell all or substantially all of our assets, each outstanding option will be assumed or an equivalent option substituted by the successor corporation or the parent or subsidiary of the successor corporation. If the successor corporation refuses to assume the outstanding options or substitute equivalent options, then any offering period and purchase period then in progress will be shortened by setting a new purchase date to take place before the date of our proposed sale or merger. We will notify each participant of such change in writing at least ten business days prior to the new exercise date.</w:t>
      </w:r>
    </w:p>
    <w:p>
      <w:pPr>
        <w:spacing w:after="0" w:line="177"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board of directors may amend, suspend or terminate the ESPP at any time. However,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may not amend the ESPP without obtaining stockholder approval within 12 months before or after such amendment to the extent required by applicable laws.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20"/>
          </w:cols>
          <w:pgMar w:left="320" w:top="455" w:right="45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06" w:lineRule="exact"/>
        <w:rPr>
          <w:sz w:val="20"/>
          <w:szCs w:val="20"/>
          <w:color w:val="auto"/>
        </w:rPr>
      </w:pPr>
    </w:p>
    <w:p>
      <w:pPr>
        <w:jc w:val="both"/>
        <w:ind w:left="120" w:right="260" w:firstLine="551"/>
        <w:spacing w:after="0" w:line="255" w:lineRule="auto"/>
        <w:rPr>
          <w:sz w:val="20"/>
          <w:szCs w:val="20"/>
          <w:color w:val="auto"/>
        </w:rPr>
      </w:pPr>
      <w:r>
        <w:rPr>
          <w:rFonts w:ascii="Arial" w:cs="Arial" w:eastAsia="Arial" w:hAnsi="Arial"/>
          <w:sz w:val="18"/>
          <w:szCs w:val="18"/>
          <w:color w:val="auto"/>
        </w:rPr>
        <w:t>The following is a description of transactions since January 1, 2017 to which we have been a party, in which the amount involved exceeds $ 120,000, and in which any of our directors, executive officers or beneficial owners of more than 5% of our capital stock, or an affiliate or immediate family member thereof, had or will have a direct or indirect material interest.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and Purchases of Securities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B Convertible Preferred Stock Financing</w:t>
      </w:r>
    </w:p>
    <w:p>
      <w:pPr>
        <w:spacing w:after="0" w:line="104" w:lineRule="exact"/>
        <w:rPr>
          <w:sz w:val="20"/>
          <w:szCs w:val="20"/>
          <w:color w:val="auto"/>
        </w:rPr>
      </w:pPr>
    </w:p>
    <w:p>
      <w:pPr>
        <w:ind w:left="120" w:right="340" w:firstLine="551"/>
        <w:spacing w:after="0" w:line="276" w:lineRule="auto"/>
        <w:rPr>
          <w:sz w:val="20"/>
          <w:szCs w:val="20"/>
          <w:color w:val="auto"/>
        </w:rPr>
      </w:pPr>
      <w:r>
        <w:rPr>
          <w:rFonts w:ascii="Arial" w:cs="Arial" w:eastAsia="Arial" w:hAnsi="Arial"/>
          <w:sz w:val="18"/>
          <w:szCs w:val="18"/>
          <w:color w:val="auto"/>
        </w:rPr>
        <w:t>In August 2018, we issued an aggregate of 5,154,632 shares of our Series B convertible preferred stock at $17.46 per share for aggregate proceeds to us of $90.0 million.</w:t>
      </w:r>
    </w:p>
    <w:p>
      <w:pPr>
        <w:spacing w:after="0" w:line="145" w:lineRule="exact"/>
        <w:rPr>
          <w:sz w:val="20"/>
          <w:szCs w:val="20"/>
          <w:color w:val="auto"/>
        </w:rPr>
      </w:pPr>
    </w:p>
    <w:p>
      <w:pPr>
        <w:ind w:left="120" w:right="220" w:firstLine="551"/>
        <w:spacing w:after="0" w:line="276" w:lineRule="auto"/>
        <w:rPr>
          <w:sz w:val="20"/>
          <w:szCs w:val="20"/>
          <w:color w:val="auto"/>
        </w:rPr>
      </w:pPr>
      <w:r>
        <w:rPr>
          <w:rFonts w:ascii="Arial" w:cs="Arial" w:eastAsia="Arial" w:hAnsi="Arial"/>
          <w:sz w:val="18"/>
          <w:szCs w:val="18"/>
          <w:color w:val="auto"/>
        </w:rPr>
        <w:t>The table below sets forth the aggregate number of shares of Series B convertible preferred stock sold to our directors, executive officers or owners of more than 5% of a class of our capital stock, or an affiliate or immediate family member thereof:</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0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Number of</w:t>
            </w: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0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Shares of</w:t>
            </w: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62"/>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7460" w:type="dxa"/>
            <w:vAlign w:val="bottom"/>
            <w:vMerge w:val="restart"/>
          </w:tcPr>
          <w:p>
            <w:pPr>
              <w:spacing w:after="0"/>
              <w:rPr>
                <w:sz w:val="14"/>
                <w:szCs w:val="14"/>
                <w:color w:val="auto"/>
              </w:rPr>
            </w:pPr>
          </w:p>
        </w:tc>
        <w:tc>
          <w:tcPr>
            <w:tcW w:w="20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Series B Convertible</w:t>
            </w: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84"/>
        </w:trPr>
        <w:tc>
          <w:tcPr>
            <w:tcW w:w="400" w:type="dxa"/>
            <w:vAlign w:val="bottom"/>
            <w:tcBorders>
              <w:bottom w:val="single" w:sz="8" w:color="auto"/>
            </w:tcBorders>
            <w:vMerge w:val="continue"/>
          </w:tcPr>
          <w:p>
            <w:pPr>
              <w:spacing w:after="0"/>
              <w:rPr>
                <w:sz w:val="15"/>
                <w:szCs w:val="15"/>
                <w:color w:val="auto"/>
              </w:rPr>
            </w:pPr>
          </w:p>
        </w:tc>
        <w:tc>
          <w:tcPr>
            <w:tcW w:w="7460" w:type="dxa"/>
            <w:vAlign w:val="bottom"/>
            <w:vMerge w:val="continue"/>
          </w:tcPr>
          <w:p>
            <w:pPr>
              <w:spacing w:after="0"/>
              <w:rPr>
                <w:sz w:val="15"/>
                <w:szCs w:val="15"/>
                <w:color w:val="auto"/>
              </w:rPr>
            </w:pPr>
          </w:p>
        </w:tc>
        <w:tc>
          <w:tcPr>
            <w:tcW w:w="20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Preferred Stock</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8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Pfizer Inc.</w:t>
            </w:r>
            <w:r>
              <w:rPr>
                <w:rFonts w:ascii="Arial" w:cs="Arial" w:eastAsia="Arial" w:hAnsi="Arial"/>
                <w:sz w:val="15"/>
                <w:szCs w:val="15"/>
                <w:color w:val="auto"/>
              </w:rPr>
              <w:t>(1)</w:t>
            </w:r>
          </w:p>
        </w:tc>
        <w:tc>
          <w:tcPr>
            <w:tcW w:w="14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343,642</w:t>
            </w:r>
          </w:p>
        </w:tc>
        <w:tc>
          <w:tcPr>
            <w:tcW w:w="5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5,999,989.32</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660" w:hanging="544"/>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William Burkoth, a member of our board of directors, is an employee of Pfizer Inc.</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C Convertible Preferred Stock Financing</w:t>
      </w:r>
    </w:p>
    <w:p>
      <w:pPr>
        <w:spacing w:after="0" w:line="104" w:lineRule="exact"/>
        <w:rPr>
          <w:sz w:val="20"/>
          <w:szCs w:val="20"/>
          <w:color w:val="auto"/>
        </w:rPr>
      </w:pPr>
    </w:p>
    <w:p>
      <w:pPr>
        <w:ind w:left="120" w:right="640" w:firstLine="551"/>
        <w:spacing w:after="0" w:line="276" w:lineRule="auto"/>
        <w:rPr>
          <w:sz w:val="20"/>
          <w:szCs w:val="20"/>
          <w:color w:val="auto"/>
        </w:rPr>
      </w:pPr>
      <w:r>
        <w:rPr>
          <w:rFonts w:ascii="Arial" w:cs="Arial" w:eastAsia="Arial" w:hAnsi="Arial"/>
          <w:sz w:val="18"/>
          <w:szCs w:val="18"/>
          <w:color w:val="auto"/>
        </w:rPr>
        <w:t>From April to June 2020, we issued in a series of transactions an aggregate of 4,200,353 shares of our Series C convertible preferred stock at $18.00 per share for aggregate proceeds to us of $75.6 million.</w:t>
      </w:r>
    </w:p>
    <w:p>
      <w:pPr>
        <w:spacing w:after="0" w:line="145" w:lineRule="exact"/>
        <w:rPr>
          <w:sz w:val="20"/>
          <w:szCs w:val="20"/>
          <w:color w:val="auto"/>
        </w:rPr>
      </w:pPr>
    </w:p>
    <w:p>
      <w:pPr>
        <w:ind w:left="120" w:right="200" w:firstLine="551"/>
        <w:spacing w:after="0" w:line="276" w:lineRule="auto"/>
        <w:rPr>
          <w:sz w:val="20"/>
          <w:szCs w:val="20"/>
          <w:color w:val="auto"/>
        </w:rPr>
      </w:pPr>
      <w:r>
        <w:rPr>
          <w:rFonts w:ascii="Arial" w:cs="Arial" w:eastAsia="Arial" w:hAnsi="Arial"/>
          <w:sz w:val="18"/>
          <w:szCs w:val="18"/>
          <w:color w:val="auto"/>
        </w:rPr>
        <w:t>The table below sets forth the aggregate number of shares of Series C convertible preferred stock sold to our directors, executive officers or owners of more than 5% of a class of our capital stock, or an affiliate or immediate family member thereof:</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21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Number of</w:t>
            </w:r>
          </w:p>
        </w:tc>
        <w:tc>
          <w:tcPr>
            <w:tcW w:w="12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21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Shares of</w:t>
            </w:r>
          </w:p>
        </w:tc>
        <w:tc>
          <w:tcPr>
            <w:tcW w:w="12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62"/>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7240" w:type="dxa"/>
            <w:vAlign w:val="bottom"/>
            <w:vMerge w:val="restart"/>
          </w:tcPr>
          <w:p>
            <w:pPr>
              <w:spacing w:after="0"/>
              <w:rPr>
                <w:sz w:val="14"/>
                <w:szCs w:val="14"/>
                <w:color w:val="auto"/>
              </w:rPr>
            </w:pPr>
          </w:p>
        </w:tc>
        <w:tc>
          <w:tcPr>
            <w:tcW w:w="21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Series C Convertible</w:t>
            </w:r>
          </w:p>
        </w:tc>
        <w:tc>
          <w:tcPr>
            <w:tcW w:w="12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Price</w:t>
            </w:r>
          </w:p>
        </w:tc>
        <w:tc>
          <w:tcPr>
            <w:tcW w:w="0" w:type="dxa"/>
            <w:vAlign w:val="bottom"/>
          </w:tcPr>
          <w:p>
            <w:pPr>
              <w:spacing w:after="0"/>
              <w:rPr>
                <w:sz w:val="1"/>
                <w:szCs w:val="1"/>
                <w:color w:val="auto"/>
              </w:rPr>
            </w:pPr>
          </w:p>
        </w:tc>
      </w:tr>
      <w:tr>
        <w:trPr>
          <w:trHeight w:val="184"/>
        </w:trPr>
        <w:tc>
          <w:tcPr>
            <w:tcW w:w="400" w:type="dxa"/>
            <w:vAlign w:val="bottom"/>
            <w:tcBorders>
              <w:bottom w:val="single" w:sz="8" w:color="auto"/>
            </w:tcBorders>
            <w:vMerge w:val="continue"/>
          </w:tcPr>
          <w:p>
            <w:pPr>
              <w:spacing w:after="0"/>
              <w:rPr>
                <w:sz w:val="15"/>
                <w:szCs w:val="15"/>
                <w:color w:val="auto"/>
              </w:rPr>
            </w:pPr>
          </w:p>
        </w:tc>
        <w:tc>
          <w:tcPr>
            <w:tcW w:w="7240" w:type="dxa"/>
            <w:vAlign w:val="bottom"/>
            <w:vMerge w:val="continue"/>
          </w:tcPr>
          <w:p>
            <w:pPr>
              <w:spacing w:after="0"/>
              <w:rPr>
                <w:sz w:val="15"/>
                <w:szCs w:val="15"/>
                <w:color w:val="auto"/>
              </w:rPr>
            </w:pPr>
          </w:p>
        </w:tc>
        <w:tc>
          <w:tcPr>
            <w:tcW w:w="21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Preferred Stock</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6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Viking Global Opportunities Illiquid Investments Sub-Master LP</w:t>
            </w:r>
          </w:p>
        </w:tc>
        <w:tc>
          <w:tcPr>
            <w:tcW w:w="14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833,333</w:t>
            </w:r>
          </w:p>
        </w:tc>
        <w:tc>
          <w:tcPr>
            <w:tcW w:w="68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14,999,994.00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40" w:type="dxa"/>
            <w:vAlign w:val="bottom"/>
            <w:gridSpan w:val="2"/>
          </w:tcPr>
          <w:p>
            <w:pPr>
              <w:spacing w:after="0" w:line="202" w:lineRule="exact"/>
              <w:rPr>
                <w:sz w:val="20"/>
                <w:szCs w:val="20"/>
                <w:color w:val="auto"/>
              </w:rPr>
            </w:pPr>
            <w:r>
              <w:rPr>
                <w:rFonts w:ascii="Arial" w:cs="Arial" w:eastAsia="Arial" w:hAnsi="Arial"/>
                <w:sz w:val="18"/>
                <w:szCs w:val="18"/>
                <w:color w:val="auto"/>
              </w:rPr>
              <w:t>ArrowMark Life Science Fund, LP</w:t>
            </w:r>
            <w:r>
              <w:rPr>
                <w:rFonts w:ascii="Arial" w:cs="Arial" w:eastAsia="Arial" w:hAnsi="Arial"/>
                <w:sz w:val="15"/>
                <w:szCs w:val="15"/>
                <w:color w:val="auto"/>
              </w:rPr>
              <w:t>(1)</w:t>
            </w:r>
          </w:p>
        </w:tc>
        <w:tc>
          <w:tcPr>
            <w:tcW w:w="21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27,777</w:t>
            </w: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499,986.00</w:t>
            </w:r>
          </w:p>
        </w:tc>
        <w:tc>
          <w:tcPr>
            <w:tcW w:w="0" w:type="dxa"/>
            <w:vAlign w:val="bottom"/>
          </w:tcPr>
          <w:p>
            <w:pPr>
              <w:spacing w:after="0"/>
              <w:rPr>
                <w:sz w:val="1"/>
                <w:szCs w:val="1"/>
                <w:color w:val="auto"/>
              </w:rPr>
            </w:pPr>
          </w:p>
        </w:tc>
      </w:tr>
      <w:tr>
        <w:trPr>
          <w:trHeight w:val="203"/>
        </w:trPr>
        <w:tc>
          <w:tcPr>
            <w:tcW w:w="7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Iron Horse Investments, LLC</w:t>
            </w:r>
            <w:r>
              <w:rPr>
                <w:rFonts w:ascii="Arial" w:cs="Arial" w:eastAsia="Arial" w:hAnsi="Arial"/>
                <w:sz w:val="15"/>
                <w:szCs w:val="15"/>
                <w:color w:val="auto"/>
              </w:rPr>
              <w:t>(1)</w:t>
            </w:r>
          </w:p>
        </w:tc>
        <w:tc>
          <w:tcPr>
            <w:tcW w:w="21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152,777</w:t>
            </w:r>
          </w:p>
        </w:tc>
        <w:tc>
          <w:tcPr>
            <w:tcW w:w="1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2,749,986.00</w:t>
            </w:r>
          </w:p>
        </w:tc>
        <w:tc>
          <w:tcPr>
            <w:tcW w:w="0" w:type="dxa"/>
            <w:vAlign w:val="bottom"/>
          </w:tcPr>
          <w:p>
            <w:pPr>
              <w:spacing w:after="0"/>
              <w:rPr>
                <w:sz w:val="1"/>
                <w:szCs w:val="1"/>
                <w:color w:val="auto"/>
              </w:rPr>
            </w:pPr>
          </w:p>
        </w:tc>
      </w:tr>
      <w:tr>
        <w:trPr>
          <w:trHeight w:val="243"/>
        </w:trPr>
        <w:tc>
          <w:tcPr>
            <w:tcW w:w="7640" w:type="dxa"/>
            <w:vAlign w:val="bottom"/>
            <w:gridSpan w:val="2"/>
          </w:tcPr>
          <w:p>
            <w:pPr>
              <w:spacing w:after="0"/>
              <w:rPr>
                <w:sz w:val="20"/>
                <w:szCs w:val="20"/>
                <w:color w:val="auto"/>
              </w:rPr>
            </w:pPr>
            <w:r>
              <w:rPr>
                <w:rFonts w:ascii="Arial" w:cs="Arial" w:eastAsia="Arial" w:hAnsi="Arial"/>
                <w:sz w:val="18"/>
                <w:szCs w:val="18"/>
                <w:color w:val="auto"/>
              </w:rPr>
              <w:t>Pfizer Ventures (US) LLC</w:t>
            </w:r>
            <w:r>
              <w:rPr>
                <w:rFonts w:ascii="Arial" w:cs="Arial" w:eastAsia="Arial" w:hAnsi="Arial"/>
                <w:sz w:val="15"/>
                <w:szCs w:val="15"/>
                <w:color w:val="auto"/>
              </w:rPr>
              <w:t>(2)</w:t>
            </w:r>
          </w:p>
        </w:tc>
        <w:tc>
          <w:tcPr>
            <w:tcW w:w="2100" w:type="dxa"/>
            <w:vAlign w:val="bottom"/>
            <w:gridSpan w:val="2"/>
          </w:tcPr>
          <w:p>
            <w:pPr>
              <w:jc w:val="right"/>
              <w:ind w:right="680"/>
              <w:spacing w:after="0"/>
              <w:rPr>
                <w:sz w:val="20"/>
                <w:szCs w:val="20"/>
                <w:color w:val="auto"/>
              </w:rPr>
            </w:pPr>
            <w:r>
              <w:rPr>
                <w:rFonts w:ascii="Arial" w:cs="Arial" w:eastAsia="Arial" w:hAnsi="Arial"/>
                <w:sz w:val="18"/>
                <w:szCs w:val="18"/>
                <w:color w:val="auto"/>
              </w:rPr>
              <w:t>166,666</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2,999,988.00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7715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6" w:lineRule="exact"/>
        <w:rPr>
          <w:sz w:val="20"/>
          <w:szCs w:val="20"/>
          <w:color w:val="auto"/>
        </w:rPr>
      </w:pPr>
    </w:p>
    <w:p>
      <w:pPr>
        <w:ind w:left="660" w:right="880" w:hanging="544"/>
        <w:spacing w:after="0" w:line="243"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Tony Yao, a member of our board of directors, is employed as a portfolio manager for ArrowMark Colorado Holdings LLC (ArrowMark Colorado). ArrowMark Colorado is investment advisor to ArrowMark Life Science Fund, LP and Iron Horse Investments, LLC.</w:t>
      </w:r>
    </w:p>
    <w:p>
      <w:pPr>
        <w:ind w:left="660" w:hanging="544"/>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William Burkoth, a member of our board of directors, is an employee of Pfizer Inc., which is the parent of Pfizer Ventures (US) LLC.</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and Executive Officer Compensation</w:t>
      </w:r>
    </w:p>
    <w:p>
      <w:pPr>
        <w:spacing w:after="0" w:line="106" w:lineRule="exact"/>
        <w:rPr>
          <w:sz w:val="20"/>
          <w:szCs w:val="20"/>
          <w:color w:val="auto"/>
        </w:rPr>
      </w:pPr>
    </w:p>
    <w:p>
      <w:pPr>
        <w:ind w:left="120" w:right="140" w:firstLine="551"/>
        <w:spacing w:after="0" w:line="276" w:lineRule="auto"/>
        <w:rPr>
          <w:sz w:val="20"/>
          <w:szCs w:val="20"/>
          <w:color w:val="auto"/>
        </w:rPr>
      </w:pPr>
      <w:r>
        <w:rPr>
          <w:rFonts w:ascii="Arial" w:cs="Arial" w:eastAsia="Arial" w:hAnsi="Arial"/>
          <w:sz w:val="18"/>
          <w:szCs w:val="18"/>
          <w:color w:val="auto"/>
        </w:rPr>
        <w:t>Please see the sections titled “Director Compensation” and “Executive Compensation” for information regarding the compensation of our directors and executive officers.</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40"/>
          </w:cols>
          <w:pgMar w:left="320" w:top="455" w:right="439" w:bottom="1440" w:gutter="0" w:footer="0" w:header="0"/>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w:t>
      </w:r>
    </w:p>
    <w:p>
      <w:pPr>
        <w:spacing w:after="0" w:line="106" w:lineRule="exact"/>
        <w:rPr>
          <w:sz w:val="20"/>
          <w:szCs w:val="20"/>
          <w:color w:val="auto"/>
        </w:rPr>
      </w:pPr>
    </w:p>
    <w:p>
      <w:pPr>
        <w:ind w:left="120" w:right="140" w:firstLine="551"/>
        <w:spacing w:after="0" w:line="255" w:lineRule="auto"/>
        <w:rPr>
          <w:sz w:val="20"/>
          <w:szCs w:val="20"/>
          <w:color w:val="auto"/>
        </w:rPr>
      </w:pPr>
      <w:r>
        <w:rPr>
          <w:rFonts w:ascii="Arial" w:cs="Arial" w:eastAsia="Arial" w:hAnsi="Arial"/>
          <w:sz w:val="18"/>
          <w:szCs w:val="18"/>
          <w:color w:val="auto"/>
        </w:rPr>
        <w:t>We have entered into employment agreements with our executive officers. For more information regarding these agreements, see the section titled “Executive Compensation—Narrative to Summary Compensation Table and Outstanding Equity Awards at 2019 Fiscal Year End.”</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 and Directors’ and Officers’ Liability Insurance</w:t>
      </w:r>
    </w:p>
    <w:p>
      <w:pPr>
        <w:spacing w:after="0" w:line="106"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We have entered into or intend to enter into indemnification agreements with each of our directors and executive officers. These agreements will require us to, among other things, indemnify each director and executive officer to the fullest extent permitted by Delaware law, including indemnification of expenses such as attorneys’ fees, judgments, penalties fines and settlement amounts incurred by the director or executive officer in any action or proceeding, including any action or proceeding by or in right of us, arising out of the person’s services as a director or executive officer. We have obtained an insurance policy that insures our directors and officers against certain liabilities, including liabilities arising under applicable securities laws. For additional information see the section titled “Management— Limitation of Liability and Indemnification Matters.”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Agreement</w:t>
      </w:r>
    </w:p>
    <w:p>
      <w:pPr>
        <w:spacing w:after="0" w:line="106" w:lineRule="exact"/>
        <w:rPr>
          <w:sz w:val="20"/>
          <w:szCs w:val="20"/>
          <w:color w:val="auto"/>
        </w:rPr>
      </w:pPr>
    </w:p>
    <w:p>
      <w:pPr>
        <w:ind w:left="120" w:right="320" w:firstLine="551"/>
        <w:spacing w:after="0" w:line="262" w:lineRule="auto"/>
        <w:rPr>
          <w:sz w:val="20"/>
          <w:szCs w:val="20"/>
          <w:color w:val="auto"/>
        </w:rPr>
      </w:pPr>
      <w:r>
        <w:rPr>
          <w:rFonts w:ascii="Arial" w:cs="Arial" w:eastAsia="Arial" w:hAnsi="Arial"/>
          <w:sz w:val="17"/>
          <w:szCs w:val="17"/>
          <w:color w:val="auto"/>
        </w:rPr>
        <w:t>We entered into an amended and restated investors’ rights agreement with the purchasers of our outstanding redeemable convertible preferred stock, including entities with which certain of our directors are affiliated. As of September 30, 2020, the holders of</w:t>
      </w:r>
    </w:p>
    <w:p>
      <w:pPr>
        <w:ind w:left="120" w:right="40"/>
        <w:spacing w:after="0" w:line="237" w:lineRule="auto"/>
        <w:rPr>
          <w:sz w:val="20"/>
          <w:szCs w:val="20"/>
          <w:color w:val="auto"/>
        </w:rPr>
      </w:pPr>
      <w:r>
        <w:rPr>
          <w:rFonts w:ascii="Arial" w:cs="Arial" w:eastAsia="Arial" w:hAnsi="Arial"/>
          <w:sz w:val="18"/>
          <w:szCs w:val="18"/>
          <w:color w:val="auto"/>
        </w:rPr>
        <w:t>11.6 million shares of our common stock, including the shares of our common stock issuable upon the automatic conversion of our Series A, Series A-1, Series B and Series C redeemable convertible preferred stock, are entitled to rights with respect to the registration of their shares under the Securities Act. For a more detailed description of these registration rights, see the section titled “Description of Capital Stock—Registration Rights.” The investors’ rights agreement also provides for a right of first refusal in favor of certain holders of redeemable convertible preferred stock with regard to certain issuances of our capital stock. The rights of first refusal will not apply to, and will terminate upon the consummation of, this offering. The investors’ right agreement also provides for certain voting arrangements. For a description of these voting arrangements, see the section titled “Management—Board Composition—Voting Arrangements.”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Right of First Refusal and Co-Sale Agreement</w:t>
      </w:r>
    </w:p>
    <w:p>
      <w:pPr>
        <w:spacing w:after="0" w:line="106"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We entered into an amended and restated right of first refusal and co-sale agreement with certain holders of our common stock and redeemable convertible preferred stock. This agreement provides for rights of first refusal and co -sale relating to the shares of our common stock held by the parties to the agreement. Upon the consummation of this offering, the amended and restated right of first refusal and co-sale agreement will terminate.</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Transactions</w:t>
      </w:r>
    </w:p>
    <w:p>
      <w:pPr>
        <w:spacing w:after="0" w:line="106" w:lineRule="exact"/>
        <w:rPr>
          <w:sz w:val="20"/>
          <w:szCs w:val="20"/>
          <w:color w:val="auto"/>
        </w:rPr>
      </w:pPr>
    </w:p>
    <w:p>
      <w:pPr>
        <w:ind w:left="120" w:right="200" w:firstLine="551"/>
        <w:spacing w:after="0" w:line="247" w:lineRule="auto"/>
        <w:rPr>
          <w:sz w:val="20"/>
          <w:szCs w:val="20"/>
          <w:color w:val="auto"/>
        </w:rPr>
      </w:pPr>
      <w:r>
        <w:rPr>
          <w:rFonts w:ascii="Arial" w:cs="Arial" w:eastAsia="Arial" w:hAnsi="Arial"/>
          <w:sz w:val="18"/>
          <w:szCs w:val="18"/>
          <w:color w:val="auto"/>
        </w:rPr>
        <w:t>In April 2019, we entered into the SRAs with the U.C. Berkeley to conduct research in a lab on the Berkeley campus that is under the direction of Dr. Schaffer. Pursuant to the SRAs, we have committed to pay the U.C. Berkeley a total of $1.5 million, of which</w:t>
      </w:r>
    </w:p>
    <w:p>
      <w:pPr>
        <w:spacing w:after="0" w:line="1" w:lineRule="exact"/>
        <w:rPr>
          <w:sz w:val="20"/>
          <w:szCs w:val="20"/>
          <w:color w:val="auto"/>
        </w:rPr>
      </w:pPr>
    </w:p>
    <w:p>
      <w:pPr>
        <w:ind w:left="120" w:right="60"/>
        <w:spacing w:after="0" w:line="250" w:lineRule="auto"/>
        <w:rPr>
          <w:sz w:val="20"/>
          <w:szCs w:val="20"/>
          <w:color w:val="auto"/>
        </w:rPr>
      </w:pPr>
      <w:r>
        <w:rPr>
          <w:rFonts w:ascii="Arial" w:cs="Arial" w:eastAsia="Arial" w:hAnsi="Arial"/>
          <w:sz w:val="18"/>
          <w:szCs w:val="18"/>
          <w:color w:val="auto"/>
        </w:rPr>
        <w:t>$0.4 million was paid upon execution of the SRAs. The SRAs have a three year term ending in 2022. While the SRAs are between us and the UC Regents, the payments under the SRAs may be used to fund the lab under the direction of Dr. Schaffer.</w:t>
      </w:r>
    </w:p>
    <w:p>
      <w:pPr>
        <w:spacing w:after="0" w:line="168" w:lineRule="exact"/>
        <w:rPr>
          <w:sz w:val="20"/>
          <w:szCs w:val="20"/>
          <w:color w:val="auto"/>
        </w:rPr>
      </w:pPr>
    </w:p>
    <w:p>
      <w:pPr>
        <w:ind w:left="120" w:right="140" w:firstLine="551"/>
        <w:spacing w:after="0" w:line="276" w:lineRule="auto"/>
        <w:rPr>
          <w:sz w:val="20"/>
          <w:szCs w:val="20"/>
          <w:color w:val="auto"/>
        </w:rPr>
      </w:pPr>
      <w:r>
        <w:rPr>
          <w:rFonts w:ascii="Arial" w:cs="Arial" w:eastAsia="Arial" w:hAnsi="Arial"/>
          <w:sz w:val="18"/>
          <w:szCs w:val="18"/>
          <w:color w:val="auto"/>
        </w:rPr>
        <w:t>Our former Chief Operating Officer, Anthony Davies, who was employed through November 2017, was the Executive Chairman of Dark Horse Consulting. During the year ended December 31,</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20"/>
          </w:cols>
          <w:pgMar w:left="320" w:top="455" w:right="45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580"/>
        <w:spacing w:after="0" w:line="276" w:lineRule="auto"/>
        <w:rPr>
          <w:sz w:val="20"/>
          <w:szCs w:val="20"/>
          <w:color w:val="auto"/>
        </w:rPr>
      </w:pPr>
      <w:r>
        <w:rPr>
          <w:rFonts w:ascii="Arial" w:cs="Arial" w:eastAsia="Arial" w:hAnsi="Arial"/>
          <w:sz w:val="18"/>
          <w:szCs w:val="18"/>
          <w:color w:val="auto"/>
        </w:rPr>
        <w:t>2017, we paid $0.2 million to Dark Horse Consulting under a consulting agreement to design and implement pharmaceutical quality manufacturing of and controls for drug products. The consulting agreement terminated in December 2017.</w:t>
      </w:r>
    </w:p>
    <w:p>
      <w:pPr>
        <w:spacing w:after="0" w:line="145"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Other than as described above, since January 1, 2017, we have not entered into any transactions, nor are there any currently proposed transactions, between us and a related party where the amount involved exceeds, or would exceed, $120,000, and in which any related person had or will have a direct or indirect material interest. We believe the terms of the transactions described above were comparable to terms we could have obtained in arm’s-length dealings with unrelated third parties.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06"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Prior to the consummation of this offering, our board of directors will adopt a written related person transaction policy, to be effective upon the consummation of this offering, setting forth the policies and procedures for the review and approval or ratification of related 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with an unrelated third party and the extent of the related person’s interest in the transaction. All of the transactions described in this section occurred prior to the adoption of this policy.</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20"/>
          </w:cols>
          <w:pgMar w:left="320" w:top="455" w:right="45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PRINCIPAL STOCKHOLDERS</w:t>
      </w:r>
    </w:p>
    <w:p>
      <w:pPr>
        <w:spacing w:after="0" w:line="10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The following table sets forth information relating to the beneficial ownership of our common stock as of November 13, 2020, by:</w:t>
      </w:r>
    </w:p>
    <w:p>
      <w:pPr>
        <w:spacing w:after="0" w:line="117" w:lineRule="exact"/>
        <w:rPr>
          <w:sz w:val="20"/>
          <w:szCs w:val="20"/>
          <w:color w:val="auto"/>
        </w:rPr>
      </w:pPr>
    </w:p>
    <w:p>
      <w:pPr>
        <w:ind w:left="880" w:right="400" w:hanging="224"/>
        <w:spacing w:after="0" w:line="276" w:lineRule="auto"/>
        <w:tabs>
          <w:tab w:leader="none" w:pos="8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outstanding shares of our common stock;</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each of our named executives;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212"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The number of shares beneficially owned by each entity, person, director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after November 13, 2020 through the exercise of any stock option, warrants or other rights. Except as otherwise indicated, and subject to applicable community property laws, the persons named in the table have sole voting and investment power with respect to all shares of our common stock held by that person.</w:t>
      </w:r>
    </w:p>
    <w:p>
      <w:pPr>
        <w:spacing w:after="0" w:line="174" w:lineRule="exact"/>
        <w:rPr>
          <w:sz w:val="20"/>
          <w:szCs w:val="20"/>
          <w:color w:val="auto"/>
        </w:rPr>
      </w:pPr>
    </w:p>
    <w:p>
      <w:pPr>
        <w:ind w:left="120" w:right="200" w:firstLine="551"/>
        <w:spacing w:after="0" w:line="248" w:lineRule="auto"/>
        <w:rPr>
          <w:sz w:val="20"/>
          <w:szCs w:val="20"/>
          <w:color w:val="auto"/>
        </w:rPr>
      </w:pPr>
      <w:r>
        <w:rPr>
          <w:rFonts w:ascii="Arial" w:cs="Arial" w:eastAsia="Arial" w:hAnsi="Arial"/>
          <w:sz w:val="18"/>
          <w:szCs w:val="18"/>
          <w:color w:val="auto"/>
        </w:rPr>
        <w:t>Certain of our stockholders, including stockholders affiliated with certain of our directors, have agreed to purchase, and we have directed allocations for, an aggregate of approximately $44.9 million of shares of our common stock in this offering at the initial public offering price and on the same terms as the other purchasers in this offering. The figures in the table below reflect the purchase of the shares in this offering by these stockholders in the amounts they agreed to purchase.</w:t>
      </w:r>
    </w:p>
    <w:p>
      <w:pPr>
        <w:spacing w:after="0" w:line="170"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The percentage of shares beneficially owned is computed on the basis of 16,833,726 shares of our common stock outstanding as of November 13, 2020, which reflects the automatic conversion of 11,575,984 shares of our then outstanding shares of redeemable convertible preferred stock (11,575,984 outstanding at September 30, 2020) into an equivalent number of shares of our common stock. Shares of our common stock that a person has the right to acquire within 60 days after November 13, 2020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Unless otherwise indicated below, the address for each beneficial owner listed is c/o 4D Molecular Therapeutics, Inc., 5858 Horton Street #455, Emeryville, California 94608.</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020"/>
          </w:cols>
          <w:pgMar w:left="320" w:top="455" w:right="559" w:bottom="1440" w:gutter="0" w:footer="0" w:header="0"/>
        </w:sectPr>
      </w:pPr>
    </w:p>
    <w:bookmarkStart w:id="222" w:name="page223"/>
    <w:bookmarkEnd w:id="2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tbl>
      <w:tblPr>
        <w:tblLayout w:type="fixed"/>
        <w:tblInd w:w="120" w:type="dxa"/>
        <w:tblCellMar>
          <w:top w:w="0" w:type="dxa"/>
          <w:left w:w="0" w:type="dxa"/>
          <w:bottom w:w="0" w:type="dxa"/>
          <w:right w:w="0" w:type="dxa"/>
        </w:tblCellMar>
      </w:tblPr>
      <w:tr>
        <w:trPr>
          <w:trHeight w:val="164"/>
        </w:trPr>
        <w:tc>
          <w:tcPr>
            <w:tcW w:w="17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Number of</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Number of</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Number of</w:t>
            </w:r>
          </w:p>
        </w:tc>
        <w:tc>
          <w:tcPr>
            <w:tcW w:w="18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Outstanding</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Shares</w:t>
            </w: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Number of</w:t>
            </w: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Shares</w:t>
            </w:r>
          </w:p>
        </w:tc>
        <w:tc>
          <w:tcPr>
            <w:tcW w:w="18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Beneficial</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Shares</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Exercisable</w:t>
            </w: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Shares</w:t>
            </w: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Owned</w:t>
            </w:r>
          </w:p>
        </w:tc>
        <w:tc>
          <w:tcPr>
            <w:tcW w:w="18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140"/>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3000" w:type="dxa"/>
            <w:vAlign w:val="bottom"/>
            <w:vMerge w:val="restart"/>
          </w:tcPr>
          <w:p>
            <w:pPr>
              <w:spacing w:after="0"/>
              <w:rPr>
                <w:sz w:val="12"/>
                <w:szCs w:val="12"/>
                <w:color w:val="auto"/>
              </w:rPr>
            </w:pPr>
          </w:p>
        </w:tc>
        <w:tc>
          <w:tcPr>
            <w:tcW w:w="112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rPr>
              <w:t>Beneficially</w:t>
            </w:r>
          </w:p>
        </w:tc>
        <w:tc>
          <w:tcPr>
            <w:tcW w:w="108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rPr>
              <w:t>Within</w:t>
            </w:r>
          </w:p>
        </w:tc>
        <w:tc>
          <w:tcPr>
            <w:tcW w:w="112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rPr>
              <w:t>Beneficially</w:t>
            </w:r>
          </w:p>
        </w:tc>
        <w:tc>
          <w:tcPr>
            <w:tcW w:w="1120" w:type="dxa"/>
            <w:vAlign w:val="bottom"/>
            <w:gridSpan w:val="2"/>
          </w:tcPr>
          <w:p>
            <w:pPr>
              <w:jc w:val="center"/>
              <w:ind w:right="260"/>
              <w:spacing w:after="0" w:line="141" w:lineRule="exact"/>
              <w:rPr>
                <w:sz w:val="20"/>
                <w:szCs w:val="20"/>
                <w:color w:val="auto"/>
              </w:rPr>
            </w:pPr>
            <w:r>
              <w:rPr>
                <w:rFonts w:ascii="Arial" w:cs="Arial" w:eastAsia="Arial" w:hAnsi="Arial"/>
                <w:sz w:val="14"/>
                <w:szCs w:val="14"/>
                <w:b w:val="1"/>
                <w:bCs w:val="1"/>
                <w:color w:val="auto"/>
              </w:rPr>
              <w:t>After the</w:t>
            </w:r>
          </w:p>
        </w:tc>
        <w:tc>
          <w:tcPr>
            <w:tcW w:w="1000" w:type="dxa"/>
            <w:vAlign w:val="bottom"/>
            <w:tcBorders>
              <w:top w:val="single" w:sz="8" w:color="auto"/>
            </w:tcBorders>
            <w:gridSpan w:val="2"/>
          </w:tcPr>
          <w:p>
            <w:pPr>
              <w:jc w:val="right"/>
              <w:ind w:right="480"/>
              <w:spacing w:after="0" w:line="141" w:lineRule="exact"/>
              <w:rPr>
                <w:sz w:val="20"/>
                <w:szCs w:val="20"/>
                <w:color w:val="auto"/>
              </w:rPr>
            </w:pPr>
            <w:r>
              <w:rPr>
                <w:rFonts w:ascii="Arial" w:cs="Arial" w:eastAsia="Arial" w:hAnsi="Arial"/>
                <w:sz w:val="14"/>
                <w:szCs w:val="14"/>
                <w:b w:val="1"/>
                <w:bCs w:val="1"/>
                <w:color w:val="auto"/>
              </w:rPr>
              <w:t>Before</w:t>
            </w:r>
          </w:p>
        </w:tc>
        <w:tc>
          <w:tcPr>
            <w:tcW w:w="580" w:type="dxa"/>
            <w:vAlign w:val="bottom"/>
            <w:tcBorders>
              <w:top w:val="single" w:sz="8" w:color="auto"/>
            </w:tcBorders>
          </w:tcPr>
          <w:p>
            <w:pPr>
              <w:jc w:val="right"/>
              <w:ind w:right="32"/>
              <w:spacing w:after="0" w:line="141" w:lineRule="exact"/>
              <w:rPr>
                <w:sz w:val="20"/>
                <w:szCs w:val="20"/>
                <w:color w:val="auto"/>
              </w:rPr>
            </w:pPr>
            <w:r>
              <w:rPr>
                <w:rFonts w:ascii="Arial" w:cs="Arial" w:eastAsia="Arial" w:hAnsi="Arial"/>
                <w:sz w:val="14"/>
                <w:szCs w:val="14"/>
                <w:b w:val="1"/>
                <w:bCs w:val="1"/>
                <w:color w:val="auto"/>
              </w:rPr>
              <w:t>After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780" w:type="dxa"/>
            <w:vAlign w:val="bottom"/>
            <w:tcBorders>
              <w:bottom w:val="single" w:sz="8" w:color="auto"/>
            </w:tcBorders>
            <w:vMerge w:val="continue"/>
          </w:tcPr>
          <w:p>
            <w:pPr>
              <w:spacing w:after="0"/>
              <w:rPr>
                <w:sz w:val="15"/>
                <w:szCs w:val="15"/>
                <w:color w:val="auto"/>
              </w:rPr>
            </w:pPr>
          </w:p>
        </w:tc>
        <w:tc>
          <w:tcPr>
            <w:tcW w:w="3000" w:type="dxa"/>
            <w:vAlign w:val="bottom"/>
            <w:vMerge w:val="continue"/>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Owned</w:t>
            </w: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60 Days</w:t>
            </w: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Owned</w:t>
            </w: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Offering</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Offering</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Offering</w:t>
            </w:r>
          </w:p>
        </w:tc>
        <w:tc>
          <w:tcPr>
            <w:tcW w:w="0" w:type="dxa"/>
            <w:vAlign w:val="bottom"/>
          </w:tcPr>
          <w:p>
            <w:pPr>
              <w:spacing w:after="0"/>
              <w:rPr>
                <w:sz w:val="1"/>
                <w:szCs w:val="1"/>
                <w:color w:val="auto"/>
              </w:rPr>
            </w:pPr>
          </w:p>
        </w:tc>
      </w:tr>
      <w:tr>
        <w:trPr>
          <w:trHeight w:val="176"/>
        </w:trPr>
        <w:tc>
          <w:tcPr>
            <w:tcW w:w="47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5% and Greater Stockholders:</w:t>
            </w:r>
          </w:p>
        </w:tc>
        <w:tc>
          <w:tcPr>
            <w:tcW w:w="8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80" w:type="dxa"/>
            <w:vAlign w:val="bottom"/>
            <w:gridSpan w:val="2"/>
          </w:tcPr>
          <w:p>
            <w:pPr>
              <w:spacing w:after="0" w:line="180" w:lineRule="exact"/>
              <w:rPr>
                <w:sz w:val="20"/>
                <w:szCs w:val="20"/>
                <w:color w:val="auto"/>
              </w:rPr>
            </w:pPr>
            <w:r>
              <w:rPr>
                <w:rFonts w:ascii="Arial" w:cs="Arial" w:eastAsia="Arial" w:hAnsi="Arial"/>
                <w:sz w:val="18"/>
                <w:szCs w:val="18"/>
                <w:color w:val="auto"/>
              </w:rPr>
              <w:t>Viking Global Opportunities Illiquid Investments</w:t>
            </w: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780" w:type="dxa"/>
            <w:vAlign w:val="bottom"/>
            <w:gridSpan w:val="2"/>
          </w:tcPr>
          <w:p>
            <w:pPr>
              <w:ind w:left="180"/>
              <w:spacing w:after="0"/>
              <w:rPr>
                <w:sz w:val="20"/>
                <w:szCs w:val="20"/>
                <w:color w:val="auto"/>
              </w:rPr>
            </w:pPr>
            <w:r>
              <w:rPr>
                <w:rFonts w:ascii="Arial" w:cs="Arial" w:eastAsia="Arial" w:hAnsi="Arial"/>
                <w:sz w:val="18"/>
                <w:szCs w:val="18"/>
                <w:color w:val="auto"/>
              </w:rPr>
              <w:t>Sub-Master LP(1)</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2,837,914</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2,837,914</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3,937,914</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16.9%</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3"/>
        </w:trPr>
        <w:tc>
          <w:tcPr>
            <w:tcW w:w="4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Entities Affiliated with Pfizer(2)</w:t>
            </w: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1,641,658</w:t>
            </w: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1,641,658</w:t>
            </w: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1,666,658</w:t>
            </w:r>
          </w:p>
        </w:tc>
        <w:tc>
          <w:tcPr>
            <w:tcW w:w="10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9.7%</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4780" w:type="dxa"/>
            <w:vAlign w:val="bottom"/>
            <w:gridSpan w:val="2"/>
          </w:tcPr>
          <w:p>
            <w:pPr>
              <w:spacing w:after="0"/>
              <w:rPr>
                <w:sz w:val="20"/>
                <w:szCs w:val="20"/>
                <w:color w:val="auto"/>
              </w:rPr>
            </w:pPr>
            <w:r>
              <w:rPr>
                <w:rFonts w:ascii="Arial" w:cs="Arial" w:eastAsia="Arial" w:hAnsi="Arial"/>
                <w:sz w:val="18"/>
                <w:szCs w:val="18"/>
                <w:color w:val="auto"/>
              </w:rPr>
              <w:t>Entities Affiliated with BVF(3)</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906,070</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906,070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1,306,070</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5.4%</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68"/>
        </w:trPr>
        <w:tc>
          <w:tcPr>
            <w:tcW w:w="1780" w:type="dxa"/>
            <w:vAlign w:val="bottom"/>
          </w:tcPr>
          <w:p>
            <w:pPr>
              <w:spacing w:after="0"/>
              <w:rPr>
                <w:sz w:val="5"/>
                <w:szCs w:val="5"/>
                <w:color w:val="auto"/>
              </w:rPr>
            </w:pPr>
          </w:p>
        </w:tc>
        <w:tc>
          <w:tcPr>
            <w:tcW w:w="3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Executive Officers and Directors:</w:t>
            </w: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gridSpan w:val="2"/>
          </w:tcPr>
          <w:p>
            <w:pPr>
              <w:spacing w:after="0" w:line="202" w:lineRule="exact"/>
              <w:rPr>
                <w:sz w:val="20"/>
                <w:szCs w:val="20"/>
                <w:color w:val="auto"/>
              </w:rPr>
            </w:pPr>
            <w:r>
              <w:rPr>
                <w:rFonts w:ascii="Arial" w:cs="Arial" w:eastAsia="Arial" w:hAnsi="Arial"/>
                <w:sz w:val="18"/>
                <w:szCs w:val="18"/>
                <w:color w:val="auto"/>
              </w:rPr>
              <w:t>David Kirn, M.D.(4)</w:t>
            </w: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2,000,000</w:t>
            </w: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2,000,000</w:t>
            </w: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2,000,000</w:t>
            </w:r>
          </w:p>
        </w:tc>
        <w:tc>
          <w:tcPr>
            <w:tcW w:w="10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11.9%</w:t>
            </w: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3"/>
        </w:trPr>
        <w:tc>
          <w:tcPr>
            <w:tcW w:w="4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John F. Milligan, Ph.D</w:t>
            </w: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80" w:type="dxa"/>
            <w:vAlign w:val="bottom"/>
            <w:gridSpan w:val="2"/>
          </w:tcPr>
          <w:p>
            <w:pPr>
              <w:spacing w:after="0" w:line="202" w:lineRule="exact"/>
              <w:rPr>
                <w:sz w:val="20"/>
                <w:szCs w:val="20"/>
                <w:color w:val="auto"/>
              </w:rPr>
            </w:pPr>
            <w:r>
              <w:rPr>
                <w:rFonts w:ascii="Arial" w:cs="Arial" w:eastAsia="Arial" w:hAnsi="Arial"/>
                <w:sz w:val="18"/>
                <w:szCs w:val="18"/>
                <w:color w:val="auto"/>
              </w:rPr>
              <w:t>William Burkoth, MBA</w:t>
            </w: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Jacob Chacko, M.D(5).</w:t>
            </w: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21,874</w:t>
            </w: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21,874</w:t>
            </w: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21,847</w:t>
            </w:r>
          </w:p>
        </w:tc>
        <w:tc>
          <w:tcPr>
            <w:tcW w:w="10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80" w:type="dxa"/>
            <w:vAlign w:val="bottom"/>
            <w:gridSpan w:val="2"/>
          </w:tcPr>
          <w:p>
            <w:pPr>
              <w:spacing w:after="0" w:line="202" w:lineRule="exact"/>
              <w:rPr>
                <w:sz w:val="20"/>
                <w:szCs w:val="20"/>
                <w:color w:val="auto"/>
              </w:rPr>
            </w:pPr>
            <w:r>
              <w:rPr>
                <w:rFonts w:ascii="Arial" w:cs="Arial" w:eastAsia="Arial" w:hAnsi="Arial"/>
                <w:sz w:val="18"/>
                <w:szCs w:val="18"/>
                <w:color w:val="auto"/>
              </w:rPr>
              <w:t>Susannah Gray, MBA</w:t>
            </w: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Nancy Miller-Rich</w:t>
            </w: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80" w:type="dxa"/>
            <w:vAlign w:val="bottom"/>
            <w:gridSpan w:val="2"/>
          </w:tcPr>
          <w:p>
            <w:pPr>
              <w:spacing w:after="0" w:line="202" w:lineRule="exact"/>
              <w:rPr>
                <w:sz w:val="20"/>
                <w:szCs w:val="20"/>
                <w:color w:val="auto"/>
              </w:rPr>
            </w:pPr>
            <w:r>
              <w:rPr>
                <w:rFonts w:ascii="Arial" w:cs="Arial" w:eastAsia="Arial" w:hAnsi="Arial"/>
                <w:sz w:val="18"/>
                <w:szCs w:val="18"/>
                <w:color w:val="auto"/>
              </w:rPr>
              <w:t>David Schaffer, Ph.D.(6)</w:t>
            </w: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2,000,000</w:t>
            </w: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2,000,000</w:t>
            </w: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2,000,000</w:t>
            </w:r>
          </w:p>
        </w:tc>
        <w:tc>
          <w:tcPr>
            <w:tcW w:w="10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11.9%</w:t>
            </w: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3"/>
        </w:trPr>
        <w:tc>
          <w:tcPr>
            <w:tcW w:w="4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Charles Theuer, M.D., Ph.D.(7)</w:t>
            </w: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32,351</w:t>
            </w: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45,517</w:t>
            </w: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77,868</w:t>
            </w: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77,868</w:t>
            </w:r>
          </w:p>
        </w:tc>
        <w:tc>
          <w:tcPr>
            <w:tcW w:w="10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80" w:type="dxa"/>
            <w:vAlign w:val="bottom"/>
            <w:gridSpan w:val="2"/>
          </w:tcPr>
          <w:p>
            <w:pPr>
              <w:spacing w:after="0" w:line="202" w:lineRule="exact"/>
              <w:rPr>
                <w:sz w:val="20"/>
                <w:szCs w:val="20"/>
                <w:color w:val="auto"/>
              </w:rPr>
            </w:pPr>
            <w:r>
              <w:rPr>
                <w:rFonts w:ascii="Arial" w:cs="Arial" w:eastAsia="Arial" w:hAnsi="Arial"/>
                <w:sz w:val="18"/>
                <w:szCs w:val="18"/>
                <w:color w:val="auto"/>
              </w:rPr>
              <w:t>Shawn Cline Tomasello, MBA</w:t>
            </w: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Tony Yao, M.D., Ph.D.(8)</w:t>
            </w: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638,744</w:t>
            </w: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638,744</w:t>
            </w: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1,063,744</w:t>
            </w:r>
          </w:p>
        </w:tc>
        <w:tc>
          <w:tcPr>
            <w:tcW w:w="10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3.8%</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3"/>
        </w:trPr>
        <w:tc>
          <w:tcPr>
            <w:tcW w:w="4780" w:type="dxa"/>
            <w:vAlign w:val="bottom"/>
            <w:gridSpan w:val="2"/>
          </w:tcPr>
          <w:p>
            <w:pPr>
              <w:spacing w:after="0" w:line="202" w:lineRule="exact"/>
              <w:rPr>
                <w:sz w:val="20"/>
                <w:szCs w:val="20"/>
                <w:color w:val="auto"/>
              </w:rPr>
            </w:pPr>
            <w:r>
              <w:rPr>
                <w:rFonts w:ascii="Arial" w:cs="Arial" w:eastAsia="Arial" w:hAnsi="Arial"/>
                <w:sz w:val="18"/>
                <w:szCs w:val="18"/>
                <w:color w:val="auto"/>
              </w:rPr>
              <w:t>August Moretti(9)</w:t>
            </w: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112,530</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112,530</w:t>
            </w:r>
          </w:p>
        </w:tc>
        <w:tc>
          <w:tcPr>
            <w:tcW w:w="260" w:type="dxa"/>
            <w:vAlign w:val="bottom"/>
          </w:tcPr>
          <w:p>
            <w:pPr>
              <w:spacing w:after="0"/>
              <w:rPr>
                <w:sz w:val="17"/>
                <w:szCs w:val="17"/>
                <w:color w:val="auto"/>
              </w:rPr>
            </w:pP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112,530</w:t>
            </w:r>
          </w:p>
        </w:tc>
        <w:tc>
          <w:tcPr>
            <w:tcW w:w="10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Peter Francis, M.D., Ph.D.(10)</w:t>
            </w: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145,284</w:t>
            </w: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145,284</w:t>
            </w: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145,284</w:t>
            </w:r>
          </w:p>
        </w:tc>
        <w:tc>
          <w:tcPr>
            <w:tcW w:w="10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0"/>
        </w:trPr>
        <w:tc>
          <w:tcPr>
            <w:tcW w:w="4780" w:type="dxa"/>
            <w:vAlign w:val="bottom"/>
            <w:gridSpan w:val="2"/>
          </w:tcPr>
          <w:p>
            <w:pPr>
              <w:ind w:left="360"/>
              <w:spacing w:after="0" w:line="180" w:lineRule="exact"/>
              <w:rPr>
                <w:sz w:val="20"/>
                <w:szCs w:val="20"/>
                <w:color w:val="auto"/>
              </w:rPr>
            </w:pPr>
            <w:r>
              <w:rPr>
                <w:rFonts w:ascii="Arial" w:cs="Arial" w:eastAsia="Arial" w:hAnsi="Arial"/>
                <w:sz w:val="18"/>
                <w:szCs w:val="18"/>
                <w:color w:val="auto"/>
              </w:rPr>
              <w:t>All executive officers and directors as a group</w:t>
            </w: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80" w:type="dxa"/>
            <w:vAlign w:val="bottom"/>
            <w:gridSpan w:val="2"/>
          </w:tcPr>
          <w:p>
            <w:pPr>
              <w:ind w:left="540"/>
              <w:spacing w:after="0"/>
              <w:rPr>
                <w:sz w:val="20"/>
                <w:szCs w:val="20"/>
                <w:color w:val="auto"/>
              </w:rPr>
            </w:pPr>
            <w:r>
              <w:rPr>
                <w:rFonts w:ascii="Arial" w:cs="Arial" w:eastAsia="Arial" w:hAnsi="Arial"/>
                <w:sz w:val="18"/>
                <w:szCs w:val="18"/>
                <w:color w:val="auto"/>
              </w:rPr>
              <w:t>(12 persons)</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4,671,095</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325,205</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4,996,300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5,421,273</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29.7%</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9" w:lineRule="exact"/>
        <w:rPr>
          <w:sz w:val="20"/>
          <w:szCs w:val="20"/>
          <w:color w:val="auto"/>
        </w:rPr>
      </w:pPr>
    </w:p>
    <w:p>
      <w:pPr>
        <w:ind w:left="660" w:hanging="544"/>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Indicates beneficial ownership of less than 1% of our total outstanding common stock.</w:t>
      </w:r>
    </w:p>
    <w:p>
      <w:pPr>
        <w:spacing w:after="0" w:line="18" w:lineRule="exact"/>
        <w:rPr>
          <w:sz w:val="20"/>
          <w:szCs w:val="20"/>
          <w:color w:val="auto"/>
        </w:rPr>
      </w:pPr>
    </w:p>
    <w:p>
      <w:pPr>
        <w:ind w:left="660" w:right="80" w:hanging="544"/>
        <w:spacing w:after="0" w:line="234"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Consists of (i) 2,004,581 shares of our common stock issuable upon the conversion of our Series B redeemable convertible preferred stock and (ii) 833,333 shares of our common stock issuable upon the conversion of our Series C redeemable convertible preferred stock held by Viking Global Opportunities Illiquid Investments Sub-Master LP (Opportunities Fund). Opportunities Fund has the authority to dispose of and vote the shares directly owned by it, which power may be exercised by its general partner, Viking Global Opportunities Portfolio GP LLC (Opportunities GP), and by Viking Global Investors LP (VGI), which provides managerial services to Opportunities Fund. O. Andreas Halvorsen, David C. Ott and Rose Shabet, as Executive Committee members of Viking Global Partners LLC (the general partner of VGI) and Opportunities GP, have shared authority to direct the voting and disposition of investments beneficially owned by the Opportunities Fund and Opportunities GP. The business address of each of the entities is c/o Viking Global Investors LP, 55 Railroad Avenue, Greenwich, CT 06830. The above table also includes 1,100,000 shares of our common stock purchased in the offering by Opportunities Fund or its affiliates.</w:t>
      </w:r>
    </w:p>
    <w:p>
      <w:pPr>
        <w:spacing w:after="0" w:line="6" w:lineRule="exact"/>
        <w:rPr>
          <w:rFonts w:ascii="Arial" w:cs="Arial" w:eastAsia="Arial" w:hAnsi="Arial"/>
          <w:sz w:val="18"/>
          <w:szCs w:val="18"/>
          <w:color w:val="auto"/>
        </w:rPr>
      </w:pPr>
    </w:p>
    <w:p>
      <w:pPr>
        <w:ind w:left="660" w:right="60" w:hanging="544"/>
        <w:spacing w:after="0" w:line="237"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Consists of (i) 1,131,350 shares of our common stock issuable upon the conversion of our Series A-1 redeemable convertible preferred stock directly held by Pfizer Ventures (US) LLC, (ii) 343,642 shares of our common stock issuable upon the conversion of our Series B redeemable convertible preferred stock directly held by Pfizer Inc. and (iii) 166,666 shares of our common stock issuable upon the conversion of our Series C redeemable convertible preferred stock directly held by Pfizer Ventures (US) LLC. Pfizer Inc. is the parent company to Pfizer Ventures (US) LLC and may be deemed to beneficially own the shares directly owned by Pfizer Ventures (US) LLC. William Burkoth, a member of our board of directors, is an employee of Pfizer Inc. The address for these entities is 235 East 42nd Street, New York, NY 10017. The above table also includes 25,000 shares of our common stock purchased in the offering by Pfizer Ventures (US) LLC, Pfizer Inc., or its affiliates.</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140"/>
          </w:cols>
          <w:pgMar w:left="320" w:top="455" w:right="439" w:bottom="1440" w:gutter="0" w:footer="0" w:header="0"/>
        </w:sectPr>
      </w:pPr>
    </w:p>
    <w:bookmarkStart w:id="223" w:name="page224"/>
    <w:bookmarkEnd w:id="2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660" w:hanging="544"/>
        <w:spacing w:after="0" w:line="235"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Consists of (i) 275,971 shares of our common stock issuable upon the conversion of our Series B redeemable convertible preferred stock directly held by Biotechnology Value Fund, L.P. (BVF), (ii) 206,047 shares of our common stock issuable upon the conversion of our Series B redeemable convertible preferred stock directly held by Biotechnology Value Fund II, L.P. (BVF2), (iii) 40,909 shares of our common stock issuable upon the conversion of our Series B redeemable convertible preferred stock directly held by Biotechnology Value Trading Fund OS, L.P. (Trading Fund OS), (iv) 49,810 shares of our common stock issuable upon the conversion of our Series B redeemable convertible preferred stock directly held by certain Partners managed accounts (Partners Managed Accounts), (v) 177,672 shares of our common stock issuable upon the conversion of our Series C redeemable convertible preferred stock directly held by BVF, (vi) 132,703 shares of our common stock issuable upon the conversion of our Series C redeemable convertible preferred stock directly held by BVF2 and (vii) 22,958 shares of our common stock issuable upon the conversion of our Series C redeemable convertible preferred stock directly held by Biotechnology Value Trading Fund OS, L.P. BVF I GP L.L.C. (BVF GP), as the general partner of BVF, may be deemed to beneficially own the shares beneficially owned by BVF. BVF II GP L.L.C. (BVF2 GP), as the general partner of BVF2, may be deemed to beneficially own the shares beneficially owned by BVF2. BVF Partners OS Ltd. (Partners OS), as the general partner of Trading Fund OS, may be deemed to beneficially own the beneficially owned by Trading Fund OS. BVF GP Holdings L.L.C. (BVF GPH), as the sole member of each of BVF GP and BVF2 GP, may be deemed to beneficially own the shares beneficially owned in the aggregate by BVF and BVF2. BVF Partners L.P., (Partners) as the general partner of BVF, BVF2, the investment manager of Trading Fund OS, and the sole member of Partners OS, may be deemed to beneficially own the shares beneficially owned by BVF, BVF2, Trading Fund OS and Partners Managed Accounts. BVF Inc., as the general partner of Partners, may be deemed to beneficially own the shares beneficially owned by Partners. Mark Lampert, as a director and officer of BVF Inc., has voting and disposition power over the shares and may be deemed to beneficially own the shares beneficially owned by BVF Inc. Mark Lampert disclaims beneficial ownership of the shares except to the extent of his pecuniary interest therein. The address for BVF Partners L.P. is 44 Montgomery Street 40th Floor, San Francisco, CA 94104. The above table also includes 400,000 shares of our common stock purchased in the offering by BVF or its affiliates.</w:t>
      </w:r>
    </w:p>
    <w:p>
      <w:pPr>
        <w:spacing w:after="0" w:line="18" w:lineRule="exact"/>
        <w:rPr>
          <w:rFonts w:ascii="Arial" w:cs="Arial" w:eastAsia="Arial" w:hAnsi="Arial"/>
          <w:sz w:val="18"/>
          <w:szCs w:val="18"/>
          <w:color w:val="auto"/>
        </w:rPr>
      </w:pPr>
    </w:p>
    <w:p>
      <w:pPr>
        <w:ind w:left="660" w:hanging="544"/>
        <w:spacing w:after="0" w:line="234"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Consists of 2,000,000 shares of our common stock.</w:t>
      </w:r>
    </w:p>
    <w:p>
      <w:pPr>
        <w:ind w:left="660" w:right="300" w:hanging="544"/>
        <w:spacing w:after="0" w:line="234"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Consists of 21,874 shares of our common stock that may be acquired pursuant to the exercise of stock options within 60 days of November 13, 2020.</w:t>
      </w:r>
    </w:p>
    <w:p>
      <w:pPr>
        <w:spacing w:after="0" w:line="1" w:lineRule="exact"/>
        <w:rPr>
          <w:rFonts w:ascii="Arial" w:cs="Arial" w:eastAsia="Arial" w:hAnsi="Arial"/>
          <w:sz w:val="18"/>
          <w:szCs w:val="18"/>
          <w:color w:val="auto"/>
        </w:rPr>
      </w:pPr>
    </w:p>
    <w:p>
      <w:pPr>
        <w:ind w:left="660" w:hanging="544"/>
        <w:spacing w:after="0" w:line="234"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Consists of 2,000,000 shares of our common stock directly held by the Shaffer-Hinh Family Trust.</w:t>
      </w:r>
    </w:p>
    <w:p>
      <w:pPr>
        <w:ind w:left="660" w:right="280" w:hanging="544"/>
        <w:spacing w:after="0" w:line="234"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Consists of (i) 32,351 shares of our common stock and (ii) 45,517 shares of our common stock that may be acquired pursuant to the exercise of stock options within 60 days of November 13, 2020.</w:t>
      </w:r>
    </w:p>
    <w:p>
      <w:pPr>
        <w:spacing w:after="0" w:line="1" w:lineRule="exact"/>
        <w:rPr>
          <w:rFonts w:ascii="Arial" w:cs="Arial" w:eastAsia="Arial" w:hAnsi="Arial"/>
          <w:sz w:val="18"/>
          <w:szCs w:val="18"/>
          <w:color w:val="auto"/>
        </w:rPr>
      </w:pPr>
    </w:p>
    <w:p>
      <w:pPr>
        <w:ind w:left="660" w:right="60" w:hanging="544"/>
        <w:spacing w:after="0" w:line="236"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Consists of 2,864 shares of our common stock issuable upon the conversion of our Series B redeemable convertible preferred stock held directly by Dr. Yao and, (i) 1,432 shares of our common stock issuable upon the conversion of our Series B redeemable convertible preferred stock directly held by CF Ascent LLC, (ii) 50,830 shares of our common stock issuable upon the conversion of our Series B redeemable convertible preferred stock directly held by Iron Horse Investments, LLC, (iii) 5,727 shares of our common stock issuable upon the conversion of our Series B redeemable convertible preferred stock directly held by Lookfar Investments, LLC, (iv) 229,095 shares of our common stock issuable upon the conversion of our Series B redeemable convertible preferred stock directly held by Meridian Small Cap Growth Fund, (v) 50,830 shares of our common stock issuable upon the conversion of our Series B redeemable convertible preferred stock directly held by THB Iron Rose LLC, (vi) 2,864 shares of our common stock issuable upon the conversion of our Series B redeemable convertible preferred stock directly held by THB Iron Rose LLC, Life Sciences Portfolio, (vii) 57,274 shares of our common stock issuable upon the conversion of our Series B redeemable convertible preferred stock directly held by Arrowmark Fundamental Opportunity Fund L.P., (viii) 57,274 shares of our common stock issuable upon the conversion of our Series B redeemable convertible preferred</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140"/>
          </w:cols>
          <w:pgMar w:left="320" w:top="455" w:right="439" w:bottom="1440" w:gutter="0" w:footer="0" w:header="0"/>
        </w:sectPr>
      </w:pPr>
    </w:p>
    <w:bookmarkStart w:id="224" w:name="page225"/>
    <w:bookmarkEnd w:id="2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660"/>
        <w:spacing w:after="0" w:line="237" w:lineRule="auto"/>
        <w:rPr>
          <w:sz w:val="20"/>
          <w:szCs w:val="20"/>
          <w:color w:val="auto"/>
        </w:rPr>
      </w:pPr>
      <w:r>
        <w:rPr>
          <w:rFonts w:ascii="Arial" w:cs="Arial" w:eastAsia="Arial" w:hAnsi="Arial"/>
          <w:sz w:val="18"/>
          <w:szCs w:val="18"/>
          <w:color w:val="auto"/>
        </w:rPr>
        <w:t>stock directly held by Arrowmark Life Science Fund, LP, (ix) 27,777 shares of our common stock issuable upon the conversion of our Series C redeemable convertible preferred stock directly held by Arrowmark Life Science Fund, LP and (x) 152,777 shares of our common stock issuable upon the conversion of our Series C redeemable convertible preferred stock directly held by Iron Horse Investments, LLC, which are referred to collectively as the ArrowMark Funds. ArrowMark Colorado Holdings LLC (ArrowMark Colorado) is investment advisor to ArrowMark Funds. Dr. Yao, one of our directors, is employed as a portfolio manager for ArrowMark Colorado and has direct voting and dispositive control over the shares held by the ArrowMark Funds. Dr. Yao may be considered the beneficial owner of the shares held by ArrowMark Funds and disclaims beneficial ownership of such shares, except to the extent of any pecuniary interest therein. The principal business address of the ArrowMark Funds is 100 Fillmore Street, Suite 325, Denver, Colorado 80206. The above table also includes 425,000 shares of our common stock purchased in the offering by ArrowMark Funds or its affiliates.</w:t>
      </w:r>
    </w:p>
    <w:p>
      <w:pPr>
        <w:spacing w:after="0" w:line="3" w:lineRule="exact"/>
        <w:rPr>
          <w:sz w:val="20"/>
          <w:szCs w:val="20"/>
          <w:color w:val="auto"/>
        </w:rPr>
      </w:pPr>
    </w:p>
    <w:p>
      <w:pPr>
        <w:ind w:left="660" w:right="120" w:hanging="544"/>
        <w:spacing w:after="0" w:line="234" w:lineRule="auto"/>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Consists of 112,530 shares of our common stock that may be acquired pursuant to the exercise of stock options within 60 days of November 13, 2020.</w:t>
      </w:r>
    </w:p>
    <w:p>
      <w:pPr>
        <w:spacing w:after="0" w:line="1" w:lineRule="exact"/>
        <w:rPr>
          <w:rFonts w:ascii="Arial" w:cs="Arial" w:eastAsia="Arial" w:hAnsi="Arial"/>
          <w:sz w:val="18"/>
          <w:szCs w:val="18"/>
          <w:color w:val="auto"/>
        </w:rPr>
      </w:pPr>
    </w:p>
    <w:p>
      <w:pPr>
        <w:ind w:left="660" w:right="120" w:hanging="544"/>
        <w:spacing w:after="0" w:line="250" w:lineRule="auto"/>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Consists of 145,284 shares of our common stock that may be acquired pursuant to the exercise of stock options within 60 days of November 13, 2020.</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060"/>
          </w:cols>
          <w:pgMar w:left="320" w:top="455" w:right="519" w:bottom="1440" w:gutter="0" w:footer="0" w:header="0"/>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14" w:lineRule="exact"/>
        <w:rPr>
          <w:sz w:val="20"/>
          <w:szCs w:val="20"/>
          <w:color w:val="auto"/>
        </w:rPr>
      </w:pPr>
    </w:p>
    <w:p>
      <w:pPr>
        <w:ind w:left="120" w:right="60" w:firstLine="551"/>
        <w:spacing w:after="0" w:line="241" w:lineRule="auto"/>
        <w:rPr>
          <w:sz w:val="20"/>
          <w:szCs w:val="20"/>
          <w:color w:val="auto"/>
        </w:rPr>
      </w:pPr>
      <w:r>
        <w:rPr>
          <w:rFonts w:ascii="Arial" w:cs="Arial" w:eastAsia="Arial" w:hAnsi="Arial"/>
          <w:sz w:val="18"/>
          <w:szCs w:val="18"/>
          <w:color w:val="auto"/>
        </w:rPr>
        <w:t>The following summary describes our capital stock and the material provisions of our amended and restated certificate of incorporation and our amended and restated bylaws, which will become effective immediately prior to the consummation of this offering, the amended and restated investors’ rights agreement to which we and certain of our stockholders are parties and of the Delaware General Corporation Law. Because the following is only a summary, it does not contain all of the information that may be important to you. For a complete description, you should refer to our amended and restated certificate of incorporation, amended and restated bylaws and amended and restated investors’ rights agreement, copies of which have been filed as exhibits to the registration statement of which this prospectus is part.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06" w:lineRule="exact"/>
        <w:rPr>
          <w:sz w:val="20"/>
          <w:szCs w:val="20"/>
          <w:color w:val="auto"/>
        </w:rPr>
      </w:pPr>
    </w:p>
    <w:p>
      <w:pPr>
        <w:jc w:val="both"/>
        <w:ind w:left="120" w:right="380" w:firstLine="551"/>
        <w:spacing w:after="0" w:line="255" w:lineRule="auto"/>
        <w:rPr>
          <w:sz w:val="20"/>
          <w:szCs w:val="20"/>
          <w:color w:val="auto"/>
        </w:rPr>
      </w:pPr>
      <w:r>
        <w:rPr>
          <w:rFonts w:ascii="Arial" w:cs="Arial" w:eastAsia="Arial" w:hAnsi="Arial"/>
          <w:sz w:val="18"/>
          <w:szCs w:val="18"/>
          <w:color w:val="auto"/>
        </w:rPr>
        <w:t>Immediately prior to the closing of this offering, we will file our amended and restated certificate of incorporation that authorizes 300,000,000 shares of common stock, $ 0.0001 par value per share, and 10,000,000 shares of preferred stock, $0.0001 par value per share. As of September 30, 2020, there were outstanding:</w:t>
      </w:r>
    </w:p>
    <w:p>
      <w:pPr>
        <w:spacing w:after="0" w:line="69" w:lineRule="exact"/>
        <w:rPr>
          <w:sz w:val="20"/>
          <w:szCs w:val="20"/>
          <w:color w:val="auto"/>
        </w:rPr>
      </w:pPr>
    </w:p>
    <w:p>
      <w:pPr>
        <w:ind w:left="880" w:hanging="224"/>
        <w:spacing w:after="0"/>
        <w:tabs>
          <w:tab w:leader="none" w:pos="8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16,833,726 shares of our common stock, on an as-converted basis, held by approximately 77 stockholders of record;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2,928,321 shares of our common stock issuable upon exercise of outstanding stock options.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0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66 2/3% of the voting power of all of the then outstanding voting stock will be required to take certain actions, including amending certain provisions of our amended and restated certificate of incorporation, such as the provisions relating to amending our amended and restated bylaws, the classified board and director liability.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04" w:lineRule="exact"/>
        <w:rPr>
          <w:sz w:val="20"/>
          <w:szCs w:val="20"/>
          <w:color w:val="auto"/>
        </w:rPr>
      </w:pPr>
    </w:p>
    <w:p>
      <w:pPr>
        <w:ind w:left="120" w:right="80" w:firstLine="551"/>
        <w:spacing w:after="0" w:line="276" w:lineRule="auto"/>
        <w:rPr>
          <w:sz w:val="20"/>
          <w:szCs w:val="20"/>
          <w:color w:val="auto"/>
        </w:rPr>
      </w:pPr>
      <w:r>
        <w:rPr>
          <w:rFonts w:ascii="Arial" w:cs="Arial" w:eastAsia="Arial" w:hAnsi="Arial"/>
          <w:sz w:val="18"/>
          <w:szCs w:val="18"/>
          <w:color w:val="auto"/>
        </w:rPr>
        <w:t>Subject to preferences that may be applicable to any then outstanding preferred stock, holders of our common stock are entitled to receive dividends, if any, as may be declared from time to time by our board of directors out of legally available funds.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w:t>
      </w:r>
    </w:p>
    <w:p>
      <w:pPr>
        <w:spacing w:after="0" w:line="104" w:lineRule="exact"/>
        <w:rPr>
          <w:sz w:val="20"/>
          <w:szCs w:val="20"/>
          <w:color w:val="auto"/>
        </w:rPr>
      </w:pPr>
    </w:p>
    <w:p>
      <w:pPr>
        <w:ind w:left="120" w:right="160" w:firstLine="551"/>
        <w:spacing w:after="0" w:line="255"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120"/>
          </w:cols>
          <w:pgMar w:left="320" w:top="455" w:right="459" w:bottom="1440" w:gutter="0" w:footer="0" w:header="0"/>
        </w:sectPr>
      </w:pPr>
    </w:p>
    <w:bookmarkStart w:id="226" w:name="page227"/>
    <w:bookmarkEnd w:id="2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04"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04" w:lineRule="exact"/>
        <w:rPr>
          <w:sz w:val="20"/>
          <w:szCs w:val="20"/>
          <w:color w:val="auto"/>
        </w:rPr>
      </w:pPr>
    </w:p>
    <w:p>
      <w:pPr>
        <w:ind w:left="120" w:right="280" w:firstLine="551"/>
        <w:spacing w:after="0" w:line="276" w:lineRule="auto"/>
        <w:rPr>
          <w:sz w:val="20"/>
          <w:szCs w:val="20"/>
          <w:color w:val="auto"/>
        </w:rPr>
      </w:pPr>
      <w:r>
        <w:rPr>
          <w:rFonts w:ascii="Arial" w:cs="Arial" w:eastAsia="Arial" w:hAnsi="Arial"/>
          <w:sz w:val="18"/>
          <w:szCs w:val="18"/>
          <w:color w:val="auto"/>
        </w:rPr>
        <w:t>All of our outstanding shares of common stock are, and the shares of our common stock to be issued in this offering will be, fully paid and nonassessable.</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Redeemable Convertible Preferred Stock</w:t>
      </w:r>
    </w:p>
    <w:p>
      <w:pPr>
        <w:spacing w:after="0" w:line="10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Immediately prior to the consummation of this offering, all outstanding shares of our redeemable convertible preferred stock will be converted into shares of our common stock. See Note 10 to our audited financial statements included elsewhere in this prospectus for a description of our currently outstanding redeemable convertible preferred stock. Immediately prior to the consummation of this offering, our amended and restated certificate of incorporation will be amended and restated to delete all references to such shares of redeemable convertible preferred stock. From and after the consummation of this offering, our board of directors will have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our common stock. The issuance of our preferred stock could adversely affect the voting power of holders of our common stock and the likelihood that such holders will receive dividend payments and payments upon our liquidation. In addition, the issuance of preferred stock could have the effect of delaying, deferring or preventing a change in control or other corporate action. Immediately after consummation of this offering, no shares of preferred stock will be outstanding, and we have no present plan to issue any shares of preferred stock.</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106" w:lineRule="exact"/>
        <w:rPr>
          <w:sz w:val="20"/>
          <w:szCs w:val="20"/>
          <w:color w:val="auto"/>
        </w:rPr>
      </w:pPr>
    </w:p>
    <w:p>
      <w:pPr>
        <w:ind w:left="120" w:right="540" w:firstLine="551"/>
        <w:spacing w:after="0" w:line="276" w:lineRule="auto"/>
        <w:rPr>
          <w:sz w:val="20"/>
          <w:szCs w:val="20"/>
          <w:color w:val="auto"/>
        </w:rPr>
      </w:pPr>
      <w:r>
        <w:rPr>
          <w:rFonts w:ascii="Arial" w:cs="Arial" w:eastAsia="Arial" w:hAnsi="Arial"/>
          <w:sz w:val="18"/>
          <w:szCs w:val="18"/>
          <w:color w:val="auto"/>
        </w:rPr>
        <w:t>As of September 30, 2020, we had outstanding options to purchase 2,928,321 shares of our common stock, with a per share weighted-average exercise price of $9.11, under our 2015 Equity Incentive Plan.</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106" w:lineRule="exact"/>
        <w:rPr>
          <w:sz w:val="20"/>
          <w:szCs w:val="20"/>
          <w:color w:val="auto"/>
        </w:rPr>
      </w:pPr>
    </w:p>
    <w:p>
      <w:pPr>
        <w:ind w:left="120" w:right="280" w:firstLine="551"/>
        <w:spacing w:after="0" w:line="276" w:lineRule="auto"/>
        <w:rPr>
          <w:sz w:val="20"/>
          <w:szCs w:val="20"/>
          <w:color w:val="auto"/>
        </w:rPr>
      </w:pPr>
      <w:r>
        <w:rPr>
          <w:rFonts w:ascii="Arial" w:cs="Arial" w:eastAsia="Arial" w:hAnsi="Arial"/>
          <w:sz w:val="18"/>
          <w:szCs w:val="18"/>
          <w:color w:val="auto"/>
        </w:rPr>
        <w:t>As of September 30, 2020, we had warrants outstanding with the option to purchase 68,669 shares of our common stock, with a weighted-average exercise price of $1.85 per share.</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06" w:lineRule="exact"/>
        <w:rPr>
          <w:sz w:val="20"/>
          <w:szCs w:val="20"/>
          <w:color w:val="auto"/>
        </w:rPr>
      </w:pPr>
    </w:p>
    <w:p>
      <w:pPr>
        <w:jc w:val="both"/>
        <w:ind w:left="120" w:right="260" w:firstLine="551"/>
        <w:spacing w:after="0" w:line="243" w:lineRule="auto"/>
        <w:rPr>
          <w:sz w:val="20"/>
          <w:szCs w:val="20"/>
          <w:color w:val="auto"/>
        </w:rPr>
      </w:pPr>
      <w:r>
        <w:rPr>
          <w:rFonts w:ascii="Arial" w:cs="Arial" w:eastAsia="Arial" w:hAnsi="Arial"/>
          <w:sz w:val="18"/>
          <w:szCs w:val="18"/>
          <w:color w:val="auto"/>
        </w:rPr>
        <w:t>Under our amended and restated investors’ rights agreement, based on the number of shares outstanding as of September 30, 2020, following the consummation of this offering, the holders of 11.6 million shares of our common stock, or their transferees, have the right to require us to register their shares under the Securities Act so that those shares may be publicly resold, and the holders of</w:t>
      </w:r>
    </w:p>
    <w:p>
      <w:pPr>
        <w:spacing w:after="0" w:line="1" w:lineRule="exact"/>
        <w:rPr>
          <w:sz w:val="20"/>
          <w:szCs w:val="20"/>
          <w:color w:val="auto"/>
        </w:rPr>
      </w:pPr>
    </w:p>
    <w:p>
      <w:pPr>
        <w:ind w:left="120" w:right="80"/>
        <w:spacing w:after="0" w:line="250" w:lineRule="auto"/>
        <w:rPr>
          <w:sz w:val="20"/>
          <w:szCs w:val="20"/>
          <w:color w:val="auto"/>
        </w:rPr>
      </w:pPr>
      <w:r>
        <w:rPr>
          <w:rFonts w:ascii="Arial" w:cs="Arial" w:eastAsia="Arial" w:hAnsi="Arial"/>
          <w:sz w:val="18"/>
          <w:szCs w:val="18"/>
          <w:color w:val="auto"/>
        </w:rPr>
        <w:t>11.6 million shares of our common stock, or their transferees, have the right to include their shares in any registration statement we file, in each case as described below.</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120"/>
          </w:cols>
          <w:pgMar w:left="320" w:top="455" w:right="459" w:bottom="1440" w:gutter="0" w:footer="0" w:header="0"/>
        </w:sectPr>
      </w:pPr>
    </w:p>
    <w:bookmarkStart w:id="227" w:name="page228"/>
    <w:bookmarkEnd w:id="2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04" w:lineRule="exact"/>
        <w:rPr>
          <w:sz w:val="20"/>
          <w:szCs w:val="20"/>
          <w:color w:val="auto"/>
        </w:rPr>
      </w:pPr>
    </w:p>
    <w:p>
      <w:pPr>
        <w:ind w:left="120" w:right="280" w:firstLine="551"/>
        <w:spacing w:after="0" w:line="258" w:lineRule="auto"/>
        <w:rPr>
          <w:sz w:val="20"/>
          <w:szCs w:val="20"/>
          <w:color w:val="auto"/>
        </w:rPr>
      </w:pPr>
      <w:r>
        <w:rPr>
          <w:rFonts w:ascii="Arial" w:cs="Arial" w:eastAsia="Arial" w:hAnsi="Arial"/>
          <w:sz w:val="17"/>
          <w:szCs w:val="17"/>
          <w:color w:val="auto"/>
        </w:rPr>
        <w:t>Based on the number of shares outstanding as of September 30, 2020, after the consummation of this offering, the holders of 11.6 million shares of our common stock (on an as-converted basis), or their transferees, will be entitled to certain demand registration rights. Beginning 180 days following the effectiveness of the registration statement of which this prospectus is a part, the holders of at least 50% of these shares can, on not more than two occasions, request that we register all or a portion of their shares if the aggregate price to the public of the shares offered is at least $30.0 million (before deductions of underwriters’ commissions and expenses). Additionally, we will not be required to effect a demand registration during the period beginning 60 days prior to the filing and ending 180 days following the effectiveness of a company-initiated registration statement relating to an initial public offering of our securities.</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0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Based on the number of shares outstanding as of September 30, 2020, after the consummation of this offering, in the event that we determine to register any of our securities under the Securities Act (subject to certain exceptions), either for our own account or for the account of other security holders, the holders of 11.6 million shares of our common stock (on an as-converted basis), or their transferees, will be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a registration related to employee benefit plans, the offer and sale of debt securities, or corporate reorganizations or certain other transactions, the holders of these shares are entitled to notice of the registration and have the right, subject to limitations that the underwriters may impose on the number of shares included in the registration, to include their shares in the registration. In an underwritten offering, the managing underwriter, if any, has the right, subject to specified conditions, to exclude or limit the number of shares such holders may include.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04" w:lineRule="exact"/>
        <w:rPr>
          <w:sz w:val="20"/>
          <w:szCs w:val="20"/>
          <w:color w:val="auto"/>
        </w:rPr>
      </w:pPr>
    </w:p>
    <w:p>
      <w:pPr>
        <w:ind w:left="120" w:right="80" w:firstLine="551"/>
        <w:spacing w:after="0" w:line="241" w:lineRule="auto"/>
        <w:rPr>
          <w:sz w:val="20"/>
          <w:szCs w:val="20"/>
          <w:color w:val="auto"/>
        </w:rPr>
      </w:pPr>
      <w:r>
        <w:rPr>
          <w:rFonts w:ascii="Arial" w:cs="Arial" w:eastAsia="Arial" w:hAnsi="Arial"/>
          <w:sz w:val="18"/>
          <w:szCs w:val="18"/>
          <w:color w:val="auto"/>
        </w:rPr>
        <w:t>Based on the number of shares outstanding as of September 30, 2020, after the consummation of this offering, the holders of 11.6 million shares of our common stock (on an as-converted basis), or their transferees, will be entitled to certain Form S-3 registration rights. The holders of at least 30% of the registrable securities then outstanding of these shares can make a written request that we register their shares on Form S-3 if we are eligible to file a registration statement on Form S-3 and if the aggregate price to the public of the shares offered is at least $5.0 million (before deductions of underwriters’ commissions and expenses). These stockholders may make an unlimited number of requests for registration on Form S-3, but in no event shall we be required to file more than two registrations on Form S-3 in any given twelve-month period.</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04" w:lineRule="exact"/>
        <w:rPr>
          <w:sz w:val="20"/>
          <w:szCs w:val="20"/>
          <w:color w:val="auto"/>
        </w:rPr>
      </w:pPr>
    </w:p>
    <w:p>
      <w:pPr>
        <w:jc w:val="both"/>
        <w:ind w:left="120" w:right="380" w:firstLine="551"/>
        <w:spacing w:after="0" w:line="255" w:lineRule="auto"/>
        <w:rPr>
          <w:sz w:val="20"/>
          <w:szCs w:val="20"/>
          <w:color w:val="auto"/>
        </w:rPr>
      </w:pPr>
      <w:r>
        <w:rPr>
          <w:rFonts w:ascii="Arial" w:cs="Arial" w:eastAsia="Arial" w:hAnsi="Arial"/>
          <w:sz w:val="18"/>
          <w:szCs w:val="18"/>
          <w:color w:val="auto"/>
        </w:rPr>
        <w:t>We will pay the registration expenses of the holders of the shares registered pursuant to the demand, piggyback and Form S-3 registration rights described above, including the expenses in an amount not to exceed $25,000 of one special counsel for the selling holders.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104" w:lineRule="exact"/>
        <w:rPr>
          <w:sz w:val="20"/>
          <w:szCs w:val="20"/>
          <w:color w:val="auto"/>
        </w:rPr>
      </w:pPr>
    </w:p>
    <w:p>
      <w:pPr>
        <w:ind w:left="120" w:right="200" w:firstLine="551"/>
        <w:spacing w:after="0" w:line="248" w:lineRule="auto"/>
        <w:rPr>
          <w:sz w:val="20"/>
          <w:szCs w:val="20"/>
          <w:color w:val="auto"/>
        </w:rPr>
      </w:pPr>
      <w:r>
        <w:rPr>
          <w:rFonts w:ascii="Arial" w:cs="Arial" w:eastAsia="Arial" w:hAnsi="Arial"/>
          <w:sz w:val="18"/>
          <w:szCs w:val="18"/>
          <w:color w:val="auto"/>
        </w:rPr>
        <w:t>The demand, piggyback and Form S-3 registration rights described above will expire, with respect to any particular stockholder, upon the earlier of five years after the consummation of this offering or when that stockholder can sell all of its shares under Rule 144 of the Securities Act during any three-month period (and without the requirement for us to be in compliance with the current public information required under Section c(1) of Rule 144 of the Securities Act).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100"/>
          </w:cols>
          <w:pgMar w:left="320" w:top="455" w:right="479" w:bottom="1440" w:gutter="0" w:footer="0" w:header="0"/>
        </w:sectPr>
      </w:pPr>
    </w:p>
    <w:bookmarkStart w:id="228" w:name="page229"/>
    <w:bookmarkEnd w:id="2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20" w:right="520"/>
        <w:spacing w:after="0" w:line="287" w:lineRule="auto"/>
        <w:rPr>
          <w:sz w:val="20"/>
          <w:szCs w:val="20"/>
          <w:color w:val="auto"/>
        </w:rPr>
      </w:pPr>
      <w:r>
        <w:rPr>
          <w:rFonts w:ascii="Arial" w:cs="Arial" w:eastAsia="Arial" w:hAnsi="Arial"/>
          <w:sz w:val="18"/>
          <w:szCs w:val="18"/>
          <w:b w:val="1"/>
          <w:bCs w:val="1"/>
          <w:color w:val="auto"/>
        </w:rPr>
        <w:t>Anti-Takeover Effects of Provisions of Our Amended and Restated Certificate of Incorporation, Our Amended and Restated Bylaws and Delaware Law</w:t>
      </w:r>
    </w:p>
    <w:p>
      <w:pPr>
        <w:spacing w:after="0" w:line="20"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Certain provisions of Delaware law and our amended and restated certificate of incorporation and our amended and restated bylaws that will become effective immediately prior to the consummation of this offering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74"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0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are subject to Section 203 of the Delaware General Corporation Law,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our board of directors, such as discouraging takeover attempts that might result in a premium over the market price of our common stock.</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04" w:lineRule="exact"/>
        <w:rPr>
          <w:sz w:val="20"/>
          <w:szCs w:val="20"/>
          <w:color w:val="auto"/>
        </w:rPr>
      </w:pPr>
    </w:p>
    <w:p>
      <w:pPr>
        <w:jc w:val="both"/>
        <w:ind w:left="120" w:right="340" w:firstLine="551"/>
        <w:spacing w:after="0" w:line="255" w:lineRule="auto"/>
        <w:rPr>
          <w:sz w:val="20"/>
          <w:szCs w:val="20"/>
          <w:color w:val="auto"/>
        </w:rPr>
      </w:pPr>
      <w:r>
        <w:rPr>
          <w:rFonts w:ascii="Arial" w:cs="Arial" w:eastAsia="Arial" w:hAnsi="Arial"/>
          <w:sz w:val="18"/>
          <w:szCs w:val="18"/>
          <w:color w:val="auto"/>
        </w:rPr>
        <w:t>The ability to authorize undesignated preferred stock will make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04"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Our amended and restated bylaws will provide that a special meeting of stockholders may be called at any time by our board of directors, or our President or Chief Executive Officer, but such special meetings may not be called by our stockholders or any other person or persons.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04" w:lineRule="exact"/>
        <w:rPr>
          <w:sz w:val="20"/>
          <w:szCs w:val="20"/>
          <w:color w:val="auto"/>
        </w:rPr>
      </w:pPr>
    </w:p>
    <w:p>
      <w:pPr>
        <w:ind w:left="120" w:right="680" w:firstLine="551"/>
        <w:spacing w:after="0" w:line="255" w:lineRule="auto"/>
        <w:rPr>
          <w:sz w:val="20"/>
          <w:szCs w:val="20"/>
          <w:color w:val="auto"/>
        </w:rPr>
      </w:pPr>
      <w:r>
        <w:rPr>
          <w:rFonts w:ascii="Arial" w:cs="Arial" w:eastAsia="Arial" w:hAnsi="Arial"/>
          <w:sz w:val="18"/>
          <w:szCs w:val="18"/>
          <w:color w:val="auto"/>
        </w:rPr>
        <w:t>Our amended and restated bylaws will establish advance notice procedures with respect to stockholder proposals and the nomination of candidates for election as directors, other than nominations made by or at the direction of our board of directors or a committee of our board of directors.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140"/>
          </w:cols>
          <w:pgMar w:left="320" w:top="455" w:right="439" w:bottom="1440" w:gutter="0" w:footer="0" w:header="0"/>
        </w:sectPr>
      </w:pPr>
    </w:p>
    <w:bookmarkStart w:id="229" w:name="page230"/>
    <w:bookmarkEnd w:id="2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104" w:lineRule="exact"/>
        <w:rPr>
          <w:sz w:val="20"/>
          <w:szCs w:val="20"/>
          <w:color w:val="auto"/>
        </w:rPr>
      </w:pPr>
    </w:p>
    <w:p>
      <w:pPr>
        <w:ind w:left="120" w:right="60" w:firstLine="551"/>
        <w:spacing w:after="0" w:line="276" w:lineRule="auto"/>
        <w:rPr>
          <w:sz w:val="20"/>
          <w:szCs w:val="20"/>
          <w:color w:val="auto"/>
        </w:rPr>
      </w:pPr>
      <w:r>
        <w:rPr>
          <w:rFonts w:ascii="Arial" w:cs="Arial" w:eastAsia="Arial" w:hAnsi="Arial"/>
          <w:sz w:val="18"/>
          <w:szCs w:val="18"/>
          <w:color w:val="auto"/>
        </w:rPr>
        <w:t>Our amended and restated certificate of incorporation and our amended and restated bylaws will eliminate the right of stockholders to act by written consent without a meeting.</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Election and Removal of Directors; Filling Vacancies</w:t>
      </w:r>
    </w:p>
    <w:p>
      <w:pPr>
        <w:spacing w:after="0" w:line="10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Effective upon the consummation of this offering, our board of directors will be divided into three classes. The directors in each class will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shares of our common stock outstanding will be able to elect all of our directors. Our amended and restated certificate of incorporation will provide for the removal of any of our directors only for cause and requires a stockholder vote by the holders of at least a 66 2/3% of the voting power of the then outstanding voting stock. For more information on the classified board, see the section titled “Management— Board Composition.” Furthermore, any vacancy on our board of directors, however occurring, including a vacancy resulting from an increase in the size of our board of directors, may only be filled by a resolution of our board of directors unless our board of directors determines that such vacancies shall be filled by our stockholders. 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Choice of Forum</w:t>
      </w:r>
    </w:p>
    <w:p>
      <w:pPr>
        <w:spacing w:after="0" w:line="104"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that, unless we consent in writing to the selection of an alternative forum, the Court of Chancery of the State of Delaware will be the exclusive forum for the following types of actions or proceedings under Delaware statutory or common law: any derivative action or proceeding brought on our behalf; any action asserting a claim of breach of fiduciary duty owed by any of our directors, officers or stockholders to us or to our stockholders; any action asserting a claim against us arising pursuant to the Delaware General Corporation Law, our amended and restated certificate of incorporation or our amended and restated bylaws (as either may be amended from time to time); or any action asserting a claim against us that is governed by the internal affairs doctrine. As a result, any action brought by any of our stockholders with regard to any of these matters will need to be filed in the Court of Chancery of the State of Delaware and cannot be filed in any other jurisdiction;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will also provide that the federal district courts of the United States of America will be the exclusive forum for the resolution of any complaint asserting a cause of action against us or any of our directors, officers, employees or agents and arising under the Securities Act. Nothing in our amended and restated certificate of incorporation and amended and restated bylaws preclude stockholders that assert claims under the Exchange Act from bringing such claims in state or federal court, subject to applicable law.</w:t>
      </w:r>
    </w:p>
    <w:p>
      <w:pPr>
        <w:spacing w:after="0" w:line="186" w:lineRule="exact"/>
        <w:rPr>
          <w:sz w:val="20"/>
          <w:szCs w:val="20"/>
          <w:color w:val="auto"/>
        </w:rPr>
      </w:pPr>
    </w:p>
    <w:p>
      <w:pPr>
        <w:ind w:left="120" w:right="160" w:firstLine="551"/>
        <w:spacing w:after="0" w:line="255" w:lineRule="auto"/>
        <w:rPr>
          <w:sz w:val="20"/>
          <w:szCs w:val="20"/>
          <w:color w:val="auto"/>
        </w:rPr>
      </w:pPr>
      <w:r>
        <w:rPr>
          <w:rFonts w:ascii="Arial" w:cs="Arial" w:eastAsia="Arial" w:hAnsi="Arial"/>
          <w:sz w:val="18"/>
          <w:szCs w:val="18"/>
          <w:color w:val="auto"/>
        </w:rPr>
        <w:t>If any action the subject matter of which is within the scope described above is filed in a court other than a court located within the State of Delaware, or a Foreign Action, in the name of any stockholder, such stockholder shall be deemed to have consented to the personal jurisdiction of the</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120"/>
          </w:cols>
          <w:pgMar w:left="320" w:top="455" w:right="459" w:bottom="1440" w:gutter="0" w:footer="0" w:header="0"/>
        </w:sectPr>
      </w:pPr>
    </w:p>
    <w:bookmarkStart w:id="230" w:name="page231"/>
    <w:bookmarkEnd w:id="2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3" w:lineRule="auto"/>
        <w:rPr>
          <w:sz w:val="20"/>
          <w:szCs w:val="20"/>
          <w:color w:val="auto"/>
        </w:rPr>
      </w:pPr>
      <w:r>
        <w:rPr>
          <w:rFonts w:ascii="Arial" w:cs="Arial" w:eastAsia="Arial" w:hAnsi="Arial"/>
          <w:sz w:val="18"/>
          <w:szCs w:val="18"/>
          <w:color w:val="auto"/>
        </w:rPr>
        <w:t>state and federal courts located within the State of Delaware in connection with any action brought in any such court to enforce the applicable provisions of our amended and restated certificate of incorporation and amended and restated bylaws and having service of process made upon such stockholder in any such action by service upon such stockholder’s counsel in the Foreign Action as agent for such stockholder. Although our amended and restated certificate of incorporation and amended and restated bylaws will contain the choice of forum provision described above, it is possible that a court could find that such a provision is inapplicable for a particular claim or action or that such provision is unenforceable.</w:t>
      </w:r>
    </w:p>
    <w:p>
      <w:pPr>
        <w:spacing w:after="0" w:line="174"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104" w:lineRule="exact"/>
        <w:rPr>
          <w:sz w:val="20"/>
          <w:szCs w:val="20"/>
          <w:color w:val="auto"/>
        </w:rPr>
      </w:pPr>
    </w:p>
    <w:p>
      <w:pPr>
        <w:jc w:val="both"/>
        <w:ind w:left="120" w:right="260" w:firstLine="551"/>
        <w:spacing w:after="0" w:line="255" w:lineRule="auto"/>
        <w:rPr>
          <w:sz w:val="20"/>
          <w:szCs w:val="20"/>
          <w:color w:val="auto"/>
        </w:rPr>
      </w:pPr>
      <w:r>
        <w:rPr>
          <w:rFonts w:ascii="Arial" w:cs="Arial" w:eastAsia="Arial" w:hAnsi="Arial"/>
          <w:sz w:val="18"/>
          <w:szCs w:val="18"/>
          <w:color w:val="auto"/>
        </w:rPr>
        <w:t>The amendment of any of the above provisions in our amended and restated certificate of incorporation, except for the provision making it possible for our board of directors to issue undesignated preferred stock, would require approval by a stockholder vote by the holders of at least a 66 2/3% of the voting power of the then outstanding voting stock.</w:t>
      </w:r>
    </w:p>
    <w:p>
      <w:pPr>
        <w:spacing w:after="0" w:line="164" w:lineRule="exact"/>
        <w:rPr>
          <w:sz w:val="20"/>
          <w:szCs w:val="20"/>
          <w:color w:val="auto"/>
        </w:rPr>
      </w:pPr>
    </w:p>
    <w:p>
      <w:pPr>
        <w:jc w:val="both"/>
        <w:ind w:left="120" w:right="40" w:firstLine="551"/>
        <w:spacing w:after="0" w:line="257" w:lineRule="auto"/>
        <w:rPr>
          <w:sz w:val="20"/>
          <w:szCs w:val="20"/>
          <w:color w:val="auto"/>
        </w:rPr>
      </w:pPr>
      <w:r>
        <w:rPr>
          <w:rFonts w:ascii="Arial" w:cs="Arial" w:eastAsia="Arial" w:hAnsi="Arial"/>
          <w:sz w:val="17"/>
          <w:szCs w:val="17"/>
          <w:color w:val="auto"/>
        </w:rPr>
        <w:t>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w:t>
      </w:r>
    </w:p>
    <w:p>
      <w:pPr>
        <w:spacing w:after="0" w:line="2" w:lineRule="exact"/>
        <w:rPr>
          <w:sz w:val="20"/>
          <w:szCs w:val="20"/>
          <w:color w:val="auto"/>
        </w:rPr>
      </w:pPr>
    </w:p>
    <w:p>
      <w:pPr>
        <w:ind w:left="120" w:right="300"/>
        <w:spacing w:after="0" w:line="250" w:lineRule="auto"/>
        <w:rPr>
          <w:sz w:val="20"/>
          <w:szCs w:val="20"/>
          <w:color w:val="auto"/>
        </w:rPr>
      </w:pPr>
      <w:r>
        <w:rPr>
          <w:rFonts w:ascii="Arial" w:cs="Arial" w:eastAsia="Arial" w:hAnsi="Arial"/>
          <w:sz w:val="18"/>
          <w:szCs w:val="18"/>
          <w:color w:val="auto"/>
        </w:rPr>
        <w:t>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106" w:lineRule="exact"/>
        <w:rPr>
          <w:sz w:val="20"/>
          <w:szCs w:val="20"/>
          <w:color w:val="auto"/>
        </w:rPr>
      </w:pPr>
    </w:p>
    <w:p>
      <w:pPr>
        <w:ind w:left="120" w:right="380" w:firstLine="551"/>
        <w:spacing w:after="0" w:line="276" w:lineRule="auto"/>
        <w:rPr>
          <w:sz w:val="20"/>
          <w:szCs w:val="20"/>
          <w:color w:val="auto"/>
        </w:rPr>
      </w:pPr>
      <w:r>
        <w:rPr>
          <w:rFonts w:ascii="Arial" w:cs="Arial" w:eastAsia="Arial" w:hAnsi="Arial"/>
          <w:sz w:val="18"/>
          <w:szCs w:val="18"/>
          <w:color w:val="auto"/>
        </w:rPr>
        <w:t>For a discussion of liability and indemnification, see the section titled “Management—Limitation on Liability and Indemnification Matters.”</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has been approved for listing on the Nasdaq Global Select Market under the symbol “FDMT.”</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06" w:lineRule="exact"/>
        <w:rPr>
          <w:sz w:val="20"/>
          <w:szCs w:val="20"/>
          <w:color w:val="auto"/>
        </w:rPr>
      </w:pPr>
    </w:p>
    <w:p>
      <w:pPr>
        <w:ind w:left="120" w:right="140" w:firstLine="551"/>
        <w:spacing w:after="0" w:line="276"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The transfer agent and registrar’s address is 6201 15th Avenue, Brooklyn, New York 11219.</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100"/>
          </w:cols>
          <w:pgMar w:left="320" w:top="455" w:right="479" w:bottom="1440" w:gutter="0" w:footer="0" w:header="0"/>
        </w:sectPr>
      </w:pPr>
    </w:p>
    <w:bookmarkStart w:id="231" w:name="page232"/>
    <w:bookmarkEnd w:id="2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SHARES ELIGIBLE FOR FUTURE SALE</w:t>
      </w:r>
    </w:p>
    <w:p>
      <w:pPr>
        <w:spacing w:after="0" w:line="214"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Prior to this offering, there has been no public market for our common stock. Future sales of our common stock, including shares issued upon the exercise of outstanding options or warrants, in the public market after this offering, or the perception that those sales may occur, could cause the prevailing market price for our common stock to fall or impair our ability to raise equity capital in the future. As described below, only a limited number of shares of our common stock will be available for sale in the public market for a period of several months after consummation of this offering due to contractual and legal restrictions on resale described below. Future sales of our common stock in the public market either before (to the extent permitted) or after restrictions lapse, or the perception that those sales may occur, could adversely affect the prevailing market price of our common stock at such time and our ability to raise equity capital at a time and price we deem appropriate.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of Restricted Shares</w:t>
      </w:r>
    </w:p>
    <w:p>
      <w:pPr>
        <w:spacing w:after="0" w:line="106"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Based on the number of shares of our common stock outstanding as of September 30, 2020 and at the initial public offering price of $23.00 per share, upon the consummation of this offering and assuming (i) the automatic conversion of all shares of our outstanding Series A, Series A-1, Series B and Series C redeemable convertible preferred stock as of September 30, 2020, (ii) no exercise of the underwriters’ option to purchase additional shares and (iii) no exercise of any of our outstanding options or warrants, we will have outstanding an aggregate of 25,233,726 shares of our common stock. Of these shares, all of the shares of our common stock to be sold in this offering, and any shares sold upon exercise of the underwriters’ option to purchase additional shares, will be freely tradable in the public market without restriction or further registration under the Securities Act, unless the shares are held by any of our “affiliates” as such term is defined in Rule 144 of the Securities Act. All remaining shares of our common stock held by existing stockholders immediately prior to the consummation of this offering will be “restricted securities” as such term is defined in Rule 144. These restricted securities were issued and sold by us, or will be issued and sold by us, in private transactions and are eligible for public sale only if registered under the Securities Act or if they qualify for an exemption from registration under the Securities Act, including the exemptions provided by Rule 144 or Rule 701, which rules are summarized below.</w:t>
      </w:r>
    </w:p>
    <w:p>
      <w:pPr>
        <w:spacing w:after="0" w:line="183"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As a result of the lock-up agreements referred to below and the provisions of Rule 144 and Rule 701 under the Securities Act, based on the number of shares of our common stock outstanding as of September 30, 2020 and assumptions (i)-(iii) described above, the shares of our common stock (excluding the shares sold in this offering) that will be available for sale in the public market, subject (A) to any waivers by the underwriters and/or our board of directors under the respective lock-up agreements and (B) with respect to shares held by directors, executive officers and other affiliates, the volume limitations under Rule 144 under the Securities Act, are as follows:</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320" w:type="dxa"/>
            <w:vAlign w:val="bottom"/>
            <w:gridSpan w:val="2"/>
          </w:tcPr>
          <w:p>
            <w:pPr>
              <w:spacing w:after="0"/>
              <w:rPr>
                <w:sz w:val="20"/>
                <w:szCs w:val="20"/>
                <w:color w:val="auto"/>
              </w:rPr>
            </w:pPr>
            <w:r>
              <w:rPr>
                <w:rFonts w:ascii="Arial" w:cs="Arial" w:eastAsia="Arial" w:hAnsi="Arial"/>
                <w:sz w:val="14"/>
                <w:szCs w:val="14"/>
                <w:b w:val="1"/>
                <w:bCs w:val="1"/>
                <w:color w:val="auto"/>
              </w:rPr>
              <w:t>Approximate Number of</w:t>
            </w:r>
          </w:p>
        </w:tc>
        <w:tc>
          <w:tcPr>
            <w:tcW w:w="8700" w:type="dxa"/>
            <w:vAlign w:val="bottom"/>
          </w:tcPr>
          <w:p>
            <w:pPr>
              <w:spacing w:after="0"/>
              <w:rPr>
                <w:sz w:val="14"/>
                <w:szCs w:val="14"/>
                <w:color w:val="auto"/>
              </w:rPr>
            </w:pPr>
          </w:p>
        </w:tc>
      </w:tr>
      <w:tr>
        <w:trPr>
          <w:trHeight w:val="197"/>
        </w:trPr>
        <w:tc>
          <w:tcPr>
            <w:tcW w:w="1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Shares</w:t>
            </w:r>
          </w:p>
        </w:tc>
        <w:tc>
          <w:tcPr>
            <w:tcW w:w="680" w:type="dxa"/>
            <w:vAlign w:val="bottom"/>
          </w:tcPr>
          <w:p>
            <w:pPr>
              <w:spacing w:after="0"/>
              <w:rPr>
                <w:sz w:val="17"/>
                <w:szCs w:val="17"/>
                <w:color w:val="auto"/>
              </w:rPr>
            </w:pPr>
          </w:p>
        </w:tc>
        <w:tc>
          <w:tcPr>
            <w:tcW w:w="8700" w:type="dxa"/>
            <w:vAlign w:val="bottom"/>
          </w:tcPr>
          <w:p>
            <w:pPr>
              <w:ind w:left="2760"/>
              <w:spacing w:after="0"/>
              <w:rPr>
                <w:sz w:val="20"/>
                <w:szCs w:val="20"/>
                <w:color w:val="auto"/>
              </w:rPr>
            </w:pPr>
            <w:r>
              <w:rPr>
                <w:rFonts w:ascii="Arial" w:cs="Arial" w:eastAsia="Arial" w:hAnsi="Arial"/>
                <w:sz w:val="14"/>
                <w:szCs w:val="14"/>
                <w:b w:val="1"/>
                <w:bCs w:val="1"/>
                <w:color w:val="auto"/>
              </w:rPr>
              <w:t>First Date Available for Sale into Public Market</w:t>
            </w:r>
          </w:p>
        </w:tc>
      </w:tr>
      <w:tr>
        <w:trPr>
          <w:trHeight w:val="167"/>
        </w:trPr>
        <w:tc>
          <w:tcPr>
            <w:tcW w:w="2320" w:type="dxa"/>
            <w:vAlign w:val="bottom"/>
            <w:tcBorders>
              <w:top w:val="single" w:sz="8" w:color="CCEEFF"/>
            </w:tcBorders>
            <w:gridSpan w:val="2"/>
            <w:shd w:val="clear" w:color="auto" w:fill="CCEEFF"/>
          </w:tcPr>
          <w:p>
            <w:pPr>
              <w:ind w:left="360"/>
              <w:spacing w:after="0" w:line="167" w:lineRule="exact"/>
              <w:rPr>
                <w:sz w:val="20"/>
                <w:szCs w:val="20"/>
                <w:color w:val="auto"/>
              </w:rPr>
            </w:pPr>
            <w:r>
              <w:rPr>
                <w:rFonts w:ascii="Arial" w:cs="Arial" w:eastAsia="Arial" w:hAnsi="Arial"/>
                <w:sz w:val="18"/>
                <w:szCs w:val="18"/>
                <w:color w:val="auto"/>
              </w:rPr>
              <w:t>16,833,726 shares</w:t>
            </w:r>
          </w:p>
        </w:tc>
        <w:tc>
          <w:tcPr>
            <w:tcW w:w="8700" w:type="dxa"/>
            <w:vAlign w:val="bottom"/>
            <w:tcBorders>
              <w:top w:val="single" w:sz="8" w:color="auto"/>
            </w:tcBorders>
            <w:shd w:val="clear" w:color="auto" w:fill="CCEEFF"/>
          </w:tcPr>
          <w:p>
            <w:pPr>
              <w:spacing w:after="0" w:line="167" w:lineRule="exact"/>
              <w:rPr>
                <w:sz w:val="20"/>
                <w:szCs w:val="20"/>
                <w:color w:val="auto"/>
              </w:rPr>
            </w:pPr>
            <w:r>
              <w:rPr>
                <w:rFonts w:ascii="Arial" w:cs="Arial" w:eastAsia="Arial" w:hAnsi="Arial"/>
                <w:sz w:val="18"/>
                <w:szCs w:val="18"/>
                <w:color w:val="auto"/>
              </w:rPr>
              <w:t>180 days after the date of this prospectus upon expiration of the lock-up agreements referred to below,</w:t>
            </w:r>
          </w:p>
        </w:tc>
      </w:tr>
      <w:tr>
        <w:trPr>
          <w:trHeight w:val="225"/>
        </w:trPr>
        <w:tc>
          <w:tcPr>
            <w:tcW w:w="16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subject in some cases to applicable volume limitations under Rule 144</w:t>
            </w:r>
          </w:p>
        </w:tc>
      </w:tr>
    </w:tbl>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06" w:lineRule="exact"/>
        <w:rPr>
          <w:sz w:val="20"/>
          <w:szCs w:val="20"/>
          <w:color w:val="auto"/>
        </w:rPr>
      </w:pPr>
    </w:p>
    <w:p>
      <w:pPr>
        <w:jc w:val="both"/>
        <w:ind w:left="120" w:right="280" w:firstLine="551"/>
        <w:spacing w:after="0" w:line="255" w:lineRule="auto"/>
        <w:rPr>
          <w:sz w:val="20"/>
          <w:szCs w:val="20"/>
          <w:color w:val="auto"/>
        </w:rPr>
      </w:pPr>
      <w:r>
        <w:rPr>
          <w:rFonts w:ascii="Arial" w:cs="Arial" w:eastAsia="Arial" w:hAnsi="Arial"/>
          <w:sz w:val="18"/>
          <w:szCs w:val="18"/>
          <w:color w:val="auto"/>
        </w:rPr>
        <w:t>In connection with this offering, we, our executive officers, our directors and substantially all of our securityholders have agreed, subject to certain exceptions, with the underwriters not to dispose of or hedge any shares of our common stock or securities convertible into or exchangeable for shares of</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140"/>
          </w:cols>
          <w:pgMar w:left="320" w:top="455" w:right="439" w:bottom="1440" w:gutter="0" w:footer="0" w:header="0"/>
        </w:sectPr>
      </w:pPr>
    </w:p>
    <w:bookmarkStart w:id="232" w:name="page233"/>
    <w:bookmarkEnd w:id="2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our common stock during the period from the date of the lock-up agreement continuing through the date 180 days after the date of this prospectus, except with the prior written consent of Goldman Sachs &amp; Co. LLC, BofA Securities, Inc. and Evercore Group L.L.C. on behalf of the underwriters.</w:t>
      </w:r>
    </w:p>
    <w:p>
      <w:pPr>
        <w:spacing w:after="0" w:line="164"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color w:val="auto"/>
        </w:rPr>
        <w:t>Prior to the completion of the offering,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w:t>
      </w:r>
    </w:p>
    <w:p>
      <w:pPr>
        <w:spacing w:after="0" w:line="164" w:lineRule="exact"/>
        <w:rPr>
          <w:sz w:val="20"/>
          <w:szCs w:val="20"/>
          <w:color w:val="auto"/>
        </w:rPr>
      </w:pPr>
    </w:p>
    <w:p>
      <w:pPr>
        <w:ind w:left="120" w:right="120" w:firstLine="551"/>
        <w:spacing w:after="0" w:line="248" w:lineRule="auto"/>
        <w:rPr>
          <w:sz w:val="20"/>
          <w:szCs w:val="20"/>
          <w:color w:val="auto"/>
        </w:rPr>
      </w:pPr>
      <w:r>
        <w:rPr>
          <w:rFonts w:ascii="Arial" w:cs="Arial" w:eastAsia="Arial" w:hAnsi="Arial"/>
          <w:sz w:val="18"/>
          <w:szCs w:val="18"/>
          <w:color w:val="auto"/>
        </w:rPr>
        <w:t>Following the lock-up periods set forth in the agreements described above, and assuming that the representatives of the underwriters do not release any parties from these agreements, all of the shares of our common stock that are restricted securities or are held by our affiliates as of the date of this prospectus will be eligible for sale in the public market in compliance with Rule 144 under the Securities Act.</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0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general, under Rule 144, as currently in effect, once we have been subject to the public company reporting requirements of the Exchange Act for at least 90 days, a person (or persons whose shares are required to be aggregated) who is not deemed to have been one of our “affiliates” for purposes of Rule 144 at any time during the three months preceding a sale, and who has beneficially owned restricted securities within the meaning of Rule 144 for at least six months, including the holding period of any prior owner other than one of our “affiliates,” is entitled to sell those shares in the public market (subject to the lock-up agreement referred to above, if applicable) without complying with the manner of sale, volume limitations or notice provisions of Rule 144, but subject to compliance with the public information requirements of Rule 144. If such a person has beneficially owned the shares proposed to be sold for at least one year, including the holding period of any prior owner other than “affiliates,” then such person is entitled to sell such shares in the public market without complying with any of the requirements of Rule 144 (subject to the lock-up agreement referred to above, if applicable). 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upon expiration of any applicable lock-up agreements and within any three-month period, a number of those shares of our common stock that does not exceed the greater of:</w:t>
      </w:r>
    </w:p>
    <w:p>
      <w:pPr>
        <w:spacing w:after="0" w:line="86" w:lineRule="exact"/>
        <w:rPr>
          <w:sz w:val="20"/>
          <w:szCs w:val="20"/>
          <w:color w:val="auto"/>
        </w:rPr>
      </w:pPr>
    </w:p>
    <w:p>
      <w:pPr>
        <w:ind w:left="880" w:right="180" w:hanging="224"/>
        <w:spacing w:after="0" w:line="255" w:lineRule="auto"/>
        <w:tabs>
          <w:tab w:leader="none" w:pos="8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1% of the number of shares of common stock then outstanding, which will equal approximately 252,337 shares of our common stock immediately after this offering (calculated as of September 30, 2020 on the basis of the assumptions (i)-(iii) described above); or</w:t>
      </w:r>
    </w:p>
    <w:p>
      <w:pPr>
        <w:spacing w:after="0" w:line="69" w:lineRule="exact"/>
        <w:rPr>
          <w:rFonts w:ascii="Arial" w:cs="Arial" w:eastAsia="Arial" w:hAnsi="Arial"/>
          <w:sz w:val="18"/>
          <w:szCs w:val="18"/>
          <w:color w:val="auto"/>
        </w:rPr>
      </w:pPr>
    </w:p>
    <w:p>
      <w:pPr>
        <w:ind w:left="880" w:right="240" w:hanging="224"/>
        <w:spacing w:after="0" w:line="276" w:lineRule="auto"/>
        <w:tabs>
          <w:tab w:leader="none" w:pos="8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Global Select Market during the four calendar weeks preceding the filing of a notice on Form 144 with respect to such sale.</w:t>
      </w:r>
    </w:p>
    <w:p>
      <w:pPr>
        <w:spacing w:after="0" w:line="145" w:lineRule="exact"/>
        <w:rPr>
          <w:sz w:val="20"/>
          <w:szCs w:val="20"/>
          <w:color w:val="auto"/>
        </w:rPr>
      </w:pPr>
    </w:p>
    <w:p>
      <w:pPr>
        <w:ind w:left="120" w:right="240" w:firstLine="551"/>
        <w:spacing w:after="0" w:line="245" w:lineRule="auto"/>
        <w:rPr>
          <w:sz w:val="20"/>
          <w:szCs w:val="20"/>
          <w:color w:val="auto"/>
        </w:rPr>
      </w:pPr>
      <w:r>
        <w:rPr>
          <w:rFonts w:ascii="Arial" w:cs="Arial" w:eastAsia="Arial" w:hAnsi="Arial"/>
          <w:sz w:val="18"/>
          <w:szCs w:val="18"/>
          <w:color w:val="auto"/>
        </w:rPr>
        <w:t>Such sales under Rule 144 by our “affiliates” or persons selling shares on behalf of our “affiliates” are also subject to certain manner of sale provisions, notice requirements and to the availability of current public information about us. Notwithstanding the availability of Rule 144, the holders of substantially all of our restricted securities have entered into lock-up agreements as referenced above and their restricted securities will become eligible for sale (subject to the above limitations under Rule 144) upon the expiration of the restrictions set forth in those agreements.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06" w:lineRule="exact"/>
        <w:rPr>
          <w:sz w:val="20"/>
          <w:szCs w:val="20"/>
          <w:color w:val="auto"/>
        </w:rPr>
      </w:pPr>
    </w:p>
    <w:p>
      <w:pPr>
        <w:ind w:left="120" w:right="320" w:firstLine="551"/>
        <w:spacing w:after="0" w:line="276" w:lineRule="auto"/>
        <w:rPr>
          <w:sz w:val="20"/>
          <w:szCs w:val="20"/>
          <w:color w:val="auto"/>
        </w:rPr>
      </w:pPr>
      <w:r>
        <w:rPr>
          <w:rFonts w:ascii="Arial" w:cs="Arial" w:eastAsia="Arial" w:hAnsi="Arial"/>
          <w:sz w:val="18"/>
          <w:szCs w:val="18"/>
          <w:color w:val="auto"/>
        </w:rPr>
        <w:t>In general, under Rule 701 as currently in effect, any of our employees, directors, officers, consultants or advisors who acquired common stock from us in connection with a written</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120"/>
          </w:cols>
          <w:pgMar w:left="320" w:top="455" w:right="459" w:bottom="1440" w:gutter="0" w:footer="0" w:header="0"/>
        </w:sectPr>
      </w:pPr>
    </w:p>
    <w:bookmarkStart w:id="233" w:name="page234"/>
    <w:bookmarkEnd w:id="2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compensatory stock or option plan or other written agreement in compliance with Rule 701 under the Securities Act before the effective date of the registration statement of which this prospectus is a part (to the extent such common stock is not subject to a lock-up agreement) is entitled to rely on Rule 701 to resell such shares beginning 90 days after we become subject to the public company reporting requirements of the Exchange Act in reliance on Rule 144, but without compliance with the holding period requirements contained in Rule 144. Accordingly, subject to any applicable lock-up agreements, beginning 90 days after we become subject to the public company reporting requirements of the Exchange Act, under Rule 701 persons who are not our “affiliates,” as defined in Rule 144, may resell those shares without complying with the minimum holding period or public information requirements of Rule 144, and persons who are our “affiliates” may resell those shares without compliance with Rule 144’s minimum holding period requirements (subject to the terms of the lock-up agreement referred to above).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06" w:lineRule="exact"/>
        <w:rPr>
          <w:sz w:val="20"/>
          <w:szCs w:val="20"/>
          <w:color w:val="auto"/>
        </w:rPr>
      </w:pPr>
    </w:p>
    <w:p>
      <w:pPr>
        <w:jc w:val="both"/>
        <w:ind w:left="120" w:right="340" w:firstLine="551"/>
        <w:spacing w:after="0" w:line="245" w:lineRule="auto"/>
        <w:rPr>
          <w:sz w:val="20"/>
          <w:szCs w:val="20"/>
          <w:color w:val="auto"/>
        </w:rPr>
      </w:pPr>
      <w:r>
        <w:rPr>
          <w:rFonts w:ascii="Arial" w:cs="Arial" w:eastAsia="Arial" w:hAnsi="Arial"/>
          <w:sz w:val="18"/>
          <w:szCs w:val="18"/>
          <w:color w:val="auto"/>
        </w:rPr>
        <w:t>Based on the number of shares outstanding as of September 30, 2020, after the consummation of this offering, the holders of 11.6 million shares of our common stock, or their transferees, will, subject to the lock-up agreements referred to above, be entitled to certain rights with respect to the registration of the offer and sale of those shares under the Securities Act. For a description of these registration rights, see the section titled “Description of Capital Stock—Registration Rights.” If the offer and sale of these shares are registered, they will be freely tradable without restriction under the Securities Act.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Plans</w:t>
      </w:r>
    </w:p>
    <w:p>
      <w:pPr>
        <w:spacing w:after="0" w:line="106"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We intend to file with the SEC a registration statement under the Securities Act covering the shares of our common stock that we may issue upon exercise of outstanding options reserved for issuance under our 2015 Equity Incentive Plan and our 2020 Plan. Such registration statement is expected to be filed and become effective as soon as practicable after the consummation of this offering. Accordingly, shares registered under such registration statement will be available for sale in the open market following its effective date, subject to Rule 144 volume limitations and the lock-up agreements described above, if applicable.</w:t>
      </w:r>
    </w:p>
    <w:p>
      <w:pPr>
        <w:spacing w:after="0" w:line="10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0980"/>
          </w:cols>
          <w:pgMar w:left="320" w:top="455" w:right="599" w:bottom="1440" w:gutter="0" w:footer="0" w:header="0"/>
        </w:sectPr>
      </w:pPr>
    </w:p>
    <w:bookmarkStart w:id="234" w:name="page235"/>
    <w:bookmarkEnd w:id="2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21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Code, Treasury Regulations promulgated thereunder,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176"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w:t>
      </w:r>
    </w:p>
    <w:p>
      <w:pPr>
        <w:spacing w:after="0" w:line="76" w:lineRule="exact"/>
        <w:rPr>
          <w:sz w:val="20"/>
          <w:szCs w:val="20"/>
          <w:color w:val="auto"/>
        </w:rPr>
      </w:pPr>
    </w:p>
    <w:p>
      <w:pPr>
        <w:ind w:left="880" w:hanging="224"/>
        <w:spacing w:after="0"/>
        <w:tabs>
          <w:tab w:leader="none" w:pos="8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17" w:lineRule="exact"/>
        <w:rPr>
          <w:rFonts w:ascii="Arial" w:cs="Arial" w:eastAsia="Arial" w:hAnsi="Arial"/>
          <w:sz w:val="18"/>
          <w:szCs w:val="18"/>
          <w:color w:val="auto"/>
        </w:rPr>
      </w:pPr>
    </w:p>
    <w:p>
      <w:pPr>
        <w:ind w:left="880" w:right="660" w:hanging="224"/>
        <w:spacing w:after="0" w:line="276" w:lineRule="auto"/>
        <w:tabs>
          <w:tab w:leader="none" w:pos="8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hedge, straddle or other risk reduction strategy or as part of a conversion transaction or other integrated investment;</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17" w:lineRule="exact"/>
        <w:rPr>
          <w:rFonts w:ascii="Arial" w:cs="Arial" w:eastAsia="Arial" w:hAnsi="Arial"/>
          <w:sz w:val="18"/>
          <w:szCs w:val="18"/>
          <w:color w:val="auto"/>
        </w:rPr>
      </w:pPr>
    </w:p>
    <w:p>
      <w:pPr>
        <w:ind w:left="880" w:right="300" w:hanging="224"/>
        <w:spacing w:after="0" w:line="276" w:lineRule="auto"/>
        <w:tabs>
          <w:tab w:leader="none" w:pos="8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50" w:lineRule="exact"/>
        <w:rPr>
          <w:rFonts w:ascii="Arial" w:cs="Arial" w:eastAsia="Arial" w:hAnsi="Arial"/>
          <w:sz w:val="18"/>
          <w:szCs w:val="18"/>
          <w:color w:val="auto"/>
        </w:rPr>
      </w:pPr>
    </w:p>
    <w:p>
      <w:pPr>
        <w:ind w:left="880" w:right="560" w:hanging="224"/>
        <w:spacing w:after="0" w:line="276" w:lineRule="auto"/>
        <w:tabs>
          <w:tab w:leader="none" w:pos="8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tax-qualified retirement plans; and</w:t>
      </w:r>
    </w:p>
    <w:p>
      <w:pPr>
        <w:spacing w:after="0" w:line="117" w:lineRule="exact"/>
        <w:rPr>
          <w:rFonts w:ascii="Arial" w:cs="Arial" w:eastAsia="Arial" w:hAnsi="Arial"/>
          <w:sz w:val="18"/>
          <w:szCs w:val="18"/>
          <w:color w:val="auto"/>
        </w:rPr>
      </w:pPr>
    </w:p>
    <w:p>
      <w:pPr>
        <w:ind w:left="880" w:right="180" w:hanging="224"/>
        <w:spacing w:after="0" w:line="276" w:lineRule="auto"/>
        <w:tabs>
          <w:tab w:leader="none" w:pos="8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145"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68" w:lineRule="exact"/>
        <w:rPr>
          <w:sz w:val="20"/>
          <w:szCs w:val="20"/>
          <w:color w:val="auto"/>
        </w:rPr>
      </w:pPr>
    </w:p>
    <w:p>
      <w:pPr>
        <w:ind w:left="120" w:right="160" w:firstLine="551"/>
        <w:spacing w:after="0" w:line="287" w:lineRule="auto"/>
        <w:rPr>
          <w:sz w:val="20"/>
          <w:szCs w:val="20"/>
          <w:color w:val="auto"/>
        </w:rPr>
      </w:pPr>
      <w:r>
        <w:rPr>
          <w:rFonts w:ascii="Arial" w:cs="Arial" w:eastAsia="Arial" w:hAnsi="Arial"/>
          <w:sz w:val="18"/>
          <w:szCs w:val="18"/>
          <w:b w:val="1"/>
          <w:bCs w:val="1"/>
          <w:color w:val="auto"/>
        </w:rPr>
        <w:t>THIS DISCUSSION IS NOT TAX ADVICE. INVESTORS SHOULD CONSULT THEIR TAX ADVISORS WITH RESPECT TO THE APPLICATION OF THE U.S. FEDERAL INCOME TAX LAWS</w:t>
      </w:r>
    </w:p>
    <w:p>
      <w:pPr>
        <w:spacing w:after="0" w:line="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120"/>
          </w:cols>
          <w:pgMar w:left="320" w:top="455" w:right="459" w:bottom="1440" w:gutter="0" w:footer="0" w:header="0"/>
        </w:sectPr>
      </w:pPr>
    </w:p>
    <w:bookmarkStart w:id="235" w:name="page236"/>
    <w:bookmarkEnd w:id="2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20" w:right="440"/>
        <w:spacing w:after="0" w:line="283" w:lineRule="auto"/>
        <w:rPr>
          <w:sz w:val="20"/>
          <w:szCs w:val="20"/>
          <w:color w:val="auto"/>
        </w:rPr>
      </w:pPr>
      <w:r>
        <w:rPr>
          <w:rFonts w:ascii="Arial" w:cs="Arial" w:eastAsia="Arial" w:hAnsi="Arial"/>
          <w:sz w:val="17"/>
          <w:szCs w:val="17"/>
          <w:b w:val="1"/>
          <w:bCs w:val="1"/>
          <w:color w:val="auto"/>
        </w:rPr>
        <w:t>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 of Non-U.S. Holder</w:t>
      </w:r>
    </w:p>
    <w:p>
      <w:pPr>
        <w:spacing w:after="0" w:line="106" w:lineRule="exact"/>
        <w:rPr>
          <w:sz w:val="20"/>
          <w:szCs w:val="20"/>
          <w:color w:val="auto"/>
        </w:rPr>
      </w:pPr>
    </w:p>
    <w:p>
      <w:pPr>
        <w:ind w:left="120" w:right="180" w:firstLine="551"/>
        <w:spacing w:after="0" w:line="255"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individual who is a citizen or resident of the United States;</w:t>
      </w:r>
    </w:p>
    <w:p>
      <w:pPr>
        <w:spacing w:after="0" w:line="104" w:lineRule="exact"/>
        <w:rPr>
          <w:sz w:val="20"/>
          <w:szCs w:val="20"/>
          <w:color w:val="auto"/>
        </w:rPr>
      </w:pPr>
    </w:p>
    <w:p>
      <w:pPr>
        <w:ind w:left="660" w:right="1200"/>
        <w:spacing w:after="0" w:line="360" w:lineRule="auto"/>
        <w:rPr>
          <w:sz w:val="20"/>
          <w:szCs w:val="20"/>
          <w:color w:val="auto"/>
        </w:rPr>
      </w:pPr>
      <w:r>
        <w:rPr>
          <w:rFonts w:ascii="Arial" w:cs="Arial" w:eastAsia="Arial" w:hAnsi="Arial"/>
          <w:sz w:val="18"/>
          <w:szCs w:val="18"/>
          <w:color w:val="auto"/>
        </w:rPr>
        <w:t>a corporation created or organized under the laws of the United States, any state thereof, or the District of Columbia; an estate, the income of which is subject to U.S. federal income tax regardless of its source; or</w:t>
      </w:r>
    </w:p>
    <w:p>
      <w:pPr>
        <w:ind w:left="120" w:right="60" w:firstLine="551"/>
        <w:spacing w:after="0" w:line="255" w:lineRule="auto"/>
        <w:rPr>
          <w:sz w:val="20"/>
          <w:szCs w:val="20"/>
          <w:color w:val="auto"/>
        </w:rPr>
      </w:pPr>
      <w:r>
        <w:rPr>
          <w:rFonts w:ascii="Arial" w:cs="Arial" w:eastAsia="Arial" w:hAnsi="Arial"/>
          <w:sz w:val="18"/>
          <w:szCs w:val="18"/>
          <w:color w:val="auto"/>
        </w:rPr>
        <w:t>a trust that (i) is subject to the primary supervision of a U.S. court and all substantial decisions of which are subject to the control of one or more “United States persons” (within the meaning of Section 7701(a)(30) of the Code), or (ii) has a valid election in effect to be treated as a United States person for U.S. federal income tax purposes.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106"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As described in the section titled “Dividend Policy,” we do not anticipate paying any cash dividends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17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tax treaties.</w:t>
      </w:r>
    </w:p>
    <w:p>
      <w:pPr>
        <w:spacing w:after="0" w:line="174" w:lineRule="exact"/>
        <w:rPr>
          <w:sz w:val="20"/>
          <w:szCs w:val="20"/>
          <w:color w:val="auto"/>
        </w:rPr>
      </w:pPr>
    </w:p>
    <w:p>
      <w:pPr>
        <w:ind w:left="120" w:right="60" w:firstLine="551"/>
        <w:spacing w:after="0" w:line="263" w:lineRule="auto"/>
        <w:rPr>
          <w:sz w:val="20"/>
          <w:szCs w:val="20"/>
          <w:color w:val="auto"/>
        </w:rPr>
      </w:pPr>
      <w:r>
        <w:rPr>
          <w:rFonts w:ascii="Arial" w:cs="Arial" w:eastAsia="Arial" w:hAnsi="Arial"/>
          <w:sz w:val="17"/>
          <w:szCs w:val="17"/>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57" w:lineRule="exact"/>
        <w:rPr>
          <w:sz w:val="20"/>
          <w:szCs w:val="20"/>
          <w:color w:val="auto"/>
        </w:rPr>
      </w:pPr>
    </w:p>
    <w:p>
      <w:pPr>
        <w:ind w:left="120" w:right="300" w:firstLine="551"/>
        <w:spacing w:after="0" w:line="276"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rates. A Non-U.S. Holder that is a corporation also may be subject to a</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120"/>
          </w:cols>
          <w:pgMar w:left="320" w:top="455" w:right="459" w:bottom="1440" w:gutter="0" w:footer="0" w:header="0"/>
        </w:sectPr>
      </w:pPr>
    </w:p>
    <w:bookmarkStart w:id="236" w:name="page237"/>
    <w:bookmarkEnd w:id="2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or Other Taxable Disposition</w:t>
      </w:r>
    </w:p>
    <w:p>
      <w:pPr>
        <w:spacing w:after="0" w:line="106" w:lineRule="exact"/>
        <w:rPr>
          <w:sz w:val="20"/>
          <w:szCs w:val="20"/>
          <w:color w:val="auto"/>
        </w:rPr>
      </w:pPr>
    </w:p>
    <w:p>
      <w:pPr>
        <w:ind w:left="120" w:right="140" w:firstLine="551"/>
        <w:spacing w:after="0" w:line="276" w:lineRule="auto"/>
        <w:rPr>
          <w:sz w:val="20"/>
          <w:szCs w:val="20"/>
          <w:color w:val="auto"/>
        </w:rPr>
      </w:pPr>
      <w:r>
        <w:rPr>
          <w:rFonts w:ascii="Arial" w:cs="Arial" w:eastAsia="Arial" w:hAnsi="Arial"/>
          <w:sz w:val="18"/>
          <w:szCs w:val="18"/>
          <w:color w:val="auto"/>
        </w:rPr>
        <w:t>Subject to the discussion below regarding backup withholding, a Non-U.S. Holder will not be subject to U.S. federal income tax on any gain realized upon the sale or other taxable disposition of our common stock unless:</w:t>
      </w:r>
    </w:p>
    <w:p>
      <w:pPr>
        <w:spacing w:after="0" w:line="50" w:lineRule="exact"/>
        <w:rPr>
          <w:sz w:val="20"/>
          <w:szCs w:val="20"/>
          <w:color w:val="auto"/>
        </w:rPr>
      </w:pPr>
    </w:p>
    <w:p>
      <w:pPr>
        <w:ind w:left="880" w:right="240" w:hanging="224"/>
        <w:spacing w:after="0" w:line="255" w:lineRule="auto"/>
        <w:tabs>
          <w:tab w:leader="none" w:pos="8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69" w:lineRule="exact"/>
        <w:rPr>
          <w:rFonts w:ascii="Arial" w:cs="Arial" w:eastAsia="Arial" w:hAnsi="Arial"/>
          <w:sz w:val="18"/>
          <w:szCs w:val="18"/>
          <w:color w:val="auto"/>
        </w:rPr>
      </w:pPr>
    </w:p>
    <w:p>
      <w:pPr>
        <w:ind w:left="880" w:right="20" w:hanging="224"/>
        <w:spacing w:after="0" w:line="276" w:lineRule="auto"/>
        <w:tabs>
          <w:tab w:leader="none" w:pos="8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50" w:lineRule="exact"/>
        <w:rPr>
          <w:rFonts w:ascii="Arial" w:cs="Arial" w:eastAsia="Arial" w:hAnsi="Arial"/>
          <w:sz w:val="18"/>
          <w:szCs w:val="18"/>
          <w:color w:val="auto"/>
        </w:rPr>
      </w:pPr>
    </w:p>
    <w:p>
      <w:pPr>
        <w:ind w:left="880" w:right="540" w:hanging="224"/>
        <w:spacing w:after="0" w:line="276" w:lineRule="auto"/>
        <w:tabs>
          <w:tab w:leader="none" w:pos="8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(USRPI) by reason of our status as a U.S. real property holding corporation (USRPHC) for U.S. federal income tax purposes.</w:t>
      </w:r>
    </w:p>
    <w:p>
      <w:pPr>
        <w:spacing w:after="0" w:line="145" w:lineRule="exact"/>
        <w:rPr>
          <w:sz w:val="20"/>
          <w:szCs w:val="20"/>
          <w:color w:val="auto"/>
        </w:rPr>
      </w:pPr>
    </w:p>
    <w:p>
      <w:pPr>
        <w:jc w:val="both"/>
        <w:ind w:left="120" w:right="500" w:firstLine="551"/>
        <w:spacing w:after="0" w:line="255"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164" w:lineRule="exact"/>
        <w:rPr>
          <w:sz w:val="20"/>
          <w:szCs w:val="20"/>
          <w:color w:val="auto"/>
        </w:rPr>
      </w:pPr>
    </w:p>
    <w:p>
      <w:pPr>
        <w:jc w:val="both"/>
        <w:ind w:left="120" w:right="140" w:firstLine="551"/>
        <w:spacing w:after="0" w:line="248" w:lineRule="auto"/>
        <w:rPr>
          <w:sz w:val="20"/>
          <w:szCs w:val="20"/>
          <w:color w:val="auto"/>
        </w:rPr>
      </w:pPr>
      <w:r>
        <w:rPr>
          <w:rFonts w:ascii="Arial" w:cs="Arial" w:eastAsia="Arial" w:hAnsi="Arial"/>
          <w:sz w:val="18"/>
          <w:szCs w:val="18"/>
          <w:color w:val="auto"/>
        </w:rPr>
        <w:t>A Non-U.S. Holder described in the second bullet point above will be subject to U.S. federal income tax at a rate of 30% (or such lower rate specified by an applicable income tax treaty) on gain realized upon the sale or other taxable disposition of our common stock, which may be offset by certain U.S. source capital losses of the Non-U.S. Holder (even though the individual is not considered a resident of the United States), provided the Non-U.S. Holder has timely filed U.S. federal income tax returns with respect to such losses.</w:t>
      </w:r>
    </w:p>
    <w:p>
      <w:pPr>
        <w:spacing w:after="0" w:line="170"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Non-U.S. Holders should consult their tax advisors regarding any applicable tax treaties that may provide for different rules.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06" w:lineRule="exact"/>
        <w:rPr>
          <w:sz w:val="20"/>
          <w:szCs w:val="20"/>
          <w:color w:val="auto"/>
        </w:rPr>
      </w:pPr>
    </w:p>
    <w:p>
      <w:pPr>
        <w:ind w:left="120" w:right="260" w:firstLine="551"/>
        <w:spacing w:after="0" w:line="255" w:lineRule="auto"/>
        <w:rPr>
          <w:sz w:val="20"/>
          <w:szCs w:val="20"/>
          <w:color w:val="auto"/>
        </w:rPr>
      </w:pPr>
      <w:r>
        <w:rPr>
          <w:rFonts w:ascii="Arial" w:cs="Arial" w:eastAsia="Arial" w:hAnsi="Arial"/>
          <w:sz w:val="18"/>
          <w:szCs w:val="18"/>
          <w:color w:val="auto"/>
        </w:rPr>
        <w:t>Payments of dividends on our common stock will not be subject to backup withholding, provided the Non-U.S. Holder certifies its non-U.S. status, such as by furnishing a valid IRS Form W-8BEN, W-8BEN-E or W-8ECI, or otherwise establishes an exemption. However, information returns are required to be filed with the IRS in connection with any distributions on our common stock paid to the</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120"/>
          </w:cols>
          <w:pgMar w:left="320" w:top="455" w:right="459" w:bottom="1440" w:gutter="0" w:footer="0" w:header="0"/>
        </w:sectPr>
      </w:pPr>
    </w:p>
    <w:bookmarkStart w:id="237" w:name="page238"/>
    <w:bookmarkEnd w:id="2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40"/>
        <w:spacing w:after="0" w:line="243" w:lineRule="auto"/>
        <w:rPr>
          <w:sz w:val="20"/>
          <w:szCs w:val="20"/>
          <w:color w:val="auto"/>
        </w:rPr>
      </w:pPr>
      <w:r>
        <w:rPr>
          <w:rFonts w:ascii="Arial" w:cs="Arial" w:eastAsia="Arial" w:hAnsi="Arial"/>
          <w:sz w:val="18"/>
          <w:szCs w:val="18"/>
          <w:color w:val="auto"/>
        </w:rPr>
        <w:t>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or the Non-U.S. Holder otherwise establishes an exemption. Proceeds of a disposition of our common stock conducted through a non-U.S. office of a non-U.S. broker that does not have certain enumerated relationships with the United States generally will not be subject to backup withholding or information reporting.</w:t>
      </w:r>
    </w:p>
    <w:p>
      <w:pPr>
        <w:spacing w:after="0" w:line="174" w:lineRule="exact"/>
        <w:rPr>
          <w:sz w:val="20"/>
          <w:szCs w:val="20"/>
          <w:color w:val="auto"/>
        </w:rPr>
      </w:pPr>
    </w:p>
    <w:p>
      <w:pPr>
        <w:ind w:left="120" w:right="120" w:firstLine="551"/>
        <w:spacing w:after="0" w:line="276"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45" w:lineRule="exact"/>
        <w:rPr>
          <w:sz w:val="20"/>
          <w:szCs w:val="20"/>
          <w:color w:val="auto"/>
        </w:rPr>
      </w:pPr>
    </w:p>
    <w:p>
      <w:pPr>
        <w:ind w:left="120" w:right="120" w:firstLine="551"/>
        <w:spacing w:after="0" w:line="306"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10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Withholding taxes may be imposed under Sections 1471 to 1474 of the Code (such Sections commonly referred to as the Foreign Account Tax Compliance Act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(i) the foreign financial institution undertakes certain diligence and reporting obligations, (ii) the non-financial foreign entity either certifies it does not have any “substantial United States owners” (as defined in the Code) or furnishes identifying information regarding each substantial United States owner, or (iii) the foreign financial institution or non-financial foreign entity otherwise qualifies for an exemption from these rules. If the payee is a foreign financial institution and is subject to the diligence and reporting requirements in (i)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80" w:lineRule="exact"/>
        <w:rPr>
          <w:sz w:val="20"/>
          <w:szCs w:val="20"/>
          <w:color w:val="auto"/>
        </w:rPr>
      </w:pPr>
    </w:p>
    <w:p>
      <w:pPr>
        <w:ind w:left="120" w:firstLine="551"/>
        <w:spacing w:after="0" w:line="268" w:lineRule="auto"/>
        <w:rPr>
          <w:sz w:val="20"/>
          <w:szCs w:val="20"/>
          <w:color w:val="auto"/>
        </w:rPr>
      </w:pPr>
      <w:r>
        <w:rPr>
          <w:rFonts w:ascii="Arial" w:cs="Arial" w:eastAsia="Arial" w:hAnsi="Arial"/>
          <w:sz w:val="17"/>
          <w:szCs w:val="17"/>
          <w:color w:val="auto"/>
        </w:rPr>
        <w:t>Under the applicable Treasury Regulations and administrative guidance, withholding under FATCA generally applies to payments of dividends on our common stock. While withholding under FATCA would have applied also to payments of gross proceeds from the sale or other disposition of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153" w:lineRule="exact"/>
        <w:rPr>
          <w:sz w:val="20"/>
          <w:szCs w:val="20"/>
          <w:color w:val="auto"/>
        </w:rPr>
      </w:pPr>
    </w:p>
    <w:p>
      <w:pPr>
        <w:ind w:left="120" w:right="500" w:firstLine="551"/>
        <w:spacing w:after="0" w:line="276"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120"/>
          </w:cols>
          <w:pgMar w:left="320" w:top="455" w:right="459" w:bottom="1440" w:gutter="0" w:footer="0" w:header="0"/>
        </w:sectPr>
      </w:pPr>
    </w:p>
    <w:bookmarkStart w:id="238" w:name="page239"/>
    <w:bookmarkEnd w:id="2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and the underwriters named below have entered into an underwriting agreement with respect to the shares being offered.</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Subject to certain conditions, each underwriter has severally agreed to purchase the number of shares indicated in the following table.</w:t>
      </w:r>
    </w:p>
    <w:p>
      <w:pPr>
        <w:ind w:left="120"/>
        <w:spacing w:after="0"/>
        <w:rPr>
          <w:sz w:val="20"/>
          <w:szCs w:val="20"/>
          <w:color w:val="auto"/>
        </w:rPr>
      </w:pPr>
      <w:r>
        <w:rPr>
          <w:rFonts w:ascii="Arial" w:cs="Arial" w:eastAsia="Arial" w:hAnsi="Arial"/>
          <w:sz w:val="18"/>
          <w:szCs w:val="18"/>
          <w:color w:val="auto"/>
        </w:rPr>
        <w:t>Goldman Sachs &amp; Co. LLC, BofA Securities, Inc. and Evercore Group L.L.C. are the representatives of the underwriters.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1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64"/>
        </w:trPr>
        <w:tc>
          <w:tcPr>
            <w:tcW w:w="9900" w:type="dxa"/>
            <w:vAlign w:val="bottom"/>
            <w:gridSpan w:val="2"/>
            <w:vMerge w:val="continue"/>
          </w:tcPr>
          <w:p>
            <w:pPr>
              <w:spacing w:after="0"/>
              <w:rPr>
                <w:sz w:val="14"/>
                <w:szCs w:val="14"/>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0"/>
        </w:trPr>
        <w:tc>
          <w:tcPr>
            <w:tcW w:w="880" w:type="dxa"/>
            <w:vAlign w:val="bottom"/>
            <w:tcBorders>
              <w:bottom w:val="single" w:sz="8" w:color="CCEEFF"/>
            </w:tcBorders>
            <w:shd w:val="clear" w:color="auto" w:fill="000000"/>
          </w:tcPr>
          <w:p>
            <w:pPr>
              <w:spacing w:after="0" w:line="20" w:lineRule="exact"/>
              <w:rPr>
                <w:sz w:val="1"/>
                <w:szCs w:val="1"/>
                <w:color w:val="auto"/>
              </w:rPr>
            </w:pPr>
          </w:p>
        </w:tc>
        <w:tc>
          <w:tcPr>
            <w:tcW w:w="90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9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Goldman Sachs &amp; Co. LLC</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3,696,000</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900" w:type="dxa"/>
            <w:vAlign w:val="bottom"/>
            <w:gridSpan w:val="2"/>
          </w:tcPr>
          <w:p>
            <w:pPr>
              <w:spacing w:after="0" w:line="202" w:lineRule="exact"/>
              <w:rPr>
                <w:sz w:val="20"/>
                <w:szCs w:val="20"/>
                <w:color w:val="auto"/>
              </w:rPr>
            </w:pPr>
            <w:r>
              <w:rPr>
                <w:rFonts w:ascii="Arial" w:cs="Arial" w:eastAsia="Arial" w:hAnsi="Arial"/>
                <w:sz w:val="18"/>
                <w:szCs w:val="18"/>
                <w:color w:val="auto"/>
              </w:rPr>
              <w:t>BofA Securities, Inc.</w:t>
            </w: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2,352,000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Evercore Group L.L.C.</w:t>
            </w:r>
          </w:p>
        </w:tc>
        <w:tc>
          <w:tcPr>
            <w:tcW w:w="10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2,352,000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9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8,400,000</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160" w:firstLine="551"/>
        <w:spacing w:after="0" w:line="276"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45"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The underwriters have an option to buy up to an additional 1,260,000 shares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70" w:lineRule="exact"/>
        <w:rPr>
          <w:sz w:val="20"/>
          <w:szCs w:val="20"/>
          <w:color w:val="auto"/>
        </w:rPr>
      </w:pPr>
    </w:p>
    <w:p>
      <w:pPr>
        <w:jc w:val="both"/>
        <w:ind w:left="120" w:right="380" w:firstLine="551"/>
        <w:spacing w:after="0" w:line="255"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 Such amounts are shown assuming both no exercise and full exercise of the underwriters’ option to buy up to an additional 1,260,000 shares from us.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58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No Exercise</w:t>
            </w:r>
          </w:p>
        </w:tc>
        <w:tc>
          <w:tcPr>
            <w:tcW w:w="1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Full Exercise</w:t>
            </w:r>
          </w:p>
        </w:tc>
      </w:tr>
      <w:tr>
        <w:trPr>
          <w:trHeight w:val="196"/>
        </w:trPr>
        <w:tc>
          <w:tcPr>
            <w:tcW w:w="4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3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1.61</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1.61</w:t>
            </w:r>
          </w:p>
        </w:tc>
        <w:tc>
          <w:tcPr>
            <w:tcW w:w="80" w:type="dxa"/>
            <w:vAlign w:val="bottom"/>
            <w:tcBorders>
              <w:top w:val="single" w:sz="8" w:color="CCEEFF"/>
            </w:tcBorders>
            <w:shd w:val="clear" w:color="auto" w:fill="CCEEFF"/>
          </w:tcPr>
          <w:p>
            <w:pPr>
              <w:spacing w:after="0"/>
              <w:rPr>
                <w:sz w:val="17"/>
                <w:szCs w:val="17"/>
                <w:color w:val="auto"/>
              </w:rPr>
            </w:pPr>
          </w:p>
        </w:tc>
      </w:tr>
      <w:tr>
        <w:trPr>
          <w:trHeight w:val="243"/>
        </w:trPr>
        <w:tc>
          <w:tcPr>
            <w:tcW w:w="4580" w:type="dxa"/>
            <w:vAlign w:val="bottom"/>
          </w:tcPr>
          <w:p>
            <w:pPr>
              <w:spacing w:after="0"/>
              <w:rPr>
                <w:sz w:val="20"/>
                <w:szCs w:val="20"/>
                <w:color w:val="auto"/>
              </w:rPr>
            </w:pPr>
            <w:r>
              <w:rPr>
                <w:rFonts w:ascii="Arial" w:cs="Arial" w:eastAsia="Arial" w:hAnsi="Arial"/>
                <w:sz w:val="18"/>
                <w:szCs w:val="18"/>
                <w:color w:val="auto"/>
              </w:rPr>
              <w:t>Total</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13,524,000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15,552,600</w:t>
            </w:r>
          </w:p>
        </w:tc>
      </w:tr>
    </w:tbl>
    <w:p>
      <w:pPr>
        <w:spacing w:after="0" w:line="153" w:lineRule="exact"/>
        <w:rPr>
          <w:sz w:val="20"/>
          <w:szCs w:val="20"/>
          <w:color w:val="auto"/>
        </w:rPr>
      </w:pPr>
    </w:p>
    <w:p>
      <w:pPr>
        <w:ind w:left="120" w:right="220" w:firstLine="551"/>
        <w:spacing w:after="0" w:line="245" w:lineRule="auto"/>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page of this prospectus. Any shares sold by the underwriters to securities dealers may be sold at a discount of up to $0.966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72" w:lineRule="exact"/>
        <w:rPr>
          <w:sz w:val="20"/>
          <w:szCs w:val="20"/>
          <w:color w:val="auto"/>
        </w:rPr>
      </w:pPr>
    </w:p>
    <w:p>
      <w:pPr>
        <w:ind w:left="120" w:right="280" w:firstLine="551"/>
        <w:spacing w:after="0" w:line="243" w:lineRule="auto"/>
        <w:rPr>
          <w:sz w:val="20"/>
          <w:szCs w:val="20"/>
          <w:color w:val="auto"/>
        </w:rPr>
      </w:pPr>
      <w:r>
        <w:rPr>
          <w:rFonts w:ascii="Arial" w:cs="Arial" w:eastAsia="Arial" w:hAnsi="Arial"/>
          <w:sz w:val="18"/>
          <w:szCs w:val="18"/>
          <w:color w:val="auto"/>
        </w:rPr>
        <w:t>We and our executive officers, directors, and holders of substantially all of our securityholders have agreed or will agree with the underwriters, subject to certain exceptions, not to dispose of or hedge any of our or their common stock or securities convertible into or exchangeable for shares of our common stock during the period from the date of this prospectus continuing through the date 180 days after the date of this prospectus, except with the prior written consent of Goldman Sachs &amp; Co. LLC, BofA Securities, Inc. and Evercore Group L.L.C. This agreement does not apply to any existing employee benefit plans. See the section titled “Shares Eligible for Future Sale” for a discussion of certain transfer restrictions.</w:t>
      </w:r>
    </w:p>
    <w:p>
      <w:pPr>
        <w:spacing w:after="0" w:line="174" w:lineRule="exact"/>
        <w:rPr>
          <w:sz w:val="20"/>
          <w:szCs w:val="20"/>
          <w:color w:val="auto"/>
        </w:rPr>
      </w:pPr>
    </w:p>
    <w:p>
      <w:pPr>
        <w:ind w:left="120" w:right="120" w:firstLine="551"/>
        <w:spacing w:after="0" w:line="255" w:lineRule="auto"/>
        <w:rPr>
          <w:sz w:val="20"/>
          <w:szCs w:val="20"/>
          <w:color w:val="auto"/>
        </w:rPr>
      </w:pPr>
      <w:r>
        <w:rPr>
          <w:rFonts w:ascii="Arial" w:cs="Arial" w:eastAsia="Arial" w:hAnsi="Arial"/>
          <w:sz w:val="18"/>
          <w:szCs w:val="18"/>
          <w:color w:val="auto"/>
        </w:rPr>
        <w:t>Prior to the offering, there has been no public market for the shares. The initial public offering price has been negotiated among us and the representatives. Among the factors to be considered in determining the initial public offering price of the shares, in addition to prevailing market conditions,</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140"/>
          </w:cols>
          <w:pgMar w:left="320" w:top="455" w:right="439" w:bottom="1440" w:gutter="0" w:footer="0" w:header="0"/>
        </w:sectPr>
      </w:pPr>
    </w:p>
    <w:bookmarkStart w:id="239" w:name="page240"/>
    <w:bookmarkEnd w:id="2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80"/>
        <w:spacing w:after="0" w:line="276" w:lineRule="auto"/>
        <w:rPr>
          <w:sz w:val="20"/>
          <w:szCs w:val="20"/>
          <w:color w:val="auto"/>
        </w:rPr>
      </w:pPr>
      <w:r>
        <w:rPr>
          <w:rFonts w:ascii="Arial" w:cs="Arial" w:eastAsia="Arial" w:hAnsi="Arial"/>
          <w:sz w:val="18"/>
          <w:szCs w:val="18"/>
          <w:color w:val="auto"/>
        </w:rPr>
        <w:t>was our historical performance, estimates of the business potential and earnings prospects, an assessment of our management and the consideration of the above factors in relation to market valuation of companies in related businesses.</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has been approved for listing on The Nasdaq Global Select Market under the symbol “FDMT.”</w:t>
      </w:r>
    </w:p>
    <w:p>
      <w:pPr>
        <w:spacing w:after="0" w:line="212"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77" w:lineRule="exact"/>
        <w:rPr>
          <w:sz w:val="20"/>
          <w:szCs w:val="20"/>
          <w:color w:val="auto"/>
        </w:rPr>
      </w:pPr>
    </w:p>
    <w:p>
      <w:pPr>
        <w:ind w:left="120" w:right="140" w:firstLine="551"/>
        <w:spacing w:after="0" w:line="255"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6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our common stock. As a result, the price of our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174" w:lineRule="exact"/>
        <w:rPr>
          <w:sz w:val="20"/>
          <w:szCs w:val="20"/>
          <w:color w:val="auto"/>
        </w:rPr>
      </w:pPr>
    </w:p>
    <w:p>
      <w:pPr>
        <w:ind w:left="120" w:right="540" w:firstLine="551"/>
        <w:spacing w:after="0" w:line="306" w:lineRule="auto"/>
        <w:rPr>
          <w:sz w:val="20"/>
          <w:szCs w:val="20"/>
          <w:color w:val="auto"/>
        </w:rPr>
      </w:pPr>
      <w:r>
        <w:rPr>
          <w:rFonts w:ascii="Arial" w:cs="Arial" w:eastAsia="Arial" w:hAnsi="Arial"/>
          <w:sz w:val="17"/>
          <w:szCs w:val="17"/>
          <w:color w:val="auto"/>
        </w:rPr>
        <w:t>We estimate that our share of the total expenses of the offering, excluding underwriting discounts and commissions, will be approximately $3.1 million. We have agreed to reimburse the underwriters for certain of their expenses in an amount up to $35,000.</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w:t>
      </w:r>
    </w:p>
    <w:p>
      <w:pPr>
        <w:spacing w:after="0" w:line="212"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may in the future provide a variety of these services to the issuer and to persons and entities with relationships with the issuer, for which they will receive customary fees and expenses.</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100"/>
          </w:cols>
          <w:pgMar w:left="320" w:top="455" w:right="479" w:bottom="1440" w:gutter="0" w:footer="0" w:header="0"/>
        </w:sectPr>
      </w:pPr>
    </w:p>
    <w:bookmarkStart w:id="240" w:name="page241"/>
    <w:bookmarkEnd w:id="2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80" w:firstLine="551"/>
        <w:spacing w:after="0"/>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or instruments of the issuer (directly, as collateral securing other obligations or otherwise) or persons and entities with relationships with the issuer.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European Economic Area and United Kingdom</w:t>
      </w:r>
    </w:p>
    <w:p>
      <w:pPr>
        <w:spacing w:after="0" w:line="106"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In relation to each Member State of the European Economic Area and the United Kingdom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79" w:lineRule="exact"/>
        <w:rPr>
          <w:sz w:val="20"/>
          <w:szCs w:val="20"/>
          <w:color w:val="auto"/>
        </w:rPr>
      </w:pPr>
    </w:p>
    <w:p>
      <w:pPr>
        <w:ind w:left="1300" w:hanging="644"/>
        <w:spacing w:after="0"/>
        <w:tabs>
          <w:tab w:leader="none" w:pos="13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17" w:lineRule="exact"/>
        <w:rPr>
          <w:rFonts w:ascii="Arial" w:cs="Arial" w:eastAsia="Arial" w:hAnsi="Arial"/>
          <w:sz w:val="18"/>
          <w:szCs w:val="18"/>
          <w:color w:val="auto"/>
        </w:rPr>
      </w:pPr>
    </w:p>
    <w:p>
      <w:pPr>
        <w:ind w:left="1300" w:right="420" w:hanging="644"/>
        <w:spacing w:after="0" w:line="276" w:lineRule="auto"/>
        <w:tabs>
          <w:tab w:leader="none" w:pos="13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 or</w:t>
      </w:r>
    </w:p>
    <w:p>
      <w:pPr>
        <w:spacing w:after="0" w:line="50" w:lineRule="exact"/>
        <w:rPr>
          <w:rFonts w:ascii="Arial" w:cs="Arial" w:eastAsia="Arial" w:hAnsi="Arial"/>
          <w:sz w:val="18"/>
          <w:szCs w:val="18"/>
          <w:color w:val="auto"/>
        </w:rPr>
      </w:pPr>
    </w:p>
    <w:p>
      <w:pPr>
        <w:ind w:left="1300" w:hanging="644"/>
        <w:spacing w:after="0"/>
        <w:tabs>
          <w:tab w:leader="none" w:pos="13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12" w:lineRule="exact"/>
        <w:rPr>
          <w:sz w:val="20"/>
          <w:szCs w:val="20"/>
          <w:color w:val="auto"/>
        </w:rPr>
      </w:pPr>
    </w:p>
    <w:p>
      <w:pPr>
        <w:ind w:left="120" w:right="320"/>
        <w:spacing w:after="0" w:line="276"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shares shall require us or any underwriter to publish a prospectus pursuant to Article 3 of the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 or supplement a prospectus pursuant to Article 23 of the Prospectus Regulation.</w:t>
      </w:r>
    </w:p>
    <w:p>
      <w:pPr>
        <w:spacing w:after="0" w:line="145"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Kingdom</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underwriter has represented and agreed that:</w:t>
      </w:r>
    </w:p>
    <w:p>
      <w:pPr>
        <w:spacing w:after="0" w:line="117" w:lineRule="exact"/>
        <w:rPr>
          <w:sz w:val="20"/>
          <w:szCs w:val="20"/>
          <w:color w:val="auto"/>
        </w:rPr>
      </w:pPr>
    </w:p>
    <w:p>
      <w:pPr>
        <w:ind w:left="1300" w:right="280" w:hanging="644"/>
        <w:spacing w:after="0" w:line="248" w:lineRule="auto"/>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(as amended, the FSMA)) received by it in connection with the issue or sale of the shares in circumstances in which Section 21(1) of the FSMA does not apply to the company; and</w:t>
      </w:r>
    </w:p>
    <w:p>
      <w:pPr>
        <w:spacing w:after="0" w:line="75" w:lineRule="exact"/>
        <w:rPr>
          <w:rFonts w:ascii="Arial" w:cs="Arial" w:eastAsia="Arial" w:hAnsi="Arial"/>
          <w:sz w:val="18"/>
          <w:szCs w:val="18"/>
          <w:color w:val="auto"/>
        </w:rPr>
      </w:pPr>
    </w:p>
    <w:p>
      <w:pPr>
        <w:ind w:left="1300" w:right="180" w:hanging="644"/>
        <w:spacing w:after="0" w:line="276" w:lineRule="auto"/>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120"/>
          </w:cols>
          <w:pgMar w:left="320" w:top="455" w:right="459" w:bottom="1440" w:gutter="0" w:footer="0" w:header="0"/>
        </w:sectPr>
      </w:pPr>
    </w:p>
    <w:bookmarkStart w:id="241" w:name="page242"/>
    <w:bookmarkEnd w:id="2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Canada</w:t>
      </w:r>
    </w:p>
    <w:p>
      <w:pPr>
        <w:spacing w:after="0" w:line="106" w:lineRule="exact"/>
        <w:rPr>
          <w:sz w:val="20"/>
          <w:szCs w:val="20"/>
          <w:color w:val="auto"/>
        </w:rPr>
      </w:pPr>
    </w:p>
    <w:p>
      <w:pPr>
        <w:ind w:left="120" w:right="140" w:firstLine="551"/>
        <w:spacing w:after="0" w:line="245" w:lineRule="auto"/>
        <w:rPr>
          <w:sz w:val="20"/>
          <w:szCs w:val="20"/>
          <w:color w:val="auto"/>
        </w:rPr>
      </w:pPr>
      <w:r>
        <w:rPr>
          <w:rFonts w:ascii="Arial" w:cs="Arial" w:eastAsia="Arial" w:hAnsi="Arial"/>
          <w:sz w:val="18"/>
          <w:szCs w:val="18"/>
          <w:color w:val="auto"/>
        </w:rPr>
        <w:t>The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form, or in a transaction not subject to, the prospectus requirements of applicable securities laws.</w:t>
      </w:r>
    </w:p>
    <w:p>
      <w:pPr>
        <w:spacing w:after="0" w:line="172"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72" w:lineRule="exact"/>
        <w:rPr>
          <w:sz w:val="20"/>
          <w:szCs w:val="20"/>
          <w:color w:val="auto"/>
        </w:rPr>
      </w:pPr>
    </w:p>
    <w:p>
      <w:pPr>
        <w:ind w:left="120" w:right="400" w:firstLine="551"/>
        <w:spacing w:after="0" w:line="276"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Hong Kong</w:t>
      </w:r>
    </w:p>
    <w:p>
      <w:pPr>
        <w:spacing w:after="0" w:line="106"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Singapore</w:t>
      </w:r>
    </w:p>
    <w:p>
      <w:pPr>
        <w:spacing w:after="0" w:line="106"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80" w:lineRule="exact"/>
        <w:rPr>
          <w:sz w:val="20"/>
          <w:szCs w:val="20"/>
          <w:color w:val="auto"/>
        </w:rPr>
      </w:pPr>
    </w:p>
    <w:p>
      <w:pPr>
        <w:ind w:left="120" w:right="80" w:firstLine="551"/>
        <w:spacing w:after="0" w:line="276"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120"/>
          </w:cols>
          <w:pgMar w:left="320" w:top="455" w:right="459" w:bottom="1440" w:gutter="0" w:footer="0" w:header="0"/>
        </w:sectPr>
      </w:pPr>
    </w:p>
    <w:bookmarkStart w:id="242" w:name="page243"/>
    <w:bookmarkEnd w:id="2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(i) to an institutional investor under Section 274 of the SFA or to a relevant person (as defined in Section 275(2) of the SFA), (ii) where such transfer arises from an offer in that corporation’s securities pursuant to Section 275(1A) of the SFA, (iii) where no consideration is or will be given for the transfer,</w:t>
      </w:r>
    </w:p>
    <w:p>
      <w:pPr>
        <w:spacing w:after="0" w:line="4" w:lineRule="exact"/>
        <w:rPr>
          <w:sz w:val="20"/>
          <w:szCs w:val="20"/>
          <w:color w:val="auto"/>
        </w:rPr>
      </w:pPr>
    </w:p>
    <w:p>
      <w:pPr>
        <w:ind w:left="120" w:right="460" w:hanging="4"/>
        <w:spacing w:after="0" w:line="250" w:lineRule="auto"/>
        <w:tabs>
          <w:tab w:leader="none" w:pos="4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where the transfer is by operation of law, (v) as specified in Section 276(7) of the SFA, or (vi) as specified in Regulation 32 of the Securities and Futures (Offers of Investments) (Shares and Debentures) Regulations 2005 of Singapore (Regulation 32).</w:t>
      </w:r>
    </w:p>
    <w:p>
      <w:pPr>
        <w:spacing w:after="0" w:line="168"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(i) to an institutional investor under Section 274 of the SFA or to a relevant person (as defined in Section 275(2) of the SFA), (ii)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(iii) where no consideration is or will be given for the transfer, (iv) where the transfer is by operation of law, (v) as specified in Section 276(7) of the SFA, or (vi) as specified in Regulation 32.</w:t>
      </w:r>
    </w:p>
    <w:p>
      <w:pPr>
        <w:spacing w:after="0" w:line="176"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Japan</w:t>
      </w:r>
    </w:p>
    <w:p>
      <w:pPr>
        <w:spacing w:after="0" w:line="106"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The shares have not been and will not be registered under the Financial Instruments and Exchange Act of Japan (Act No. 25 of 1948, as amended) (the FIEA). The shares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Australia</w:t>
      </w:r>
    </w:p>
    <w:p>
      <w:pPr>
        <w:spacing w:after="0" w:line="106"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offering document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2"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080"/>
          </w:cols>
          <w:pgMar w:left="320" w:top="455" w:right="499" w:bottom="1440" w:gutter="0" w:footer="0" w:header="0"/>
        </w:sectPr>
      </w:pPr>
    </w:p>
    <w:bookmarkStart w:id="243" w:name="page244"/>
    <w:bookmarkEnd w:id="2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40"/>
        <w:spacing w:after="0" w:line="276" w:lineRule="auto"/>
        <w:rPr>
          <w:sz w:val="20"/>
          <w:szCs w:val="20"/>
          <w:color w:val="auto"/>
        </w:rPr>
      </w:pPr>
      <w:r>
        <w:rPr>
          <w:rFonts w:ascii="Arial" w:cs="Arial" w:eastAsia="Arial" w:hAnsi="Arial"/>
          <w:sz w:val="18"/>
          <w:szCs w:val="18"/>
          <w:color w:val="auto"/>
        </w:rPr>
        <w:t>or more exemptions contained in section 708 of the Corporations Act so that it is lawful to offer the shares without disclosure to investors under Chapter 6D of the Corporations Act.</w:t>
      </w:r>
    </w:p>
    <w:p>
      <w:pPr>
        <w:spacing w:after="0" w:line="145"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2"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This offering document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offering document is appropriate to their needs, objectives and circumstances, and, if necessary, seek expert advice on those matters.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Dubai International Financial Centre</w:t>
      </w:r>
    </w:p>
    <w:p>
      <w:pPr>
        <w:spacing w:after="0" w:line="106" w:lineRule="exact"/>
        <w:rPr>
          <w:sz w:val="20"/>
          <w:szCs w:val="20"/>
          <w:color w:val="auto"/>
        </w:rPr>
      </w:pPr>
    </w:p>
    <w:p>
      <w:pPr>
        <w:ind w:left="120" w:right="100" w:firstLine="551"/>
        <w:spacing w:after="0" w:line="258" w:lineRule="auto"/>
        <w:rPr>
          <w:sz w:val="20"/>
          <w:szCs w:val="20"/>
          <w:color w:val="auto"/>
        </w:rPr>
      </w:pPr>
      <w:r>
        <w:rPr>
          <w:rFonts w:ascii="Arial" w:cs="Arial" w:eastAsia="Arial" w:hAnsi="Arial"/>
          <w:sz w:val="17"/>
          <w:szCs w:val="17"/>
          <w:color w:val="auto"/>
        </w:rPr>
        <w:t>This offering document relates to an Exempt Offer in accordance with the Offered Securities Rules of the Dubai Financial Services Authority (DFSA). This offering document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in this prospectus and has no responsibility for the offering document. The shares to which this offering document relates may be illiquid and/or subject to restrictions on their resale. Prospective purchasers of the shares offered should conduct their own due diligence on the shares. If you do not understand the contents of this offering document you should consult an authorized financial advisor.</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Switzerland</w:t>
      </w:r>
    </w:p>
    <w:p>
      <w:pPr>
        <w:spacing w:after="0" w:line="106"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We have not and will not register with the Swiss Financial Market Supervisory Authority (FINMA) as a foreign collective investment scheme pursuant to Article 119 of the Federal Act on Collective Investment Scheme of 23 June 2006, as amended (CISA), and accordingly the shares being offered pursuant to this prospectus have not and will not be approved, and may not be licenseable, with FINMA. Therefore, the shares have not been authorized for distribution by FINMA as a foreign collective investment scheme pursuant to Article 119 CISA and the shares offered hereby may not be offered to the public (as this term is defined in Article 3 CISA) in or from Switzerland. The shares may solely be offered to “qualified investors,” as this term is defined in Article 10 CISA, and in the circumstances set out in Article 3 of the Ordinance on Collective Investment Scheme of 22 November 2006, as amended (CISO), such that there is no public offer. Investors, however, do not benefit from protection under CISA or CISO or supervision by FINMA. This prospectus and any other materials relating to the shares are strictly personal and confidential to each offeree and do not constitute an offer to any other person. This prospectus may only be used by those qualified investors to whom it has been handed out in connection with the offer described in this prospectus and may neither directly or indirectly be distributed or made available to any person or entity other than its recipients. It may not be used in connection with any other offer and shall in particular not be copied and/or distributed to the public in Switzerland or from Switzerland. This prospectus does not constitute an issue prospectus as that term is understood pursuant to Article 652a and/or 1156 of the Swiss Federal Code of Obligations. We have not applied for a listing of the shares on the SIX Swiss Exchange or any other regulated securities market in Switzerland, and consequently, the information presented in this prospectus does not necessarily comply with the information standards set out in the listing rules of the SIX Swiss Exchange and corresponding prospectus schemes annexed to the listing rules of the SIX Swiss Exchange.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100"/>
          </w:cols>
          <w:pgMar w:left="320" w:top="455" w:right="479" w:bottom="1440" w:gutter="0" w:footer="0" w:header="0"/>
        </w:sectPr>
      </w:pPr>
    </w:p>
    <w:bookmarkStart w:id="244" w:name="page245"/>
    <w:bookmarkEnd w:id="2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14" w:lineRule="exact"/>
        <w:rPr>
          <w:sz w:val="20"/>
          <w:szCs w:val="20"/>
          <w:color w:val="auto"/>
        </w:rPr>
      </w:pPr>
    </w:p>
    <w:p>
      <w:pPr>
        <w:ind w:left="120" w:right="240" w:firstLine="551"/>
        <w:spacing w:after="0" w:line="306" w:lineRule="auto"/>
        <w:rPr>
          <w:sz w:val="20"/>
          <w:szCs w:val="20"/>
          <w:color w:val="auto"/>
        </w:rPr>
      </w:pPr>
      <w:r>
        <w:rPr>
          <w:rFonts w:ascii="Arial" w:cs="Arial" w:eastAsia="Arial" w:hAnsi="Arial"/>
          <w:sz w:val="17"/>
          <w:szCs w:val="17"/>
          <w:color w:val="auto"/>
        </w:rPr>
        <w:t>The validity of the issuance of our common stock offered in this prospectus will be passed upon for us by Latham &amp; Watkins LLP, Menlo Park, California. Cooley LLP, San Francisco, California, is acting as counsel for the underwriters in connection with this offering.</w:t>
      </w:r>
    </w:p>
    <w:p>
      <w:pPr>
        <w:spacing w:after="0" w:line="3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14" w:lineRule="exact"/>
        <w:rPr>
          <w:sz w:val="20"/>
          <w:szCs w:val="20"/>
          <w:color w:val="auto"/>
        </w:rPr>
      </w:pPr>
    </w:p>
    <w:p>
      <w:pPr>
        <w:ind w:left="120" w:right="120" w:firstLine="551"/>
        <w:spacing w:after="0" w:line="248" w:lineRule="auto"/>
        <w:rPr>
          <w:sz w:val="20"/>
          <w:szCs w:val="20"/>
          <w:color w:val="auto"/>
        </w:rPr>
      </w:pPr>
      <w:r>
        <w:rPr>
          <w:rFonts w:ascii="Arial" w:cs="Arial" w:eastAsia="Arial" w:hAnsi="Arial"/>
          <w:sz w:val="18"/>
          <w:szCs w:val="18"/>
          <w:color w:val="auto"/>
        </w:rPr>
        <w:t>The financial statements as of December 31, 2018 and December 31, 2019 and for the years then ended included in this Prospectus have been so included in reliance on the report (which contains an explanatory paragraph relating to the Company’s ability to continue as a going concern as described in Note 1 to the financial statements) of PricewaterhouseCoopers LLP, an independent registered public accounting firm, given on the authority of said firm as experts in auditing and accounting.</w:t>
      </w:r>
    </w:p>
    <w:p>
      <w:pPr>
        <w:spacing w:after="0" w:line="38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14"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our common stock offered hereby. This prospectus, which constitutes a part of the registration statement, does not contain all of the information set forth in the registration statement or the exhibits and schedules filed therewith. For further information with respect to 4D Molecular Therapeutics, Inc. and the common stock offered hereby, reference is made to the registration statement and the exhibits and schedules filed therewith.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The SEC maintains a website that contains reports, proxy and information statements and other information regarding registrants that file electronically with the SEC. The address is www.sec.gov.</w:t>
      </w:r>
    </w:p>
    <w:p>
      <w:pPr>
        <w:spacing w:after="0" w:line="176"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Upon completion of this offering, we will become subject to the information and periodic reporting requirements of the Exchange Act and, in accordance therewith, will file periodic reports, proxy statements and other information with the SEC. Such periodic reports, proxy statements and other information will be available for inspection and copying at the public reference room and website of the SEC referred to above. We maintain a website at www.4dmoleculartherapeutics.com. Upon completion of this offering, you may access our annual reports on Form 10-K, quarterly reports on Form 10-Q, current reports on Form 8-K, and amendments to those reports filed or furnished pursuant to Section 13(a) or 15(d) of the Exchange Act with the SEC free of charge at our website as soon as reasonably practicable after such material is electronically filed with, or furnished to, the SEC. The reference to our website address does not constitute incorporation by reference of the information contained on our website, and you should not consider the contents of our website in making an investment decision with respect to our common stock.</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120"/>
          </w:cols>
          <w:pgMar w:left="320" w:top="455" w:right="459" w:bottom="1440" w:gutter="0" w:footer="0" w:header="0"/>
        </w:sectPr>
      </w:pPr>
    </w:p>
    <w:bookmarkStart w:id="245" w:name="page246"/>
    <w:bookmarkEnd w:id="2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4D Molecular Therapeutics, Inc.</w:t>
      </w:r>
    </w:p>
    <w:p>
      <w:pPr>
        <w:spacing w:after="0" w:line="32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10600" w:type="dxa"/>
            <w:vAlign w:val="bottom"/>
            <w:vMerge w:val="restart"/>
          </w:tcPr>
          <w:p>
            <w:pPr>
              <w:spacing w:after="0"/>
              <w:rPr>
                <w:rFonts w:ascii="Arial" w:cs="Arial" w:eastAsia="Arial" w:hAnsi="Arial"/>
                <w:sz w:val="18"/>
                <w:szCs w:val="18"/>
                <w:u w:val="single" w:color="auto"/>
                <w:color w:val="0000EE"/>
              </w:rPr>
            </w:pPr>
            <w:hyperlink w:anchor="page247">
              <w:r>
                <w:rPr>
                  <w:rFonts w:ascii="Arial" w:cs="Arial" w:eastAsia="Arial" w:hAnsi="Arial"/>
                  <w:sz w:val="18"/>
                  <w:szCs w:val="18"/>
                  <w:u w:val="single" w:color="auto"/>
                  <w:color w:val="0000EE"/>
                </w:rPr>
                <w:t>Report of Independent Registered Public Accounting Firm</w:t>
              </w:r>
            </w:hyperlink>
          </w:p>
        </w:tc>
        <w:tc>
          <w:tcPr>
            <w:tcW w:w="3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3"/>
        </w:trPr>
        <w:tc>
          <w:tcPr>
            <w:tcW w:w="10600" w:type="dxa"/>
            <w:vAlign w:val="bottom"/>
            <w:vMerge w:val="continue"/>
          </w:tcPr>
          <w:p>
            <w:pPr>
              <w:spacing w:after="0"/>
              <w:rPr>
                <w:sz w:val="15"/>
                <w:szCs w:val="15"/>
                <w:color w:val="auto"/>
              </w:rPr>
            </w:pPr>
          </w:p>
        </w:tc>
        <w:tc>
          <w:tcPr>
            <w:tcW w:w="36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600" w:type="dxa"/>
            <w:vAlign w:val="bottom"/>
          </w:tcPr>
          <w:p>
            <w:pPr>
              <w:spacing w:after="0" w:line="202" w:lineRule="exact"/>
              <w:rPr>
                <w:rFonts w:ascii="Arial" w:cs="Arial" w:eastAsia="Arial" w:hAnsi="Arial"/>
                <w:sz w:val="18"/>
                <w:szCs w:val="18"/>
                <w:u w:val="single" w:color="auto"/>
                <w:color w:val="0000EE"/>
              </w:rPr>
            </w:pPr>
            <w:hyperlink w:anchor="page248">
              <w:r>
                <w:rPr>
                  <w:rFonts w:ascii="Arial" w:cs="Arial" w:eastAsia="Arial" w:hAnsi="Arial"/>
                  <w:sz w:val="18"/>
                  <w:szCs w:val="18"/>
                  <w:u w:val="single" w:color="auto"/>
                  <w:color w:val="0000EE"/>
                </w:rPr>
                <w:t>Balance Sheets</w:t>
              </w:r>
            </w:hyperlink>
          </w:p>
        </w:tc>
        <w:tc>
          <w:tcPr>
            <w:tcW w:w="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3"/>
        </w:trPr>
        <w:tc>
          <w:tcPr>
            <w:tcW w:w="10600" w:type="dxa"/>
            <w:vAlign w:val="bottom"/>
          </w:tcPr>
          <w:p>
            <w:pPr>
              <w:spacing w:after="0" w:line="202" w:lineRule="exact"/>
              <w:rPr>
                <w:rFonts w:ascii="Arial" w:cs="Arial" w:eastAsia="Arial" w:hAnsi="Arial"/>
                <w:sz w:val="18"/>
                <w:szCs w:val="18"/>
                <w:u w:val="single" w:color="auto"/>
                <w:color w:val="0000EE"/>
              </w:rPr>
            </w:pPr>
            <w:hyperlink w:anchor="page249">
              <w:r>
                <w:rPr>
                  <w:rFonts w:ascii="Arial" w:cs="Arial" w:eastAsia="Arial" w:hAnsi="Arial"/>
                  <w:sz w:val="18"/>
                  <w:szCs w:val="18"/>
                  <w:u w:val="single" w:color="auto"/>
                  <w:color w:val="0000EE"/>
                </w:rPr>
                <w:t>Statements of Operations and Comprehensive Loss</w:t>
              </w:r>
            </w:hyperlink>
          </w:p>
        </w:tc>
        <w:tc>
          <w:tcPr>
            <w:tcW w:w="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3"/>
        </w:trPr>
        <w:tc>
          <w:tcPr>
            <w:tcW w:w="10600" w:type="dxa"/>
            <w:vAlign w:val="bottom"/>
          </w:tcPr>
          <w:p>
            <w:pPr>
              <w:spacing w:after="0" w:line="202" w:lineRule="exact"/>
              <w:rPr>
                <w:rFonts w:ascii="Arial" w:cs="Arial" w:eastAsia="Arial" w:hAnsi="Arial"/>
                <w:sz w:val="18"/>
                <w:szCs w:val="18"/>
                <w:u w:val="single" w:color="auto"/>
                <w:color w:val="0000EE"/>
              </w:rPr>
            </w:pPr>
            <w:hyperlink w:anchor="page250">
              <w:r>
                <w:rPr>
                  <w:rFonts w:ascii="Arial" w:cs="Arial" w:eastAsia="Arial" w:hAnsi="Arial"/>
                  <w:sz w:val="18"/>
                  <w:szCs w:val="18"/>
                  <w:u w:val="single" w:color="auto"/>
                  <w:color w:val="0000EE"/>
                </w:rPr>
                <w:t>Statements of Redeemable Convertible Preferred Stock and Stockholders’ Deficit</w:t>
              </w:r>
            </w:hyperlink>
          </w:p>
        </w:tc>
        <w:tc>
          <w:tcPr>
            <w:tcW w:w="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3"/>
        </w:trPr>
        <w:tc>
          <w:tcPr>
            <w:tcW w:w="10600" w:type="dxa"/>
            <w:vAlign w:val="bottom"/>
          </w:tcPr>
          <w:p>
            <w:pPr>
              <w:spacing w:after="0" w:line="202" w:lineRule="exact"/>
              <w:rPr>
                <w:rFonts w:ascii="Arial" w:cs="Arial" w:eastAsia="Arial" w:hAnsi="Arial"/>
                <w:sz w:val="18"/>
                <w:szCs w:val="18"/>
                <w:u w:val="single" w:color="auto"/>
                <w:color w:val="0000EE"/>
              </w:rPr>
            </w:pPr>
            <w:hyperlink w:anchor="page252">
              <w:r>
                <w:rPr>
                  <w:rFonts w:ascii="Arial" w:cs="Arial" w:eastAsia="Arial" w:hAnsi="Arial"/>
                  <w:sz w:val="18"/>
                  <w:szCs w:val="18"/>
                  <w:u w:val="single" w:color="auto"/>
                  <w:color w:val="0000EE"/>
                </w:rPr>
                <w:t>Statements of Cash Flows</w:t>
              </w:r>
            </w:hyperlink>
          </w:p>
        </w:tc>
        <w:tc>
          <w:tcPr>
            <w:tcW w:w="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43"/>
        </w:trPr>
        <w:tc>
          <w:tcPr>
            <w:tcW w:w="10600" w:type="dxa"/>
            <w:vAlign w:val="bottom"/>
          </w:tcPr>
          <w:p>
            <w:pPr>
              <w:spacing w:after="0"/>
              <w:rPr>
                <w:rFonts w:ascii="Arial" w:cs="Arial" w:eastAsia="Arial" w:hAnsi="Arial"/>
                <w:sz w:val="18"/>
                <w:szCs w:val="18"/>
                <w:u w:val="single" w:color="auto"/>
                <w:color w:val="0000EE"/>
              </w:rPr>
            </w:pPr>
            <w:hyperlink w:anchor="page253">
              <w:r>
                <w:rPr>
                  <w:rFonts w:ascii="Arial" w:cs="Arial" w:eastAsia="Arial" w:hAnsi="Arial"/>
                  <w:sz w:val="18"/>
                  <w:szCs w:val="18"/>
                  <w:u w:val="single" w:color="auto"/>
                  <w:color w:val="0000EE"/>
                </w:rPr>
                <w:t>Notes to Financial Statements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351"/>
        </w:trPr>
        <w:tc>
          <w:tcPr>
            <w:tcW w:w="10600" w:type="dxa"/>
            <w:vAlign w:val="bottom"/>
          </w:tcPr>
          <w:p>
            <w:pPr>
              <w:ind w:left="5360"/>
              <w:spacing w:after="0"/>
              <w:rPr>
                <w:sz w:val="20"/>
                <w:szCs w:val="20"/>
                <w:color w:val="auto"/>
              </w:rPr>
            </w:pPr>
            <w:r>
              <w:rPr>
                <w:rFonts w:ascii="Arial" w:cs="Arial" w:eastAsia="Arial" w:hAnsi="Arial"/>
                <w:sz w:val="18"/>
                <w:szCs w:val="18"/>
                <w:color w:val="auto"/>
              </w:rPr>
              <w:t>F-1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246" w:name="page247"/>
    <w:bookmarkEnd w:id="2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Stockholders of 4D Molecular Therapeutics, Inc.</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04" w:lineRule="exact"/>
        <w:rPr>
          <w:sz w:val="20"/>
          <w:szCs w:val="20"/>
          <w:color w:val="auto"/>
        </w:rPr>
      </w:pPr>
    </w:p>
    <w:p>
      <w:pPr>
        <w:ind w:left="120"/>
        <w:spacing w:after="0" w:line="243" w:lineRule="auto"/>
        <w:rPr>
          <w:sz w:val="20"/>
          <w:szCs w:val="20"/>
          <w:color w:val="auto"/>
        </w:rPr>
      </w:pPr>
      <w:r>
        <w:rPr>
          <w:rFonts w:ascii="Arial" w:cs="Arial" w:eastAsia="Arial" w:hAnsi="Arial"/>
          <w:sz w:val="18"/>
          <w:szCs w:val="18"/>
          <w:color w:val="auto"/>
        </w:rPr>
        <w:t>We have audited the accompanying balance sheets of 4D Molecular Therapeutics, Inc. (the “Company”) as of December 31, 2019 and 2018, and the related statements of operations and comprehensive loss, of redeemable convertible preferred stock and stockholders’ deficit and of cash flows for the years then ended, including the related notes (collectively referred to as the “financial statements”). In our opinion, the financial statements present fairly, in all material respects, the financial position of the Company as of December 31, 2019 and 2018, and the results of its operations and its cash flows for the years then ended in conformity with accounting principles generally accepted in the United States of America.</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Substantial Doubt about the Company’s Ability to Continue as a Going Concern</w:t>
      </w:r>
    </w:p>
    <w:p>
      <w:pPr>
        <w:spacing w:after="0" w:line="102" w:lineRule="exact"/>
        <w:rPr>
          <w:sz w:val="20"/>
          <w:szCs w:val="20"/>
          <w:color w:val="auto"/>
        </w:rPr>
      </w:pPr>
    </w:p>
    <w:p>
      <w:pPr>
        <w:ind w:left="120" w:right="140"/>
        <w:spacing w:after="0" w:line="248"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1 to the financial statements, the Company has recurring losses and negative cash flows from operations that raise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04" w:lineRule="exact"/>
        <w:rPr>
          <w:sz w:val="20"/>
          <w:szCs w:val="20"/>
          <w:color w:val="auto"/>
        </w:rPr>
      </w:pPr>
    </w:p>
    <w:p>
      <w:pPr>
        <w:ind w:left="120" w:right="100"/>
        <w:spacing w:after="0" w:line="24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0"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We conducted our audits of these financial statements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64" w:lineRule="exact"/>
        <w:rPr>
          <w:sz w:val="20"/>
          <w:szCs w:val="20"/>
          <w:color w:val="auto"/>
        </w:rPr>
      </w:pPr>
    </w:p>
    <w:p>
      <w:pPr>
        <w:ind w:left="120" w:right="20"/>
        <w:spacing w:after="0" w:line="24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PricewaterhouseCoopers LLP</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Jose, California</w:t>
      </w:r>
    </w:p>
    <w:p>
      <w:pPr>
        <w:ind w:left="120" w:right="160"/>
        <w:spacing w:after="0" w:line="242" w:lineRule="auto"/>
        <w:rPr>
          <w:sz w:val="20"/>
          <w:szCs w:val="20"/>
          <w:color w:val="auto"/>
        </w:rPr>
      </w:pPr>
      <w:r>
        <w:rPr>
          <w:rFonts w:ascii="Arial" w:cs="Arial" w:eastAsia="Arial" w:hAnsi="Arial"/>
          <w:sz w:val="18"/>
          <w:szCs w:val="18"/>
          <w:color w:val="auto"/>
        </w:rPr>
        <w:t>June 19, 2020, except for (i) the effects of disclosing net loss per share information, (ii) the segment information, and (iii) the matters that raise substantial doubt about the Company’s ability to continue as a going concern discussed in Notes 14, 2, and 1, respectively, to the financial statements, as to which the date is October 14, 2020</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2016.</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20"/>
          </w:cols>
          <w:pgMar w:left="320" w:top="455" w:right="459" w:bottom="1440" w:gutter="0" w:footer="0" w:header="0"/>
        </w:sectPr>
      </w:pPr>
    </w:p>
    <w:bookmarkStart w:id="247" w:name="page248"/>
    <w:bookmarkEnd w:id="2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4D Molecular Therapeutics, Inc.</w:t>
      </w:r>
    </w:p>
    <w:p>
      <w:pPr>
        <w:spacing w:after="0" w:line="104"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Balance Sheets</w:t>
      </w:r>
    </w:p>
    <w:p>
      <w:pPr>
        <w:spacing w:after="0" w:line="2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6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auto"/>
                <w:w w:val="98"/>
              </w:rPr>
              <w:t>As of</w:t>
            </w: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Pro Forma</w:t>
            </w:r>
          </w:p>
        </w:tc>
        <w:tc>
          <w:tcPr>
            <w:tcW w:w="0" w:type="dxa"/>
            <w:vAlign w:val="bottom"/>
          </w:tcPr>
          <w:p>
            <w:pPr>
              <w:spacing w:after="0"/>
              <w:rPr>
                <w:sz w:val="1"/>
                <w:szCs w:val="1"/>
                <w:color w:val="auto"/>
              </w:rPr>
            </w:pPr>
          </w:p>
        </w:tc>
      </w:tr>
      <w:tr>
        <w:trPr>
          <w:trHeight w:val="78"/>
        </w:trPr>
        <w:tc>
          <w:tcPr>
            <w:tcW w:w="6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w w:val="98"/>
              </w:rPr>
              <w:t>As of</w:t>
            </w:r>
          </w:p>
        </w:tc>
        <w:tc>
          <w:tcPr>
            <w:tcW w:w="0" w:type="dxa"/>
            <w:vAlign w:val="bottom"/>
          </w:tcPr>
          <w:p>
            <w:pPr>
              <w:spacing w:after="0"/>
              <w:rPr>
                <w:sz w:val="1"/>
                <w:szCs w:val="1"/>
                <w:color w:val="auto"/>
              </w:rPr>
            </w:pPr>
          </w:p>
        </w:tc>
      </w:tr>
      <w:tr>
        <w:trPr>
          <w:trHeight w:val="57"/>
        </w:trPr>
        <w:tc>
          <w:tcPr>
            <w:tcW w:w="6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gridSpan w:val="5"/>
            <w:vMerge w:val="restart"/>
          </w:tcPr>
          <w:p>
            <w:pPr>
              <w:jc w:val="right"/>
              <w:ind w:right="368"/>
              <w:spacing w:after="0" w:line="115" w:lineRule="exact"/>
              <w:rPr>
                <w:sz w:val="20"/>
                <w:szCs w:val="20"/>
                <w:color w:val="auto"/>
              </w:rPr>
            </w:pPr>
            <w:r>
              <w:rPr>
                <w:rFonts w:ascii="Arial" w:cs="Arial" w:eastAsia="Arial" w:hAnsi="Arial"/>
                <w:sz w:val="13"/>
                <w:szCs w:val="13"/>
                <w:b w:val="1"/>
                <w:bCs w:val="1"/>
                <w:color w:val="auto"/>
              </w:rPr>
              <w:t>December 31,</w:t>
            </w:r>
          </w:p>
        </w:tc>
        <w:tc>
          <w:tcPr>
            <w:tcW w:w="480" w:type="dxa"/>
            <w:vAlign w:val="bottom"/>
          </w:tcPr>
          <w:p>
            <w:pPr>
              <w:spacing w:after="0"/>
              <w:rPr>
                <w:sz w:val="4"/>
                <w:szCs w:val="4"/>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8"/>
        </w:trPr>
        <w:tc>
          <w:tcPr>
            <w:tcW w:w="64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gridSpan w:val="5"/>
            <w:vMerge w:val="continue"/>
          </w:tcPr>
          <w:p>
            <w:pPr>
              <w:spacing w:after="0"/>
              <w:rPr>
                <w:sz w:val="6"/>
                <w:szCs w:val="6"/>
                <w:color w:val="auto"/>
              </w:rPr>
            </w:pPr>
          </w:p>
        </w:tc>
        <w:tc>
          <w:tcPr>
            <w:tcW w:w="480" w:type="dxa"/>
            <w:vAlign w:val="bottom"/>
            <w:vMerge w:val="restart"/>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gridSpan w:val="3"/>
            <w:vMerge w:val="restart"/>
          </w:tcPr>
          <w:p>
            <w:pPr>
              <w:spacing w:after="0" w:line="132" w:lineRule="exact"/>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34"/>
        </w:trPr>
        <w:tc>
          <w:tcPr>
            <w:tcW w:w="6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gridSpan w:val="5"/>
          </w:tcPr>
          <w:p>
            <w:pPr>
              <w:spacing w:after="0"/>
              <w:rPr>
                <w:sz w:val="2"/>
                <w:szCs w:val="2"/>
                <w:color w:val="auto"/>
              </w:rPr>
            </w:pPr>
          </w:p>
        </w:tc>
        <w:tc>
          <w:tcPr>
            <w:tcW w:w="480" w:type="dxa"/>
            <w:vAlign w:val="bottom"/>
            <w:vMerge w:val="continue"/>
          </w:tcPr>
          <w:p>
            <w:pPr>
              <w:spacing w:after="0"/>
              <w:rPr>
                <w:sz w:val="2"/>
                <w:szCs w:val="2"/>
                <w:color w:val="auto"/>
              </w:rPr>
            </w:pPr>
          </w:p>
        </w:tc>
        <w:tc>
          <w:tcPr>
            <w:tcW w:w="126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2018</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rPr>
              <w:t>2019</w:t>
            </w: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48"/>
              <w:spacing w:after="0" w:line="129" w:lineRule="exact"/>
              <w:rPr>
                <w:sz w:val="20"/>
                <w:szCs w:val="20"/>
                <w:color w:val="auto"/>
              </w:rPr>
            </w:pPr>
            <w:r>
              <w:rPr>
                <w:rFonts w:ascii="Arial" w:cs="Arial" w:eastAsia="Arial" w:hAnsi="Arial"/>
                <w:sz w:val="13"/>
                <w:szCs w:val="13"/>
                <w:b w:val="1"/>
                <w:bCs w:val="1"/>
                <w:color w:val="auto"/>
                <w:w w:val="96"/>
              </w:rPr>
              <w:t>(Unaudited)</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ind w:right="9"/>
              <w:spacing w:after="0" w:line="129" w:lineRule="exact"/>
              <w:rPr>
                <w:sz w:val="20"/>
                <w:szCs w:val="20"/>
                <w:color w:val="auto"/>
              </w:rPr>
            </w:pPr>
            <w:r>
              <w:rPr>
                <w:rFonts w:ascii="Arial" w:cs="Arial" w:eastAsia="Arial" w:hAnsi="Arial"/>
                <w:sz w:val="13"/>
                <w:szCs w:val="13"/>
                <w:b w:val="1"/>
                <w:bCs w:val="1"/>
                <w:color w:val="auto"/>
                <w:w w:val="96"/>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0" w:type="dxa"/>
            <w:vAlign w:val="bottom"/>
          </w:tcPr>
          <w:p>
            <w:pPr>
              <w:spacing w:after="0"/>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91,761</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49,652</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88,755</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88,755</w:t>
            </w:r>
          </w:p>
        </w:tc>
        <w:tc>
          <w:tcPr>
            <w:tcW w:w="0" w:type="dxa"/>
            <w:vAlign w:val="bottom"/>
          </w:tcPr>
          <w:p>
            <w:pPr>
              <w:spacing w:after="0"/>
              <w:rPr>
                <w:sz w:val="1"/>
                <w:szCs w:val="1"/>
                <w:color w:val="auto"/>
              </w:rPr>
            </w:pPr>
          </w:p>
        </w:tc>
      </w:tr>
      <w:tr>
        <w:trPr>
          <w:trHeight w:val="162"/>
        </w:trPr>
        <w:tc>
          <w:tcPr>
            <w:tcW w:w="6400" w:type="dxa"/>
            <w:vAlign w:val="bottom"/>
          </w:tcPr>
          <w:p>
            <w:pPr>
              <w:ind w:left="580"/>
              <w:spacing w:after="0"/>
              <w:rPr>
                <w:sz w:val="20"/>
                <w:szCs w:val="20"/>
                <w:color w:val="auto"/>
              </w:rPr>
            </w:pPr>
            <w:r>
              <w:rPr>
                <w:rFonts w:ascii="Arial" w:cs="Arial" w:eastAsia="Arial" w:hAnsi="Arial"/>
                <w:sz w:val="14"/>
                <w:szCs w:val="14"/>
                <w:color w:val="auto"/>
              </w:rPr>
              <w:t>Accounts receivable</w:t>
            </w:r>
          </w:p>
        </w:tc>
        <w:tc>
          <w:tcPr>
            <w:tcW w:w="8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1,124</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color w:val="auto"/>
              </w:rPr>
              <w:t>978</w:t>
            </w:r>
          </w:p>
        </w:tc>
        <w:tc>
          <w:tcPr>
            <w:tcW w:w="12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896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896</w:t>
            </w:r>
          </w:p>
        </w:tc>
        <w:tc>
          <w:tcPr>
            <w:tcW w:w="0" w:type="dxa"/>
            <w:vAlign w:val="bottom"/>
          </w:tcPr>
          <w:p>
            <w:pPr>
              <w:spacing w:after="0"/>
              <w:rPr>
                <w:sz w:val="1"/>
                <w:szCs w:val="1"/>
                <w:color w:val="auto"/>
              </w:rPr>
            </w:pPr>
          </w:p>
        </w:tc>
      </w:tr>
      <w:tr>
        <w:trPr>
          <w:trHeight w:val="149"/>
        </w:trPr>
        <w:tc>
          <w:tcPr>
            <w:tcW w:w="64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Prepaid expenses and other current assets (includes $0, $149 and $295 (unaudited),</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at December 31, 2018, December 31, 2019 and September 30, 2020, respectively,</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attributable to related parties)</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1,183</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1,878</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2,885</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2,885</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1140"/>
              <w:spacing w:after="0"/>
              <w:rPr>
                <w:sz w:val="20"/>
                <w:szCs w:val="20"/>
                <w:color w:val="auto"/>
              </w:rPr>
            </w:pPr>
            <w:r>
              <w:rPr>
                <w:rFonts w:ascii="Arial" w:cs="Arial" w:eastAsia="Arial" w:hAnsi="Arial"/>
                <w:sz w:val="14"/>
                <w:szCs w:val="14"/>
                <w:color w:val="auto"/>
              </w:rPr>
              <w:t>Total current assets</w:t>
            </w: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94,068</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color w:val="auto"/>
              </w:rPr>
              <w:t>52,508</w:t>
            </w:r>
          </w:p>
        </w:tc>
        <w:tc>
          <w:tcPr>
            <w:tcW w:w="12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92,536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92,536</w:t>
            </w: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spacing w:after="0"/>
              <w:rPr>
                <w:sz w:val="20"/>
                <w:szCs w:val="20"/>
                <w:color w:val="auto"/>
              </w:rPr>
            </w:pPr>
            <w:r>
              <w:rPr>
                <w:rFonts w:ascii="Arial" w:cs="Arial" w:eastAsia="Arial" w:hAnsi="Arial"/>
                <w:sz w:val="14"/>
                <w:szCs w:val="14"/>
                <w:color w:val="auto"/>
              </w:rPr>
              <w:t>Property and equipment, net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2,472</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5,049</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4,981</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4,981</w:t>
            </w:r>
          </w:p>
        </w:tc>
        <w:tc>
          <w:tcPr>
            <w:tcW w:w="0" w:type="dxa"/>
            <w:vAlign w:val="bottom"/>
          </w:tcPr>
          <w:p>
            <w:pPr>
              <w:spacing w:after="0"/>
              <w:rPr>
                <w:sz w:val="1"/>
                <w:szCs w:val="1"/>
                <w:color w:val="auto"/>
              </w:rPr>
            </w:pPr>
          </w:p>
        </w:tc>
      </w:tr>
      <w:tr>
        <w:trPr>
          <w:trHeight w:val="162"/>
        </w:trPr>
        <w:tc>
          <w:tcPr>
            <w:tcW w:w="6400" w:type="dxa"/>
            <w:vAlign w:val="bottom"/>
          </w:tcPr>
          <w:p>
            <w:pPr>
              <w:spacing w:after="0"/>
              <w:rPr>
                <w:sz w:val="20"/>
                <w:szCs w:val="20"/>
                <w:color w:val="auto"/>
              </w:rPr>
            </w:pPr>
            <w:r>
              <w:rPr>
                <w:rFonts w:ascii="Arial" w:cs="Arial" w:eastAsia="Arial" w:hAnsi="Arial"/>
                <w:sz w:val="14"/>
                <w:szCs w:val="14"/>
                <w:color w:val="auto"/>
              </w:rPr>
              <w:t>Other assets</w:t>
            </w:r>
          </w:p>
        </w:tc>
        <w:tc>
          <w:tcPr>
            <w:tcW w:w="8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429</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color w:val="auto"/>
              </w:rPr>
              <w:t>677</w:t>
            </w:r>
          </w:p>
        </w:tc>
        <w:tc>
          <w:tcPr>
            <w:tcW w:w="12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675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400" w:type="dxa"/>
            <w:vAlign w:val="bottom"/>
            <w:shd w:val="clear" w:color="auto" w:fill="CCEEFF"/>
          </w:tcPr>
          <w:p>
            <w:pPr>
              <w:spacing w:after="0"/>
              <w:rPr>
                <w:sz w:val="20"/>
                <w:szCs w:val="20"/>
                <w:color w:val="auto"/>
              </w:rPr>
            </w:pPr>
            <w:r>
              <w:rPr>
                <w:rFonts w:ascii="Arial" w:cs="Arial" w:eastAsia="Arial" w:hAnsi="Arial"/>
                <w:sz w:val="14"/>
                <w:szCs w:val="14"/>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96,969</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58,234</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98,192</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98,192</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4"/>
                <w:szCs w:val="14"/>
                <w:b w:val="1"/>
                <w:bCs w:val="1"/>
                <w:color w:val="auto"/>
              </w:rPr>
              <w:t>Liabilities, Redeemable Convertible Preferred Stock and Stockholders’ (Deficit)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0" w:type="dxa"/>
            <w:vAlign w:val="bottom"/>
          </w:tcPr>
          <w:p>
            <w:pPr>
              <w:ind w:left="580"/>
              <w:spacing w:after="0"/>
              <w:rPr>
                <w:sz w:val="20"/>
                <w:szCs w:val="20"/>
                <w:color w:val="auto"/>
              </w:rPr>
            </w:pPr>
            <w:r>
              <w:rPr>
                <w:rFonts w:ascii="Arial" w:cs="Arial" w:eastAsia="Arial" w:hAnsi="Arial"/>
                <w:sz w:val="14"/>
                <w:szCs w:val="14"/>
                <w:color w:val="auto"/>
              </w:rPr>
              <w:t>Accounts payable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954</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80"/>
              <w:spacing w:after="0"/>
              <w:rPr>
                <w:sz w:val="20"/>
                <w:szCs w:val="20"/>
                <w:color w:val="auto"/>
              </w:rPr>
            </w:pPr>
            <w:r>
              <w:rPr>
                <w:rFonts w:ascii="Arial" w:cs="Arial" w:eastAsia="Arial" w:hAnsi="Arial"/>
                <w:sz w:val="14"/>
                <w:szCs w:val="14"/>
                <w:color w:val="auto"/>
              </w:rPr>
              <w:t>1,744</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1,292</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1,292</w:t>
            </w: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Accrued and other current liabilities</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2,193</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5,347</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7,367</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7,367</w:t>
            </w:r>
          </w:p>
        </w:tc>
        <w:tc>
          <w:tcPr>
            <w:tcW w:w="0" w:type="dxa"/>
            <w:vAlign w:val="bottom"/>
          </w:tcPr>
          <w:p>
            <w:pPr>
              <w:spacing w:after="0"/>
              <w:rPr>
                <w:sz w:val="1"/>
                <w:szCs w:val="1"/>
                <w:color w:val="auto"/>
              </w:rPr>
            </w:pPr>
          </w:p>
        </w:tc>
      </w:tr>
      <w:tr>
        <w:trPr>
          <w:trHeight w:val="149"/>
        </w:trPr>
        <w:tc>
          <w:tcPr>
            <w:tcW w:w="6400" w:type="dxa"/>
            <w:vAlign w:val="bottom"/>
          </w:tcPr>
          <w:p>
            <w:pPr>
              <w:ind w:left="580"/>
              <w:spacing w:after="0" w:line="149" w:lineRule="exact"/>
              <w:rPr>
                <w:sz w:val="20"/>
                <w:szCs w:val="20"/>
                <w:color w:val="auto"/>
              </w:rPr>
            </w:pPr>
            <w:r>
              <w:rPr>
                <w:rFonts w:ascii="Arial" w:cs="Arial" w:eastAsia="Arial" w:hAnsi="Arial"/>
                <w:sz w:val="14"/>
                <w:szCs w:val="14"/>
                <w:color w:val="auto"/>
              </w:rPr>
              <w:t>Deferred revenue (includes $0, $1,122 and $0 (unaudited), at December 31, 2018,</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400" w:type="dxa"/>
            <w:vAlign w:val="bottom"/>
          </w:tcPr>
          <w:p>
            <w:pPr>
              <w:ind w:left="720"/>
              <w:spacing w:after="0"/>
              <w:rPr>
                <w:sz w:val="20"/>
                <w:szCs w:val="20"/>
                <w:color w:val="auto"/>
              </w:rPr>
            </w:pPr>
            <w:r>
              <w:rPr>
                <w:rFonts w:ascii="Arial" w:cs="Arial" w:eastAsia="Arial" w:hAnsi="Arial"/>
                <w:sz w:val="14"/>
                <w:szCs w:val="14"/>
                <w:color w:val="auto"/>
              </w:rPr>
              <w:t>December 31, 2019 and September 30, 2020, respectively, attributable to related</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00" w:type="dxa"/>
            <w:vAlign w:val="bottom"/>
          </w:tcPr>
          <w:p>
            <w:pPr>
              <w:ind w:left="720"/>
              <w:spacing w:after="0"/>
              <w:rPr>
                <w:sz w:val="20"/>
                <w:szCs w:val="20"/>
                <w:color w:val="auto"/>
              </w:rPr>
            </w:pPr>
            <w:r>
              <w:rPr>
                <w:rFonts w:ascii="Arial" w:cs="Arial" w:eastAsia="Arial" w:hAnsi="Arial"/>
                <w:sz w:val="14"/>
                <w:szCs w:val="14"/>
                <w:color w:val="auto"/>
              </w:rPr>
              <w:t>parties)</w:t>
            </w:r>
          </w:p>
        </w:tc>
        <w:tc>
          <w:tcPr>
            <w:tcW w:w="8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4,907</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color w:val="auto"/>
              </w:rPr>
              <w:t>5,864</w:t>
            </w:r>
          </w:p>
        </w:tc>
        <w:tc>
          <w:tcPr>
            <w:tcW w:w="120" w:type="dxa"/>
            <w:vAlign w:val="bottom"/>
          </w:tcPr>
          <w:p>
            <w:pPr>
              <w:spacing w:after="0"/>
              <w:rPr>
                <w:sz w:val="15"/>
                <w:szCs w:val="15"/>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5,619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5,619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40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current liabilities</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8,054</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12,955</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14,278</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14,278</w:t>
            </w:r>
          </w:p>
        </w:tc>
        <w:tc>
          <w:tcPr>
            <w:tcW w:w="0" w:type="dxa"/>
            <w:vAlign w:val="bottom"/>
          </w:tcPr>
          <w:p>
            <w:pPr>
              <w:spacing w:after="0"/>
              <w:rPr>
                <w:sz w:val="1"/>
                <w:szCs w:val="1"/>
                <w:color w:val="auto"/>
              </w:rPr>
            </w:pPr>
          </w:p>
        </w:tc>
      </w:tr>
      <w:tr>
        <w:trPr>
          <w:trHeight w:val="149"/>
        </w:trPr>
        <w:tc>
          <w:tcPr>
            <w:tcW w:w="6400" w:type="dxa"/>
            <w:vAlign w:val="bottom"/>
          </w:tcPr>
          <w:p>
            <w:pPr>
              <w:spacing w:after="0" w:line="149" w:lineRule="exact"/>
              <w:rPr>
                <w:sz w:val="20"/>
                <w:szCs w:val="20"/>
                <w:color w:val="auto"/>
              </w:rPr>
            </w:pPr>
            <w:r>
              <w:rPr>
                <w:rFonts w:ascii="Arial" w:cs="Arial" w:eastAsia="Arial" w:hAnsi="Arial"/>
                <w:sz w:val="14"/>
                <w:szCs w:val="14"/>
                <w:color w:val="auto"/>
              </w:rPr>
              <w:t>Deferred revenue, net of current portion (includes $0, $4,015 and $0 (unaudited), at</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400" w:type="dxa"/>
            <w:vAlign w:val="bottom"/>
          </w:tcPr>
          <w:p>
            <w:pPr>
              <w:ind w:left="140"/>
              <w:spacing w:after="0"/>
              <w:rPr>
                <w:sz w:val="20"/>
                <w:szCs w:val="20"/>
                <w:color w:val="auto"/>
              </w:rPr>
            </w:pPr>
            <w:r>
              <w:rPr>
                <w:rFonts w:ascii="Arial" w:cs="Arial" w:eastAsia="Arial" w:hAnsi="Arial"/>
                <w:sz w:val="14"/>
                <w:szCs w:val="14"/>
                <w:color w:val="auto"/>
              </w:rPr>
              <w:t>December 31, 2018, December 31, 2019 and September 30, 2020, respectively, attributable</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00" w:type="dxa"/>
            <w:vAlign w:val="bottom"/>
          </w:tcPr>
          <w:p>
            <w:pPr>
              <w:ind w:left="140"/>
              <w:spacing w:after="0"/>
              <w:rPr>
                <w:sz w:val="20"/>
                <w:szCs w:val="20"/>
                <w:color w:val="auto"/>
              </w:rPr>
            </w:pPr>
            <w:r>
              <w:rPr>
                <w:rFonts w:ascii="Arial" w:cs="Arial" w:eastAsia="Arial" w:hAnsi="Arial"/>
                <w:sz w:val="14"/>
                <w:szCs w:val="14"/>
                <w:color w:val="auto"/>
              </w:rPr>
              <w:t>to related parties)</w:t>
            </w:r>
          </w:p>
        </w:tc>
        <w:tc>
          <w:tcPr>
            <w:tcW w:w="8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13,076</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color w:val="auto"/>
              </w:rPr>
              <w:t>13,603</w:t>
            </w:r>
          </w:p>
        </w:tc>
        <w:tc>
          <w:tcPr>
            <w:tcW w:w="120" w:type="dxa"/>
            <w:vAlign w:val="bottom"/>
          </w:tcPr>
          <w:p>
            <w:pPr>
              <w:spacing w:after="0"/>
              <w:rPr>
                <w:sz w:val="15"/>
                <w:szCs w:val="15"/>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11,731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11,731</w:t>
            </w: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spacing w:after="0"/>
              <w:rPr>
                <w:sz w:val="20"/>
                <w:szCs w:val="20"/>
                <w:color w:val="auto"/>
              </w:rPr>
            </w:pPr>
            <w:r>
              <w:rPr>
                <w:rFonts w:ascii="Arial" w:cs="Arial" w:eastAsia="Arial" w:hAnsi="Arial"/>
                <w:sz w:val="14"/>
                <w:szCs w:val="14"/>
                <w:color w:val="auto"/>
              </w:rPr>
              <w:t>Derivative liability</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64</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117</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62"/>
        </w:trPr>
        <w:tc>
          <w:tcPr>
            <w:tcW w:w="6400" w:type="dxa"/>
            <w:vAlign w:val="bottom"/>
          </w:tcPr>
          <w:p>
            <w:pPr>
              <w:spacing w:after="0"/>
              <w:rPr>
                <w:sz w:val="20"/>
                <w:szCs w:val="20"/>
                <w:color w:val="auto"/>
              </w:rPr>
            </w:pPr>
            <w:r>
              <w:rPr>
                <w:rFonts w:ascii="Arial" w:cs="Arial" w:eastAsia="Arial" w:hAnsi="Arial"/>
                <w:sz w:val="14"/>
                <w:szCs w:val="14"/>
                <w:color w:val="auto"/>
              </w:rPr>
              <w:t>Other liabilities</w:t>
            </w:r>
          </w:p>
        </w:tc>
        <w:tc>
          <w:tcPr>
            <w:tcW w:w="8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382</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color w:val="auto"/>
              </w:rPr>
              <w:t>1,565</w:t>
            </w:r>
          </w:p>
        </w:tc>
        <w:tc>
          <w:tcPr>
            <w:tcW w:w="12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1,910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1,910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400" w:type="dxa"/>
            <w:vAlign w:val="bottom"/>
            <w:shd w:val="clear" w:color="auto" w:fill="CCEEFF"/>
          </w:tcPr>
          <w:p>
            <w:pPr>
              <w:spacing w:after="0"/>
              <w:rPr>
                <w:sz w:val="20"/>
                <w:szCs w:val="20"/>
                <w:color w:val="auto"/>
              </w:rPr>
            </w:pPr>
            <w:r>
              <w:rPr>
                <w:rFonts w:ascii="Arial" w:cs="Arial" w:eastAsia="Arial" w:hAnsi="Arial"/>
                <w:sz w:val="14"/>
                <w:szCs w:val="14"/>
                <w:color w:val="auto"/>
              </w:rPr>
              <w:t>Total liabilities</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21,576</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28,224</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28,036</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28,036</w:t>
            </w:r>
          </w:p>
        </w:tc>
        <w:tc>
          <w:tcPr>
            <w:tcW w:w="0" w:type="dxa"/>
            <w:vAlign w:val="bottom"/>
          </w:tcPr>
          <w:p>
            <w:pPr>
              <w:spacing w:after="0"/>
              <w:rPr>
                <w:sz w:val="1"/>
                <w:szCs w:val="1"/>
                <w:color w:val="auto"/>
              </w:rPr>
            </w:pPr>
          </w:p>
        </w:tc>
      </w:tr>
      <w:tr>
        <w:trPr>
          <w:trHeight w:val="169"/>
        </w:trPr>
        <w:tc>
          <w:tcPr>
            <w:tcW w:w="6400" w:type="dxa"/>
            <w:vAlign w:val="bottom"/>
          </w:tcPr>
          <w:p>
            <w:pPr>
              <w:spacing w:after="0"/>
              <w:rPr>
                <w:sz w:val="20"/>
                <w:szCs w:val="20"/>
                <w:color w:val="auto"/>
              </w:rPr>
            </w:pPr>
            <w:r>
              <w:rPr>
                <w:rFonts w:ascii="Arial" w:cs="Arial" w:eastAsia="Arial" w:hAnsi="Arial"/>
                <w:sz w:val="14"/>
                <w:szCs w:val="14"/>
                <w:color w:val="auto"/>
              </w:rPr>
              <w:t>Commitments and contingencies (Note 8)</w:t>
            </w: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Redeemable convertible preferred stock, $0.0001 par value; 7,375,638 shares authorized and</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7,375,631 shares issued and outstanding at December 31, 2018 and December 31, 2019.</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11,575,984 (unaudited) shares authorized, issued and outstanding at September 30, 2020.</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Liquidation value of $108,596 at December 31, 2018 and December 31, 2019 and $184,202</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(unaudited) at September 30, 2020. No shares authorized, issued or outstanding, pro forma</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(unaudited)</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8"/>
              </w:rPr>
              <w:t>102,980</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w w:val="98"/>
              </w:rPr>
              <w:t>102,980</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175,448</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6400" w:type="dxa"/>
            <w:vAlign w:val="bottom"/>
          </w:tcPr>
          <w:p>
            <w:pPr>
              <w:spacing w:after="0"/>
              <w:rPr>
                <w:sz w:val="20"/>
                <w:szCs w:val="20"/>
                <w:color w:val="auto"/>
              </w:rPr>
            </w:pPr>
            <w:r>
              <w:rPr>
                <w:rFonts w:ascii="Arial" w:cs="Arial" w:eastAsia="Arial" w:hAnsi="Arial"/>
                <w:sz w:val="14"/>
                <w:szCs w:val="14"/>
                <w:color w:val="auto"/>
              </w:rPr>
              <w:t>Stockholders’ (deficit) equity</w:t>
            </w: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Common stock, $0.0001 par value; 50,000,000 shares authorized at December 31,</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2018 and December 31, 2019 and 20,866,244 (unaudited) shares authorized at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September 30, 2020; 5,126,344, 5,178,955 and 5,257,742 (unaudited) shares</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issued and outstanding at December 31, 2018, December 31, 2019 and</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September 30, 2020, respectively; 16,833,726 shares issued and outstanding, pro</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forma (unaudited)</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6400" w:type="dxa"/>
            <w:vAlign w:val="bottom"/>
          </w:tcPr>
          <w:p>
            <w:pPr>
              <w:ind w:left="580"/>
              <w:spacing w:after="0"/>
              <w:rPr>
                <w:sz w:val="20"/>
                <w:szCs w:val="20"/>
                <w:color w:val="auto"/>
              </w:rPr>
            </w:pPr>
            <w:r>
              <w:rPr>
                <w:rFonts w:ascii="Arial" w:cs="Arial" w:eastAsia="Arial" w:hAnsi="Arial"/>
                <w:sz w:val="14"/>
                <w:szCs w:val="14"/>
                <w:color w:val="auto"/>
              </w:rPr>
              <w:t>Additional paid-in-capital</w:t>
            </w:r>
          </w:p>
        </w:tc>
        <w:tc>
          <w:tcPr>
            <w:tcW w:w="8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2,438</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color w:val="auto"/>
              </w:rPr>
              <w:t>6,054</w:t>
            </w:r>
          </w:p>
        </w:tc>
        <w:tc>
          <w:tcPr>
            <w:tcW w:w="12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9,839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185,286</w:t>
            </w: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Accumulated deficit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(30,026)</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(79,025)</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(115,132)</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(115,132)</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4"/>
                <w:szCs w:val="14"/>
                <w:color w:val="auto"/>
              </w:rPr>
              <w:t>Total stockholders’ (deficit) equity</w:t>
            </w: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(27,587)</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rPr>
              <w:t>(72,970)</w:t>
            </w:r>
          </w:p>
        </w:tc>
        <w:tc>
          <w:tcPr>
            <w:tcW w:w="12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(105,292)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70,156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400" w:type="dxa"/>
            <w:vAlign w:val="bottom"/>
            <w:shd w:val="clear" w:color="auto" w:fill="CCEEFF"/>
          </w:tcPr>
          <w:p>
            <w:pPr>
              <w:spacing w:after="0"/>
              <w:rPr>
                <w:sz w:val="20"/>
                <w:szCs w:val="20"/>
                <w:color w:val="auto"/>
              </w:rPr>
            </w:pPr>
            <w:r>
              <w:rPr>
                <w:rFonts w:ascii="Arial" w:cs="Arial" w:eastAsia="Arial" w:hAnsi="Arial"/>
                <w:sz w:val="14"/>
                <w:szCs w:val="14"/>
                <w:color w:val="auto"/>
              </w:rPr>
              <w:t>Total liabilities, redeemable convertible preferred stock and stockholders’ (deficit) equity</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96,969</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58,234</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98,192</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98,192</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5" w:right="439" w:bottom="1440" w:gutter="0" w:footer="0" w:header="0"/>
        </w:sectPr>
      </w:pPr>
    </w:p>
    <w:bookmarkStart w:id="248" w:name="page249"/>
    <w:bookmarkEnd w:id="2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4D Molecular Therapeutics, Inc.</w:t>
      </w:r>
    </w:p>
    <w:p>
      <w:pPr>
        <w:spacing w:after="0" w:line="104"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2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5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gridSpan w:val="6"/>
            <w:vMerge w:val="restart"/>
          </w:tcPr>
          <w:p>
            <w:pPr>
              <w:jc w:val="right"/>
              <w:ind w:right="620"/>
              <w:spacing w:after="0"/>
              <w:rPr>
                <w:sz w:val="20"/>
                <w:szCs w:val="20"/>
                <w:color w:val="auto"/>
              </w:rPr>
            </w:pPr>
            <w:r>
              <w:rPr>
                <w:rFonts w:ascii="Arial" w:cs="Arial" w:eastAsia="Arial" w:hAnsi="Arial"/>
                <w:sz w:val="13"/>
                <w:szCs w:val="13"/>
                <w:b w:val="1"/>
                <w:bCs w:val="1"/>
                <w:color w:val="auto"/>
              </w:rPr>
              <w:t>Year Ended December 31,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gridSpan w:val="5"/>
          </w:tcPr>
          <w:p>
            <w:pPr>
              <w:jc w:val="right"/>
              <w:ind w:right="64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59"/>
        </w:trPr>
        <w:tc>
          <w:tcPr>
            <w:tcW w:w="5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gridSpan w:val="6"/>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gridSpan w:val="5"/>
          </w:tcPr>
          <w:p>
            <w:pPr>
              <w:jc w:val="right"/>
              <w:ind w:right="800"/>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28"/>
        </w:trPr>
        <w:tc>
          <w:tcPr>
            <w:tcW w:w="596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81"/>
              <w:spacing w:after="0" w:line="129" w:lineRule="exact"/>
              <w:rPr>
                <w:sz w:val="20"/>
                <w:szCs w:val="20"/>
                <w:color w:val="auto"/>
              </w:rPr>
            </w:pPr>
            <w:r>
              <w:rPr>
                <w:rFonts w:ascii="Arial" w:cs="Arial" w:eastAsia="Arial" w:hAnsi="Arial"/>
                <w:sz w:val="13"/>
                <w:szCs w:val="13"/>
                <w:b w:val="1"/>
                <w:bCs w:val="1"/>
                <w:color w:val="auto"/>
              </w:rPr>
              <w:t>2018</w:t>
            </w: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240"/>
              <w:spacing w:after="0" w:line="129" w:lineRule="exact"/>
              <w:rPr>
                <w:sz w:val="20"/>
                <w:szCs w:val="20"/>
                <w:color w:val="auto"/>
              </w:rPr>
            </w:pPr>
            <w:r>
              <w:rPr>
                <w:rFonts w:ascii="Arial" w:cs="Arial" w:eastAsia="Arial" w:hAnsi="Arial"/>
                <w:sz w:val="13"/>
                <w:szCs w:val="13"/>
                <w:b w:val="1"/>
                <w:bCs w:val="1"/>
                <w:color w:val="auto"/>
              </w:rPr>
              <w:t>2019</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02"/>
              <w:spacing w:after="0" w:line="129" w:lineRule="exact"/>
              <w:rPr>
                <w:sz w:val="20"/>
                <w:szCs w:val="20"/>
                <w:color w:val="auto"/>
              </w:rPr>
            </w:pPr>
            <w:r>
              <w:rPr>
                <w:rFonts w:ascii="Arial" w:cs="Arial" w:eastAsia="Arial" w:hAnsi="Arial"/>
                <w:sz w:val="13"/>
                <w:szCs w:val="13"/>
                <w:b w:val="1"/>
                <w:bCs w:val="1"/>
                <w:color w:val="auto"/>
              </w:rPr>
              <w:t>2019</w:t>
            </w:r>
          </w:p>
        </w:tc>
        <w:tc>
          <w:tcPr>
            <w:tcW w:w="48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241"/>
              <w:spacing w:after="0" w:line="129" w:lineRule="exact"/>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rPr>
              <w:t>(Unaudited)</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ind w:right="21"/>
              <w:spacing w:after="0" w:line="129" w:lineRule="exact"/>
              <w:rPr>
                <w:sz w:val="20"/>
                <w:szCs w:val="20"/>
                <w:color w:val="auto"/>
              </w:rPr>
            </w:pPr>
            <w:r>
              <w:rPr>
                <w:rFonts w:ascii="Arial" w:cs="Arial" w:eastAsia="Arial" w:hAnsi="Arial"/>
                <w:sz w:val="13"/>
                <w:szCs w:val="13"/>
                <w:b w:val="1"/>
                <w:bCs w:val="1"/>
                <w:color w:val="auto"/>
                <w:w w:val="96"/>
              </w:rPr>
              <w:t>(Unaudited)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60" w:type="dxa"/>
            <w:vAlign w:val="bottom"/>
          </w:tcPr>
          <w:p>
            <w:pPr>
              <w:ind w:left="320"/>
              <w:spacing w:after="0"/>
              <w:rPr>
                <w:sz w:val="20"/>
                <w:szCs w:val="20"/>
                <w:color w:val="auto"/>
              </w:rPr>
            </w:pPr>
            <w:r>
              <w:rPr>
                <w:rFonts w:ascii="Arial" w:cs="Arial" w:eastAsia="Arial" w:hAnsi="Arial"/>
                <w:sz w:val="16"/>
                <w:szCs w:val="16"/>
                <w:color w:val="auto"/>
              </w:rPr>
              <w:t>Collaboration and license revenue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8,987</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6,960</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480"/>
              <w:spacing w:after="0"/>
              <w:rPr>
                <w:sz w:val="20"/>
                <w:szCs w:val="20"/>
                <w:color w:val="auto"/>
              </w:rPr>
            </w:pPr>
            <w:r>
              <w:rPr>
                <w:rFonts w:ascii="Arial" w:cs="Arial" w:eastAsia="Arial" w:hAnsi="Arial"/>
                <w:sz w:val="16"/>
                <w:szCs w:val="16"/>
                <w:color w:val="auto"/>
              </w:rPr>
              <w:t>4,930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14,340</w:t>
            </w: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Collaboration and license revenue, related parties</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5,143</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26</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196"/>
        </w:trPr>
        <w:tc>
          <w:tcPr>
            <w:tcW w:w="5960" w:type="dxa"/>
            <w:vAlign w:val="bottom"/>
          </w:tcPr>
          <w:p>
            <w:pPr>
              <w:ind w:left="640"/>
              <w:spacing w:after="0"/>
              <w:rPr>
                <w:sz w:val="20"/>
                <w:szCs w:val="20"/>
                <w:color w:val="auto"/>
              </w:rPr>
            </w:pPr>
            <w:r>
              <w:rPr>
                <w:rFonts w:ascii="Arial" w:cs="Arial" w:eastAsia="Arial" w:hAnsi="Arial"/>
                <w:sz w:val="16"/>
                <w:szCs w:val="16"/>
                <w:color w:val="auto"/>
              </w:rPr>
              <w:t>Total revenue</w:t>
            </w: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14,130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6,986</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4,956</w:t>
            </w:r>
          </w:p>
        </w:tc>
        <w:tc>
          <w:tcPr>
            <w:tcW w:w="4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14,589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expenses:</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960" w:type="dxa"/>
            <w:vAlign w:val="bottom"/>
          </w:tcPr>
          <w:p>
            <w:pPr>
              <w:ind w:left="320"/>
              <w:spacing w:after="0" w:line="171" w:lineRule="exact"/>
              <w:rPr>
                <w:sz w:val="20"/>
                <w:szCs w:val="20"/>
                <w:color w:val="auto"/>
              </w:rPr>
            </w:pPr>
            <w:r>
              <w:rPr>
                <w:rFonts w:ascii="Arial" w:cs="Arial" w:eastAsia="Arial" w:hAnsi="Arial"/>
                <w:sz w:val="16"/>
                <w:szCs w:val="16"/>
                <w:color w:val="auto"/>
              </w:rPr>
              <w:t>Research and development (includes $160 and $350 for the years ended</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960" w:type="dxa"/>
            <w:vAlign w:val="bottom"/>
          </w:tcPr>
          <w:p>
            <w:pPr>
              <w:ind w:left="480"/>
              <w:spacing w:after="0"/>
              <w:rPr>
                <w:sz w:val="20"/>
                <w:szCs w:val="20"/>
                <w:color w:val="auto"/>
              </w:rPr>
            </w:pPr>
            <w:r>
              <w:rPr>
                <w:rFonts w:ascii="Arial" w:cs="Arial" w:eastAsia="Arial" w:hAnsi="Arial"/>
                <w:sz w:val="16"/>
                <w:szCs w:val="16"/>
                <w:color w:val="auto"/>
              </w:rPr>
              <w:t>December 31, 2018 and 2019 and $224 (unaudited) and $397</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60" w:type="dxa"/>
            <w:vAlign w:val="bottom"/>
          </w:tcPr>
          <w:p>
            <w:pPr>
              <w:ind w:left="480"/>
              <w:spacing w:after="0"/>
              <w:rPr>
                <w:sz w:val="20"/>
                <w:szCs w:val="20"/>
                <w:color w:val="auto"/>
              </w:rPr>
            </w:pPr>
            <w:r>
              <w:rPr>
                <w:rFonts w:ascii="Arial" w:cs="Arial" w:eastAsia="Arial" w:hAnsi="Arial"/>
                <w:sz w:val="16"/>
                <w:szCs w:val="16"/>
                <w:color w:val="auto"/>
              </w:rPr>
              <w:t>(unaudited) for the nine months ended September 30, 2019 and 2020,</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960" w:type="dxa"/>
            <w:vAlign w:val="bottom"/>
          </w:tcPr>
          <w:p>
            <w:pPr>
              <w:ind w:left="480"/>
              <w:spacing w:after="0"/>
              <w:rPr>
                <w:sz w:val="20"/>
                <w:szCs w:val="20"/>
                <w:color w:val="auto"/>
              </w:rPr>
            </w:pPr>
            <w:r>
              <w:rPr>
                <w:rFonts w:ascii="Arial" w:cs="Arial" w:eastAsia="Arial" w:hAnsi="Arial"/>
                <w:sz w:val="16"/>
                <w:szCs w:val="16"/>
                <w:color w:val="auto"/>
              </w:rPr>
              <w:t>respectively, attributable to related parties)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18,362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38,718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6"/>
                <w:szCs w:val="16"/>
                <w:color w:val="auto"/>
              </w:rPr>
              <w:t>26,359</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40,433</w:t>
            </w:r>
          </w:p>
        </w:tc>
        <w:tc>
          <w:tcPr>
            <w:tcW w:w="0" w:type="dxa"/>
            <w:vAlign w:val="bottom"/>
          </w:tcPr>
          <w:p>
            <w:pPr>
              <w:spacing w:after="0"/>
              <w:rPr>
                <w:sz w:val="1"/>
                <w:szCs w:val="1"/>
                <w:color w:val="auto"/>
              </w:rPr>
            </w:pPr>
          </w:p>
        </w:tc>
      </w:tr>
      <w:tr>
        <w:trPr>
          <w:trHeight w:val="171"/>
        </w:trPr>
        <w:tc>
          <w:tcPr>
            <w:tcW w:w="5960" w:type="dxa"/>
            <w:vAlign w:val="bottom"/>
            <w:shd w:val="clear" w:color="auto" w:fill="CCEEFF"/>
          </w:tcPr>
          <w:p>
            <w:pPr>
              <w:ind w:left="320"/>
              <w:spacing w:after="0" w:line="171" w:lineRule="exact"/>
              <w:rPr>
                <w:sz w:val="20"/>
                <w:szCs w:val="20"/>
                <w:color w:val="auto"/>
              </w:rPr>
            </w:pPr>
            <w:r>
              <w:rPr>
                <w:rFonts w:ascii="Arial" w:cs="Arial" w:eastAsia="Arial" w:hAnsi="Arial"/>
                <w:sz w:val="16"/>
                <w:szCs w:val="16"/>
                <w:color w:val="auto"/>
              </w:rPr>
              <w:t>Acquired in-process research and development (includes $0 and $5,137</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for the years ended December 31, 2018 and 2019 and $5,137</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(unaudited) and $0 (unaudited) for the nine months ended</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September 30, 2019 and 2020, respectively, attributable to related</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9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parties)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5,137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5,137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1"/>
        </w:trPr>
        <w:tc>
          <w:tcPr>
            <w:tcW w:w="5960" w:type="dxa"/>
            <w:vAlign w:val="bottom"/>
          </w:tcPr>
          <w:p>
            <w:pPr>
              <w:ind w:left="320"/>
              <w:spacing w:after="0" w:line="171" w:lineRule="exact"/>
              <w:rPr>
                <w:sz w:val="20"/>
                <w:szCs w:val="20"/>
                <w:color w:val="auto"/>
              </w:rPr>
            </w:pPr>
            <w:r>
              <w:rPr>
                <w:rFonts w:ascii="Arial" w:cs="Arial" w:eastAsia="Arial" w:hAnsi="Arial"/>
                <w:sz w:val="16"/>
                <w:szCs w:val="16"/>
                <w:color w:val="auto"/>
              </w:rPr>
              <w:t>General and administrative (includes $220 and $0 for the years ended</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960" w:type="dxa"/>
            <w:vAlign w:val="bottom"/>
          </w:tcPr>
          <w:p>
            <w:pPr>
              <w:ind w:left="480"/>
              <w:spacing w:after="0"/>
              <w:rPr>
                <w:sz w:val="20"/>
                <w:szCs w:val="20"/>
                <w:color w:val="auto"/>
              </w:rPr>
            </w:pPr>
            <w:r>
              <w:rPr>
                <w:rFonts w:ascii="Arial" w:cs="Arial" w:eastAsia="Arial" w:hAnsi="Arial"/>
                <w:sz w:val="16"/>
                <w:szCs w:val="16"/>
                <w:color w:val="auto"/>
              </w:rPr>
              <w:t>December 31, 2018 and 2019 and $0 (unaudited) for each of the nine</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60" w:type="dxa"/>
            <w:vAlign w:val="bottom"/>
          </w:tcPr>
          <w:p>
            <w:pPr>
              <w:ind w:left="480"/>
              <w:spacing w:after="0"/>
              <w:rPr>
                <w:sz w:val="20"/>
                <w:szCs w:val="20"/>
                <w:color w:val="auto"/>
              </w:rPr>
            </w:pPr>
            <w:r>
              <w:rPr>
                <w:rFonts w:ascii="Arial" w:cs="Arial" w:eastAsia="Arial" w:hAnsi="Arial"/>
                <w:sz w:val="16"/>
                <w:szCs w:val="16"/>
                <w:color w:val="auto"/>
              </w:rPr>
              <w:t>months ended September 30, 2019 and 2020, respectively, attributable</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960" w:type="dxa"/>
            <w:vAlign w:val="bottom"/>
          </w:tcPr>
          <w:p>
            <w:pPr>
              <w:ind w:left="480"/>
              <w:spacing w:after="0"/>
              <w:rPr>
                <w:sz w:val="20"/>
                <w:szCs w:val="20"/>
                <w:color w:val="auto"/>
              </w:rPr>
            </w:pPr>
            <w:r>
              <w:rPr>
                <w:rFonts w:ascii="Arial" w:cs="Arial" w:eastAsia="Arial" w:hAnsi="Arial"/>
                <w:sz w:val="16"/>
                <w:szCs w:val="16"/>
                <w:color w:val="auto"/>
              </w:rPr>
              <w:t>to related parties)</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6,167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13,895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6"/>
                <w:szCs w:val="16"/>
                <w:color w:val="auto"/>
              </w:rPr>
              <w:t>7,936</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10,398</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operating expenses</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24,529</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57,750</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39,432</w:t>
            </w: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50,831</w:t>
            </w:r>
          </w:p>
        </w:tc>
        <w:tc>
          <w:tcPr>
            <w:tcW w:w="0" w:type="dxa"/>
            <w:vAlign w:val="bottom"/>
          </w:tcPr>
          <w:p>
            <w:pPr>
              <w:spacing w:after="0"/>
              <w:rPr>
                <w:sz w:val="1"/>
                <w:szCs w:val="1"/>
                <w:color w:val="auto"/>
              </w:rPr>
            </w:pPr>
          </w:p>
        </w:tc>
      </w:tr>
      <w:tr>
        <w:trPr>
          <w:trHeight w:val="196"/>
        </w:trPr>
        <w:tc>
          <w:tcPr>
            <w:tcW w:w="5960" w:type="dxa"/>
            <w:vAlign w:val="bottom"/>
          </w:tcPr>
          <w:p>
            <w:pPr>
              <w:spacing w:after="0"/>
              <w:rPr>
                <w:sz w:val="20"/>
                <w:szCs w:val="20"/>
                <w:color w:val="auto"/>
              </w:rPr>
            </w:pPr>
            <w:r>
              <w:rPr>
                <w:rFonts w:ascii="Arial" w:cs="Arial" w:eastAsia="Arial" w:hAnsi="Arial"/>
                <w:sz w:val="16"/>
                <w:szCs w:val="16"/>
                <w:color w:val="auto"/>
              </w:rPr>
              <w:t>Loss from operations</w:t>
            </w: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(10,399)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(50,764)</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(34,476)</w:t>
            </w:r>
          </w:p>
        </w:tc>
        <w:tc>
          <w:tcPr>
            <w:tcW w:w="4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(36,242)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income (expense):</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60" w:type="dxa"/>
            <w:vAlign w:val="bottom"/>
          </w:tcPr>
          <w:p>
            <w:pPr>
              <w:ind w:left="320"/>
              <w:spacing w:after="0"/>
              <w:rPr>
                <w:sz w:val="20"/>
                <w:szCs w:val="20"/>
                <w:color w:val="auto"/>
              </w:rPr>
            </w:pPr>
            <w:r>
              <w:rPr>
                <w:rFonts w:ascii="Arial" w:cs="Arial" w:eastAsia="Arial" w:hAnsi="Arial"/>
                <w:sz w:val="16"/>
                <w:szCs w:val="16"/>
                <w:color w:val="auto"/>
              </w:rPr>
              <w:t>Interest income</w:t>
            </w:r>
          </w:p>
        </w:tc>
        <w:tc>
          <w:tcPr>
            <w:tcW w:w="100" w:type="dxa"/>
            <w:vAlign w:val="bottom"/>
          </w:tcPr>
          <w:p>
            <w:pPr>
              <w:spacing w:after="0"/>
              <w:rPr>
                <w:sz w:val="16"/>
                <w:szCs w:val="16"/>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850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1,504</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6"/>
                <w:szCs w:val="16"/>
                <w:color w:val="auto"/>
              </w:rPr>
              <w:t>1,286</w:t>
            </w:r>
          </w:p>
        </w:tc>
        <w:tc>
          <w:tcPr>
            <w:tcW w:w="1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income (expense), net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(46)</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3"/>
        </w:trPr>
        <w:tc>
          <w:tcPr>
            <w:tcW w:w="5960" w:type="dxa"/>
            <w:vAlign w:val="bottom"/>
          </w:tcPr>
          <w:p>
            <w:pPr>
              <w:ind w:left="640"/>
              <w:spacing w:after="0"/>
              <w:rPr>
                <w:sz w:val="20"/>
                <w:szCs w:val="20"/>
                <w:color w:val="auto"/>
              </w:rPr>
            </w:pPr>
            <w:r>
              <w:rPr>
                <w:rFonts w:ascii="Arial" w:cs="Arial" w:eastAsia="Arial" w:hAnsi="Arial"/>
                <w:sz w:val="16"/>
                <w:szCs w:val="16"/>
                <w:color w:val="auto"/>
              </w:rPr>
              <w:t>Total other income (expense)</w:t>
            </w: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1,458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1,285</w:t>
            </w:r>
          </w:p>
        </w:tc>
        <w:tc>
          <w:tcPr>
            <w:tcW w:w="4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Net loss and 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(9,551)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(49,306)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(33,191)</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(36,146)</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60" w:type="dxa"/>
            <w:vAlign w:val="bottom"/>
            <w:vMerge w:val="continue"/>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(9.59)</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w:t>
            </w:r>
          </w:p>
        </w:tc>
        <w:tc>
          <w:tcPr>
            <w:tcW w:w="4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960" w:type="dxa"/>
            <w:vAlign w:val="bottom"/>
            <w:shd w:val="clear" w:color="auto" w:fill="CCEEFF"/>
          </w:tcPr>
          <w:p>
            <w:pPr>
              <w:spacing w:after="0" w:line="165" w:lineRule="exact"/>
              <w:rPr>
                <w:sz w:val="20"/>
                <w:szCs w:val="20"/>
                <w:color w:val="auto"/>
              </w:rPr>
            </w:pPr>
            <w:r>
              <w:rPr>
                <w:rFonts w:ascii="Arial" w:cs="Arial" w:eastAsia="Arial" w:hAnsi="Arial"/>
                <w:sz w:val="16"/>
                <w:szCs w:val="16"/>
                <w:color w:val="auto"/>
              </w:rPr>
              <w:t>Weighted-average shares outstanding used in computing net loss per share</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9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attributable to common stockholders, basic and diluted</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w w:val="98"/>
              </w:rPr>
              <w:t>5,049,203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5,142,560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w w:val="98"/>
              </w:rPr>
              <w:t>5,135,622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5,188,628</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6"/>
                <w:szCs w:val="16"/>
                <w:color w:val="auto"/>
              </w:rPr>
              <w:t>Pro forma net loss per share, basic and diluted (unaudited)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960" w:type="dxa"/>
            <w:vAlign w:val="bottom"/>
            <w:shd w:val="clear" w:color="auto" w:fill="CCEEFF"/>
          </w:tcPr>
          <w:p>
            <w:pPr>
              <w:spacing w:after="0" w:line="165" w:lineRule="exact"/>
              <w:rPr>
                <w:sz w:val="20"/>
                <w:szCs w:val="20"/>
                <w:color w:val="auto"/>
              </w:rPr>
            </w:pPr>
            <w:r>
              <w:rPr>
                <w:rFonts w:ascii="Arial" w:cs="Arial" w:eastAsia="Arial" w:hAnsi="Arial"/>
                <w:sz w:val="16"/>
                <w:szCs w:val="16"/>
                <w:color w:val="auto"/>
              </w:rPr>
              <w:t>Weighted-average shares outstanding used in computing pro forma net loss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9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per share, basic and diluted (unaudited)</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9"/>
              </w:rPr>
              <w:t>12,518,191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9"/>
              </w:rPr>
              <w:t>14,835,343</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5" w:right="439" w:bottom="1440" w:gutter="0" w:footer="0" w:header="0"/>
        </w:sectPr>
      </w:pPr>
    </w:p>
    <w:bookmarkStart w:id="249" w:name="page250"/>
    <w:bookmarkEnd w:id="2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4D Molecular Therapeutics, Inc.</w:t>
      </w:r>
    </w:p>
    <w:p>
      <w:pPr>
        <w:spacing w:after="0" w:line="104" w:lineRule="exact"/>
        <w:rPr>
          <w:sz w:val="20"/>
          <w:szCs w:val="20"/>
          <w:color w:val="auto"/>
        </w:rPr>
      </w:pPr>
    </w:p>
    <w:p>
      <w:pPr>
        <w:jc w:val="right"/>
        <w:ind w:right="1980"/>
        <w:spacing w:after="0"/>
        <w:rPr>
          <w:sz w:val="20"/>
          <w:szCs w:val="20"/>
          <w:color w:val="auto"/>
        </w:rPr>
      </w:pPr>
      <w:r>
        <w:rPr>
          <w:rFonts w:ascii="Arial" w:cs="Arial" w:eastAsia="Arial" w:hAnsi="Arial"/>
          <w:sz w:val="18"/>
          <w:szCs w:val="18"/>
          <w:b w:val="1"/>
          <w:bCs w:val="1"/>
          <w:color w:val="auto"/>
        </w:rPr>
        <w:t>Statements of Redeemable Convertible Preferred Stock and Stockholders’ Deficit</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amounts)</w:t>
      </w:r>
    </w:p>
    <w:p>
      <w:pPr>
        <w:sectPr>
          <w:pgSz w:w="11900" w:h="16838" w:orient="portrait"/>
          <w:cols w:equalWidth="0" w:num="1">
            <w:col w:w="11080"/>
          </w:cols>
          <w:pgMar w:left="320" w:top="455" w:right="499" w:bottom="1440" w:gutter="0" w:footer="0" w:header="0"/>
        </w:sectPr>
      </w:pP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640" w:type="dxa"/>
            <w:vAlign w:val="bottom"/>
          </w:tcPr>
          <w:p>
            <w:pPr>
              <w:spacing w:after="0"/>
              <w:rPr>
                <w:sz w:val="13"/>
                <w:szCs w:val="13"/>
                <w:color w:val="auto"/>
              </w:rPr>
            </w:pPr>
          </w:p>
        </w:tc>
        <w:tc>
          <w:tcPr>
            <w:tcW w:w="1580" w:type="dxa"/>
            <w:vAlign w:val="bottom"/>
            <w:gridSpan w:val="5"/>
          </w:tcPr>
          <w:p>
            <w:pPr>
              <w:jc w:val="center"/>
              <w:spacing w:after="0"/>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35"/>
        </w:trPr>
        <w:tc>
          <w:tcPr>
            <w:tcW w:w="4640" w:type="dxa"/>
            <w:vAlign w:val="bottom"/>
          </w:tcPr>
          <w:p>
            <w:pPr>
              <w:spacing w:after="0"/>
              <w:rPr>
                <w:sz w:val="11"/>
                <w:szCs w:val="11"/>
                <w:color w:val="auto"/>
              </w:rPr>
            </w:pPr>
          </w:p>
        </w:tc>
        <w:tc>
          <w:tcPr>
            <w:tcW w:w="1580" w:type="dxa"/>
            <w:vAlign w:val="bottom"/>
            <w:gridSpan w:val="5"/>
          </w:tcPr>
          <w:p>
            <w:pPr>
              <w:jc w:val="center"/>
              <w:spacing w:after="0" w:line="135" w:lineRule="exact"/>
              <w:rPr>
                <w:sz w:val="20"/>
                <w:szCs w:val="20"/>
                <w:color w:val="auto"/>
              </w:rPr>
            </w:pPr>
            <w:r>
              <w:rPr>
                <w:rFonts w:ascii="Arial" w:cs="Arial" w:eastAsia="Arial" w:hAnsi="Arial"/>
                <w:sz w:val="13"/>
                <w:szCs w:val="13"/>
                <w:b w:val="1"/>
                <w:bCs w:val="1"/>
                <w:color w:val="auto"/>
                <w:w w:val="97"/>
              </w:rPr>
              <w:t>Convertible</w:t>
            </w:r>
          </w:p>
        </w:tc>
        <w:tc>
          <w:tcPr>
            <w:tcW w:w="0" w:type="dxa"/>
            <w:vAlign w:val="bottom"/>
          </w:tcPr>
          <w:p>
            <w:pPr>
              <w:spacing w:after="0"/>
              <w:rPr>
                <w:sz w:val="1"/>
                <w:szCs w:val="1"/>
                <w:color w:val="auto"/>
              </w:rPr>
            </w:pPr>
          </w:p>
        </w:tc>
      </w:tr>
      <w:tr>
        <w:trPr>
          <w:trHeight w:val="159"/>
        </w:trPr>
        <w:tc>
          <w:tcPr>
            <w:tcW w:w="4640" w:type="dxa"/>
            <w:vAlign w:val="bottom"/>
          </w:tcPr>
          <w:p>
            <w:pPr>
              <w:spacing w:after="0"/>
              <w:rPr>
                <w:sz w:val="13"/>
                <w:szCs w:val="13"/>
                <w:color w:val="auto"/>
              </w:rPr>
            </w:pPr>
          </w:p>
        </w:tc>
        <w:tc>
          <w:tcPr>
            <w:tcW w:w="158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7"/>
              </w:rPr>
              <w:t>Preferred Stock</w:t>
            </w:r>
          </w:p>
        </w:tc>
        <w:tc>
          <w:tcPr>
            <w:tcW w:w="0" w:type="dxa"/>
            <w:vAlign w:val="bottom"/>
          </w:tcPr>
          <w:p>
            <w:pPr>
              <w:spacing w:after="0"/>
              <w:rPr>
                <w:sz w:val="1"/>
                <w:szCs w:val="1"/>
                <w:color w:val="auto"/>
              </w:rPr>
            </w:pPr>
          </w:p>
        </w:tc>
      </w:tr>
      <w:tr>
        <w:trPr>
          <w:trHeight w:val="155"/>
        </w:trPr>
        <w:tc>
          <w:tcPr>
            <w:tcW w:w="4640" w:type="dxa"/>
            <w:vAlign w:val="bottom"/>
            <w:vMerge w:val="restart"/>
          </w:tcPr>
          <w:p>
            <w:pPr>
              <w:spacing w:after="0"/>
              <w:rPr>
                <w:sz w:val="20"/>
                <w:szCs w:val="20"/>
                <w:color w:val="auto"/>
              </w:rPr>
            </w:pPr>
            <w:r>
              <w:rPr>
                <w:rFonts w:ascii="Arial" w:cs="Arial" w:eastAsia="Arial" w:hAnsi="Arial"/>
                <w:sz w:val="16"/>
                <w:szCs w:val="16"/>
                <w:b w:val="1"/>
                <w:bCs w:val="1"/>
                <w:color w:val="auto"/>
              </w:rPr>
              <w:t>Balances at December 31, 2017</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20"/>
              <w:spacing w:after="0"/>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164"/>
        </w:trPr>
        <w:tc>
          <w:tcPr>
            <w:tcW w:w="4640" w:type="dxa"/>
            <w:vAlign w:val="bottom"/>
            <w:vMerge w:val="continue"/>
          </w:tcPr>
          <w:p>
            <w:pPr>
              <w:spacing w:after="0"/>
              <w:rPr>
                <w:sz w:val="14"/>
                <w:szCs w:val="14"/>
                <w:color w:val="auto"/>
              </w:rPr>
            </w:pPr>
          </w:p>
        </w:tc>
        <w:tc>
          <w:tcPr>
            <w:tcW w:w="780" w:type="dxa"/>
            <w:vAlign w:val="bottom"/>
            <w:tcBorders>
              <w:top w:val="single" w:sz="8" w:color="auto"/>
            </w:tcBorders>
          </w:tcPr>
          <w:p>
            <w:pPr>
              <w:jc w:val="right"/>
              <w:spacing w:after="0" w:line="165" w:lineRule="exact"/>
              <w:rPr>
                <w:sz w:val="20"/>
                <w:szCs w:val="20"/>
                <w:color w:val="auto"/>
              </w:rPr>
            </w:pPr>
            <w:r>
              <w:rPr>
                <w:rFonts w:ascii="Arial" w:cs="Arial" w:eastAsia="Arial" w:hAnsi="Arial"/>
                <w:sz w:val="16"/>
                <w:szCs w:val="16"/>
                <w:color w:val="auto"/>
              </w:rPr>
              <w:t>2,220,999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line="165" w:lineRule="exact"/>
              <w:rPr>
                <w:sz w:val="20"/>
                <w:szCs w:val="20"/>
                <w:color w:val="auto"/>
              </w:rPr>
            </w:pPr>
            <w:r>
              <w:rPr>
                <w:rFonts w:ascii="Arial" w:cs="Arial" w:eastAsia="Arial" w:hAnsi="Arial"/>
                <w:sz w:val="16"/>
                <w:szCs w:val="16"/>
                <w:color w:val="auto"/>
              </w:rPr>
              <w:t>18,508</w:t>
            </w:r>
          </w:p>
        </w:tc>
        <w:tc>
          <w:tcPr>
            <w:tcW w:w="0" w:type="dxa"/>
            <w:vAlign w:val="bottom"/>
          </w:tcPr>
          <w:p>
            <w:pPr>
              <w:spacing w:after="0"/>
              <w:rPr>
                <w:sz w:val="1"/>
                <w:szCs w:val="1"/>
                <w:color w:val="auto"/>
              </w:rPr>
            </w:pPr>
          </w:p>
        </w:tc>
      </w:tr>
      <w:tr>
        <w:trPr>
          <w:trHeight w:val="189"/>
        </w:trPr>
        <w:tc>
          <w:tcPr>
            <w:tcW w:w="4640" w:type="dxa"/>
            <w:vAlign w:val="bottom"/>
          </w:tcPr>
          <w:p>
            <w:pPr>
              <w:ind w:left="320"/>
              <w:spacing w:after="0"/>
              <w:rPr>
                <w:sz w:val="20"/>
                <w:szCs w:val="20"/>
                <w:color w:val="auto"/>
              </w:rPr>
            </w:pPr>
            <w:r>
              <w:rPr>
                <w:rFonts w:ascii="Arial" w:cs="Arial" w:eastAsia="Arial" w:hAnsi="Arial"/>
                <w:sz w:val="16"/>
                <w:szCs w:val="16"/>
                <w:color w:val="auto"/>
              </w:rPr>
              <w:t>Issuance of redeemable convertible preferred stock, net of</w:t>
            </w: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40" w:type="dxa"/>
            <w:vAlign w:val="bottom"/>
          </w:tcPr>
          <w:p>
            <w:pPr>
              <w:ind w:left="480"/>
              <w:spacing w:after="0"/>
              <w:rPr>
                <w:sz w:val="20"/>
                <w:szCs w:val="20"/>
                <w:color w:val="auto"/>
              </w:rPr>
            </w:pPr>
            <w:r>
              <w:rPr>
                <w:rFonts w:ascii="Arial" w:cs="Arial" w:eastAsia="Arial" w:hAnsi="Arial"/>
                <w:sz w:val="16"/>
                <w:szCs w:val="16"/>
                <w:color w:val="auto"/>
              </w:rPr>
              <w:t>$5,528 of issuance cost</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5,154,632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84,472</w:t>
            </w:r>
          </w:p>
        </w:tc>
        <w:tc>
          <w:tcPr>
            <w:tcW w:w="0" w:type="dxa"/>
            <w:vAlign w:val="bottom"/>
          </w:tcPr>
          <w:p>
            <w:pPr>
              <w:spacing w:after="0"/>
              <w:rPr>
                <w:sz w:val="1"/>
                <w:szCs w:val="1"/>
                <w:color w:val="auto"/>
              </w:rPr>
            </w:pPr>
          </w:p>
        </w:tc>
      </w:tr>
      <w:tr>
        <w:trPr>
          <w:trHeight w:val="189"/>
        </w:trPr>
        <w:tc>
          <w:tcPr>
            <w:tcW w:w="4640" w:type="dxa"/>
            <w:vAlign w:val="bottom"/>
          </w:tcPr>
          <w:p>
            <w:pPr>
              <w:ind w:left="320"/>
              <w:spacing w:after="0"/>
              <w:rPr>
                <w:sz w:val="20"/>
                <w:szCs w:val="20"/>
                <w:color w:val="auto"/>
              </w:rPr>
            </w:pPr>
            <w:r>
              <w:rPr>
                <w:rFonts w:ascii="Arial" w:cs="Arial" w:eastAsia="Arial" w:hAnsi="Arial"/>
                <w:sz w:val="16"/>
                <w:szCs w:val="16"/>
                <w:color w:val="auto"/>
              </w:rPr>
              <w:t>Exercise of common stock options</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640" w:type="dxa"/>
            <w:vAlign w:val="bottom"/>
          </w:tcPr>
          <w:p>
            <w:pPr>
              <w:ind w:left="320"/>
              <w:spacing w:after="0"/>
              <w:rPr>
                <w:sz w:val="20"/>
                <w:szCs w:val="20"/>
                <w:color w:val="auto"/>
              </w:rPr>
            </w:pPr>
            <w:r>
              <w:rPr>
                <w:rFonts w:ascii="Arial" w:cs="Arial" w:eastAsia="Arial" w:hAnsi="Arial"/>
                <w:sz w:val="16"/>
                <w:szCs w:val="16"/>
                <w:color w:val="auto"/>
              </w:rPr>
              <w:t>Issuance of common stock warrants</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640" w:type="dxa"/>
            <w:vAlign w:val="bottom"/>
          </w:tcPr>
          <w:p>
            <w:pPr>
              <w:ind w:left="320"/>
              <w:spacing w:after="0"/>
              <w:rPr>
                <w:sz w:val="20"/>
                <w:szCs w:val="20"/>
                <w:color w:val="auto"/>
              </w:rPr>
            </w:pPr>
            <w:r>
              <w:rPr>
                <w:rFonts w:ascii="Arial" w:cs="Arial" w:eastAsia="Arial" w:hAnsi="Arial"/>
                <w:sz w:val="16"/>
                <w:szCs w:val="16"/>
                <w:color w:val="auto"/>
              </w:rPr>
              <w:t>Stock-based compensation</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640" w:type="dxa"/>
            <w:vAlign w:val="bottom"/>
          </w:tcPr>
          <w:p>
            <w:pPr>
              <w:ind w:left="320"/>
              <w:spacing w:after="0"/>
              <w:rPr>
                <w:sz w:val="20"/>
                <w:szCs w:val="20"/>
                <w:color w:val="auto"/>
              </w:rPr>
            </w:pPr>
            <w:r>
              <w:rPr>
                <w:rFonts w:ascii="Arial" w:cs="Arial" w:eastAsia="Arial" w:hAnsi="Arial"/>
                <w:sz w:val="16"/>
                <w:szCs w:val="16"/>
                <w:color w:val="auto"/>
              </w:rPr>
              <w:t>Net loss</w:t>
            </w: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8"/>
        </w:trPr>
        <w:tc>
          <w:tcPr>
            <w:tcW w:w="4640" w:type="dxa"/>
            <w:vAlign w:val="bottom"/>
          </w:tcPr>
          <w:p>
            <w:pPr>
              <w:spacing w:after="0" w:line="178" w:lineRule="exact"/>
              <w:rPr>
                <w:sz w:val="20"/>
                <w:szCs w:val="20"/>
                <w:color w:val="auto"/>
              </w:rPr>
            </w:pPr>
            <w:r>
              <w:rPr>
                <w:rFonts w:ascii="Arial" w:cs="Arial" w:eastAsia="Arial" w:hAnsi="Arial"/>
                <w:sz w:val="16"/>
                <w:szCs w:val="16"/>
                <w:b w:val="1"/>
                <w:bCs w:val="1"/>
                <w:color w:val="auto"/>
              </w:rPr>
              <w:t>Balances at December 31, 2018</w:t>
            </w:r>
          </w:p>
        </w:tc>
        <w:tc>
          <w:tcPr>
            <w:tcW w:w="800" w:type="dxa"/>
            <w:vAlign w:val="bottom"/>
            <w:gridSpan w:val="2"/>
          </w:tcPr>
          <w:p>
            <w:pPr>
              <w:jc w:val="right"/>
              <w:ind w:right="20"/>
              <w:spacing w:after="0" w:line="178" w:lineRule="exact"/>
              <w:rPr>
                <w:sz w:val="20"/>
                <w:szCs w:val="20"/>
                <w:color w:val="auto"/>
              </w:rPr>
            </w:pPr>
            <w:r>
              <w:rPr>
                <w:rFonts w:ascii="Arial" w:cs="Arial" w:eastAsia="Arial" w:hAnsi="Arial"/>
                <w:sz w:val="16"/>
                <w:szCs w:val="16"/>
                <w:color w:val="auto"/>
              </w:rPr>
              <w:t>7,375,631</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102,980</w:t>
            </w:r>
          </w:p>
        </w:tc>
        <w:tc>
          <w:tcPr>
            <w:tcW w:w="0" w:type="dxa"/>
            <w:vAlign w:val="bottom"/>
          </w:tcPr>
          <w:p>
            <w:pPr>
              <w:spacing w:after="0"/>
              <w:rPr>
                <w:sz w:val="1"/>
                <w:szCs w:val="1"/>
                <w:color w:val="auto"/>
              </w:rPr>
            </w:pPr>
          </w:p>
        </w:tc>
      </w:tr>
      <w:tr>
        <w:trPr>
          <w:trHeight w:val="189"/>
        </w:trPr>
        <w:tc>
          <w:tcPr>
            <w:tcW w:w="4640" w:type="dxa"/>
            <w:vAlign w:val="bottom"/>
          </w:tcPr>
          <w:p>
            <w:pPr>
              <w:ind w:left="320"/>
              <w:spacing w:after="0"/>
              <w:rPr>
                <w:sz w:val="20"/>
                <w:szCs w:val="20"/>
                <w:color w:val="auto"/>
              </w:rPr>
            </w:pPr>
            <w:r>
              <w:rPr>
                <w:rFonts w:ascii="Arial" w:cs="Arial" w:eastAsia="Arial" w:hAnsi="Arial"/>
                <w:sz w:val="16"/>
                <w:szCs w:val="16"/>
                <w:color w:val="auto"/>
              </w:rPr>
              <w:t>Cumulative effect of adoption of ASC 606</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640" w:type="dxa"/>
            <w:vAlign w:val="bottom"/>
          </w:tcPr>
          <w:p>
            <w:pPr>
              <w:ind w:left="320"/>
              <w:spacing w:after="0"/>
              <w:rPr>
                <w:sz w:val="20"/>
                <w:szCs w:val="20"/>
                <w:color w:val="auto"/>
              </w:rPr>
            </w:pPr>
            <w:r>
              <w:rPr>
                <w:rFonts w:ascii="Arial" w:cs="Arial" w:eastAsia="Arial" w:hAnsi="Arial"/>
                <w:sz w:val="16"/>
                <w:szCs w:val="16"/>
                <w:color w:val="auto"/>
              </w:rPr>
              <w:t>Exercise of common stock options</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640" w:type="dxa"/>
            <w:vAlign w:val="bottom"/>
          </w:tcPr>
          <w:p>
            <w:pPr>
              <w:ind w:left="320"/>
              <w:spacing w:after="0"/>
              <w:rPr>
                <w:sz w:val="20"/>
                <w:szCs w:val="20"/>
                <w:color w:val="auto"/>
              </w:rPr>
            </w:pPr>
            <w:r>
              <w:rPr>
                <w:rFonts w:ascii="Arial" w:cs="Arial" w:eastAsia="Arial" w:hAnsi="Arial"/>
                <w:sz w:val="16"/>
                <w:szCs w:val="16"/>
                <w:color w:val="auto"/>
              </w:rPr>
              <w:t>Stock-based compensation</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640" w:type="dxa"/>
            <w:vAlign w:val="bottom"/>
          </w:tcPr>
          <w:p>
            <w:pPr>
              <w:ind w:left="320"/>
              <w:spacing w:after="0"/>
              <w:rPr>
                <w:sz w:val="20"/>
                <w:szCs w:val="20"/>
                <w:color w:val="auto"/>
              </w:rPr>
            </w:pPr>
            <w:r>
              <w:rPr>
                <w:rFonts w:ascii="Arial" w:cs="Arial" w:eastAsia="Arial" w:hAnsi="Arial"/>
                <w:sz w:val="16"/>
                <w:szCs w:val="16"/>
                <w:color w:val="auto"/>
              </w:rPr>
              <w:t>Net loss</w:t>
            </w: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640" w:type="dxa"/>
            <w:vAlign w:val="bottom"/>
          </w:tcPr>
          <w:p>
            <w:pPr>
              <w:spacing w:after="0"/>
              <w:rPr>
                <w:sz w:val="20"/>
                <w:szCs w:val="20"/>
                <w:color w:val="auto"/>
              </w:rPr>
            </w:pPr>
            <w:r>
              <w:rPr>
                <w:rFonts w:ascii="Arial" w:cs="Arial" w:eastAsia="Arial" w:hAnsi="Arial"/>
                <w:sz w:val="16"/>
                <w:szCs w:val="16"/>
                <w:b w:val="1"/>
                <w:bCs w:val="1"/>
                <w:color w:val="auto"/>
              </w:rPr>
              <w:t>Balances at December 31, 2019</w:t>
            </w: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7,375,631</w:t>
            </w:r>
          </w:p>
        </w:tc>
        <w:tc>
          <w:tcPr>
            <w:tcW w:w="1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102,980</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-1628140</wp:posOffset>
            </wp:positionV>
            <wp:extent cx="6995160" cy="16370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95160" cy="1637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620" w:type="dxa"/>
            <w:vAlign w:val="bottom"/>
            <w:gridSpan w:val="5"/>
            <w:vMerge w:val="restart"/>
          </w:tcPr>
          <w:p>
            <w:pPr>
              <w:jc w:val="right"/>
              <w:ind w:right="28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3"/>
          </w:tcPr>
          <w:p>
            <w:pPr>
              <w:spacing w:after="0"/>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23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3"/>
        </w:trPr>
        <w:tc>
          <w:tcPr>
            <w:tcW w:w="1620" w:type="dxa"/>
            <w:vAlign w:val="bottom"/>
            <w:tcBorders>
              <w:bottom w:val="single" w:sz="8" w:color="auto"/>
            </w:tcBorders>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ind w:left="20"/>
              <w:spacing w:after="0" w:line="112" w:lineRule="exact"/>
              <w:rPr>
                <w:sz w:val="20"/>
                <w:szCs w:val="20"/>
                <w:color w:val="auto"/>
              </w:rPr>
            </w:pPr>
            <w:r>
              <w:rPr>
                <w:rFonts w:ascii="Arial" w:cs="Arial" w:eastAsia="Arial" w:hAnsi="Arial"/>
                <w:sz w:val="12"/>
                <w:szCs w:val="12"/>
                <w:b w:val="1"/>
                <w:bCs w:val="1"/>
                <w:color w:val="auto"/>
              </w:rPr>
              <w:t>Paid-In</w:t>
            </w:r>
          </w:p>
        </w:tc>
        <w:tc>
          <w:tcPr>
            <w:tcW w:w="80" w:type="dxa"/>
            <w:vAlign w:val="bottom"/>
          </w:tcPr>
          <w:p>
            <w:pPr>
              <w:spacing w:after="0"/>
              <w:rPr>
                <w:sz w:val="10"/>
                <w:szCs w:val="10"/>
                <w:color w:val="auto"/>
              </w:rPr>
            </w:pPr>
          </w:p>
        </w:tc>
        <w:tc>
          <w:tcPr>
            <w:tcW w:w="1000" w:type="dxa"/>
            <w:vAlign w:val="bottom"/>
            <w:gridSpan w:val="3"/>
          </w:tcPr>
          <w:p>
            <w:pPr>
              <w:spacing w:after="0" w:line="112" w:lineRule="exact"/>
              <w:rPr>
                <w:sz w:val="20"/>
                <w:szCs w:val="20"/>
                <w:color w:val="auto"/>
              </w:rPr>
            </w:pPr>
            <w:r>
              <w:rPr>
                <w:rFonts w:ascii="Arial" w:cs="Arial" w:eastAsia="Arial" w:hAnsi="Arial"/>
                <w:sz w:val="12"/>
                <w:szCs w:val="12"/>
                <w:b w:val="1"/>
                <w:bCs w:val="1"/>
                <w:color w:val="auto"/>
              </w:rPr>
              <w:t>Accumulated</w:t>
            </w:r>
          </w:p>
        </w:tc>
        <w:tc>
          <w:tcPr>
            <w:tcW w:w="900" w:type="dxa"/>
            <w:vAlign w:val="bottom"/>
            <w:gridSpan w:val="3"/>
          </w:tcPr>
          <w:p>
            <w:pPr>
              <w:spacing w:after="0" w:line="112"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55"/>
        </w:trPr>
        <w:tc>
          <w:tcPr>
            <w:tcW w:w="800" w:type="dxa"/>
            <w:vAlign w:val="bottom"/>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3"/>
                <w:szCs w:val="13"/>
                <w:color w:val="auto"/>
              </w:rPr>
            </w:pPr>
          </w:p>
        </w:tc>
        <w:tc>
          <w:tcPr>
            <w:tcW w:w="740" w:type="dxa"/>
            <w:vAlign w:val="bottom"/>
            <w:gridSpan w:val="2"/>
          </w:tcPr>
          <w:p>
            <w:pPr>
              <w:jc w:val="right"/>
              <w:ind w:right="199"/>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212"/>
        </w:trPr>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5,063,303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(20,475)</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(19,590)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80" w:type="dxa"/>
            <w:vAlign w:val="bottom"/>
          </w:tcPr>
          <w:p>
            <w:pPr>
              <w:jc w:val="right"/>
              <w:spacing w:after="0"/>
              <w:rPr>
                <w:sz w:val="20"/>
                <w:szCs w:val="20"/>
                <w:color w:val="auto"/>
              </w:rPr>
            </w:pPr>
            <w:r>
              <w:rPr>
                <w:rFonts w:ascii="Arial" w:cs="Arial" w:eastAsia="Arial" w:hAnsi="Arial"/>
                <w:sz w:val="16"/>
                <w:szCs w:val="16"/>
                <w:color w:val="auto"/>
              </w:rPr>
              <w:t>63,041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105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189"/>
        </w:trPr>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72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89"/>
        </w:trPr>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1,377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1,377</w:t>
            </w:r>
          </w:p>
        </w:tc>
        <w:tc>
          <w:tcPr>
            <w:tcW w:w="0" w:type="dxa"/>
            <w:vAlign w:val="bottom"/>
          </w:tcPr>
          <w:p>
            <w:pPr>
              <w:spacing w:after="0"/>
              <w:rPr>
                <w:sz w:val="1"/>
                <w:szCs w:val="1"/>
                <w:color w:val="auto"/>
              </w:rPr>
            </w:pPr>
          </w:p>
        </w:tc>
      </w:tr>
      <w:tr>
        <w:trPr>
          <w:trHeight w:val="207"/>
        </w:trPr>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(9,551)</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(9,551)</w:t>
            </w:r>
          </w:p>
        </w:tc>
        <w:tc>
          <w:tcPr>
            <w:tcW w:w="0" w:type="dxa"/>
            <w:vAlign w:val="bottom"/>
          </w:tcPr>
          <w:p>
            <w:pPr>
              <w:spacing w:after="0"/>
              <w:rPr>
                <w:sz w:val="1"/>
                <w:szCs w:val="1"/>
                <w:color w:val="auto"/>
              </w:rPr>
            </w:pPr>
          </w:p>
        </w:tc>
      </w:tr>
      <w:tr>
        <w:trPr>
          <w:trHeight w:val="178"/>
        </w:trPr>
        <w:tc>
          <w:tcPr>
            <w:tcW w:w="78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5,126,344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2,438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line="178" w:lineRule="exact"/>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(30,026)</w:t>
            </w: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line="178" w:lineRule="exact"/>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(27,587)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307</w:t>
            </w:r>
          </w:p>
        </w:tc>
        <w:tc>
          <w:tcPr>
            <w:tcW w:w="16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189"/>
        </w:trPr>
        <w:tc>
          <w:tcPr>
            <w:tcW w:w="780" w:type="dxa"/>
            <w:vAlign w:val="bottom"/>
          </w:tcPr>
          <w:p>
            <w:pPr>
              <w:jc w:val="right"/>
              <w:spacing w:after="0"/>
              <w:rPr>
                <w:sz w:val="20"/>
                <w:szCs w:val="20"/>
                <w:color w:val="auto"/>
              </w:rPr>
            </w:pPr>
            <w:r>
              <w:rPr>
                <w:rFonts w:ascii="Arial" w:cs="Arial" w:eastAsia="Arial" w:hAnsi="Arial"/>
                <w:sz w:val="16"/>
                <w:szCs w:val="16"/>
                <w:color w:val="auto"/>
              </w:rPr>
              <w:t>52,611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75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89"/>
        </w:trPr>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3,541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3,541</w:t>
            </w:r>
          </w:p>
        </w:tc>
        <w:tc>
          <w:tcPr>
            <w:tcW w:w="0" w:type="dxa"/>
            <w:vAlign w:val="bottom"/>
          </w:tcPr>
          <w:p>
            <w:pPr>
              <w:spacing w:after="0"/>
              <w:rPr>
                <w:sz w:val="1"/>
                <w:szCs w:val="1"/>
                <w:color w:val="auto"/>
              </w:rPr>
            </w:pPr>
          </w:p>
        </w:tc>
      </w:tr>
      <w:tr>
        <w:trPr>
          <w:trHeight w:val="207"/>
        </w:trPr>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(49,306)</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(49,306)</w:t>
            </w:r>
          </w:p>
        </w:tc>
        <w:tc>
          <w:tcPr>
            <w:tcW w:w="0" w:type="dxa"/>
            <w:vAlign w:val="bottom"/>
          </w:tcPr>
          <w:p>
            <w:pPr>
              <w:spacing w:after="0"/>
              <w:rPr>
                <w:sz w:val="1"/>
                <w:szCs w:val="1"/>
                <w:color w:val="auto"/>
              </w:rPr>
            </w:pPr>
          </w:p>
        </w:tc>
      </w:tr>
      <w:tr>
        <w:trPr>
          <w:trHeight w:val="196"/>
        </w:trPr>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5,178,955</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6,054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(79,025</w:t>
            </w:r>
          </w:p>
        </w:tc>
        <w:tc>
          <w:tcPr>
            <w:tcW w:w="200" w:type="dxa"/>
            <w:vAlign w:val="bottom"/>
          </w:tcPr>
          <w:p>
            <w:pPr>
              <w:jc w:val="right"/>
              <w:ind w:right="120"/>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(72,970</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40" w:space="220"/>
            <w:col w:w="4520"/>
          </w:cols>
          <w:pgMar w:left="320" w:top="455" w:right="499" w:bottom="1440" w:gutter="0" w:footer="0" w:header="0"/>
          <w:type w:val="continuous"/>
        </w:sectPr>
      </w:pP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080"/>
          </w:cols>
          <w:pgMar w:left="320" w:top="455" w:right="499" w:bottom="1440" w:gutter="0" w:footer="0" w:header="0"/>
          <w:type w:val="continuous"/>
        </w:sectPr>
      </w:pPr>
    </w:p>
    <w:bookmarkStart w:id="250" w:name="page251"/>
    <w:bookmarkEnd w:id="2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4D Molecular Therapeutics, Inc.</w:t>
      </w:r>
    </w:p>
    <w:p>
      <w:pPr>
        <w:spacing w:after="0" w:line="104" w:lineRule="exact"/>
        <w:rPr>
          <w:sz w:val="20"/>
          <w:szCs w:val="20"/>
          <w:color w:val="auto"/>
        </w:rPr>
      </w:pPr>
    </w:p>
    <w:p>
      <w:pPr>
        <w:jc w:val="right"/>
        <w:ind w:right="1360"/>
        <w:spacing w:after="0"/>
        <w:rPr>
          <w:sz w:val="20"/>
          <w:szCs w:val="20"/>
          <w:color w:val="auto"/>
        </w:rPr>
      </w:pPr>
      <w:r>
        <w:rPr>
          <w:rFonts w:ascii="Arial" w:cs="Arial" w:eastAsia="Arial" w:hAnsi="Arial"/>
          <w:sz w:val="18"/>
          <w:szCs w:val="18"/>
          <w:b w:val="1"/>
          <w:bCs w:val="1"/>
          <w:color w:val="auto"/>
        </w:rPr>
        <w:t>Statements of Redeemable Convertible Preferred Stock and Stockholders’ Deficit – (Continued)</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amounts)</w:t>
      </w:r>
    </w:p>
    <w:p>
      <w:pPr>
        <w:sectPr>
          <w:pgSz w:w="11900" w:h="16838" w:orient="portrait"/>
          <w:cols w:equalWidth="0" w:num="1">
            <w:col w:w="11060"/>
          </w:cols>
          <w:pgMar w:left="320" w:top="455" w:right="519" w:bottom="1440" w:gutter="0" w:footer="0" w:header="0"/>
        </w:sectPr>
      </w:pP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400" w:type="dxa"/>
            <w:vAlign w:val="bottom"/>
          </w:tcPr>
          <w:p>
            <w:pPr>
              <w:spacing w:after="0"/>
              <w:rPr>
                <w:sz w:val="13"/>
                <w:szCs w:val="13"/>
                <w:color w:val="auto"/>
              </w:rPr>
            </w:pPr>
          </w:p>
        </w:tc>
        <w:tc>
          <w:tcPr>
            <w:tcW w:w="1700" w:type="dxa"/>
            <w:vAlign w:val="bottom"/>
            <w:gridSpan w:val="6"/>
          </w:tcPr>
          <w:p>
            <w:pPr>
              <w:jc w:val="center"/>
              <w:ind w:right="40"/>
              <w:spacing w:after="0"/>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1700" w:type="dxa"/>
            <w:vAlign w:val="bottom"/>
            <w:gridSpan w:val="6"/>
          </w:tcPr>
          <w:p>
            <w:pPr>
              <w:jc w:val="center"/>
              <w:ind w:right="40"/>
              <w:spacing w:after="0" w:line="135" w:lineRule="exact"/>
              <w:rPr>
                <w:sz w:val="20"/>
                <w:szCs w:val="20"/>
                <w:color w:val="auto"/>
              </w:rPr>
            </w:pPr>
            <w:r>
              <w:rPr>
                <w:rFonts w:ascii="Arial" w:cs="Arial" w:eastAsia="Arial" w:hAnsi="Arial"/>
                <w:sz w:val="13"/>
                <w:szCs w:val="13"/>
                <w:b w:val="1"/>
                <w:bCs w:val="1"/>
                <w:color w:val="auto"/>
                <w:w w:val="97"/>
              </w:rPr>
              <w:t>Convertible</w:t>
            </w:r>
          </w:p>
        </w:tc>
        <w:tc>
          <w:tcPr>
            <w:tcW w:w="0" w:type="dxa"/>
            <w:vAlign w:val="bottom"/>
          </w:tcPr>
          <w:p>
            <w:pPr>
              <w:spacing w:after="0"/>
              <w:rPr>
                <w:sz w:val="1"/>
                <w:szCs w:val="1"/>
                <w:color w:val="auto"/>
              </w:rPr>
            </w:pPr>
          </w:p>
        </w:tc>
      </w:tr>
      <w:tr>
        <w:trPr>
          <w:trHeight w:val="159"/>
        </w:trPr>
        <w:tc>
          <w:tcPr>
            <w:tcW w:w="4400" w:type="dxa"/>
            <w:vAlign w:val="bottom"/>
          </w:tcPr>
          <w:p>
            <w:pPr>
              <w:spacing w:after="0"/>
              <w:rPr>
                <w:sz w:val="13"/>
                <w:szCs w:val="13"/>
                <w:color w:val="auto"/>
              </w:rPr>
            </w:pPr>
          </w:p>
        </w:tc>
        <w:tc>
          <w:tcPr>
            <w:tcW w:w="168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7"/>
              </w:rPr>
              <w:t>Preferred Stock</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400" w:type="dxa"/>
            <w:vAlign w:val="bottom"/>
            <w:vMerge w:val="restart"/>
          </w:tcPr>
          <w:p>
            <w:pPr>
              <w:spacing w:after="0"/>
              <w:rPr>
                <w:sz w:val="20"/>
                <w:szCs w:val="20"/>
                <w:color w:val="auto"/>
              </w:rPr>
            </w:pPr>
            <w:r>
              <w:rPr>
                <w:rFonts w:ascii="Arial" w:cs="Arial" w:eastAsia="Arial" w:hAnsi="Arial"/>
                <w:sz w:val="16"/>
                <w:szCs w:val="16"/>
                <w:b w:val="1"/>
                <w:bCs w:val="1"/>
                <w:color w:val="auto"/>
              </w:rPr>
              <w:t>Balances at December 31, 2018</w:t>
            </w:r>
          </w:p>
        </w:tc>
        <w:tc>
          <w:tcPr>
            <w:tcW w:w="900" w:type="dxa"/>
            <w:vAlign w:val="bottom"/>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64"/>
        </w:trPr>
        <w:tc>
          <w:tcPr>
            <w:tcW w:w="4400" w:type="dxa"/>
            <w:vAlign w:val="bottom"/>
            <w:vMerge w:val="continue"/>
          </w:tcPr>
          <w:p>
            <w:pPr>
              <w:spacing w:after="0"/>
              <w:rPr>
                <w:sz w:val="14"/>
                <w:szCs w:val="14"/>
                <w:color w:val="auto"/>
              </w:rPr>
            </w:pPr>
          </w:p>
        </w:tc>
        <w:tc>
          <w:tcPr>
            <w:tcW w:w="880" w:type="dxa"/>
            <w:vAlign w:val="bottom"/>
            <w:tcBorders>
              <w:top w:val="single" w:sz="8" w:color="auto"/>
            </w:tcBorders>
          </w:tcPr>
          <w:p>
            <w:pPr>
              <w:jc w:val="right"/>
              <w:spacing w:after="0" w:line="165" w:lineRule="exact"/>
              <w:rPr>
                <w:sz w:val="20"/>
                <w:szCs w:val="20"/>
                <w:color w:val="auto"/>
              </w:rPr>
            </w:pPr>
            <w:r>
              <w:rPr>
                <w:rFonts w:ascii="Arial" w:cs="Arial" w:eastAsia="Arial" w:hAnsi="Arial"/>
                <w:sz w:val="16"/>
                <w:szCs w:val="16"/>
                <w:color w:val="auto"/>
              </w:rPr>
              <w:t>7,375,631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line="165" w:lineRule="exact"/>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spacing w:after="0" w:line="165" w:lineRule="exact"/>
              <w:rPr>
                <w:sz w:val="20"/>
                <w:szCs w:val="20"/>
                <w:color w:val="auto"/>
              </w:rPr>
            </w:pPr>
            <w:r>
              <w:rPr>
                <w:rFonts w:ascii="Arial" w:cs="Arial" w:eastAsia="Arial" w:hAnsi="Arial"/>
                <w:sz w:val="16"/>
                <w:szCs w:val="16"/>
                <w:color w:val="auto"/>
              </w:rPr>
              <w:t>102,980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320"/>
              <w:spacing w:after="0"/>
              <w:rPr>
                <w:sz w:val="20"/>
                <w:szCs w:val="20"/>
                <w:color w:val="auto"/>
              </w:rPr>
            </w:pPr>
            <w:r>
              <w:rPr>
                <w:rFonts w:ascii="Arial" w:cs="Arial" w:eastAsia="Arial" w:hAnsi="Arial"/>
                <w:sz w:val="16"/>
                <w:szCs w:val="16"/>
                <w:color w:val="auto"/>
              </w:rPr>
              <w:t>Cumulative effect of adoption of ASC 606 (unaudited)</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00" w:type="dxa"/>
            <w:vAlign w:val="bottom"/>
          </w:tcPr>
          <w:p>
            <w:pPr>
              <w:ind w:left="320"/>
              <w:spacing w:after="0"/>
              <w:rPr>
                <w:sz w:val="20"/>
                <w:szCs w:val="20"/>
                <w:color w:val="auto"/>
              </w:rPr>
            </w:pPr>
            <w:r>
              <w:rPr>
                <w:rFonts w:ascii="Arial" w:cs="Arial" w:eastAsia="Arial" w:hAnsi="Arial"/>
                <w:sz w:val="16"/>
                <w:szCs w:val="16"/>
                <w:color w:val="auto"/>
              </w:rPr>
              <w:t>Exercise of common stock options (unaudited)</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00" w:type="dxa"/>
            <w:vAlign w:val="bottom"/>
          </w:tcPr>
          <w:p>
            <w:pPr>
              <w:ind w:left="320"/>
              <w:spacing w:after="0"/>
              <w:rPr>
                <w:sz w:val="20"/>
                <w:szCs w:val="20"/>
                <w:color w:val="auto"/>
              </w:rPr>
            </w:pPr>
            <w:r>
              <w:rPr>
                <w:rFonts w:ascii="Arial" w:cs="Arial" w:eastAsia="Arial" w:hAnsi="Arial"/>
                <w:sz w:val="16"/>
                <w:szCs w:val="16"/>
                <w:color w:val="auto"/>
              </w:rPr>
              <w:t>Stock-based compensation (unaudited)</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400" w:type="dxa"/>
            <w:vAlign w:val="bottom"/>
          </w:tcPr>
          <w:p>
            <w:pPr>
              <w:ind w:left="320"/>
              <w:spacing w:after="0"/>
              <w:rPr>
                <w:sz w:val="20"/>
                <w:szCs w:val="20"/>
                <w:color w:val="auto"/>
              </w:rPr>
            </w:pPr>
            <w:r>
              <w:rPr>
                <w:rFonts w:ascii="Arial" w:cs="Arial" w:eastAsia="Arial" w:hAnsi="Arial"/>
                <w:sz w:val="16"/>
                <w:szCs w:val="16"/>
                <w:color w:val="auto"/>
              </w:rPr>
              <w:t>Net loss (unaudited)</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400" w:type="dxa"/>
            <w:vAlign w:val="bottom"/>
          </w:tcPr>
          <w:p>
            <w:pPr>
              <w:spacing w:after="0"/>
              <w:rPr>
                <w:sz w:val="20"/>
                <w:szCs w:val="20"/>
                <w:color w:val="auto"/>
              </w:rPr>
            </w:pPr>
            <w:r>
              <w:rPr>
                <w:rFonts w:ascii="Arial" w:cs="Arial" w:eastAsia="Arial" w:hAnsi="Arial"/>
                <w:sz w:val="16"/>
                <w:szCs w:val="16"/>
                <w:b w:val="1"/>
                <w:bCs w:val="1"/>
                <w:color w:val="auto"/>
              </w:rPr>
              <w:t>Balances at September 30, 2019 (unaudited)</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7,375,631</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102,980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6"/>
                <w:szCs w:val="16"/>
                <w:b w:val="1"/>
                <w:bCs w:val="1"/>
                <w:color w:val="auto"/>
              </w:rPr>
              <w:t>Balances at December 31, 2019</w:t>
            </w:r>
          </w:p>
        </w:tc>
        <w:tc>
          <w:tcPr>
            <w:tcW w:w="9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400" w:type="dxa"/>
            <w:vAlign w:val="bottom"/>
            <w:vMerge w:val="continue"/>
          </w:tcPr>
          <w:p>
            <w:pPr>
              <w:spacing w:after="0"/>
              <w:rPr>
                <w:sz w:val="14"/>
                <w:szCs w:val="14"/>
                <w:color w:val="auto"/>
              </w:rPr>
            </w:pPr>
          </w:p>
        </w:tc>
        <w:tc>
          <w:tcPr>
            <w:tcW w:w="880" w:type="dxa"/>
            <w:vAlign w:val="bottom"/>
            <w:tcBorders>
              <w:top w:val="single" w:sz="8" w:color="auto"/>
            </w:tcBorders>
          </w:tcPr>
          <w:p>
            <w:pPr>
              <w:jc w:val="right"/>
              <w:spacing w:after="0" w:line="165" w:lineRule="exact"/>
              <w:rPr>
                <w:sz w:val="20"/>
                <w:szCs w:val="20"/>
                <w:color w:val="auto"/>
              </w:rPr>
            </w:pPr>
            <w:r>
              <w:rPr>
                <w:rFonts w:ascii="Arial" w:cs="Arial" w:eastAsia="Arial" w:hAnsi="Arial"/>
                <w:sz w:val="16"/>
                <w:szCs w:val="16"/>
                <w:color w:val="auto"/>
              </w:rPr>
              <w:t>7,375,631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line="165" w:lineRule="exact"/>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spacing w:after="0" w:line="165" w:lineRule="exact"/>
              <w:rPr>
                <w:sz w:val="20"/>
                <w:szCs w:val="20"/>
                <w:color w:val="auto"/>
              </w:rPr>
            </w:pPr>
            <w:r>
              <w:rPr>
                <w:rFonts w:ascii="Arial" w:cs="Arial" w:eastAsia="Arial" w:hAnsi="Arial"/>
                <w:sz w:val="16"/>
                <w:szCs w:val="16"/>
                <w:color w:val="auto"/>
              </w:rPr>
              <w:t>102,980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320"/>
              <w:spacing w:after="0"/>
              <w:rPr>
                <w:sz w:val="20"/>
                <w:szCs w:val="20"/>
                <w:color w:val="auto"/>
              </w:rPr>
            </w:pPr>
            <w:r>
              <w:rPr>
                <w:rFonts w:ascii="Arial" w:cs="Arial" w:eastAsia="Arial" w:hAnsi="Arial"/>
                <w:sz w:val="16"/>
                <w:szCs w:val="16"/>
                <w:color w:val="auto"/>
              </w:rPr>
              <w:t>Issuance of redeemable convertible preferred stock,</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480"/>
              <w:spacing w:after="0"/>
              <w:rPr>
                <w:sz w:val="20"/>
                <w:szCs w:val="20"/>
                <w:color w:val="auto"/>
              </w:rPr>
            </w:pPr>
            <w:r>
              <w:rPr>
                <w:rFonts w:ascii="Arial" w:cs="Arial" w:eastAsia="Arial" w:hAnsi="Arial"/>
                <w:sz w:val="16"/>
                <w:szCs w:val="16"/>
                <w:color w:val="auto"/>
              </w:rPr>
              <w:t>net of $3,138 of issuance cost (unaudited)</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4,200,353</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72,468</w:t>
            </w:r>
          </w:p>
        </w:tc>
        <w:tc>
          <w:tcPr>
            <w:tcW w:w="0" w:type="dxa"/>
            <w:vAlign w:val="bottom"/>
          </w:tcPr>
          <w:p>
            <w:pPr>
              <w:spacing w:after="0"/>
              <w:rPr>
                <w:sz w:val="1"/>
                <w:szCs w:val="1"/>
                <w:color w:val="auto"/>
              </w:rPr>
            </w:pPr>
          </w:p>
        </w:tc>
      </w:tr>
      <w:tr>
        <w:trPr>
          <w:trHeight w:val="189"/>
        </w:trPr>
        <w:tc>
          <w:tcPr>
            <w:tcW w:w="4400" w:type="dxa"/>
            <w:vAlign w:val="bottom"/>
          </w:tcPr>
          <w:p>
            <w:pPr>
              <w:ind w:left="320"/>
              <w:spacing w:after="0"/>
              <w:rPr>
                <w:sz w:val="20"/>
                <w:szCs w:val="20"/>
                <w:color w:val="auto"/>
              </w:rPr>
            </w:pPr>
            <w:r>
              <w:rPr>
                <w:rFonts w:ascii="Arial" w:cs="Arial" w:eastAsia="Arial" w:hAnsi="Arial"/>
                <w:sz w:val="16"/>
                <w:szCs w:val="16"/>
                <w:color w:val="auto"/>
              </w:rPr>
              <w:t>Cumulative effect of adoption of ASU 2018-07</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480"/>
              <w:spacing w:after="0"/>
              <w:rPr>
                <w:sz w:val="20"/>
                <w:szCs w:val="20"/>
                <w:color w:val="auto"/>
              </w:rPr>
            </w:pPr>
            <w:r>
              <w:rPr>
                <w:rFonts w:ascii="Arial" w:cs="Arial" w:eastAsia="Arial" w:hAnsi="Arial"/>
                <w:sz w:val="16"/>
                <w:szCs w:val="16"/>
                <w:color w:val="auto"/>
              </w:rPr>
              <w:t>(unaudited)</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00" w:type="dxa"/>
            <w:vAlign w:val="bottom"/>
          </w:tcPr>
          <w:p>
            <w:pPr>
              <w:ind w:left="320"/>
              <w:spacing w:after="0"/>
              <w:rPr>
                <w:sz w:val="20"/>
                <w:szCs w:val="20"/>
                <w:color w:val="auto"/>
              </w:rPr>
            </w:pPr>
            <w:r>
              <w:rPr>
                <w:rFonts w:ascii="Arial" w:cs="Arial" w:eastAsia="Arial" w:hAnsi="Arial"/>
                <w:sz w:val="16"/>
                <w:szCs w:val="16"/>
                <w:color w:val="auto"/>
              </w:rPr>
              <w:t>Exercise of common stock options (unaudited)</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00" w:type="dxa"/>
            <w:vAlign w:val="bottom"/>
          </w:tcPr>
          <w:p>
            <w:pPr>
              <w:ind w:left="320"/>
              <w:spacing w:after="0"/>
              <w:rPr>
                <w:sz w:val="20"/>
                <w:szCs w:val="20"/>
                <w:color w:val="auto"/>
              </w:rPr>
            </w:pPr>
            <w:r>
              <w:rPr>
                <w:rFonts w:ascii="Arial" w:cs="Arial" w:eastAsia="Arial" w:hAnsi="Arial"/>
                <w:sz w:val="16"/>
                <w:szCs w:val="16"/>
                <w:color w:val="auto"/>
              </w:rPr>
              <w:t>Stock-based compensation (unaudited)</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400" w:type="dxa"/>
            <w:vAlign w:val="bottom"/>
          </w:tcPr>
          <w:p>
            <w:pPr>
              <w:ind w:left="320"/>
              <w:spacing w:after="0"/>
              <w:rPr>
                <w:sz w:val="20"/>
                <w:szCs w:val="20"/>
                <w:color w:val="auto"/>
              </w:rPr>
            </w:pPr>
            <w:r>
              <w:rPr>
                <w:rFonts w:ascii="Arial" w:cs="Arial" w:eastAsia="Arial" w:hAnsi="Arial"/>
                <w:sz w:val="16"/>
                <w:szCs w:val="16"/>
                <w:color w:val="auto"/>
              </w:rPr>
              <w:t>Net loss (unaudited)</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400" w:type="dxa"/>
            <w:vAlign w:val="bottom"/>
          </w:tcPr>
          <w:p>
            <w:pPr>
              <w:spacing w:after="0"/>
              <w:rPr>
                <w:sz w:val="20"/>
                <w:szCs w:val="20"/>
                <w:color w:val="auto"/>
              </w:rPr>
            </w:pPr>
            <w:r>
              <w:rPr>
                <w:rFonts w:ascii="Arial" w:cs="Arial" w:eastAsia="Arial" w:hAnsi="Arial"/>
                <w:sz w:val="16"/>
                <w:szCs w:val="16"/>
                <w:b w:val="1"/>
                <w:bCs w:val="1"/>
                <w:color w:val="auto"/>
              </w:rPr>
              <w:t>Balances at September 30, 2020 (unaudited)</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11,575,984</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175,448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-1911350</wp:posOffset>
            </wp:positionV>
            <wp:extent cx="6995160" cy="19202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95160" cy="1920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660" w:type="dxa"/>
            <w:vAlign w:val="bottom"/>
            <w:gridSpan w:val="5"/>
            <w:vMerge w:val="restart"/>
          </w:tcPr>
          <w:p>
            <w:pPr>
              <w:jc w:val="right"/>
              <w:ind w:right="280"/>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13"/>
                <w:szCs w:val="13"/>
                <w:color w:val="auto"/>
              </w:rPr>
            </w:pPr>
          </w:p>
        </w:tc>
        <w:tc>
          <w:tcPr>
            <w:tcW w:w="780" w:type="dxa"/>
            <w:vAlign w:val="bottom"/>
            <w:gridSpan w:val="3"/>
          </w:tcPr>
          <w:p>
            <w:pPr>
              <w:ind w:left="20"/>
              <w:spacing w:after="0"/>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3"/>
        </w:trPr>
        <w:tc>
          <w:tcPr>
            <w:tcW w:w="1660" w:type="dxa"/>
            <w:vAlign w:val="bottom"/>
            <w:tcBorders>
              <w:bottom w:val="single" w:sz="8" w:color="auto"/>
            </w:tcBorders>
            <w:gridSpan w:val="5"/>
            <w:vMerge w:val="continue"/>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240"/>
              <w:spacing w:after="0" w:line="112" w:lineRule="exact"/>
              <w:rPr>
                <w:sz w:val="20"/>
                <w:szCs w:val="20"/>
                <w:color w:val="auto"/>
              </w:rPr>
            </w:pPr>
            <w:r>
              <w:rPr>
                <w:rFonts w:ascii="Arial" w:cs="Arial" w:eastAsia="Arial" w:hAnsi="Arial"/>
                <w:sz w:val="12"/>
                <w:szCs w:val="12"/>
                <w:b w:val="1"/>
                <w:bCs w:val="1"/>
                <w:color w:val="auto"/>
              </w:rPr>
              <w:t>Paid-In</w:t>
            </w:r>
          </w:p>
        </w:tc>
        <w:tc>
          <w:tcPr>
            <w:tcW w:w="80" w:type="dxa"/>
            <w:vAlign w:val="bottom"/>
          </w:tcPr>
          <w:p>
            <w:pPr>
              <w:spacing w:after="0"/>
              <w:rPr>
                <w:sz w:val="10"/>
                <w:szCs w:val="10"/>
                <w:color w:val="auto"/>
              </w:rPr>
            </w:pPr>
          </w:p>
        </w:tc>
        <w:tc>
          <w:tcPr>
            <w:tcW w:w="940" w:type="dxa"/>
            <w:vAlign w:val="bottom"/>
            <w:gridSpan w:val="3"/>
          </w:tcPr>
          <w:p>
            <w:pPr>
              <w:ind w:left="20"/>
              <w:spacing w:after="0" w:line="112" w:lineRule="exact"/>
              <w:rPr>
                <w:sz w:val="20"/>
                <w:szCs w:val="20"/>
                <w:color w:val="auto"/>
              </w:rPr>
            </w:pPr>
            <w:r>
              <w:rPr>
                <w:rFonts w:ascii="Arial" w:cs="Arial" w:eastAsia="Arial" w:hAnsi="Arial"/>
                <w:sz w:val="12"/>
                <w:szCs w:val="12"/>
                <w:b w:val="1"/>
                <w:bCs w:val="1"/>
                <w:color w:val="auto"/>
              </w:rPr>
              <w:t>Accumulated</w:t>
            </w:r>
          </w:p>
        </w:tc>
        <w:tc>
          <w:tcPr>
            <w:tcW w:w="80" w:type="dxa"/>
            <w:vAlign w:val="bottom"/>
          </w:tcPr>
          <w:p>
            <w:pPr>
              <w:spacing w:after="0"/>
              <w:rPr>
                <w:sz w:val="10"/>
                <w:szCs w:val="10"/>
                <w:color w:val="auto"/>
              </w:rPr>
            </w:pPr>
          </w:p>
        </w:tc>
        <w:tc>
          <w:tcPr>
            <w:tcW w:w="920" w:type="dxa"/>
            <w:vAlign w:val="bottom"/>
            <w:gridSpan w:val="3"/>
          </w:tcPr>
          <w:p>
            <w:pPr>
              <w:ind w:left="20"/>
              <w:spacing w:after="0" w:line="112"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55"/>
        </w:trPr>
        <w:tc>
          <w:tcPr>
            <w:tcW w:w="8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6"/>
              </w:rPr>
              <w:t>Capital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178"/>
        </w:trPr>
        <w:tc>
          <w:tcPr>
            <w:tcW w:w="80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5,126,344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1</w:t>
            </w:r>
          </w:p>
        </w:tc>
        <w:tc>
          <w:tcPr>
            <w:tcW w:w="200" w:type="dxa"/>
            <w:vAlign w:val="bottom"/>
          </w:tcPr>
          <w:p>
            <w:pPr>
              <w:spacing w:after="0"/>
              <w:rPr>
                <w:sz w:val="15"/>
                <w:szCs w:val="15"/>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2,438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line="178" w:lineRule="exact"/>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(30,026)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line="178" w:lineRule="exact"/>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(27,587)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307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189"/>
        </w:trPr>
        <w:tc>
          <w:tcPr>
            <w:tcW w:w="800" w:type="dxa"/>
            <w:vAlign w:val="bottom"/>
          </w:tcPr>
          <w:p>
            <w:pPr>
              <w:jc w:val="right"/>
              <w:spacing w:after="0"/>
              <w:rPr>
                <w:sz w:val="20"/>
                <w:szCs w:val="20"/>
                <w:color w:val="auto"/>
              </w:rPr>
            </w:pPr>
            <w:r>
              <w:rPr>
                <w:rFonts w:ascii="Arial" w:cs="Arial" w:eastAsia="Arial" w:hAnsi="Arial"/>
                <w:sz w:val="16"/>
                <w:szCs w:val="16"/>
                <w:color w:val="auto"/>
              </w:rPr>
              <w:t>15,000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89"/>
        </w:trPr>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2,526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2,526</w:t>
            </w:r>
          </w:p>
        </w:tc>
        <w:tc>
          <w:tcPr>
            <w:tcW w:w="0" w:type="dxa"/>
            <w:vAlign w:val="bottom"/>
          </w:tcPr>
          <w:p>
            <w:pPr>
              <w:spacing w:after="0"/>
              <w:rPr>
                <w:sz w:val="1"/>
                <w:szCs w:val="1"/>
                <w:color w:val="auto"/>
              </w:rPr>
            </w:pPr>
          </w:p>
        </w:tc>
      </w:tr>
      <w:tr>
        <w:trPr>
          <w:trHeight w:val="207"/>
        </w:trPr>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(33,191)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(33,191)</w:t>
            </w:r>
          </w:p>
        </w:tc>
        <w:tc>
          <w:tcPr>
            <w:tcW w:w="0" w:type="dxa"/>
            <w:vAlign w:val="bottom"/>
          </w:tcPr>
          <w:p>
            <w:pPr>
              <w:spacing w:after="0"/>
              <w:rPr>
                <w:sz w:val="1"/>
                <w:szCs w:val="1"/>
                <w:color w:val="auto"/>
              </w:rPr>
            </w:pPr>
          </w:p>
        </w:tc>
      </w:tr>
      <w:tr>
        <w:trPr>
          <w:trHeight w:val="196"/>
        </w:trPr>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5,141,344</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4,984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(62,910</w:t>
            </w:r>
          </w:p>
        </w:tc>
        <w:tc>
          <w:tcPr>
            <w:tcW w:w="120" w:type="dxa"/>
            <w:vAlign w:val="bottom"/>
          </w:tcPr>
          <w:p>
            <w:pPr>
              <w:jc w:val="right"/>
              <w:ind w:right="40"/>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(57,925</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5,178,955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7"/>
                <w:szCs w:val="17"/>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6,054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(79,025)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(72,970)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8"/>
        </w:trPr>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(39)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39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800" w:type="dxa"/>
            <w:vAlign w:val="bottom"/>
          </w:tcPr>
          <w:p>
            <w:pPr>
              <w:jc w:val="right"/>
              <w:spacing w:after="0"/>
              <w:rPr>
                <w:sz w:val="20"/>
                <w:szCs w:val="20"/>
                <w:color w:val="auto"/>
              </w:rPr>
            </w:pPr>
            <w:r>
              <w:rPr>
                <w:rFonts w:ascii="Arial" w:cs="Arial" w:eastAsia="Arial" w:hAnsi="Arial"/>
                <w:sz w:val="16"/>
                <w:szCs w:val="16"/>
                <w:color w:val="auto"/>
              </w:rPr>
              <w:t>78,787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557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r>
        <w:trPr>
          <w:trHeight w:val="189"/>
        </w:trPr>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3,267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3,267</w:t>
            </w:r>
          </w:p>
        </w:tc>
        <w:tc>
          <w:tcPr>
            <w:tcW w:w="0" w:type="dxa"/>
            <w:vAlign w:val="bottom"/>
          </w:tcPr>
          <w:p>
            <w:pPr>
              <w:spacing w:after="0"/>
              <w:rPr>
                <w:sz w:val="1"/>
                <w:szCs w:val="1"/>
                <w:color w:val="auto"/>
              </w:rPr>
            </w:pPr>
          </w:p>
        </w:tc>
      </w:tr>
      <w:tr>
        <w:trPr>
          <w:trHeight w:val="207"/>
        </w:trPr>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(36,146)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(36,146)</w:t>
            </w:r>
          </w:p>
        </w:tc>
        <w:tc>
          <w:tcPr>
            <w:tcW w:w="0" w:type="dxa"/>
            <w:vAlign w:val="bottom"/>
          </w:tcPr>
          <w:p>
            <w:pPr>
              <w:spacing w:after="0"/>
              <w:rPr>
                <w:sz w:val="1"/>
                <w:szCs w:val="1"/>
                <w:color w:val="auto"/>
              </w:rPr>
            </w:pPr>
          </w:p>
        </w:tc>
      </w:tr>
      <w:tr>
        <w:trPr>
          <w:trHeight w:val="196"/>
        </w:trPr>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5,257,742</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9,839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(115,132</w:t>
            </w:r>
          </w:p>
        </w:tc>
        <w:tc>
          <w:tcPr>
            <w:tcW w:w="120" w:type="dxa"/>
            <w:vAlign w:val="bottom"/>
          </w:tcPr>
          <w:p>
            <w:pPr>
              <w:jc w:val="right"/>
              <w:ind w:right="40"/>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(105,292</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200" w:space="200"/>
            <w:col w:w="4660"/>
          </w:cols>
          <w:pgMar w:left="320" w:top="455" w:right="519" w:bottom="1440" w:gutter="0" w:footer="0" w:header="0"/>
          <w:type w:val="continuous"/>
        </w:sectPr>
      </w:pP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7"/>
          <w:szCs w:val="17"/>
          <w:i w:val="1"/>
          <w:iCs w:val="1"/>
          <w:color w:val="auto"/>
        </w:rPr>
        <w:t>The accompanying notes are an integral part of these financial statements</w:t>
      </w:r>
    </w:p>
    <w:p>
      <w:pPr>
        <w:spacing w:after="0" w:line="15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060"/>
          </w:cols>
          <w:pgMar w:left="320" w:top="455" w:right="519" w:bottom="1440" w:gutter="0" w:footer="0" w:header="0"/>
          <w:type w:val="continuous"/>
        </w:sectPr>
      </w:pPr>
    </w:p>
    <w:bookmarkStart w:id="251" w:name="page252"/>
    <w:bookmarkEnd w:id="2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4D Molecular Therapeutics, Inc.</w:t>
      </w:r>
    </w:p>
    <w:p>
      <w:pPr>
        <w:spacing w:after="0" w:line="10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Statements of Cash Flows</w:t>
      </w:r>
    </w:p>
    <w:p>
      <w:pPr>
        <w:spacing w:after="0" w:line="2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8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7"/>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18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5"/>
        </w:trPr>
        <w:tc>
          <w:tcPr>
            <w:tcW w:w="69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9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gridSpan w:val="6"/>
            <w:shd w:val="clear" w:color="auto" w:fill="CCEEFF"/>
          </w:tcPr>
          <w:p>
            <w:pPr>
              <w:jc w:val="right"/>
              <w:ind w:right="58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03"/>
        </w:trPr>
        <w:tc>
          <w:tcPr>
            <w:tcW w:w="696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(9,551)</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w w:val="98"/>
              </w:rPr>
              <w:t>(49,306)</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8"/>
              </w:rPr>
              <w:t>(33,191)</w:t>
            </w:r>
          </w:p>
        </w:tc>
        <w:tc>
          <w:tcPr>
            <w:tcW w:w="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(36,146)</w:t>
            </w: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ind w:left="360"/>
              <w:spacing w:after="0" w:line="202" w:lineRule="exact"/>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7"/>
                <w:szCs w:val="17"/>
                <w:color w:val="auto"/>
              </w:rPr>
            </w:pPr>
          </w:p>
        </w:tc>
        <w:tc>
          <w:tcPr>
            <w:tcW w:w="8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1,377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3,541</w:t>
            </w:r>
          </w:p>
        </w:tc>
        <w:tc>
          <w:tcPr>
            <w:tcW w:w="100" w:type="dxa"/>
            <w:vAlign w:val="bottom"/>
          </w:tcPr>
          <w:p>
            <w:pPr>
              <w:spacing w:after="0"/>
              <w:rPr>
                <w:sz w:val="17"/>
                <w:szCs w:val="17"/>
                <w:color w:val="auto"/>
              </w:rPr>
            </w:pPr>
          </w:p>
        </w:tc>
        <w:tc>
          <w:tcPr>
            <w:tcW w:w="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2,526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3,267</w:t>
            </w: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 in fair value of derivative liability</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6960" w:type="dxa"/>
            <w:vAlign w:val="bottom"/>
          </w:tcPr>
          <w:p>
            <w:pPr>
              <w:ind w:left="360"/>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7"/>
                <w:szCs w:val="17"/>
                <w:color w:val="auto"/>
              </w:rPr>
            </w:pPr>
          </w:p>
        </w:tc>
        <w:tc>
          <w:tcPr>
            <w:tcW w:w="8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697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1,004</w:t>
            </w:r>
          </w:p>
        </w:tc>
        <w:tc>
          <w:tcPr>
            <w:tcW w:w="100" w:type="dxa"/>
            <w:vAlign w:val="bottom"/>
          </w:tcPr>
          <w:p>
            <w:pPr>
              <w:spacing w:after="0"/>
              <w:rPr>
                <w:sz w:val="17"/>
                <w:szCs w:val="17"/>
                <w:color w:val="auto"/>
              </w:rPr>
            </w:pPr>
          </w:p>
        </w:tc>
        <w:tc>
          <w:tcPr>
            <w:tcW w:w="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686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Loss on disposition of property and equipment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960" w:type="dxa"/>
            <w:vAlign w:val="bottom"/>
          </w:tcPr>
          <w:p>
            <w:pPr>
              <w:ind w:left="360"/>
              <w:spacing w:after="0" w:line="202" w:lineRule="exact"/>
              <w:rPr>
                <w:sz w:val="20"/>
                <w:szCs w:val="20"/>
                <w:color w:val="auto"/>
              </w:rPr>
            </w:pPr>
            <w:r>
              <w:rPr>
                <w:rFonts w:ascii="Arial" w:cs="Arial" w:eastAsia="Arial" w:hAnsi="Arial"/>
                <w:sz w:val="18"/>
                <w:szCs w:val="18"/>
                <w:color w:val="auto"/>
              </w:rPr>
              <w:t>Write-off of public offering costs</w:t>
            </w:r>
          </w:p>
        </w:tc>
        <w:tc>
          <w:tcPr>
            <w:tcW w:w="120" w:type="dxa"/>
            <w:vAlign w:val="bottom"/>
          </w:tcPr>
          <w:p>
            <w:pPr>
              <w:spacing w:after="0"/>
              <w:rPr>
                <w:sz w:val="17"/>
                <w:szCs w:val="17"/>
                <w:color w:val="auto"/>
              </w:rPr>
            </w:pPr>
          </w:p>
        </w:tc>
        <w:tc>
          <w:tcPr>
            <w:tcW w:w="8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2,610</w:t>
            </w:r>
          </w:p>
        </w:tc>
        <w:tc>
          <w:tcPr>
            <w:tcW w:w="100" w:type="dxa"/>
            <w:vAlign w:val="bottom"/>
          </w:tcPr>
          <w:p>
            <w:pPr>
              <w:spacing w:after="0"/>
              <w:rPr>
                <w:sz w:val="17"/>
                <w:szCs w:val="17"/>
                <w:color w:val="auto"/>
              </w:rPr>
            </w:pPr>
          </w:p>
        </w:tc>
        <w:tc>
          <w:tcPr>
            <w:tcW w:w="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0"/>
        </w:trPr>
        <w:tc>
          <w:tcPr>
            <w:tcW w:w="6960" w:type="dxa"/>
            <w:vAlign w:val="bottom"/>
            <w:shd w:val="clear" w:color="auto" w:fill="CCEEFF"/>
          </w:tcPr>
          <w:p>
            <w:pPr>
              <w:ind w:left="360"/>
              <w:spacing w:after="0" w:line="180" w:lineRule="exact"/>
              <w:rPr>
                <w:sz w:val="20"/>
                <w:szCs w:val="20"/>
                <w:color w:val="auto"/>
              </w:rPr>
            </w:pPr>
            <w:r>
              <w:rPr>
                <w:rFonts w:ascii="Arial" w:cs="Arial" w:eastAsia="Arial" w:hAnsi="Arial"/>
                <w:sz w:val="18"/>
                <w:szCs w:val="18"/>
                <w:color w:val="auto"/>
              </w:rPr>
              <w:t>In-process research and development acquired and expensed in non-monetary</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related party transaction</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5,137</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5,137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960" w:type="dxa"/>
            <w:vAlign w:val="bottom"/>
          </w:tcPr>
          <w:p>
            <w:pPr>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(803)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226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3"/>
        </w:trPr>
        <w:tc>
          <w:tcPr>
            <w:tcW w:w="6960" w:type="dxa"/>
            <w:vAlign w:val="bottom"/>
          </w:tcPr>
          <w:p>
            <w:pPr>
              <w:ind w:left="3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7"/>
                <w:szCs w:val="17"/>
                <w:color w:val="auto"/>
              </w:rPr>
            </w:pPr>
          </w:p>
        </w:tc>
        <w:tc>
          <w:tcPr>
            <w:tcW w:w="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(855)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(695)</w:t>
            </w:r>
          </w:p>
        </w:tc>
        <w:tc>
          <w:tcPr>
            <w:tcW w:w="100" w:type="dxa"/>
            <w:vAlign w:val="bottom"/>
          </w:tcPr>
          <w:p>
            <w:pPr>
              <w:spacing w:after="0"/>
              <w:rPr>
                <w:sz w:val="17"/>
                <w:szCs w:val="17"/>
                <w:color w:val="auto"/>
              </w:rPr>
            </w:pP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(2,140)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(309)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3"/>
        </w:trPr>
        <w:tc>
          <w:tcPr>
            <w:tcW w:w="6960" w:type="dxa"/>
            <w:vAlign w:val="bottom"/>
          </w:tcPr>
          <w:p>
            <w:pPr>
              <w:ind w:left="360"/>
              <w:spacing w:after="0" w:line="202" w:lineRule="exact"/>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7"/>
                <w:szCs w:val="17"/>
                <w:color w:val="auto"/>
              </w:rPr>
            </w:pPr>
          </w:p>
        </w:tc>
        <w:tc>
          <w:tcPr>
            <w:tcW w:w="8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438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533</w:t>
            </w:r>
          </w:p>
        </w:tc>
        <w:tc>
          <w:tcPr>
            <w:tcW w:w="100" w:type="dxa"/>
            <w:vAlign w:val="bottom"/>
          </w:tcPr>
          <w:p>
            <w:pPr>
              <w:spacing w:after="0"/>
              <w:rPr>
                <w:sz w:val="17"/>
                <w:szCs w:val="17"/>
                <w:color w:val="auto"/>
              </w:rPr>
            </w:pP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(175)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Accrued and other liabilities</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1,354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3,841</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1,511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03"/>
        </w:trPr>
        <w:tc>
          <w:tcPr>
            <w:tcW w:w="6960" w:type="dxa"/>
            <w:vAlign w:val="bottom"/>
          </w:tcPr>
          <w:p>
            <w:pPr>
              <w:ind w:left="360"/>
              <w:spacing w:after="0" w:line="202" w:lineRule="exact"/>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7"/>
                <w:szCs w:val="17"/>
                <w:color w:val="auto"/>
              </w:rPr>
            </w:pPr>
          </w:p>
        </w:tc>
        <w:tc>
          <w:tcPr>
            <w:tcW w:w="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(8,587)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(3,346)</w:t>
            </w:r>
          </w:p>
        </w:tc>
        <w:tc>
          <w:tcPr>
            <w:tcW w:w="100" w:type="dxa"/>
            <w:vAlign w:val="bottom"/>
          </w:tcPr>
          <w:p>
            <w:pPr>
              <w:spacing w:after="0"/>
              <w:rPr>
                <w:sz w:val="17"/>
                <w:szCs w:val="17"/>
                <w:color w:val="auto"/>
              </w:rPr>
            </w:pP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(2,295)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9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Net cash used in operating activities</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(16,252)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8"/>
              </w:rPr>
              <w:t>(36,711)</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8"/>
              </w:rPr>
              <w:t>(28,025)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(33,410)</w:t>
            </w:r>
          </w:p>
        </w:tc>
        <w:tc>
          <w:tcPr>
            <w:tcW w:w="0" w:type="dxa"/>
            <w:vAlign w:val="bottom"/>
          </w:tcPr>
          <w:p>
            <w:pPr>
              <w:spacing w:after="0"/>
              <w:rPr>
                <w:sz w:val="1"/>
                <w:szCs w:val="1"/>
                <w:color w:val="auto"/>
              </w:rPr>
            </w:pPr>
          </w:p>
        </w:tc>
      </w:tr>
      <w:tr>
        <w:trPr>
          <w:trHeight w:val="210"/>
        </w:trPr>
        <w:tc>
          <w:tcPr>
            <w:tcW w:w="69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Acquisition of property and equipment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(414)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(3,203)</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(2,726)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696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(3,203)</w:t>
            </w: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ind w:left="360"/>
              <w:spacing w:after="0" w:line="202" w:lineRule="exact"/>
              <w:rPr>
                <w:sz w:val="20"/>
                <w:szCs w:val="20"/>
                <w:color w:val="auto"/>
              </w:rPr>
            </w:pPr>
            <w:r>
              <w:rPr>
                <w:rFonts w:ascii="Arial" w:cs="Arial" w:eastAsia="Arial" w:hAnsi="Arial"/>
                <w:sz w:val="18"/>
                <w:szCs w:val="18"/>
                <w:color w:val="auto"/>
              </w:rPr>
              <w:t>Issuance of redeemable convertible preferred stock, net of issuance costs</w:t>
            </w:r>
          </w:p>
        </w:tc>
        <w:tc>
          <w:tcPr>
            <w:tcW w:w="120" w:type="dxa"/>
            <w:vAlign w:val="bottom"/>
          </w:tcPr>
          <w:p>
            <w:pPr>
              <w:spacing w:after="0"/>
              <w:rPr>
                <w:sz w:val="17"/>
                <w:szCs w:val="17"/>
                <w:color w:val="auto"/>
              </w:rPr>
            </w:pPr>
          </w:p>
        </w:tc>
        <w:tc>
          <w:tcPr>
            <w:tcW w:w="8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84,472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72,468</w:t>
            </w: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Issuance of common stock</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03"/>
        </w:trPr>
        <w:tc>
          <w:tcPr>
            <w:tcW w:w="6960" w:type="dxa"/>
            <w:vAlign w:val="bottom"/>
          </w:tcPr>
          <w:p>
            <w:pPr>
              <w:ind w:left="360"/>
              <w:spacing w:after="0" w:line="202" w:lineRule="exact"/>
              <w:rPr>
                <w:sz w:val="20"/>
                <w:szCs w:val="20"/>
                <w:color w:val="auto"/>
              </w:rPr>
            </w:pPr>
            <w:r>
              <w:rPr>
                <w:rFonts w:ascii="Arial" w:cs="Arial" w:eastAsia="Arial" w:hAnsi="Arial"/>
                <w:sz w:val="18"/>
                <w:szCs w:val="18"/>
                <w:color w:val="auto"/>
              </w:rPr>
              <w:t>Payments of public offering costs</w:t>
            </w:r>
          </w:p>
        </w:tc>
        <w:tc>
          <w:tcPr>
            <w:tcW w:w="120" w:type="dxa"/>
            <w:vAlign w:val="bottom"/>
          </w:tcPr>
          <w:p>
            <w:pPr>
              <w:spacing w:after="0"/>
              <w:rPr>
                <w:sz w:val="17"/>
                <w:szCs w:val="17"/>
                <w:color w:val="auto"/>
              </w:rPr>
            </w:pPr>
          </w:p>
        </w:tc>
        <w:tc>
          <w:tcPr>
            <w:tcW w:w="8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(2,260)</w:t>
            </w:r>
          </w:p>
        </w:tc>
        <w:tc>
          <w:tcPr>
            <w:tcW w:w="100" w:type="dxa"/>
            <w:vAlign w:val="bottom"/>
          </w:tcPr>
          <w:p>
            <w:pPr>
              <w:spacing w:after="0"/>
              <w:rPr>
                <w:sz w:val="17"/>
                <w:szCs w:val="17"/>
                <w:color w:val="auto"/>
              </w:rPr>
            </w:pP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(1,545)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Payments of private offering costs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(2,195)</w:t>
            </w: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67,911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8"/>
              </w:rPr>
              <w:t>(42,109)</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8"/>
              </w:rPr>
              <w:t>(32,276)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39,103</w:t>
            </w:r>
          </w:p>
        </w:tc>
        <w:tc>
          <w:tcPr>
            <w:tcW w:w="0" w:type="dxa"/>
            <w:vAlign w:val="bottom"/>
          </w:tcPr>
          <w:p>
            <w:pPr>
              <w:spacing w:after="0"/>
              <w:rPr>
                <w:sz w:val="1"/>
                <w:szCs w:val="1"/>
                <w:color w:val="auto"/>
              </w:rPr>
            </w:pPr>
          </w:p>
        </w:tc>
      </w:tr>
      <w:tr>
        <w:trPr>
          <w:trHeight w:val="203"/>
        </w:trPr>
        <w:tc>
          <w:tcPr>
            <w:tcW w:w="6960" w:type="dxa"/>
            <w:vAlign w:val="bottom"/>
          </w:tcPr>
          <w:p>
            <w:pPr>
              <w:spacing w:after="0" w:line="202" w:lineRule="exact"/>
              <w:rPr>
                <w:sz w:val="20"/>
                <w:szCs w:val="20"/>
                <w:color w:val="auto"/>
              </w:rPr>
            </w:pPr>
            <w:r>
              <w:rPr>
                <w:rFonts w:ascii="Arial" w:cs="Arial" w:eastAsia="Arial" w:hAnsi="Arial"/>
                <w:sz w:val="18"/>
                <w:szCs w:val="18"/>
                <w:color w:val="auto"/>
              </w:rPr>
              <w:t>Cash and cash equivalents, beginning of period</w:t>
            </w: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23,850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91,761</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91,761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49,652</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end of period</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91,761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49,652</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59,485</w:t>
            </w:r>
          </w:p>
        </w:tc>
        <w:tc>
          <w:tcPr>
            <w:tcW w:w="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88,755</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 of non-cash investing and financing information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960" w:type="dxa"/>
            <w:vAlign w:val="bottom"/>
            <w:shd w:val="clear" w:color="auto" w:fill="CCEEFF"/>
          </w:tcPr>
          <w:p>
            <w:pPr>
              <w:ind w:left="360"/>
              <w:spacing w:after="0" w:line="180" w:lineRule="exact"/>
              <w:rPr>
                <w:sz w:val="20"/>
                <w:szCs w:val="20"/>
                <w:color w:val="auto"/>
              </w:rPr>
            </w:pPr>
            <w:r>
              <w:rPr>
                <w:rFonts w:ascii="Arial" w:cs="Arial" w:eastAsia="Arial" w:hAnsi="Arial"/>
                <w:sz w:val="18"/>
                <w:szCs w:val="18"/>
                <w:color w:val="auto"/>
              </w:rPr>
              <w:t>Purchases of property and equipment in accounts payable and accrued and</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03"/>
        </w:trPr>
        <w:tc>
          <w:tcPr>
            <w:tcW w:w="6960" w:type="dxa"/>
            <w:vAlign w:val="bottom"/>
          </w:tcPr>
          <w:p>
            <w:pPr>
              <w:ind w:left="360"/>
              <w:spacing w:after="0" w:line="202" w:lineRule="exact"/>
              <w:rPr>
                <w:sz w:val="20"/>
                <w:szCs w:val="20"/>
                <w:color w:val="auto"/>
              </w:rPr>
            </w:pPr>
            <w:r>
              <w:rPr>
                <w:rFonts w:ascii="Arial" w:cs="Arial" w:eastAsia="Arial" w:hAnsi="Arial"/>
                <w:sz w:val="18"/>
                <w:szCs w:val="18"/>
                <w:color w:val="auto"/>
              </w:rPr>
              <w:t>Unpaid public offering costs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350</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867</w:t>
            </w:r>
          </w:p>
        </w:tc>
        <w:tc>
          <w:tcPr>
            <w:tcW w:w="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2"/>
        </w:trPr>
        <w:tc>
          <w:tcPr>
            <w:tcW w:w="6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Unpaid private offering costs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60" w:type="dxa"/>
            <w:vAlign w:val="bottom"/>
          </w:tcPr>
          <w:p>
            <w:pPr>
              <w:ind w:left="360"/>
              <w:spacing w:after="0"/>
              <w:rPr>
                <w:sz w:val="20"/>
                <w:szCs w:val="20"/>
                <w:color w:val="auto"/>
              </w:rPr>
            </w:pPr>
            <w:r>
              <w:rPr>
                <w:rFonts w:ascii="Arial" w:cs="Arial" w:eastAsia="Arial" w:hAnsi="Arial"/>
                <w:sz w:val="18"/>
                <w:szCs w:val="18"/>
                <w:color w:val="auto"/>
              </w:rPr>
              <w:t>Issuance of common stock warrants in return for services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5" w:right="439" w:bottom="1440" w:gutter="0" w:footer="0" w:header="0"/>
        </w:sectPr>
      </w:pPr>
    </w:p>
    <w:bookmarkStart w:id="252" w:name="page253"/>
    <w:bookmarkEnd w:id="2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4D Molecular Therapeutics,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06" w:lineRule="exact"/>
        <w:rPr>
          <w:sz w:val="20"/>
          <w:szCs w:val="20"/>
          <w:color w:val="auto"/>
        </w:rPr>
      </w:pPr>
    </w:p>
    <w:p>
      <w:pPr>
        <w:ind w:left="120" w:right="7320" w:hanging="4"/>
        <w:spacing w:after="0" w:line="360" w:lineRule="auto"/>
        <w:tabs>
          <w:tab w:leader="none" w:pos="320" w:val="left"/>
        </w:tabs>
        <w:numPr>
          <w:ilvl w:val="0"/>
          <w:numId w:val="1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Organization and Nature of the Business </w:t>
      </w:r>
      <w:r>
        <w:rPr>
          <w:rFonts w:ascii="Arial" w:cs="Arial" w:eastAsia="Arial" w:hAnsi="Arial"/>
          <w:sz w:val="18"/>
          <w:szCs w:val="18"/>
          <w:b w:val="1"/>
          <w:bCs w:val="1"/>
          <w:color w:val="auto"/>
        </w:rPr>
        <w:t>Organization and Business</w:t>
      </w:r>
    </w:p>
    <w:p>
      <w:pPr>
        <w:ind w:left="120" w:firstLine="551"/>
        <w:spacing w:after="0" w:line="248" w:lineRule="auto"/>
        <w:rPr>
          <w:sz w:val="20"/>
          <w:szCs w:val="20"/>
          <w:color w:val="auto"/>
        </w:rPr>
      </w:pPr>
      <w:r>
        <w:rPr>
          <w:rFonts w:ascii="Arial" w:cs="Arial" w:eastAsia="Arial" w:hAnsi="Arial"/>
          <w:sz w:val="18"/>
          <w:szCs w:val="18"/>
          <w:color w:val="auto"/>
        </w:rPr>
        <w:t>4D Molecular Therapeutics, Inc. (the “Company”) was formed as a limited liability company in September 2013 under the name 4D Molecular Therapeutics, LLC. The Company changed its name and converted into a corporation which was incorporated in the state of Delaware in March 2015. The Company is a clinical-stage gene therapy company pioneering the development of product candidates using its targeted and evolved adeno-associated viruses (“AAV”) vectors.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Going Concern</w:t>
      </w:r>
    </w:p>
    <w:p>
      <w:pPr>
        <w:spacing w:after="0" w:line="106"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The Company experienced negative operating cash flows of $16.3 million and $36.7 million for the years ended December 31, 2018 and 2019, respectively, and $33.4 million (unaudited) for the nine months ended September 30, 2020. The Company had an accumulated deficit of $ 30.0 million and $79.0 million as of December 31, 2018 and 2019, respectively, and $115.1 million (unaudited) as of September 30, 2020. Since its inception, the Company has funded its operations primarily with proceeds from sales of redeemable convertible preferred stock and to a lesser extent from cash received pursuant to its collaboration and licensing arrangements. As of December 31, 2019 and September 30, 2020, the Company had $49.7 million and $88.8 million (unaudited) in cash and cash equivalents, respectively. In April and June of 2020, the Company received a total of $75.6 million gross proceeds (net proceeds of $72.5 million) from its issuance of Series C redeemable convertible preferred stock. See Note 10 for further discussion on the Series C Preferred Stock Purchase Agreement.</w:t>
      </w:r>
    </w:p>
    <w:p>
      <w:pPr>
        <w:spacing w:after="0" w:line="176"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The Company is seeking to complete an initial public offering of its common stock. In the event the Company does not complete an initial public offering, the Company expects to seek additional funding through private equity financings, debt financings, or other capital sources, including collaborations with other companies or other strategic transactions. There is no assurance that the Company will be successful in obtaining funding on terms acceptable to the Company to fund continuing operations, if at all. The terms of any financing may adversely affect the holdings or the rights of the Company’s stockholders.</w:t>
      </w:r>
    </w:p>
    <w:p>
      <w:pPr>
        <w:spacing w:after="0" w:line="172"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If the Company is unable to obtain additional funding, the Company expects to delay, reduce or eliminate some or all of its research and development programs, product portfolio expansion or investment in internal manufacturing capabilities, which could adversely affect its business prospects. If the Company raises additional funds through collaborations or marketing, distribution or licensing arrangements with third parties, it may have to relinquish valuable rights to future revenue streams or product candidates or grant licenses on terms that may not be favorable to it.</w:t>
      </w:r>
    </w:p>
    <w:p>
      <w:pPr>
        <w:spacing w:after="0" w:line="172"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Based on its recurring losses and negative cash flows from operations, expectation of continuing operating losses and negative cash flows from operations for the foreseeable future, and the need to raise additional capital to finance its future operations, management concluded that there is substantial doubt about the Company’s ability to continue as a going concern within one year after the date that the annual and unaudited interim financial statements were available for reissuance and issuance, respectively.</w:t>
      </w:r>
    </w:p>
    <w:p>
      <w:pPr>
        <w:spacing w:after="0" w:line="170" w:lineRule="exact"/>
        <w:rPr>
          <w:sz w:val="20"/>
          <w:szCs w:val="20"/>
          <w:color w:val="auto"/>
        </w:rPr>
      </w:pPr>
    </w:p>
    <w:p>
      <w:pPr>
        <w:ind w:left="120" w:right="380" w:firstLine="551"/>
        <w:spacing w:after="0" w:line="255" w:lineRule="auto"/>
        <w:rPr>
          <w:sz w:val="20"/>
          <w:szCs w:val="20"/>
          <w:color w:val="auto"/>
        </w:rPr>
      </w:pPr>
      <w:r>
        <w:rPr>
          <w:rFonts w:ascii="Arial" w:cs="Arial" w:eastAsia="Arial" w:hAnsi="Arial"/>
          <w:sz w:val="18"/>
          <w:szCs w:val="18"/>
          <w:color w:val="auto"/>
        </w:rPr>
        <w:t>The accompanying financial statements do not include any adjustments that might result from the outcome of this uncertainty. Accordingly, the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5" w:right="459" w:bottom="1440" w:gutter="0" w:footer="0" w:header="0"/>
        </w:sectPr>
      </w:pPr>
    </w:p>
    <w:bookmarkStart w:id="253" w:name="page254"/>
    <w:bookmarkEnd w:id="2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7020" w:hanging="4"/>
        <w:spacing w:after="0" w:line="360" w:lineRule="auto"/>
        <w:tabs>
          <w:tab w:leader="none" w:pos="320" w:val="left"/>
        </w:tabs>
        <w:numPr>
          <w:ilvl w:val="0"/>
          <w:numId w:val="1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Summary of Significant Accounting Policies </w:t>
      </w:r>
      <w:r>
        <w:rPr>
          <w:rFonts w:ascii="Arial" w:cs="Arial" w:eastAsia="Arial" w:hAnsi="Arial"/>
          <w:sz w:val="18"/>
          <w:szCs w:val="18"/>
          <w:b w:val="1"/>
          <w:bCs w:val="1"/>
          <w:color w:val="auto"/>
        </w:rPr>
        <w:t>Basis of Presentation</w:t>
      </w:r>
    </w:p>
    <w:p>
      <w:pPr>
        <w:ind w:left="120" w:right="400" w:firstLine="551"/>
        <w:spacing w:after="0" w:line="276" w:lineRule="auto"/>
        <w:rPr>
          <w:sz w:val="20"/>
          <w:szCs w:val="20"/>
          <w:color w:val="auto"/>
        </w:rPr>
      </w:pPr>
      <w:r>
        <w:rPr>
          <w:rFonts w:ascii="Arial" w:cs="Arial" w:eastAsia="Arial" w:hAnsi="Arial"/>
          <w:sz w:val="18"/>
          <w:szCs w:val="18"/>
          <w:color w:val="auto"/>
        </w:rPr>
        <w:t>The accompanying financial statements have been prepared in accordance with United States Generally Accepted Accounting Principles (“U.S. GAAP”).</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06"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The accompanying balance sheet as of September 30, 2020, the statements of operations and comprehensive loss, of redeemable convertible preferred stock and stockholders’ deficit and of cash flows for the nine months ended September 30, 2019 and 2020 are unaudited. In the opinion of management, the unaudited data reflects all adjustments, which include only normal recurring adjustments, necessary for the fair statement of the Company’s financial position as of September 30, 2020 and the results of its operations and comprehensive loss and its cash flows for the nine months</w:t>
      </w:r>
    </w:p>
    <w:p>
      <w:pPr>
        <w:spacing w:after="0" w:line="4"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auto"/>
        </w:rPr>
        <w:t>ended September 30, 2019 and 2020. The financial data and other information disclosed in these notes related to the nine months ended September 30, 2019 and 2020 are also unaudited. The results for the nine months ended September 30, 2020 are not necessarily indicative of results to be expected for the year ending December 31, 2020, any other interim periods, or any future year or period.</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Pro Forma Information</w:t>
      </w:r>
    </w:p>
    <w:p>
      <w:pPr>
        <w:spacing w:after="0" w:line="106"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The unaudited pro forma basic and diluted net loss per share were computed to give effect to the automatic conversion of all outstanding shares of redeemable convertible preferred stock on a one-for-one basis into shares of common stock immediately prior to the completion of a qualified initial public offering (“IPO”) (see Note 10 for further discussion of the conversion of redeemable convertible preferred stock) as though the conversion had occurred as of the beginning of the period or the date of issuance, if later.</w:t>
      </w:r>
    </w:p>
    <w:p>
      <w:pPr>
        <w:spacing w:after="0" w:line="170"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The unaudited pro forma redeemable convertible preferred stock and stockholders’ deficit were computed to give effect to the automatic conversion of all outstanding shares of redeemable convertible preferred stock on a one-for-one basis into shares of common stock immediately prior to the completion of a qualified IPO. The unaudited pro forma information does not assume any proceeds from the planned IPO.</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Estimates</w:t>
      </w:r>
    </w:p>
    <w:p>
      <w:pPr>
        <w:spacing w:after="0" w:line="106" w:lineRule="exact"/>
        <w:rPr>
          <w:sz w:val="20"/>
          <w:szCs w:val="20"/>
          <w:color w:val="auto"/>
        </w:rPr>
      </w:pPr>
    </w:p>
    <w:p>
      <w:pPr>
        <w:ind w:left="120" w:right="240" w:firstLine="551"/>
        <w:spacing w:after="0" w:line="245"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liabilities, revenue and expenses; and disclosure of contingent assets and liabilities as of the date of the financial statements. Such estimates include the determination of useful lives for property and equipment, the contract term, transaction price and costs of collaboration agreements, as well as estimates of the fair value of common stock, stock options and derivative instruments and income tax uncertainties. Actual results could differ from those estimates.</w:t>
      </w:r>
    </w:p>
    <w:p>
      <w:pPr>
        <w:spacing w:after="0" w:line="172"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color w:val="auto"/>
        </w:rPr>
        <w:t>Due to the coronavirus (“COVID-19”) pandemic, there has been uncertainty and disruption in the global economy and financial markets. The Company is not aware of any specific event or circumstance that would require an update to its estimates or judgments or a revision of the carrying value of its assets or liabilities as of December 31, 2019 and September 30, 2020 (unaudited). While there was not a material impact to the Company’s financial statements as of December 31, 2019 and September 30, 2020 (unaudited) and for the year ended December 31, 2019 and the nine months ended September 30, 2020 (unaudited), these estimates may change, as new events occur and additional information is obtained, as well as other factors related to the COVID-19 pandemic that could result in material impacts to the financial statements in future reporting periods.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55" w:right="459" w:bottom="1440" w:gutter="0" w:footer="0" w:header="0"/>
        </w:sectPr>
      </w:pPr>
    </w:p>
    <w:bookmarkStart w:id="254" w:name="page255"/>
    <w:bookmarkEnd w:id="2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Segment Information</w:t>
      </w:r>
    </w:p>
    <w:p>
      <w:pPr>
        <w:spacing w:after="0" w:line="106" w:lineRule="exact"/>
        <w:rPr>
          <w:sz w:val="20"/>
          <w:szCs w:val="20"/>
          <w:color w:val="auto"/>
        </w:rPr>
      </w:pPr>
    </w:p>
    <w:p>
      <w:pPr>
        <w:ind w:left="120" w:right="520" w:firstLine="551"/>
        <w:spacing w:after="0" w:line="255" w:lineRule="auto"/>
        <w:rPr>
          <w:sz w:val="20"/>
          <w:szCs w:val="20"/>
          <w:color w:val="auto"/>
        </w:rPr>
      </w:pPr>
      <w:r>
        <w:rPr>
          <w:rFonts w:ascii="Arial" w:cs="Arial" w:eastAsia="Arial" w:hAnsi="Arial"/>
          <w:sz w:val="18"/>
          <w:szCs w:val="18"/>
          <w:color w:val="auto"/>
        </w:rPr>
        <w:t>The Company operates and manages its business as one reportable and operating segment. The Company’s chief executive officer, who is the chief operating decision maker, reviews financial information on a consolidated basis for purposes of allocating resources and assessing financial performance.</w:t>
      </w:r>
    </w:p>
    <w:p>
      <w:pPr>
        <w:spacing w:after="0" w:line="164" w:lineRule="exact"/>
        <w:rPr>
          <w:sz w:val="20"/>
          <w:szCs w:val="20"/>
          <w:color w:val="auto"/>
        </w:rPr>
      </w:pPr>
    </w:p>
    <w:p>
      <w:pPr>
        <w:jc w:val="both"/>
        <w:ind w:left="120" w:right="240" w:firstLine="551"/>
        <w:spacing w:after="0" w:line="255" w:lineRule="auto"/>
        <w:rPr>
          <w:sz w:val="20"/>
          <w:szCs w:val="20"/>
          <w:color w:val="auto"/>
        </w:rPr>
      </w:pPr>
      <w:r>
        <w:rPr>
          <w:rFonts w:ascii="Arial" w:cs="Arial" w:eastAsia="Arial" w:hAnsi="Arial"/>
          <w:sz w:val="18"/>
          <w:szCs w:val="18"/>
          <w:color w:val="auto"/>
        </w:rPr>
        <w:t>As of and for the years ended December 31, 2018 and December 31, 2019 and as of and for the nine months ended September 30, 2020 (unaudited), all of the Company’s long-lived assets were located in the United States and all revenue was earned in the United States.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Concentration of Credit Risk</w:t>
      </w:r>
    </w:p>
    <w:p>
      <w:pPr>
        <w:spacing w:after="0" w:line="106" w:lineRule="exact"/>
        <w:rPr>
          <w:sz w:val="20"/>
          <w:szCs w:val="20"/>
          <w:color w:val="auto"/>
        </w:rPr>
      </w:pPr>
    </w:p>
    <w:p>
      <w:pPr>
        <w:ind w:left="120" w:right="260" w:firstLine="551"/>
        <w:spacing w:after="0" w:line="248" w:lineRule="auto"/>
        <w:rPr>
          <w:sz w:val="20"/>
          <w:szCs w:val="20"/>
          <w:color w:val="auto"/>
        </w:rPr>
      </w:pPr>
      <w:r>
        <w:rPr>
          <w:rFonts w:ascii="Arial" w:cs="Arial" w:eastAsia="Arial" w:hAnsi="Arial"/>
          <w:sz w:val="18"/>
          <w:szCs w:val="18"/>
          <w:color w:val="auto"/>
        </w:rPr>
        <w:t>Financial instruments that potentially subject the Company to a concentration of credit risk consist of cash and cash equivalents and accounts receivable. The Company’s cash is held at two financial institutions in the United States of America. The Company’s cash equivalents are invested in money market funds. The Company has not experienced any losses on its deposits of cash and cash equivalents. Such deposits may, at times, exceed federally insured limits.</w:t>
      </w:r>
    </w:p>
    <w:p>
      <w:pPr>
        <w:spacing w:after="0" w:line="170" w:lineRule="exact"/>
        <w:rPr>
          <w:sz w:val="20"/>
          <w:szCs w:val="20"/>
          <w:color w:val="auto"/>
        </w:rPr>
      </w:pPr>
    </w:p>
    <w:p>
      <w:pPr>
        <w:ind w:left="120" w:right="160" w:firstLine="551"/>
        <w:spacing w:after="0" w:line="276" w:lineRule="auto"/>
        <w:rPr>
          <w:sz w:val="20"/>
          <w:szCs w:val="20"/>
          <w:color w:val="auto"/>
        </w:rPr>
      </w:pPr>
      <w:r>
        <w:rPr>
          <w:rFonts w:ascii="Arial" w:cs="Arial" w:eastAsia="Arial" w:hAnsi="Arial"/>
          <w:sz w:val="18"/>
          <w:szCs w:val="18"/>
          <w:color w:val="auto"/>
        </w:rPr>
        <w:t>The Company’s partners in collaboration and license agreements who represent 10% or more of the Company’s total revenue are as follows: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6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rPr>
              <w:t>Nine Months</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Nine Months</w:t>
            </w:r>
          </w:p>
        </w:tc>
      </w:tr>
      <w:tr>
        <w:trPr>
          <w:trHeight w:val="162"/>
        </w:trPr>
        <w:tc>
          <w:tcPr>
            <w:tcW w:w="4060" w:type="dxa"/>
            <w:vAlign w:val="bottom"/>
          </w:tcPr>
          <w:p>
            <w:pPr>
              <w:spacing w:after="0"/>
              <w:rPr>
                <w:sz w:val="14"/>
                <w:szCs w:val="14"/>
                <w:color w:val="auto"/>
              </w:rPr>
            </w:pPr>
          </w:p>
        </w:tc>
        <w:tc>
          <w:tcPr>
            <w:tcW w:w="190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rPr>
              <w:t>Year Ended</w:t>
            </w:r>
          </w:p>
        </w:tc>
        <w:tc>
          <w:tcPr>
            <w:tcW w:w="190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rPr>
              <w:t>Year Ended</w:t>
            </w:r>
          </w:p>
        </w:tc>
        <w:tc>
          <w:tcPr>
            <w:tcW w:w="196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rPr>
              <w:t>Ended</w:t>
            </w: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Ended</w:t>
            </w:r>
          </w:p>
        </w:tc>
      </w:tr>
      <w:tr>
        <w:trPr>
          <w:trHeight w:val="162"/>
        </w:trPr>
        <w:tc>
          <w:tcPr>
            <w:tcW w:w="4060" w:type="dxa"/>
            <w:vAlign w:val="bottom"/>
          </w:tcPr>
          <w:p>
            <w:pPr>
              <w:spacing w:after="0"/>
              <w:rPr>
                <w:sz w:val="14"/>
                <w:szCs w:val="14"/>
                <w:color w:val="auto"/>
              </w:rPr>
            </w:pPr>
          </w:p>
        </w:tc>
        <w:tc>
          <w:tcPr>
            <w:tcW w:w="190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rPr>
              <w:t>December 31,</w:t>
            </w:r>
          </w:p>
        </w:tc>
        <w:tc>
          <w:tcPr>
            <w:tcW w:w="190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rPr>
              <w:t>December 31,</w:t>
            </w:r>
          </w:p>
        </w:tc>
        <w:tc>
          <w:tcPr>
            <w:tcW w:w="196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September 30,</w:t>
            </w:r>
          </w:p>
        </w:tc>
      </w:tr>
      <w:tr>
        <w:trPr>
          <w:trHeight w:val="177"/>
        </w:trPr>
        <w:tc>
          <w:tcPr>
            <w:tcW w:w="406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96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96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96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r>
      <w:tr>
        <w:trPr>
          <w:trHeight w:val="156"/>
        </w:trPr>
        <w:tc>
          <w:tcPr>
            <w:tcW w:w="4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960" w:type="dxa"/>
            <w:vAlign w:val="bottom"/>
          </w:tcPr>
          <w:p>
            <w:pPr>
              <w:spacing w:after="0"/>
              <w:rPr>
                <w:sz w:val="13"/>
                <w:szCs w:val="13"/>
                <w:color w:val="auto"/>
              </w:rPr>
            </w:pPr>
          </w:p>
        </w:tc>
        <w:tc>
          <w:tcPr>
            <w:tcW w:w="9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3"/>
                <w:szCs w:val="13"/>
                <w:color w:val="auto"/>
              </w:rPr>
            </w:pPr>
          </w:p>
        </w:tc>
      </w:tr>
      <w:tr>
        <w:trPr>
          <w:trHeight w:val="203"/>
        </w:trPr>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Customer A</w:t>
            </w:r>
          </w:p>
        </w:tc>
        <w:tc>
          <w:tcPr>
            <w:tcW w:w="190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53%</w:t>
            </w:r>
          </w:p>
        </w:tc>
        <w:tc>
          <w:tcPr>
            <w:tcW w:w="190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90%</w:t>
            </w:r>
          </w:p>
        </w:tc>
        <w:tc>
          <w:tcPr>
            <w:tcW w:w="196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88%</w:t>
            </w:r>
          </w:p>
        </w:tc>
        <w:tc>
          <w:tcPr>
            <w:tcW w:w="12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97%</w:t>
            </w: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Customer B</w:t>
            </w:r>
          </w:p>
        </w:tc>
        <w:tc>
          <w:tcPr>
            <w:tcW w:w="190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35%</w:t>
            </w:r>
          </w:p>
        </w:tc>
        <w:tc>
          <w:tcPr>
            <w:tcW w:w="1900" w:type="dxa"/>
            <w:vAlign w:val="bottom"/>
            <w:gridSpan w:val="2"/>
          </w:tcPr>
          <w:p>
            <w:pPr>
              <w:jc w:val="right"/>
              <w:ind w:right="960"/>
              <w:spacing w:after="0" w:line="202" w:lineRule="exact"/>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96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Customer C</w:t>
            </w:r>
          </w:p>
        </w:tc>
        <w:tc>
          <w:tcPr>
            <w:tcW w:w="1900" w:type="dxa"/>
            <w:vAlign w:val="bottom"/>
            <w:gridSpan w:val="2"/>
            <w:shd w:val="clear" w:color="auto" w:fill="CCEEFF"/>
          </w:tcPr>
          <w:p>
            <w:pPr>
              <w:jc w:val="right"/>
              <w:ind w:right="960"/>
              <w:spacing w:after="0" w:line="202" w:lineRule="exact"/>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960"/>
              <w:spacing w:after="0" w:line="202" w:lineRule="exact"/>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96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2"/>
        </w:trPr>
        <w:tc>
          <w:tcPr>
            <w:tcW w:w="4060" w:type="dxa"/>
            <w:vAlign w:val="bottom"/>
          </w:tcPr>
          <w:p>
            <w:pPr>
              <w:spacing w:after="0" w:line="202" w:lineRule="exact"/>
              <w:rPr>
                <w:sz w:val="20"/>
                <w:szCs w:val="20"/>
                <w:color w:val="auto"/>
              </w:rPr>
            </w:pPr>
            <w:r>
              <w:rPr>
                <w:rFonts w:ascii="Arial" w:cs="Arial" w:eastAsia="Arial" w:hAnsi="Arial"/>
                <w:sz w:val="18"/>
                <w:szCs w:val="18"/>
                <w:color w:val="auto"/>
              </w:rPr>
              <w:t>Customer D</w:t>
            </w:r>
          </w:p>
        </w:tc>
        <w:tc>
          <w:tcPr>
            <w:tcW w:w="1900" w:type="dxa"/>
            <w:vAlign w:val="bottom"/>
            <w:gridSpan w:val="2"/>
          </w:tcPr>
          <w:p>
            <w:pPr>
              <w:jc w:val="right"/>
              <w:ind w:right="960"/>
              <w:spacing w:after="0" w:line="202" w:lineRule="exact"/>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960"/>
              <w:spacing w:after="0" w:line="202" w:lineRule="exact"/>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11%</w:t>
            </w: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7"/>
        </w:trPr>
        <w:tc>
          <w:tcPr>
            <w:tcW w:w="40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03"/>
        </w:trPr>
        <w:tc>
          <w:tcPr>
            <w:tcW w:w="40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190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88%</w:t>
            </w:r>
          </w:p>
        </w:tc>
        <w:tc>
          <w:tcPr>
            <w:tcW w:w="190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90%</w:t>
            </w:r>
          </w:p>
        </w:tc>
        <w:tc>
          <w:tcPr>
            <w:tcW w:w="196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99%</w:t>
            </w:r>
          </w:p>
        </w:tc>
        <w:tc>
          <w:tcPr>
            <w:tcW w:w="12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97%</w:t>
            </w:r>
          </w:p>
        </w:tc>
      </w:tr>
      <w:tr>
        <w:trPr>
          <w:trHeight w:val="20"/>
        </w:trPr>
        <w:tc>
          <w:tcPr>
            <w:tcW w:w="40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ind w:left="440" w:hanging="324"/>
        <w:spacing w:after="0"/>
        <w:tabs>
          <w:tab w:leader="none" w:pos="4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212" w:lineRule="exact"/>
        <w:rPr>
          <w:sz w:val="20"/>
          <w:szCs w:val="20"/>
          <w:color w:val="auto"/>
        </w:rPr>
      </w:pPr>
    </w:p>
    <w:p>
      <w:pPr>
        <w:ind w:left="120" w:right="400" w:firstLine="551"/>
        <w:spacing w:after="0" w:line="276" w:lineRule="auto"/>
        <w:rPr>
          <w:sz w:val="20"/>
          <w:szCs w:val="20"/>
          <w:color w:val="auto"/>
        </w:rPr>
      </w:pPr>
      <w:r>
        <w:rPr>
          <w:rFonts w:ascii="Arial" w:cs="Arial" w:eastAsia="Arial" w:hAnsi="Arial"/>
          <w:sz w:val="18"/>
          <w:szCs w:val="18"/>
          <w:color w:val="auto"/>
        </w:rPr>
        <w:t>The Company’s partners in collaboration and license agreements who represent 10% or more of the Company’s total accounts receivable are as follows: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88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December 31,</w:t>
            </w:r>
          </w:p>
        </w:tc>
        <w:tc>
          <w:tcPr>
            <w:tcW w:w="190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September 30,</w:t>
            </w:r>
          </w:p>
        </w:tc>
      </w:tr>
      <w:tr>
        <w:trPr>
          <w:trHeight w:val="177"/>
        </w:trPr>
        <w:tc>
          <w:tcPr>
            <w:tcW w:w="3140" w:type="dxa"/>
            <w:vAlign w:val="bottom"/>
          </w:tcPr>
          <w:p>
            <w:pPr>
              <w:spacing w:after="0"/>
              <w:rPr>
                <w:sz w:val="15"/>
                <w:szCs w:val="15"/>
                <w:color w:val="auto"/>
              </w:rPr>
            </w:pPr>
          </w:p>
        </w:tc>
        <w:tc>
          <w:tcPr>
            <w:tcW w:w="3840" w:type="dxa"/>
            <w:vAlign w:val="bottom"/>
            <w:gridSpan w:val="2"/>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940" w:type="dxa"/>
            <w:vAlign w:val="bottom"/>
          </w:tcPr>
          <w:p>
            <w:pPr>
              <w:spacing w:after="0"/>
              <w:rPr>
                <w:sz w:val="15"/>
                <w:szCs w:val="15"/>
                <w:color w:val="auto"/>
              </w:rPr>
            </w:pPr>
          </w:p>
        </w:tc>
        <w:tc>
          <w:tcPr>
            <w:tcW w:w="940" w:type="dxa"/>
            <w:vAlign w:val="bottom"/>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9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r>
      <w:tr>
        <w:trPr>
          <w:trHeight w:val="155"/>
        </w:trPr>
        <w:tc>
          <w:tcPr>
            <w:tcW w:w="31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9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3"/>
                <w:szCs w:val="13"/>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47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100%</w:t>
            </w:r>
          </w:p>
        </w:tc>
        <w:tc>
          <w:tcPr>
            <w:tcW w:w="19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64%</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Customer B</w:t>
            </w:r>
          </w:p>
        </w:tc>
        <w:tc>
          <w:tcPr>
            <w:tcW w:w="2900" w:type="dxa"/>
            <w:vAlign w:val="bottom"/>
          </w:tcPr>
          <w:p>
            <w:pPr>
              <w:spacing w:after="0"/>
              <w:rPr>
                <w:sz w:val="18"/>
                <w:szCs w:val="18"/>
                <w:color w:val="auto"/>
              </w:rPr>
            </w:pPr>
          </w:p>
        </w:tc>
        <w:tc>
          <w:tcPr>
            <w:tcW w:w="188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Customer C</w:t>
            </w:r>
          </w:p>
        </w:tc>
        <w:tc>
          <w:tcPr>
            <w:tcW w:w="29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36%</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Customer D</w:t>
            </w:r>
          </w:p>
        </w:tc>
        <w:tc>
          <w:tcPr>
            <w:tcW w:w="29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9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31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02"/>
        </w:trPr>
        <w:tc>
          <w:tcPr>
            <w:tcW w:w="3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290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100%</w:t>
            </w:r>
          </w:p>
        </w:tc>
        <w:tc>
          <w:tcPr>
            <w:tcW w:w="190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100%</w:t>
            </w:r>
          </w:p>
        </w:tc>
        <w:tc>
          <w:tcPr>
            <w:tcW w:w="12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100%</w:t>
            </w:r>
          </w:p>
        </w:tc>
      </w:tr>
      <w:tr>
        <w:trPr>
          <w:trHeight w:val="20"/>
        </w:trPr>
        <w:tc>
          <w:tcPr>
            <w:tcW w:w="31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63"/>
        </w:trPr>
        <w:tc>
          <w:tcPr>
            <w:tcW w:w="3140" w:type="dxa"/>
            <w:vAlign w:val="bottom"/>
          </w:tcPr>
          <w:p>
            <w:pPr>
              <w:spacing w:after="0"/>
              <w:rPr>
                <w:sz w:val="24"/>
                <w:szCs w:val="24"/>
                <w:color w:val="auto"/>
              </w:rPr>
            </w:pPr>
          </w:p>
        </w:tc>
        <w:tc>
          <w:tcPr>
            <w:tcW w:w="4780" w:type="dxa"/>
            <w:vAlign w:val="bottom"/>
            <w:gridSpan w:val="3"/>
          </w:tcPr>
          <w:p>
            <w:pPr>
              <w:jc w:val="right"/>
              <w:ind w:right="2240"/>
              <w:spacing w:after="0"/>
              <w:rPr>
                <w:sz w:val="20"/>
                <w:szCs w:val="20"/>
                <w:color w:val="auto"/>
              </w:rPr>
            </w:pPr>
            <w:r>
              <w:rPr>
                <w:rFonts w:ascii="Arial" w:cs="Arial" w:eastAsia="Arial" w:hAnsi="Arial"/>
                <w:sz w:val="18"/>
                <w:szCs w:val="18"/>
                <w:color w:val="auto"/>
              </w:rPr>
              <w:t>F-10</w:t>
            </w: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55" w:name="page256"/>
    <w:bookmarkEnd w:id="2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total revenues by geographic region, based on the location of the customer, are as follows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rPr>
              <w:t>Nine Months</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Nine Months</w:t>
            </w:r>
          </w:p>
        </w:tc>
      </w:tr>
      <w:tr>
        <w:trPr>
          <w:trHeight w:val="162"/>
        </w:trPr>
        <w:tc>
          <w:tcPr>
            <w:tcW w:w="30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Year Ended</w:t>
            </w:r>
          </w:p>
        </w:tc>
        <w:tc>
          <w:tcPr>
            <w:tcW w:w="340" w:type="dxa"/>
            <w:vAlign w:val="bottom"/>
          </w:tcPr>
          <w:p>
            <w:pPr>
              <w:spacing w:after="0"/>
              <w:rPr>
                <w:sz w:val="14"/>
                <w:szCs w:val="14"/>
                <w:color w:val="auto"/>
              </w:rPr>
            </w:pPr>
          </w:p>
        </w:tc>
        <w:tc>
          <w:tcPr>
            <w:tcW w:w="12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Year Ended</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Ended</w:t>
            </w:r>
          </w:p>
        </w:tc>
        <w:tc>
          <w:tcPr>
            <w:tcW w:w="20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Ended</w:t>
            </w:r>
          </w:p>
        </w:tc>
      </w:tr>
      <w:tr>
        <w:trPr>
          <w:trHeight w:val="162"/>
        </w:trPr>
        <w:tc>
          <w:tcPr>
            <w:tcW w:w="30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4"/>
                <w:szCs w:val="14"/>
                <w:color w:val="auto"/>
              </w:rPr>
            </w:pPr>
          </w:p>
        </w:tc>
        <w:tc>
          <w:tcPr>
            <w:tcW w:w="166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September 30,</w:t>
            </w:r>
          </w:p>
        </w:tc>
      </w:tr>
      <w:tr>
        <w:trPr>
          <w:trHeight w:val="177"/>
        </w:trPr>
        <w:tc>
          <w:tcPr>
            <w:tcW w:w="30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2019</w:t>
            </w:r>
          </w:p>
        </w:tc>
        <w:tc>
          <w:tcPr>
            <w:tcW w:w="6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r>
      <w:tr>
        <w:trPr>
          <w:trHeight w:val="156"/>
        </w:trPr>
        <w:tc>
          <w:tcPr>
            <w:tcW w:w="30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680" w:type="dxa"/>
            <w:vAlign w:val="bottom"/>
          </w:tcPr>
          <w:p>
            <w:pPr>
              <w:spacing w:after="0"/>
              <w:rPr>
                <w:sz w:val="13"/>
                <w:szCs w:val="13"/>
                <w:color w:val="auto"/>
              </w:rPr>
            </w:pPr>
          </w:p>
        </w:tc>
        <w:tc>
          <w:tcPr>
            <w:tcW w:w="100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r>
      <w:tr>
        <w:trPr>
          <w:trHeight w:val="203"/>
        </w:trPr>
        <w:tc>
          <w:tcPr>
            <w:tcW w:w="3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Australia</w:t>
            </w:r>
          </w:p>
        </w:tc>
        <w:tc>
          <w:tcPr>
            <w:tcW w:w="2180" w:type="dxa"/>
            <w:vAlign w:val="bottom"/>
            <w:gridSpan w:val="2"/>
            <w:shd w:val="clear" w:color="auto" w:fill="CCEEFF"/>
          </w:tcPr>
          <w:p>
            <w:pPr>
              <w:ind w:left="196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200</w:t>
            </w:r>
          </w:p>
        </w:tc>
        <w:tc>
          <w:tcPr>
            <w:tcW w:w="56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w:t>
            </w:r>
          </w:p>
        </w:tc>
        <w:tc>
          <w:tcPr>
            <w:tcW w:w="54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jc w:val="right"/>
              <w:ind w:right="21"/>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3040" w:type="dxa"/>
            <w:vAlign w:val="bottom"/>
          </w:tcPr>
          <w:p>
            <w:pPr>
              <w:spacing w:after="0" w:line="202" w:lineRule="exact"/>
              <w:rPr>
                <w:sz w:val="20"/>
                <w:szCs w:val="20"/>
                <w:color w:val="auto"/>
              </w:rPr>
            </w:pPr>
            <w:r>
              <w:rPr>
                <w:rFonts w:ascii="Arial" w:cs="Arial" w:eastAsia="Arial" w:hAnsi="Arial"/>
                <w:sz w:val="18"/>
                <w:szCs w:val="18"/>
                <w:color w:val="auto"/>
              </w:rPr>
              <w:t>Netherlands</w:t>
            </w:r>
          </w:p>
        </w:tc>
        <w:tc>
          <w:tcPr>
            <w:tcW w:w="1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143</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26</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26</w:t>
            </w:r>
          </w:p>
        </w:tc>
        <w:tc>
          <w:tcPr>
            <w:tcW w:w="20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504</w:t>
            </w:r>
          </w:p>
        </w:tc>
      </w:tr>
      <w:tr>
        <w:trPr>
          <w:trHeight w:val="203"/>
        </w:trPr>
        <w:tc>
          <w:tcPr>
            <w:tcW w:w="3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Switzerland</w:t>
            </w:r>
          </w:p>
        </w:tc>
        <w:tc>
          <w:tcPr>
            <w:tcW w:w="1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7,460</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6,287</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4,354</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14,174</w:t>
            </w:r>
          </w:p>
        </w:tc>
      </w:tr>
      <w:tr>
        <w:trPr>
          <w:trHeight w:val="203"/>
        </w:trPr>
        <w:tc>
          <w:tcPr>
            <w:tcW w:w="3040" w:type="dxa"/>
            <w:vAlign w:val="bottom"/>
          </w:tcPr>
          <w:p>
            <w:pPr>
              <w:spacing w:after="0" w:line="202" w:lineRule="exact"/>
              <w:rPr>
                <w:sz w:val="20"/>
                <w:szCs w:val="20"/>
                <w:color w:val="auto"/>
              </w:rPr>
            </w:pPr>
            <w:r>
              <w:rPr>
                <w:rFonts w:ascii="Arial" w:cs="Arial" w:eastAsia="Arial" w:hAnsi="Arial"/>
                <w:sz w:val="18"/>
                <w:szCs w:val="18"/>
                <w:color w:val="auto"/>
              </w:rPr>
              <w:t>United States</w:t>
            </w:r>
          </w:p>
        </w:tc>
        <w:tc>
          <w:tcPr>
            <w:tcW w:w="1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6,327</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666</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569</w:t>
            </w:r>
          </w:p>
        </w:tc>
        <w:tc>
          <w:tcPr>
            <w:tcW w:w="20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(89)</w:t>
            </w:r>
          </w:p>
        </w:tc>
      </w:tr>
      <w:tr>
        <w:trPr>
          <w:trHeight w:val="27"/>
        </w:trPr>
        <w:tc>
          <w:tcPr>
            <w:tcW w:w="30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30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14,130</w:t>
            </w:r>
          </w:p>
        </w:tc>
        <w:tc>
          <w:tcPr>
            <w:tcW w:w="56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6,986</w:t>
            </w:r>
          </w:p>
        </w:tc>
        <w:tc>
          <w:tcPr>
            <w:tcW w:w="54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4,956</w:t>
            </w:r>
          </w:p>
        </w:tc>
        <w:tc>
          <w:tcPr>
            <w:tcW w:w="200" w:type="dxa"/>
            <w:vAlign w:val="bottom"/>
            <w:shd w:val="clear" w:color="auto" w:fill="CCEEFF"/>
          </w:tcPr>
          <w:p>
            <w:pPr>
              <w:jc w:val="right"/>
              <w:ind w:right="21"/>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14,589</w:t>
            </w:r>
          </w:p>
        </w:tc>
      </w:tr>
      <w:tr>
        <w:trPr>
          <w:trHeight w:val="20"/>
        </w:trPr>
        <w:tc>
          <w:tcPr>
            <w:tcW w:w="30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and Cash Equivalents</w:t>
      </w:r>
    </w:p>
    <w:p>
      <w:pPr>
        <w:spacing w:after="0" w:line="106" w:lineRule="exact"/>
        <w:rPr>
          <w:sz w:val="20"/>
          <w:szCs w:val="20"/>
          <w:color w:val="auto"/>
        </w:rPr>
      </w:pPr>
    </w:p>
    <w:p>
      <w:pPr>
        <w:ind w:left="120" w:right="240" w:firstLine="551"/>
        <w:spacing w:after="0" w:line="276"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at the date of purchase to be cash equivalents. Cash equivalents consist of money market funds.</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Risks and Uncertainties</w:t>
      </w:r>
    </w:p>
    <w:p>
      <w:pPr>
        <w:spacing w:after="0" w:line="106" w:lineRule="exact"/>
        <w:rPr>
          <w:sz w:val="20"/>
          <w:szCs w:val="20"/>
          <w:color w:val="auto"/>
        </w:rPr>
      </w:pPr>
    </w:p>
    <w:p>
      <w:pPr>
        <w:ind w:left="120" w:right="120" w:firstLine="551"/>
        <w:spacing w:after="0" w:line="241" w:lineRule="auto"/>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development by competitors of new technological innovations, protection of proprietary technology, dependence on key personnel, suppliers for key raw materials, contract manufacturing organizations (“CMOs”) and contract research organizations (“CROs”), compliance with government regulations and the need to obtain additional financing to fund operations. Product candidates currently under development will require significant additional research and development efforts, including extensive preclinical studies and clinical trials and regulatory approval, prior to commercialization. These efforts require significant amounts of additional capital, adequate personnel infrastructure and extensive compliance and reporting.</w:t>
      </w:r>
    </w:p>
    <w:p>
      <w:pPr>
        <w:spacing w:after="0" w:line="179"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other pharmaceutical and biotechnology companies. In addition, the Company is dependent upon the services of its employees, consultants and other third parties (including for clinical trials and some aspects of research and preclinical testing).</w:t>
      </w:r>
    </w:p>
    <w:p>
      <w:pPr>
        <w:spacing w:after="0" w:line="179" w:lineRule="exact"/>
        <w:rPr>
          <w:sz w:val="20"/>
          <w:szCs w:val="20"/>
          <w:color w:val="auto"/>
        </w:rPr>
      </w:pPr>
    </w:p>
    <w:p>
      <w:pPr>
        <w:ind w:left="120" w:right="220" w:firstLine="551"/>
        <w:spacing w:after="0" w:line="248" w:lineRule="auto"/>
        <w:rPr>
          <w:sz w:val="20"/>
          <w:szCs w:val="20"/>
          <w:color w:val="auto"/>
        </w:rPr>
      </w:pPr>
      <w:r>
        <w:rPr>
          <w:rFonts w:ascii="Arial" w:cs="Arial" w:eastAsia="Arial" w:hAnsi="Arial"/>
          <w:sz w:val="18"/>
          <w:szCs w:val="18"/>
          <w:color w:val="auto"/>
        </w:rPr>
        <w:t>The extent of the impact of the COVID-19 pandemic on the Company’s business will depend upon the duration and spread of the outbreak and the extent and severity of the impact on the Company’s clinical trial activities, research activities and suppliers, all of which are uncertain and cannot be predicted. The extent to which the coronavirus outbreak may materially impact the Company’s financial condition, liquidity or results of operations is uncertain.</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 Measurements</w:t>
      </w:r>
    </w:p>
    <w:p>
      <w:pPr>
        <w:spacing w:after="0" w:line="106" w:lineRule="exact"/>
        <w:rPr>
          <w:sz w:val="20"/>
          <w:szCs w:val="20"/>
          <w:color w:val="auto"/>
        </w:rPr>
      </w:pPr>
    </w:p>
    <w:p>
      <w:pPr>
        <w:ind w:left="120" w:right="260" w:firstLine="551"/>
        <w:spacing w:after="0" w:line="255" w:lineRule="auto"/>
        <w:rPr>
          <w:sz w:val="20"/>
          <w:szCs w:val="20"/>
          <w:color w:val="auto"/>
        </w:rPr>
      </w:pPr>
      <w:r>
        <w:rPr>
          <w:rFonts w:ascii="Arial" w:cs="Arial" w:eastAsia="Arial" w:hAnsi="Arial"/>
          <w:sz w:val="18"/>
          <w:szCs w:val="18"/>
          <w:color w:val="auto"/>
        </w:rPr>
        <w:t>The Company applies fair value accounting for all financial assets and liabilities and non-financial assets and liabilities that are recognized or disclosed at fair value in the financial statements on a recurring basis. Fair value is an exit price, representing the amount that would be received to sell an</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5" w:right="439" w:bottom="1440" w:gutter="0" w:footer="0" w:header="0"/>
        </w:sectPr>
      </w:pPr>
    </w:p>
    <w:bookmarkStart w:id="256" w:name="page257"/>
    <w:bookmarkEnd w:id="2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720"/>
        <w:spacing w:after="0" w:line="306" w:lineRule="auto"/>
        <w:rPr>
          <w:sz w:val="20"/>
          <w:szCs w:val="20"/>
          <w:color w:val="auto"/>
        </w:rPr>
      </w:pPr>
      <w:r>
        <w:rPr>
          <w:rFonts w:ascii="Arial" w:cs="Arial" w:eastAsia="Arial" w:hAnsi="Arial"/>
          <w:sz w:val="17"/>
          <w:szCs w:val="17"/>
          <w:color w:val="auto"/>
        </w:rPr>
        <w:t>asset or paid to transfer a liability in an orderly transaction between market participants. As such, fair value is a market-based measurement that should be determined based on assumptions that market participants would use in pricing an asset or liability.</w:t>
      </w:r>
    </w:p>
    <w:p>
      <w:pPr>
        <w:spacing w:after="0" w:line="123" w:lineRule="exact"/>
        <w:rPr>
          <w:sz w:val="20"/>
          <w:szCs w:val="20"/>
          <w:color w:val="auto"/>
        </w:rPr>
      </w:pPr>
    </w:p>
    <w:p>
      <w:pPr>
        <w:ind w:left="120" w:right="200" w:firstLine="551"/>
        <w:spacing w:after="0" w:line="276" w:lineRule="auto"/>
        <w:rPr>
          <w:sz w:val="20"/>
          <w:szCs w:val="20"/>
          <w:color w:val="auto"/>
        </w:rPr>
      </w:pPr>
      <w:r>
        <w:rPr>
          <w:rFonts w:ascii="Arial" w:cs="Arial" w:eastAsia="Arial" w:hAnsi="Arial"/>
          <w:sz w:val="18"/>
          <w:szCs w:val="18"/>
          <w:color w:val="auto"/>
        </w:rPr>
        <w:t>As a basis for considering such assumptions, a three-level fair value hierarchy has been established, which prioritizes the inputs used in measuring fair value as follows:</w:t>
      </w:r>
    </w:p>
    <w:p>
      <w:pPr>
        <w:spacing w:after="0" w:line="50" w:lineRule="exact"/>
        <w:rPr>
          <w:sz w:val="20"/>
          <w:szCs w:val="20"/>
          <w:color w:val="auto"/>
        </w:rPr>
      </w:pPr>
    </w:p>
    <w:p>
      <w:pPr>
        <w:ind w:left="880" w:hanging="224"/>
        <w:spacing w:after="0"/>
        <w:tabs>
          <w:tab w:leader="none" w:pos="880" w:val="left"/>
        </w:tabs>
        <w:numPr>
          <w:ilvl w:val="0"/>
          <w:numId w:val="147"/>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—Observable inputs, such as quoted prices in active markets for identical assets and liabilities.</w:t>
      </w:r>
    </w:p>
    <w:p>
      <w:pPr>
        <w:spacing w:after="0" w:line="117" w:lineRule="exact"/>
        <w:rPr>
          <w:rFonts w:ascii="Arial" w:cs="Arial" w:eastAsia="Arial" w:hAnsi="Arial"/>
          <w:sz w:val="18"/>
          <w:szCs w:val="18"/>
          <w:color w:val="auto"/>
        </w:rPr>
      </w:pPr>
    </w:p>
    <w:p>
      <w:pPr>
        <w:ind w:left="880" w:right="80" w:hanging="224"/>
        <w:spacing w:after="0" w:line="255" w:lineRule="auto"/>
        <w:tabs>
          <w:tab w:leader="none" w:pos="880" w:val="left"/>
        </w:tabs>
        <w:numPr>
          <w:ilvl w:val="0"/>
          <w:numId w:val="147"/>
        </w:numPr>
        <w:rPr>
          <w:rFonts w:ascii="Arial" w:cs="Arial" w:eastAsia="Arial" w:hAnsi="Arial"/>
          <w:sz w:val="18"/>
          <w:szCs w:val="18"/>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Level 1 that are observable, either directly or indirectly, such as quoted prices for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quoted prices in markets that are not active, or other inputs that are observable or can be corroborated by observable market data for substantially the full term of the assets or liabilities.</w:t>
      </w:r>
    </w:p>
    <w:p>
      <w:pPr>
        <w:spacing w:after="0" w:line="69" w:lineRule="exact"/>
        <w:rPr>
          <w:rFonts w:ascii="Arial" w:cs="Arial" w:eastAsia="Arial" w:hAnsi="Arial"/>
          <w:sz w:val="18"/>
          <w:szCs w:val="18"/>
          <w:color w:val="auto"/>
        </w:rPr>
      </w:pPr>
    </w:p>
    <w:p>
      <w:pPr>
        <w:ind w:left="880" w:right="660" w:hanging="224"/>
        <w:spacing w:after="0" w:line="276" w:lineRule="auto"/>
        <w:tabs>
          <w:tab w:leader="none" w:pos="880" w:val="left"/>
        </w:tabs>
        <w:numPr>
          <w:ilvl w:val="0"/>
          <w:numId w:val="147"/>
        </w:numPr>
        <w:rPr>
          <w:rFonts w:ascii="Arial" w:cs="Arial" w:eastAsia="Arial" w:hAnsi="Arial"/>
          <w:sz w:val="18"/>
          <w:szCs w:val="18"/>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significant to the measurement of the fair value of the assets or liabilities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supported by little or no market data.</w:t>
      </w:r>
    </w:p>
    <w:p>
      <w:pPr>
        <w:spacing w:after="0" w:line="145" w:lineRule="exact"/>
        <w:rPr>
          <w:sz w:val="20"/>
          <w:szCs w:val="20"/>
          <w:color w:val="auto"/>
        </w:rPr>
      </w:pPr>
    </w:p>
    <w:p>
      <w:pPr>
        <w:ind w:left="120" w:right="120" w:firstLine="551"/>
        <w:spacing w:after="0" w:line="276" w:lineRule="auto"/>
        <w:rPr>
          <w:sz w:val="20"/>
          <w:szCs w:val="20"/>
          <w:color w:val="auto"/>
        </w:rPr>
      </w:pPr>
      <w:r>
        <w:rPr>
          <w:rFonts w:ascii="Arial" w:cs="Arial" w:eastAsia="Arial" w:hAnsi="Arial"/>
          <w:sz w:val="18"/>
          <w:szCs w:val="18"/>
          <w:color w:val="auto"/>
        </w:rPr>
        <w:t>The Company accounts for transfers of financial instruments between levels of the fair value hierarchy on the date of the event or change in circumstance that caused the transfer.</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Accounts Receivable—Allowance for Doubtful Accounts</w:t>
      </w:r>
    </w:p>
    <w:p>
      <w:pPr>
        <w:spacing w:after="0" w:line="106" w:lineRule="exact"/>
        <w:rPr>
          <w:sz w:val="20"/>
          <w:szCs w:val="20"/>
          <w:color w:val="auto"/>
        </w:rPr>
      </w:pPr>
    </w:p>
    <w:p>
      <w:pPr>
        <w:ind w:left="120" w:right="120" w:firstLine="551"/>
        <w:spacing w:after="0" w:line="268" w:lineRule="auto"/>
        <w:rPr>
          <w:sz w:val="20"/>
          <w:szCs w:val="20"/>
          <w:color w:val="auto"/>
        </w:rPr>
      </w:pPr>
      <w:r>
        <w:rPr>
          <w:rFonts w:ascii="Arial" w:cs="Arial" w:eastAsia="Arial" w:hAnsi="Arial"/>
          <w:sz w:val="17"/>
          <w:szCs w:val="17"/>
          <w:color w:val="auto"/>
        </w:rPr>
        <w:t>The Company regularly reviews accounts receivable for collectability and establishes an allowance for probable credit losses and writes off uncollectible accounts as necessary. The Company has determined that no allowance was required at December 31, 2018, December 31, 2019 and September 30, 2020 (unaudited). The Company did not have any write-offs relating to uncollectible accounts receivable during the years ended December 31, 2018 and 2019 and nine months ended September 30, 2019 and 2020 (unaudited).</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Property and Equipment, net</w:t>
      </w:r>
    </w:p>
    <w:p>
      <w:pPr>
        <w:spacing w:after="0" w:line="106"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Property and equipment are stated at cost less accumulated depreciation for acquired assets. Depreciation is computed using the straight-line method over the estimated useful lives of assets, ranging from three to five years. Leasehold improvements are amortized over the shorter of the useful life of the assets or the length of the lease. Upon sale or retirement of assets, the costs and related accumulated depreciation are removed from the balance sheet and the resulting gain or loss is reflected within operating expenses in the statements of operations and comprehensive loss. Maintenance and repairs are charged to expense as incurred.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Impairment of Long-Lived Assets</w:t>
      </w:r>
    </w:p>
    <w:p>
      <w:pPr>
        <w:spacing w:after="0" w:line="106"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The Company reviews long-lived assets for impairment whenever events or changes in circumstances indicate that the carrying amount of an asset may not be recoverable. Recoverability is measured by comparison of the carrying amount to the future undiscounted net cash flows, which the assets are expected to generate. If such assets are considered to be impaired, the impairment to be recognized is typically measured by the amount by which the carrying amount of the assets exceeds the projected discounted future net cash flows arising from the asset. There have been no such impairments of long-lived assets in the years ended December 31, 2018 and 2019 and nine months ended September 30, 2019 and 2020 (unaudited).</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Redeemable Convertible Preferred Stock</w:t>
      </w:r>
    </w:p>
    <w:p>
      <w:pPr>
        <w:spacing w:after="0" w:line="106"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The Company records all shares of redeemable convertible preferred stock at their respective fair values on the dates of issuance, net of issuance costs. The redeemable convertible preferred stock is recorded outside of permanent equity because while it is not mandatorily redeemable, in certain events</w:t>
      </w:r>
    </w:p>
    <w:p>
      <w:pPr>
        <w:spacing w:after="0" w:line="9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040"/>
          </w:cols>
          <w:pgMar w:left="320" w:top="455" w:right="539" w:bottom="1440" w:gutter="0" w:footer="0" w:header="0"/>
        </w:sectPr>
      </w:pPr>
    </w:p>
    <w:bookmarkStart w:id="257" w:name="page258"/>
    <w:bookmarkEnd w:id="2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3" w:lineRule="auto"/>
        <w:rPr>
          <w:sz w:val="20"/>
          <w:szCs w:val="20"/>
          <w:color w:val="auto"/>
        </w:rPr>
      </w:pPr>
      <w:r>
        <w:rPr>
          <w:rFonts w:ascii="Arial" w:cs="Arial" w:eastAsia="Arial" w:hAnsi="Arial"/>
          <w:sz w:val="18"/>
          <w:szCs w:val="18"/>
          <w:color w:val="auto"/>
        </w:rPr>
        <w:t>considered not solely within the Company’s control, such as a merger or consolidation, sale, lease, or license of substantially all of the Company’s assets (each, a “deemed liquidation event”), the convertible preferred stock will become redeemable at the option of the holders of a majority of the outstanding series of redeemable convertible preferred stock. The Company has not adjusted the carrying values of the redeemable convertible preferred stock to the liquidation preference of such shares because a deemed liquidation event obligating the Company to pay the liquidation preference is not considered probable. Subsequent adjustments to the carrying values to the liquidation preference will be made only when it becomes probable that such a deemed liquidation event will occur.</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 Warrants</w:t>
      </w:r>
    </w:p>
    <w:p>
      <w:pPr>
        <w:spacing w:after="0" w:line="106" w:lineRule="exact"/>
        <w:rPr>
          <w:sz w:val="20"/>
          <w:szCs w:val="20"/>
          <w:color w:val="auto"/>
        </w:rPr>
      </w:pPr>
    </w:p>
    <w:p>
      <w:pPr>
        <w:ind w:left="120" w:right="80" w:firstLine="551"/>
        <w:spacing w:after="0" w:line="241" w:lineRule="auto"/>
        <w:rPr>
          <w:sz w:val="20"/>
          <w:szCs w:val="20"/>
          <w:color w:val="auto"/>
        </w:rPr>
      </w:pPr>
      <w:r>
        <w:rPr>
          <w:rFonts w:ascii="Arial" w:cs="Arial" w:eastAsia="Arial" w:hAnsi="Arial"/>
          <w:sz w:val="18"/>
          <w:szCs w:val="18"/>
          <w:color w:val="auto"/>
        </w:rPr>
        <w:t>The Company accounts for common stock warrants which meet the definition of a derivative as liabilities if the warrant requires net cash settlement or gives the holder the option of net cash settlement. The Company accounts for common stock warrants as equity if the contract requires physical settlement or net physical settlement or if the Company has the option of physical settlement or net physical settlement. Common stock warrants classified as liabilities are initially recorded at fair value and remeasured at fair value each balance sheet date with the offset adjustments recorded in other income (expense), net within the statements of operations and comprehensive loss. Common stock warrants classified as equity are initially measured at fair value on the grant date and are not subsequently remeasured.</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 Recognition</w:t>
      </w:r>
    </w:p>
    <w:p>
      <w:pPr>
        <w:spacing w:after="0" w:line="106"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 xml:space="preserve">Effective January 1, 2019, the Company adopted Accounting Standards Update (“ASU”)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(Topic 606) </w:t>
      </w:r>
      <w:r>
        <w:rPr>
          <w:rFonts w:ascii="Arial" w:cs="Arial" w:eastAsia="Arial" w:hAnsi="Arial"/>
          <w:sz w:val="18"/>
          <w:szCs w:val="18"/>
          <w:color w:val="auto"/>
        </w:rPr>
        <w:t>(“ASC 606”), using the modified retrospective transition method. The Company determines revenue recognition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within the scope of ASC 606 by performing the following five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based on estimated selling prices; and (v) recognition of revenue when (or as) the Company satisfies each performance obligation.</w:t>
      </w:r>
    </w:p>
    <w:p>
      <w:pPr>
        <w:spacing w:after="0" w:line="179" w:lineRule="exact"/>
        <w:rPr>
          <w:sz w:val="20"/>
          <w:szCs w:val="20"/>
          <w:color w:val="auto"/>
        </w:rPr>
      </w:pPr>
    </w:p>
    <w:p>
      <w:pPr>
        <w:ind w:left="120" w:right="260" w:firstLine="551"/>
        <w:spacing w:after="0" w:line="262" w:lineRule="auto"/>
        <w:rPr>
          <w:sz w:val="20"/>
          <w:szCs w:val="20"/>
          <w:color w:val="auto"/>
        </w:rPr>
      </w:pPr>
      <w:r>
        <w:rPr>
          <w:rFonts w:ascii="Arial" w:cs="Arial" w:eastAsia="Arial" w:hAnsi="Arial"/>
          <w:sz w:val="17"/>
          <w:szCs w:val="17"/>
          <w:color w:val="auto"/>
        </w:rPr>
        <w:t>The Company’s revenue is primarily derived through its license, research, development and commercialization agreements. The terms of these types of agreements may include (i) licenses to the Company’s technology, (ii) research and development services, and</w:t>
      </w:r>
    </w:p>
    <w:p>
      <w:pPr>
        <w:ind w:left="120" w:right="20" w:hanging="4"/>
        <w:spacing w:after="0" w:line="237" w:lineRule="auto"/>
        <w:tabs>
          <w:tab w:leader="none" w:pos="41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services or obligations in connection with participation in research or steering committees. Payments to the Company under these arrangements typically include one or more of the following: nonrefundable upfront and license fees, research funding, milestone and other contingent payments to the Company for the achievement of defined collaboration objectives and certain preclinical, clinical, regulatory and sales-based events, as well as royalties on sales of any commercialized products. Arrangements that include upfront payments are recorded as deferred revenue upon receipt or when due and are recognized as revenue as performance conditions are met. The event-based milestone payments, royalties and cost reimbursements represent variable consideration, and the Company uses the most likely amount method to estimate this variable consideration. Royalty payments are recognized when earned or as the sales occur. The Company records cost reimbursements as accounts receivable when right to consideration is unconditional.</w:t>
      </w:r>
    </w:p>
    <w:p>
      <w:pPr>
        <w:spacing w:after="0" w:line="179" w:lineRule="exact"/>
        <w:rPr>
          <w:sz w:val="20"/>
          <w:szCs w:val="20"/>
          <w:color w:val="auto"/>
        </w:rPr>
      </w:pPr>
    </w:p>
    <w:p>
      <w:pPr>
        <w:ind w:left="120" w:right="120" w:firstLine="551"/>
        <w:spacing w:after="0" w:line="248"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the unit of account in ASC 606. The Company allocates the total transaction price to each performance obligation based on the estimated standalone selling price and recognizes revenue when, or as, the performance obligation is satisfied. The Company includes the unconstrained amount of estimated variable consideration in the transaction price. At the end of each reporting period,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5" w:right="459" w:bottom="1440" w:gutter="0" w:footer="0" w:header="0"/>
        </w:sectPr>
      </w:pPr>
    </w:p>
    <w:bookmarkStart w:id="258" w:name="page259"/>
    <w:bookmarkEnd w:id="2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76" w:lineRule="auto"/>
        <w:rPr>
          <w:sz w:val="20"/>
          <w:szCs w:val="20"/>
          <w:color w:val="auto"/>
        </w:rPr>
      </w:pPr>
      <w:r>
        <w:rPr>
          <w:rFonts w:ascii="Arial" w:cs="Arial" w:eastAsia="Arial" w:hAnsi="Arial"/>
          <w:sz w:val="18"/>
          <w:szCs w:val="18"/>
          <w:color w:val="auto"/>
        </w:rPr>
        <w:t>Company re-evaluates the estimated variable consideration included in the transaction price and any related constraint, and if necessary, adjusts its estimate of the overall transaction price.</w:t>
      </w:r>
    </w:p>
    <w:p>
      <w:pPr>
        <w:spacing w:after="0" w:line="145"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Prior to the adoption of ASC 606 on January 1, 2019, the Company recognized revenue when all of the following criteria were met: persuasive evidence of an arrangement exists; transfer of technology has been completed or services have been rendered; the price to the customer is fixed or determinable; and collectability is reasonably assured.</w:t>
      </w:r>
    </w:p>
    <w:p>
      <w:pPr>
        <w:spacing w:after="0" w:line="164"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In arrangements involving the delivery of more than one element, each required deliverable was evaluated to determine whether it qualified as a separate unit of accounting. The determination was based on whether the deliverable had “standalone value” to the customer. If a deliverable did not qualify as a separate unit of accounting, it was combined with the other applicable undelivered item(s) within the arrangement and these combined deliverables were treated as a single unit of accounting.</w:t>
      </w:r>
    </w:p>
    <w:p>
      <w:pPr>
        <w:spacing w:after="0" w:line="170" w:lineRule="exact"/>
        <w:rPr>
          <w:sz w:val="20"/>
          <w:szCs w:val="20"/>
          <w:color w:val="auto"/>
        </w:rPr>
      </w:pPr>
    </w:p>
    <w:p>
      <w:pPr>
        <w:ind w:left="120" w:right="220" w:firstLine="551"/>
        <w:spacing w:after="0" w:line="248" w:lineRule="auto"/>
        <w:rPr>
          <w:sz w:val="20"/>
          <w:szCs w:val="20"/>
          <w:color w:val="auto"/>
        </w:rPr>
      </w:pPr>
      <w:r>
        <w:rPr>
          <w:rFonts w:ascii="Arial" w:cs="Arial" w:eastAsia="Arial" w:hAnsi="Arial"/>
          <w:sz w:val="18"/>
          <w:szCs w:val="18"/>
          <w:color w:val="auto"/>
        </w:rPr>
        <w:t>The arrangement’s consideration that was fixed or determinable was allocated to each separate unit of accounting based on the relative selling price methodology in accordance with the selling price hierarchy, which included vendor-specific objective evidence (“VSOE”) of selling price, if available, or third-party evidence of selling price if VSOE was not available, or the best estimate of selling price, if neither VSOE nor third-party evidence was available.</w:t>
      </w:r>
    </w:p>
    <w:p>
      <w:pPr>
        <w:spacing w:after="0" w:line="170" w:lineRule="exact"/>
        <w:rPr>
          <w:sz w:val="20"/>
          <w:szCs w:val="20"/>
          <w:color w:val="auto"/>
        </w:rPr>
      </w:pPr>
    </w:p>
    <w:p>
      <w:pPr>
        <w:ind w:left="120" w:right="120" w:firstLine="551"/>
        <w:spacing w:after="0" w:line="248" w:lineRule="auto"/>
        <w:rPr>
          <w:sz w:val="20"/>
          <w:szCs w:val="20"/>
          <w:color w:val="auto"/>
        </w:rPr>
      </w:pPr>
      <w:r>
        <w:rPr>
          <w:rFonts w:ascii="Arial" w:cs="Arial" w:eastAsia="Arial" w:hAnsi="Arial"/>
          <w:sz w:val="18"/>
          <w:szCs w:val="18"/>
          <w:color w:val="auto"/>
        </w:rPr>
        <w:t>Payments or reimbursements for the Company’s research and development efforts for the arrangements where such efforts were considered as deliverables were recognized as the services were performed and were presented on a gross basis. When upfront payments were received and if there was no discernible pattern of performance, the Company recognized revenue ratably over the associated period of performance.</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 Expenses</w:t>
      </w:r>
    </w:p>
    <w:p>
      <w:pPr>
        <w:spacing w:after="0" w:line="106"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Costs related to research, design and development of programs are charged to research and development expense as incurred. Research and development costs include, but are not limited to, payroll and personnel expenses including stock-based compensation, materials, laboratory supplies, outside services and allocated overhead, including rent, insurance, repairs and maintenance, depreciation and utilities. The Company expenses all research and development costs in the period in which they are incurred.</w:t>
      </w:r>
    </w:p>
    <w:p>
      <w:pPr>
        <w:spacing w:after="0" w:line="170" w:lineRule="exact"/>
        <w:rPr>
          <w:sz w:val="20"/>
          <w:szCs w:val="20"/>
          <w:color w:val="auto"/>
        </w:rPr>
      </w:pPr>
    </w:p>
    <w:p>
      <w:pPr>
        <w:ind w:left="120" w:right="640" w:firstLine="551"/>
        <w:spacing w:after="0" w:line="306" w:lineRule="auto"/>
        <w:rPr>
          <w:sz w:val="20"/>
          <w:szCs w:val="20"/>
          <w:color w:val="auto"/>
        </w:rPr>
      </w:pPr>
      <w:r>
        <w:rPr>
          <w:rFonts w:ascii="Arial" w:cs="Arial" w:eastAsia="Arial" w:hAnsi="Arial"/>
          <w:sz w:val="17"/>
          <w:szCs w:val="17"/>
          <w:color w:val="auto"/>
        </w:rPr>
        <w:t>Costs incurred in obtaining technology licenses are charged to research and development expense as acquired in-process research and development if the technology licensed has not reached technological feasibility and has no alternative future use.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Accrued Research and Development</w:t>
      </w:r>
    </w:p>
    <w:p>
      <w:pPr>
        <w:spacing w:after="0" w:line="106" w:lineRule="exact"/>
        <w:rPr>
          <w:sz w:val="20"/>
          <w:szCs w:val="20"/>
          <w:color w:val="auto"/>
        </w:rPr>
      </w:pPr>
    </w:p>
    <w:p>
      <w:pPr>
        <w:ind w:left="120" w:right="80" w:firstLine="551"/>
        <w:spacing w:after="0" w:line="243" w:lineRule="auto"/>
        <w:rPr>
          <w:sz w:val="20"/>
          <w:szCs w:val="20"/>
          <w:color w:val="auto"/>
        </w:rPr>
      </w:pPr>
      <w:r>
        <w:rPr>
          <w:rFonts w:ascii="Arial" w:cs="Arial" w:eastAsia="Arial" w:hAnsi="Arial"/>
          <w:sz w:val="18"/>
          <w:szCs w:val="18"/>
          <w:color w:val="auto"/>
        </w:rPr>
        <w:t>The Company has entered into various agreements with CROs and CMOs. The Company’s research and development accruals are estimated based on the level of services performed, progress of the studies, including the phase or completion of events, and contracted costs. The estimated costs of research and development provided, but not yet invoiced, are included in accrued and other current liabilities on the balance sheet. If the actual timing of the performance of services or the level of effort varies from the original estimates, the Company will adjust the accrual accordingly. Payments made to CROs or CMOs under these arrangements in advance of the performance of the related services are recorded as prepaid expenses and other current assets until the services are rendered.</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w:t>
      </w:r>
    </w:p>
    <w:p>
      <w:pPr>
        <w:spacing w:after="0" w:line="106" w:lineRule="exact"/>
        <w:rPr>
          <w:sz w:val="20"/>
          <w:szCs w:val="20"/>
          <w:color w:val="auto"/>
        </w:rPr>
      </w:pPr>
    </w:p>
    <w:p>
      <w:pPr>
        <w:ind w:left="120" w:right="360" w:firstLine="551"/>
        <w:spacing w:after="0" w:line="276" w:lineRule="auto"/>
        <w:rPr>
          <w:sz w:val="20"/>
          <w:szCs w:val="20"/>
          <w:color w:val="auto"/>
        </w:rPr>
      </w:pPr>
      <w:r>
        <w:rPr>
          <w:rFonts w:ascii="Arial" w:cs="Arial" w:eastAsia="Arial" w:hAnsi="Arial"/>
          <w:sz w:val="18"/>
          <w:szCs w:val="18"/>
          <w:color w:val="auto"/>
        </w:rPr>
        <w:t>As of December 31, 2019, the Company accounts for stock-based compensation as measured at grant date, based on the fair value of the award. The Company measures the fair value of awards</w:t>
      </w:r>
    </w:p>
    <w:p>
      <w:pPr>
        <w:spacing w:after="0" w:line="7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040"/>
          </w:cols>
          <w:pgMar w:left="320" w:top="455" w:right="539" w:bottom="1440" w:gutter="0" w:footer="0" w:header="0"/>
        </w:sectPr>
      </w:pPr>
    </w:p>
    <w:bookmarkStart w:id="259" w:name="page260"/>
    <w:bookmarkEnd w:id="2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80"/>
        <w:spacing w:after="0" w:line="255" w:lineRule="auto"/>
        <w:rPr>
          <w:sz w:val="20"/>
          <w:szCs w:val="20"/>
          <w:color w:val="auto"/>
        </w:rPr>
      </w:pPr>
      <w:r>
        <w:rPr>
          <w:rFonts w:ascii="Arial" w:cs="Arial" w:eastAsia="Arial" w:hAnsi="Arial"/>
          <w:sz w:val="18"/>
          <w:szCs w:val="18"/>
          <w:color w:val="auto"/>
        </w:rPr>
        <w:t>granted using the Black-Scholes option pricing model and recognizes the expense in the Company’s statements of operations and comprehensive loss over the requisite service period using the straight-line method. Forfeitures are accounted for as they occur. The Company’s policy for issuing stock upon stock option exercise is to issue new common stock.</w:t>
      </w:r>
    </w:p>
    <w:p>
      <w:pPr>
        <w:spacing w:after="0" w:line="16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The Company recognizes the fair value of stock options granted to nonemployees as stock-based compensation expense over the period in which the related services are received. Stock-based compensation expense related to stock options granted to nonemployees is recognized based on the vesting date fair value of awards as the stock options are earned. The Company remeasures the stock-based compensation at each reporting period end with the resulting change in fair value being recognized in the statements of operations and comprehensive loss over the period the related services are rendered. The Company believes that the estimated fair value of stock options is more readily measurable than the fair value of the services rendered. In addition, the Company estimates the service period for the awards based on the time that would be required to satisfy the service condition, assuming the service condition will be satisfied. Stock-based compensation expense is recognized over the estimated service period but is accelerated if the performance condition is achieved earlier than estimated.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 (unaudited)</w:t>
      </w:r>
    </w:p>
    <w:p>
      <w:pPr>
        <w:spacing w:after="0" w:line="106"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 xml:space="preserve">On January 1, 2020, the Company adopted ASU 2018-07, </w:t>
      </w:r>
      <w:r>
        <w:rPr>
          <w:rFonts w:ascii="Arial" w:cs="Arial" w:eastAsia="Arial" w:hAnsi="Arial"/>
          <w:sz w:val="18"/>
          <w:szCs w:val="18"/>
          <w:i w:val="1"/>
          <w:iCs w:val="1"/>
          <w:color w:val="auto"/>
        </w:rPr>
        <w:t>Compensation—Stock Compensation (Topic 718):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Nonemployee Share-Based Payment Accounting</w:t>
      </w:r>
      <w:r>
        <w:rPr>
          <w:rFonts w:ascii="Arial" w:cs="Arial" w:eastAsia="Arial" w:hAnsi="Arial"/>
          <w:sz w:val="18"/>
          <w:szCs w:val="18"/>
          <w:color w:val="auto"/>
        </w:rPr>
        <w:t>, which aligns the measurement and classification guidance for share-based payments to</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nonemployees with the guidance for share-based payments to employees. As of January 1, 2020, the Company accounts for stock-based compensation for stock options granted to employees, directors and nonemployees as measured at grant date, based on the fair value of the award. The Company measures the fair value of awards granted using the Black-Scholes option pricing model and recognizes the expense in the Company’s statements of operations and comprehensive loss over the requisite service period using the straight-line method.</w:t>
      </w: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Taxes</w:t>
      </w:r>
    </w:p>
    <w:p>
      <w:pPr>
        <w:spacing w:after="0" w:line="106" w:lineRule="exact"/>
        <w:rPr>
          <w:sz w:val="20"/>
          <w:szCs w:val="20"/>
          <w:color w:val="auto"/>
        </w:rPr>
      </w:pPr>
    </w:p>
    <w:p>
      <w:pPr>
        <w:ind w:left="120" w:right="120" w:firstLine="551"/>
        <w:spacing w:after="0" w:line="243" w:lineRule="auto"/>
        <w:rPr>
          <w:sz w:val="20"/>
          <w:szCs w:val="20"/>
          <w:color w:val="auto"/>
        </w:rPr>
      </w:pPr>
      <w:r>
        <w:rPr>
          <w:rFonts w:ascii="Arial" w:cs="Arial" w:eastAsia="Arial" w:hAnsi="Arial"/>
          <w:sz w:val="18"/>
          <w:szCs w:val="18"/>
          <w:color w:val="auto"/>
        </w:rPr>
        <w:t>The Company accounts for income taxes under the asset and liability method, which requires, among other things, that deferred income taxes be provided for temporary differences between the tax basis of the Company’s assets and liabilities and their financial statement reported amounts. In addition, deferred tax assets are recorded for the future benefit of utilizing net operating losses and research and development credit carryforwards and are measured using the enacted tax rates and laws that will be in effect when such items are expected to reverse. A valuation allowance is provided against deferred tax assets unless it is more likely than not that they will be realized.</w:t>
      </w:r>
    </w:p>
    <w:p>
      <w:pPr>
        <w:spacing w:after="0" w:line="174" w:lineRule="exact"/>
        <w:rPr>
          <w:sz w:val="20"/>
          <w:szCs w:val="20"/>
          <w:color w:val="auto"/>
        </w:rPr>
      </w:pPr>
    </w:p>
    <w:p>
      <w:pPr>
        <w:ind w:left="120" w:right="280" w:firstLine="551"/>
        <w:spacing w:after="0" w:line="245" w:lineRule="auto"/>
        <w:rPr>
          <w:sz w:val="20"/>
          <w:szCs w:val="20"/>
          <w:color w:val="auto"/>
        </w:rPr>
      </w:pPr>
      <w:r>
        <w:rPr>
          <w:rFonts w:ascii="Arial" w:cs="Arial" w:eastAsia="Arial" w:hAnsi="Arial"/>
          <w:sz w:val="18"/>
          <w:szCs w:val="18"/>
          <w:color w:val="auto"/>
        </w:rPr>
        <w:t>The Company accounts for uncertain tax positions by assessing all material positions taken in any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The Company’s policy is to recognize interest and penalties related to the underpayment of income taxes as a component of income tax expense or benefit. To date, there have been no interest or penalties charged in relation to the unrecognized tax benefits.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Embedded Derivative</w:t>
      </w:r>
    </w:p>
    <w:p>
      <w:pPr>
        <w:spacing w:after="0" w:line="106" w:lineRule="exact"/>
        <w:rPr>
          <w:sz w:val="20"/>
          <w:szCs w:val="20"/>
          <w:color w:val="auto"/>
        </w:rPr>
      </w:pPr>
    </w:p>
    <w:p>
      <w:pPr>
        <w:ind w:left="120" w:right="380" w:firstLine="551"/>
        <w:spacing w:after="0" w:line="276" w:lineRule="auto"/>
        <w:rPr>
          <w:sz w:val="20"/>
          <w:szCs w:val="20"/>
          <w:color w:val="auto"/>
        </w:rPr>
      </w:pPr>
      <w:r>
        <w:rPr>
          <w:rFonts w:ascii="Arial" w:cs="Arial" w:eastAsia="Arial" w:hAnsi="Arial"/>
          <w:sz w:val="18"/>
          <w:szCs w:val="18"/>
          <w:color w:val="auto"/>
        </w:rPr>
        <w:t>Embedded derivatives that are required to be bifurcated from the underlying host instrument are accounted for and valued as a separate financial instrument. An embedded derivative exists in the</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5" w:right="459" w:bottom="1440" w:gutter="0" w:footer="0" w:header="0"/>
        </w:sectPr>
      </w:pPr>
    </w:p>
    <w:bookmarkStart w:id="260" w:name="page261"/>
    <w:bookmarkEnd w:id="2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48" w:lineRule="auto"/>
        <w:rPr>
          <w:sz w:val="20"/>
          <w:szCs w:val="20"/>
          <w:color w:val="auto"/>
        </w:rPr>
      </w:pPr>
      <w:r>
        <w:rPr>
          <w:rFonts w:ascii="Arial" w:cs="Arial" w:eastAsia="Arial" w:hAnsi="Arial"/>
          <w:sz w:val="18"/>
          <w:szCs w:val="18"/>
          <w:color w:val="auto"/>
        </w:rPr>
        <w:t>award agreement with the Cystic Fibrosis Foundation Therapeutics, Inc. (“CFFT”). As described in Note 15, the embedded derivative has been bifurcated and is classified as a liability on the balance sheet and separately accounted for at its fair value. The derivative liability is subject to remeasurement to fair value each reporting period. Changes in the fair value of the derivative liability are recognized as a component of other income (expense), net within the statements of operations and comprehensive loss.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Deferred Offering Costs</w:t>
      </w:r>
    </w:p>
    <w:p>
      <w:pPr>
        <w:spacing w:after="0" w:line="106"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The Company capitalizes certain legal, accounting and other third-party fees that are directly related to the Company’s in-process equity financings, including the planned IPO, until such financings are consummated. After consummation of the equity financing, these costs are recorded as a reduction of the proceeds received as a result of the offering. In the event that a planned offering does not occur or is significantly delayed, all related deferred offering costs will be expensed immediately within the Company’s statements of operations and comprehensive loss. The Company incurred $ 2.6 million of public offering costs for the year ended December 31, 2019, which were expensed to general and administrative expenses, as a result of delays in the IPO process during the period. There were no material deferred offering costs capitalized as of December 31, 2018 or 2019. As of September 30, 2020, $0.1 million (unaudited) deferred offering costs were recorded on the balance sheet.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Loss Per Share Attributable to Common Stockholders</w:t>
      </w:r>
    </w:p>
    <w:p>
      <w:pPr>
        <w:spacing w:after="0" w:line="106"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The Company calculates basic and diluted net loss per share to common stockholders in conformity with the two-class method required for companies with participating securities. The Company considers all series of redeemable convertible preferred stock to be participating securities as the holders are entitled to receive non-cumulative dividends on a pari passu basis in the event the dividend is paid on common shares. Under the two-class method, the net loss attributable to common stockholders is not allocated to the redeemable convertible preferred stock as the holders of redeemable convertible preferred stock do not have a contractual obligation to share in losses.</w:t>
      </w:r>
    </w:p>
    <w:p>
      <w:pPr>
        <w:spacing w:after="0" w:line="174" w:lineRule="exact"/>
        <w:rPr>
          <w:sz w:val="20"/>
          <w:szCs w:val="20"/>
          <w:color w:val="auto"/>
        </w:rPr>
      </w:pPr>
    </w:p>
    <w:p>
      <w:pPr>
        <w:ind w:left="120" w:right="120" w:firstLine="551"/>
        <w:spacing w:after="0" w:line="241"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shares of common stock outstanding during the period, less shares subject to repurchase. Diluted net loss per share attributable to common stockholders is computed by giving effect to all potentially dilutive common shares outstanding for the period. For purposes of this calculation, redeemable convertible preferred shares, stock options to acquire shares of common stock, common stock warrants, and unvested common stock subject to repurchase, are considered potentially dilutive common shares, but have been excluded from the calculation of diluted net loss per share attributable to common stockholders as their effect is antidilutive.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02"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In May 2014, the Financial Accounting Standards Board (“FASB”) issued ASC 606. This standard outlines a single comprehensive model for entities to use in accounting for revenue arising from contracts with customers and supersedes most current revenue recognition guidance, including industry-specific guidance. Under ASC 606, an entity recognizes revenue when its customer obtains control of promised goods or services, in an amount that reflects the consideration which the entity expects to receive in exchange for those goods or services.</w:t>
      </w:r>
    </w:p>
    <w:p>
      <w:pPr>
        <w:spacing w:after="0" w:line="172" w:lineRule="exact"/>
        <w:rPr>
          <w:sz w:val="20"/>
          <w:szCs w:val="20"/>
          <w:color w:val="auto"/>
        </w:rPr>
      </w:pPr>
    </w:p>
    <w:p>
      <w:pPr>
        <w:ind w:left="120" w:right="20" w:firstLine="551"/>
        <w:spacing w:after="0" w:line="276" w:lineRule="auto"/>
        <w:rPr>
          <w:sz w:val="20"/>
          <w:szCs w:val="20"/>
          <w:color w:val="auto"/>
        </w:rPr>
      </w:pPr>
      <w:r>
        <w:rPr>
          <w:rFonts w:ascii="Arial" w:cs="Arial" w:eastAsia="Arial" w:hAnsi="Arial"/>
          <w:sz w:val="18"/>
          <w:szCs w:val="18"/>
          <w:color w:val="auto"/>
        </w:rPr>
        <w:t>The Company adopted ASC 606 effective January 1, 2019 using the modified retrospective method only to contracts not completed as of this date. The Company recognized the cumulative effect</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5" w:right="459" w:bottom="1440" w:gutter="0" w:footer="0" w:header="0"/>
        </w:sectPr>
      </w:pPr>
    </w:p>
    <w:bookmarkStart w:id="261" w:name="page262"/>
    <w:bookmarkEnd w:id="2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of initially applying ASC 606 as an adjustment to the balance of accumulated deficit at January 1, 2019 with a cumulative effect adjustment of $0.3 million reflected as a decrease to the opening balance of accumulated deficit and a decrease to deferred revenue. See Note 6 for further discussion on research and collaboration arrangements.</w:t>
      </w:r>
    </w:p>
    <w:p>
      <w:pPr>
        <w:spacing w:after="0" w:line="164" w:lineRule="exact"/>
        <w:rPr>
          <w:sz w:val="20"/>
          <w:szCs w:val="20"/>
          <w:color w:val="auto"/>
        </w:rPr>
      </w:pPr>
    </w:p>
    <w:p>
      <w:pPr>
        <w:ind w:left="120" w:right="860" w:firstLine="551"/>
        <w:spacing w:after="0" w:line="276" w:lineRule="auto"/>
        <w:rPr>
          <w:sz w:val="20"/>
          <w:szCs w:val="20"/>
          <w:color w:val="auto"/>
        </w:rPr>
      </w:pPr>
      <w:r>
        <w:rPr>
          <w:rFonts w:ascii="Arial" w:cs="Arial" w:eastAsia="Arial" w:hAnsi="Arial"/>
          <w:sz w:val="18"/>
          <w:szCs w:val="18"/>
          <w:color w:val="auto"/>
        </w:rPr>
        <w:t>The following tables summarize the amount by which each financial statement line item was affected by the impact of the cumulative adjustment and as compared with the guidance that was in effect prior to the adoption (in thousands):</w:t>
      </w: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Impact of ASC 606 Adoption on</w:t>
      </w:r>
    </w:p>
    <w:p>
      <w:pPr>
        <w:spacing w:after="0" w:line="2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Balance Sheet as of January 1, 2019</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Balances</w:t>
            </w:r>
          </w:p>
        </w:tc>
      </w:tr>
      <w:tr>
        <w:trPr>
          <w:trHeight w:val="162"/>
        </w:trPr>
        <w:tc>
          <w:tcPr>
            <w:tcW w:w="3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without</w:t>
            </w:r>
          </w:p>
        </w:tc>
      </w:tr>
      <w:tr>
        <w:trPr>
          <w:trHeight w:val="162"/>
        </w:trPr>
        <w:tc>
          <w:tcPr>
            <w:tcW w:w="3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gridSpan w:val="9"/>
          </w:tcPr>
          <w:p>
            <w:pPr>
              <w:jc w:val="center"/>
              <w:ind w:right="220"/>
              <w:spacing w:after="0"/>
              <w:rPr>
                <w:sz w:val="20"/>
                <w:szCs w:val="20"/>
                <w:color w:val="auto"/>
              </w:rPr>
            </w:pPr>
            <w:r>
              <w:rPr>
                <w:rFonts w:ascii="Arial" w:cs="Arial" w:eastAsia="Arial" w:hAnsi="Arial"/>
                <w:sz w:val="14"/>
                <w:szCs w:val="14"/>
                <w:b w:val="1"/>
                <w:bCs w:val="1"/>
                <w:color w:val="auto"/>
              </w:rPr>
              <w:t>As reported</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adoption</w:t>
            </w:r>
          </w:p>
        </w:tc>
      </w:tr>
      <w:tr>
        <w:trPr>
          <w:trHeight w:val="162"/>
        </w:trPr>
        <w:tc>
          <w:tcPr>
            <w:tcW w:w="3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rPr>
              <w:t>under ASC</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of ASC</w:t>
            </w:r>
          </w:p>
        </w:tc>
      </w:tr>
      <w:tr>
        <w:trPr>
          <w:trHeight w:val="177"/>
        </w:trPr>
        <w:tc>
          <w:tcPr>
            <w:tcW w:w="37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center"/>
              <w:ind w:right="13"/>
              <w:spacing w:after="0"/>
              <w:rPr>
                <w:sz w:val="20"/>
                <w:szCs w:val="20"/>
                <w:color w:val="auto"/>
              </w:rPr>
            </w:pPr>
            <w:r>
              <w:rPr>
                <w:rFonts w:ascii="Arial" w:cs="Arial" w:eastAsia="Arial" w:hAnsi="Arial"/>
                <w:sz w:val="14"/>
                <w:szCs w:val="14"/>
                <w:b w:val="1"/>
                <w:bCs w:val="1"/>
                <w:color w:val="auto"/>
              </w:rPr>
              <w:t>606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gridSpan w:val="7"/>
          </w:tcPr>
          <w:p>
            <w:pPr>
              <w:spacing w:after="0"/>
              <w:rPr>
                <w:sz w:val="20"/>
                <w:szCs w:val="20"/>
                <w:color w:val="auto"/>
              </w:rPr>
            </w:pPr>
            <w:r>
              <w:rPr>
                <w:rFonts w:ascii="Arial" w:cs="Arial" w:eastAsia="Arial" w:hAnsi="Arial"/>
                <w:sz w:val="14"/>
                <w:szCs w:val="14"/>
                <w:b w:val="1"/>
                <w:bCs w:val="1"/>
                <w:color w:val="auto"/>
              </w:rPr>
              <w:t>Adjustments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ind w:right="38"/>
              <w:spacing w:after="0"/>
              <w:rPr>
                <w:sz w:val="20"/>
                <w:szCs w:val="20"/>
                <w:color w:val="auto"/>
              </w:rPr>
            </w:pPr>
            <w:r>
              <w:rPr>
                <w:rFonts w:ascii="Arial" w:cs="Arial" w:eastAsia="Arial" w:hAnsi="Arial"/>
                <w:sz w:val="14"/>
                <w:szCs w:val="14"/>
                <w:b w:val="1"/>
                <w:bCs w:val="1"/>
                <w:color w:val="auto"/>
              </w:rPr>
              <w:t>606</w:t>
            </w:r>
          </w:p>
        </w:tc>
        <w:tc>
          <w:tcPr>
            <w:tcW w:w="120" w:type="dxa"/>
            <w:vAlign w:val="bottom"/>
          </w:tcPr>
          <w:p>
            <w:pPr>
              <w:spacing w:after="0"/>
              <w:rPr>
                <w:sz w:val="15"/>
                <w:szCs w:val="15"/>
                <w:color w:val="auto"/>
              </w:rPr>
            </w:pPr>
          </w:p>
        </w:tc>
      </w:tr>
      <w:tr>
        <w:trPr>
          <w:trHeight w:val="196"/>
        </w:trPr>
        <w:tc>
          <w:tcPr>
            <w:tcW w:w="3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revenue, current portion</w:t>
            </w:r>
          </w:p>
        </w:tc>
        <w:tc>
          <w:tcPr>
            <w:tcW w:w="28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(6,202)</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1,295</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(4,907)</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3760" w:type="dxa"/>
            <w:vAlign w:val="bottom"/>
          </w:tcPr>
          <w:p>
            <w:pPr>
              <w:spacing w:after="0" w:line="202" w:lineRule="exact"/>
              <w:rPr>
                <w:sz w:val="20"/>
                <w:szCs w:val="20"/>
                <w:color w:val="auto"/>
              </w:rPr>
            </w:pPr>
            <w:r>
              <w:rPr>
                <w:rFonts w:ascii="Arial" w:cs="Arial" w:eastAsia="Arial" w:hAnsi="Arial"/>
                <w:sz w:val="18"/>
                <w:szCs w:val="18"/>
                <w:color w:val="auto"/>
              </w:rPr>
              <w:t>Deferred revenue, noncurrent portion</w:t>
            </w:r>
          </w:p>
        </w:tc>
        <w:tc>
          <w:tcPr>
            <w:tcW w:w="2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840" w:type="dxa"/>
            <w:vAlign w:val="bottom"/>
            <w:gridSpan w:val="5"/>
          </w:tcPr>
          <w:p>
            <w:pPr>
              <w:jc w:val="right"/>
              <w:ind w:right="140"/>
              <w:spacing w:after="0" w:line="202" w:lineRule="exact"/>
              <w:rPr>
                <w:sz w:val="20"/>
                <w:szCs w:val="20"/>
                <w:color w:val="auto"/>
              </w:rPr>
            </w:pPr>
            <w:r>
              <w:rPr>
                <w:rFonts w:ascii="Arial" w:cs="Arial" w:eastAsia="Arial" w:hAnsi="Arial"/>
                <w:sz w:val="18"/>
                <w:szCs w:val="18"/>
                <w:color w:val="auto"/>
              </w:rPr>
              <w:t>(11,474)</w:t>
            </w:r>
          </w:p>
        </w:tc>
        <w:tc>
          <w:tcPr>
            <w:tcW w:w="58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w w:val="98"/>
              </w:rPr>
              <w:t>(1,602)</w:t>
            </w:r>
          </w:p>
        </w:tc>
        <w:tc>
          <w:tcPr>
            <w:tcW w:w="130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$(13,076)</w:t>
            </w:r>
          </w:p>
        </w:tc>
      </w:tr>
      <w:tr>
        <w:trPr>
          <w:trHeight w:val="203"/>
        </w:trPr>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2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840" w:type="dxa"/>
            <w:vAlign w:val="bottom"/>
            <w:gridSpan w:val="5"/>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(29,719)</w:t>
            </w:r>
          </w:p>
        </w:tc>
        <w:tc>
          <w:tcPr>
            <w:tcW w:w="580" w:type="dxa"/>
            <w:vAlign w:val="bottom"/>
            <w:gridSpan w:val="3"/>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(307)</w:t>
            </w:r>
          </w:p>
        </w:tc>
        <w:tc>
          <w:tcPr>
            <w:tcW w:w="130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$(30,026)</w:t>
            </w:r>
          </w:p>
        </w:tc>
      </w:tr>
      <w:tr>
        <w:trPr>
          <w:trHeight w:val="502"/>
        </w:trPr>
        <w:tc>
          <w:tcPr>
            <w:tcW w:w="3760" w:type="dxa"/>
            <w:vAlign w:val="bottom"/>
          </w:tcPr>
          <w:p>
            <w:pPr>
              <w:spacing w:after="0"/>
              <w:rPr>
                <w:sz w:val="24"/>
                <w:szCs w:val="24"/>
                <w:color w:val="auto"/>
              </w:rPr>
            </w:pPr>
          </w:p>
        </w:tc>
        <w:tc>
          <w:tcPr>
            <w:tcW w:w="3840" w:type="dxa"/>
            <w:vAlign w:val="bottom"/>
            <w:gridSpan w:val="8"/>
          </w:tcPr>
          <w:p>
            <w:pPr>
              <w:jc w:val="center"/>
              <w:ind w:right="360"/>
              <w:spacing w:after="0"/>
              <w:rPr>
                <w:sz w:val="20"/>
                <w:szCs w:val="20"/>
                <w:color w:val="auto"/>
              </w:rPr>
            </w:pPr>
            <w:r>
              <w:rPr>
                <w:rFonts w:ascii="Arial" w:cs="Arial" w:eastAsia="Arial" w:hAnsi="Arial"/>
                <w:sz w:val="18"/>
                <w:szCs w:val="18"/>
                <w:b w:val="1"/>
                <w:bCs w:val="1"/>
                <w:color w:val="auto"/>
                <w:w w:val="99"/>
              </w:rPr>
              <w:t>Impact of ASC 606 Adoption on</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53"/>
        </w:trPr>
        <w:tc>
          <w:tcPr>
            <w:tcW w:w="3760" w:type="dxa"/>
            <w:vAlign w:val="bottom"/>
          </w:tcPr>
          <w:p>
            <w:pPr>
              <w:spacing w:after="0"/>
              <w:rPr>
                <w:sz w:val="21"/>
                <w:szCs w:val="21"/>
                <w:color w:val="auto"/>
              </w:rPr>
            </w:pPr>
          </w:p>
        </w:tc>
        <w:tc>
          <w:tcPr>
            <w:tcW w:w="3840" w:type="dxa"/>
            <w:vAlign w:val="bottom"/>
            <w:gridSpan w:val="8"/>
          </w:tcPr>
          <w:p>
            <w:pPr>
              <w:jc w:val="center"/>
              <w:ind w:right="360"/>
              <w:spacing w:after="0"/>
              <w:rPr>
                <w:sz w:val="20"/>
                <w:szCs w:val="20"/>
                <w:color w:val="auto"/>
              </w:rPr>
            </w:pPr>
            <w:r>
              <w:rPr>
                <w:rFonts w:ascii="Arial" w:cs="Arial" w:eastAsia="Arial" w:hAnsi="Arial"/>
                <w:sz w:val="18"/>
                <w:szCs w:val="18"/>
                <w:b w:val="1"/>
                <w:bCs w:val="1"/>
                <w:color w:val="auto"/>
                <w:w w:val="99"/>
              </w:rPr>
              <w:t>Balance Sheet as of December 31, 2019</w:t>
            </w: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364"/>
        </w:trPr>
        <w:tc>
          <w:tcPr>
            <w:tcW w:w="37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Balances</w:t>
            </w:r>
          </w:p>
        </w:tc>
      </w:tr>
      <w:tr>
        <w:trPr>
          <w:trHeight w:val="162"/>
        </w:trPr>
        <w:tc>
          <w:tcPr>
            <w:tcW w:w="3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without</w:t>
            </w:r>
          </w:p>
        </w:tc>
      </w:tr>
      <w:tr>
        <w:trPr>
          <w:trHeight w:val="162"/>
        </w:trPr>
        <w:tc>
          <w:tcPr>
            <w:tcW w:w="3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7"/>
          </w:tcPr>
          <w:p>
            <w:pPr>
              <w:spacing w:after="0"/>
              <w:rPr>
                <w:sz w:val="20"/>
                <w:szCs w:val="20"/>
                <w:color w:val="auto"/>
              </w:rPr>
            </w:pPr>
            <w:r>
              <w:rPr>
                <w:rFonts w:ascii="Arial" w:cs="Arial" w:eastAsia="Arial" w:hAnsi="Arial"/>
                <w:sz w:val="14"/>
                <w:szCs w:val="14"/>
                <w:b w:val="1"/>
                <w:bCs w:val="1"/>
                <w:color w:val="auto"/>
              </w:rPr>
              <w:t>As reported</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adoption</w:t>
            </w:r>
          </w:p>
        </w:tc>
      </w:tr>
      <w:tr>
        <w:trPr>
          <w:trHeight w:val="162"/>
        </w:trPr>
        <w:tc>
          <w:tcPr>
            <w:tcW w:w="3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rPr>
              <w:t>under ASC</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of ASC</w:t>
            </w:r>
          </w:p>
        </w:tc>
      </w:tr>
      <w:tr>
        <w:trPr>
          <w:trHeight w:val="177"/>
        </w:trPr>
        <w:tc>
          <w:tcPr>
            <w:tcW w:w="37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53"/>
              <w:spacing w:after="0"/>
              <w:rPr>
                <w:sz w:val="20"/>
                <w:szCs w:val="20"/>
                <w:color w:val="auto"/>
              </w:rPr>
            </w:pPr>
            <w:r>
              <w:rPr>
                <w:rFonts w:ascii="Arial" w:cs="Arial" w:eastAsia="Arial" w:hAnsi="Arial"/>
                <w:sz w:val="14"/>
                <w:szCs w:val="14"/>
                <w:b w:val="1"/>
                <w:bCs w:val="1"/>
                <w:color w:val="auto"/>
              </w:rPr>
              <w:t>606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w w:val="99"/>
              </w:rPr>
              <w:t>Adjustments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ind w:right="38"/>
              <w:spacing w:after="0"/>
              <w:rPr>
                <w:sz w:val="20"/>
                <w:szCs w:val="20"/>
                <w:color w:val="auto"/>
              </w:rPr>
            </w:pPr>
            <w:r>
              <w:rPr>
                <w:rFonts w:ascii="Arial" w:cs="Arial" w:eastAsia="Arial" w:hAnsi="Arial"/>
                <w:sz w:val="14"/>
                <w:szCs w:val="14"/>
                <w:b w:val="1"/>
                <w:bCs w:val="1"/>
                <w:color w:val="auto"/>
              </w:rPr>
              <w:t>606</w:t>
            </w:r>
          </w:p>
        </w:tc>
        <w:tc>
          <w:tcPr>
            <w:tcW w:w="120" w:type="dxa"/>
            <w:vAlign w:val="bottom"/>
          </w:tcPr>
          <w:p>
            <w:pPr>
              <w:spacing w:after="0"/>
              <w:rPr>
                <w:sz w:val="15"/>
                <w:szCs w:val="15"/>
                <w:color w:val="auto"/>
              </w:rPr>
            </w:pPr>
          </w:p>
        </w:tc>
      </w:tr>
      <w:tr>
        <w:trPr>
          <w:trHeight w:val="196"/>
        </w:trPr>
        <w:tc>
          <w:tcPr>
            <w:tcW w:w="3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revenue, current portion</w:t>
            </w:r>
          </w:p>
        </w:tc>
        <w:tc>
          <w:tcPr>
            <w:tcW w:w="28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gridSpan w:val="2"/>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(5,864)</w:t>
            </w: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gridSpan w:val="2"/>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799</w:t>
            </w:r>
          </w:p>
        </w:tc>
        <w:tc>
          <w:tcPr>
            <w:tcW w:w="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(5,065)</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3760" w:type="dxa"/>
            <w:vAlign w:val="bottom"/>
          </w:tcPr>
          <w:p>
            <w:pPr>
              <w:spacing w:after="0" w:line="202" w:lineRule="exact"/>
              <w:rPr>
                <w:sz w:val="20"/>
                <w:szCs w:val="20"/>
                <w:color w:val="auto"/>
              </w:rPr>
            </w:pPr>
            <w:r>
              <w:rPr>
                <w:rFonts w:ascii="Arial" w:cs="Arial" w:eastAsia="Arial" w:hAnsi="Arial"/>
                <w:sz w:val="18"/>
                <w:szCs w:val="18"/>
                <w:color w:val="auto"/>
              </w:rPr>
              <w:t>Deferred revenue, noncurrent portion</w:t>
            </w:r>
          </w:p>
        </w:tc>
        <w:tc>
          <w:tcPr>
            <w:tcW w:w="2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5"/>
          </w:tcPr>
          <w:p>
            <w:pPr>
              <w:ind w:left="64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gridSpan w:val="5"/>
          </w:tcPr>
          <w:p>
            <w:pPr>
              <w:jc w:val="right"/>
              <w:ind w:right="100"/>
              <w:spacing w:after="0" w:line="202" w:lineRule="exact"/>
              <w:rPr>
                <w:sz w:val="20"/>
                <w:szCs w:val="20"/>
                <w:color w:val="auto"/>
              </w:rPr>
            </w:pPr>
            <w:r>
              <w:rPr>
                <w:rFonts w:ascii="Arial" w:cs="Arial" w:eastAsia="Arial" w:hAnsi="Arial"/>
                <w:sz w:val="18"/>
                <w:szCs w:val="18"/>
                <w:color w:val="auto"/>
              </w:rPr>
              <w:t>(13,603)</w:t>
            </w:r>
          </w:p>
        </w:tc>
        <w:tc>
          <w:tcPr>
            <w:tcW w:w="580" w:type="dxa"/>
            <w:vAlign w:val="bottom"/>
            <w:gridSpan w:val="3"/>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235</w:t>
            </w:r>
          </w:p>
        </w:tc>
        <w:tc>
          <w:tcPr>
            <w:tcW w:w="130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$(13,368)</w:t>
            </w:r>
          </w:p>
        </w:tc>
      </w:tr>
      <w:tr>
        <w:trPr>
          <w:trHeight w:val="203"/>
        </w:trPr>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2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5"/>
            <w:shd w:val="clear" w:color="auto" w:fill="CCEEFF"/>
          </w:tcPr>
          <w:p>
            <w:pPr>
              <w:ind w:left="64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gridSpan w:val="5"/>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(79,025)</w:t>
            </w:r>
          </w:p>
        </w:tc>
        <w:tc>
          <w:tcPr>
            <w:tcW w:w="580" w:type="dxa"/>
            <w:vAlign w:val="bottom"/>
            <w:gridSpan w:val="3"/>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1,034</w:t>
            </w:r>
          </w:p>
        </w:tc>
        <w:tc>
          <w:tcPr>
            <w:tcW w:w="130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$(77,991)</w:t>
            </w:r>
          </w:p>
        </w:tc>
      </w:tr>
      <w:tr>
        <w:trPr>
          <w:trHeight w:val="502"/>
        </w:trPr>
        <w:tc>
          <w:tcPr>
            <w:tcW w:w="9120" w:type="dxa"/>
            <w:vAlign w:val="bottom"/>
            <w:gridSpan w:val="19"/>
          </w:tcPr>
          <w:p>
            <w:pPr>
              <w:jc w:val="center"/>
              <w:ind w:left="1790"/>
              <w:spacing w:after="0"/>
              <w:rPr>
                <w:sz w:val="20"/>
                <w:szCs w:val="20"/>
                <w:color w:val="auto"/>
              </w:rPr>
            </w:pPr>
            <w:r>
              <w:rPr>
                <w:rFonts w:ascii="Arial" w:cs="Arial" w:eastAsia="Arial" w:hAnsi="Arial"/>
                <w:sz w:val="18"/>
                <w:szCs w:val="18"/>
                <w:b w:val="1"/>
                <w:bCs w:val="1"/>
                <w:color w:val="auto"/>
                <w:w w:val="99"/>
              </w:rPr>
              <w:t>Impact of ASC 606 Adoption on Statements of Operations and Comprehensive Loss</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53"/>
        </w:trPr>
        <w:tc>
          <w:tcPr>
            <w:tcW w:w="3760" w:type="dxa"/>
            <w:vAlign w:val="bottom"/>
          </w:tcPr>
          <w:p>
            <w:pPr>
              <w:spacing w:after="0"/>
              <w:rPr>
                <w:sz w:val="21"/>
                <w:szCs w:val="21"/>
                <w:color w:val="auto"/>
              </w:rPr>
            </w:pPr>
          </w:p>
        </w:tc>
        <w:tc>
          <w:tcPr>
            <w:tcW w:w="3080" w:type="dxa"/>
            <w:vAlign w:val="bottom"/>
            <w:gridSpan w:val="3"/>
          </w:tcPr>
          <w:p>
            <w:pPr>
              <w:jc w:val="center"/>
              <w:ind w:left="310"/>
              <w:spacing w:after="0"/>
              <w:rPr>
                <w:sz w:val="20"/>
                <w:szCs w:val="20"/>
                <w:color w:val="auto"/>
              </w:rPr>
            </w:pPr>
            <w:r>
              <w:rPr>
                <w:rFonts w:ascii="Arial" w:cs="Arial" w:eastAsia="Arial" w:hAnsi="Arial"/>
                <w:sz w:val="18"/>
                <w:szCs w:val="18"/>
                <w:b w:val="1"/>
                <w:bCs w:val="1"/>
                <w:color w:val="auto"/>
                <w:w w:val="99"/>
              </w:rPr>
              <w:t>Year Ended December 31, 2019</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364"/>
        </w:trPr>
        <w:tc>
          <w:tcPr>
            <w:tcW w:w="37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6"/>
          </w:tcPr>
          <w:p>
            <w:pPr>
              <w:spacing w:after="0"/>
              <w:rPr>
                <w:sz w:val="20"/>
                <w:szCs w:val="20"/>
                <w:color w:val="auto"/>
              </w:rPr>
            </w:pPr>
            <w:r>
              <w:rPr>
                <w:rFonts w:ascii="Arial" w:cs="Arial" w:eastAsia="Arial" w:hAnsi="Arial"/>
                <w:sz w:val="14"/>
                <w:szCs w:val="14"/>
                <w:b w:val="1"/>
                <w:bCs w:val="1"/>
                <w:color w:val="auto"/>
              </w:rPr>
              <w:t>As reported</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Balances</w:t>
            </w:r>
          </w:p>
        </w:tc>
      </w:tr>
      <w:tr>
        <w:trPr>
          <w:trHeight w:val="162"/>
        </w:trPr>
        <w:tc>
          <w:tcPr>
            <w:tcW w:w="3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6"/>
          </w:tcPr>
          <w:p>
            <w:pPr>
              <w:ind w:left="40"/>
              <w:spacing w:after="0"/>
              <w:rPr>
                <w:sz w:val="20"/>
                <w:szCs w:val="20"/>
                <w:color w:val="auto"/>
              </w:rPr>
            </w:pPr>
            <w:r>
              <w:rPr>
                <w:rFonts w:ascii="Arial" w:cs="Arial" w:eastAsia="Arial" w:hAnsi="Arial"/>
                <w:sz w:val="14"/>
                <w:szCs w:val="14"/>
                <w:b w:val="1"/>
                <w:bCs w:val="1"/>
                <w:color w:val="auto"/>
              </w:rPr>
              <w:t>under ASC</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4"/>
          </w:tcPr>
          <w:p>
            <w:pPr>
              <w:ind w:left="20"/>
              <w:spacing w:after="0"/>
              <w:rPr>
                <w:sz w:val="20"/>
                <w:szCs w:val="20"/>
                <w:color w:val="auto"/>
              </w:rPr>
            </w:pPr>
            <w:r>
              <w:rPr>
                <w:rFonts w:ascii="Arial" w:cs="Arial" w:eastAsia="Arial" w:hAnsi="Arial"/>
                <w:sz w:val="14"/>
                <w:szCs w:val="14"/>
                <w:b w:val="1"/>
                <w:bCs w:val="1"/>
                <w:color w:val="auto"/>
              </w:rPr>
              <w:t>without adoption</w:t>
            </w:r>
          </w:p>
        </w:tc>
      </w:tr>
      <w:tr>
        <w:trPr>
          <w:trHeight w:val="177"/>
        </w:trPr>
        <w:tc>
          <w:tcPr>
            <w:tcW w:w="37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93"/>
              <w:spacing w:after="0"/>
              <w:rPr>
                <w:sz w:val="20"/>
                <w:szCs w:val="20"/>
                <w:color w:val="auto"/>
              </w:rPr>
            </w:pPr>
            <w:r>
              <w:rPr>
                <w:rFonts w:ascii="Arial" w:cs="Arial" w:eastAsia="Arial" w:hAnsi="Arial"/>
                <w:sz w:val="14"/>
                <w:szCs w:val="14"/>
                <w:b w:val="1"/>
                <w:bCs w:val="1"/>
                <w:color w:val="auto"/>
              </w:rPr>
              <w:t>606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8"/>
          </w:tcPr>
          <w:p>
            <w:pPr>
              <w:spacing w:after="0"/>
              <w:rPr>
                <w:sz w:val="20"/>
                <w:szCs w:val="20"/>
                <w:color w:val="auto"/>
              </w:rPr>
            </w:pPr>
            <w:r>
              <w:rPr>
                <w:rFonts w:ascii="Arial" w:cs="Arial" w:eastAsia="Arial" w:hAnsi="Arial"/>
                <w:sz w:val="14"/>
                <w:szCs w:val="14"/>
                <w:b w:val="1"/>
                <w:bCs w:val="1"/>
                <w:color w:val="auto"/>
              </w:rPr>
              <w:t>Adjustments</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of ASC 606</w:t>
            </w:r>
          </w:p>
        </w:tc>
      </w:tr>
      <w:tr>
        <w:trPr>
          <w:trHeight w:val="196"/>
        </w:trPr>
        <w:tc>
          <w:tcPr>
            <w:tcW w:w="3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Collaboration and research revenue</w:t>
            </w:r>
          </w:p>
        </w:tc>
        <w:tc>
          <w:tcPr>
            <w:tcW w:w="28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6,986</w:t>
            </w: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1,341</w:t>
            </w: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8,327</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376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3080" w:type="dxa"/>
            <w:vAlign w:val="bottom"/>
            <w:gridSpan w:val="3"/>
          </w:tcPr>
          <w:p>
            <w:pPr>
              <w:ind w:left="296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gridSpan w:val="5"/>
          </w:tcPr>
          <w:p>
            <w:pPr>
              <w:jc w:val="right"/>
              <w:ind w:right="20"/>
              <w:spacing w:after="0" w:line="202" w:lineRule="exact"/>
              <w:rPr>
                <w:sz w:val="20"/>
                <w:szCs w:val="20"/>
                <w:color w:val="auto"/>
              </w:rPr>
            </w:pPr>
            <w:r>
              <w:rPr>
                <w:rFonts w:ascii="Arial" w:cs="Arial" w:eastAsia="Arial" w:hAnsi="Arial"/>
                <w:sz w:val="18"/>
                <w:szCs w:val="18"/>
                <w:color w:val="auto"/>
              </w:rPr>
              <w:t>(49,306)</w:t>
            </w:r>
          </w:p>
        </w:tc>
        <w:tc>
          <w:tcPr>
            <w:tcW w:w="840" w:type="dxa"/>
            <w:vAlign w:val="bottom"/>
            <w:gridSpan w:val="5"/>
          </w:tcPr>
          <w:p>
            <w:pPr>
              <w:ind w:left="62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5"/>
          </w:tcPr>
          <w:p>
            <w:pPr>
              <w:jc w:val="right"/>
              <w:ind w:right="20"/>
              <w:spacing w:after="0" w:line="202" w:lineRule="exact"/>
              <w:rPr>
                <w:sz w:val="20"/>
                <w:szCs w:val="20"/>
                <w:color w:val="auto"/>
              </w:rPr>
            </w:pPr>
            <w:r>
              <w:rPr>
                <w:rFonts w:ascii="Arial" w:cs="Arial" w:eastAsia="Arial" w:hAnsi="Arial"/>
                <w:sz w:val="18"/>
                <w:szCs w:val="18"/>
                <w:color w:val="auto"/>
              </w:rPr>
              <w:t>1,341</w:t>
            </w: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(47,965)</w:t>
            </w:r>
          </w:p>
        </w:tc>
      </w:tr>
      <w:tr>
        <w:trPr>
          <w:trHeight w:val="203"/>
        </w:trPr>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per share—basic and diluted</w:t>
            </w:r>
          </w:p>
        </w:tc>
        <w:tc>
          <w:tcPr>
            <w:tcW w:w="3080" w:type="dxa"/>
            <w:vAlign w:val="bottom"/>
            <w:gridSpan w:val="3"/>
            <w:shd w:val="clear" w:color="auto" w:fill="CCEEFF"/>
          </w:tcPr>
          <w:p>
            <w:pPr>
              <w:ind w:left="296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gridSpan w:val="5"/>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(9.59)</w:t>
            </w:r>
          </w:p>
        </w:tc>
        <w:tc>
          <w:tcPr>
            <w:tcW w:w="840" w:type="dxa"/>
            <w:vAlign w:val="bottom"/>
            <w:gridSpan w:val="5"/>
            <w:shd w:val="clear" w:color="auto" w:fill="CCEEFF"/>
          </w:tcPr>
          <w:p>
            <w:pPr>
              <w:ind w:left="62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5"/>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0.26</w:t>
            </w: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(9.33)</w:t>
            </w:r>
          </w:p>
        </w:tc>
      </w:tr>
      <w:tr>
        <w:trPr>
          <w:trHeight w:val="502"/>
        </w:trPr>
        <w:tc>
          <w:tcPr>
            <w:tcW w:w="8440" w:type="dxa"/>
            <w:vAlign w:val="bottom"/>
            <w:gridSpan w:val="14"/>
          </w:tcPr>
          <w:p>
            <w:pPr>
              <w:jc w:val="center"/>
              <w:ind w:left="2490"/>
              <w:spacing w:after="0"/>
              <w:rPr>
                <w:sz w:val="20"/>
                <w:szCs w:val="20"/>
                <w:color w:val="auto"/>
              </w:rPr>
            </w:pPr>
            <w:r>
              <w:rPr>
                <w:rFonts w:ascii="Arial" w:cs="Arial" w:eastAsia="Arial" w:hAnsi="Arial"/>
                <w:sz w:val="18"/>
                <w:szCs w:val="18"/>
                <w:b w:val="1"/>
                <w:bCs w:val="1"/>
                <w:color w:val="auto"/>
                <w:w w:val="99"/>
              </w:rPr>
              <w:t>Impact of ASC 606 Adoption on Statements of Cash Flows</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53"/>
        </w:trPr>
        <w:tc>
          <w:tcPr>
            <w:tcW w:w="3760" w:type="dxa"/>
            <w:vAlign w:val="bottom"/>
          </w:tcPr>
          <w:p>
            <w:pPr>
              <w:spacing w:after="0"/>
              <w:rPr>
                <w:sz w:val="21"/>
                <w:szCs w:val="21"/>
                <w:color w:val="auto"/>
              </w:rPr>
            </w:pPr>
          </w:p>
        </w:tc>
        <w:tc>
          <w:tcPr>
            <w:tcW w:w="3080" w:type="dxa"/>
            <w:vAlign w:val="bottom"/>
            <w:gridSpan w:val="3"/>
          </w:tcPr>
          <w:p>
            <w:pPr>
              <w:jc w:val="center"/>
              <w:ind w:left="310"/>
              <w:spacing w:after="0"/>
              <w:rPr>
                <w:sz w:val="20"/>
                <w:szCs w:val="20"/>
                <w:color w:val="auto"/>
              </w:rPr>
            </w:pPr>
            <w:r>
              <w:rPr>
                <w:rFonts w:ascii="Arial" w:cs="Arial" w:eastAsia="Arial" w:hAnsi="Arial"/>
                <w:sz w:val="18"/>
                <w:szCs w:val="18"/>
                <w:b w:val="1"/>
                <w:bCs w:val="1"/>
                <w:color w:val="auto"/>
                <w:w w:val="99"/>
              </w:rPr>
              <w:t>Year Ended December 31, 2019</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364"/>
        </w:trPr>
        <w:tc>
          <w:tcPr>
            <w:tcW w:w="37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960" w:type="dxa"/>
            <w:vAlign w:val="bottom"/>
            <w:gridSpan w:val="7"/>
          </w:tcPr>
          <w:p>
            <w:pPr>
              <w:spacing w:after="0"/>
              <w:rPr>
                <w:sz w:val="20"/>
                <w:szCs w:val="20"/>
                <w:color w:val="auto"/>
              </w:rPr>
            </w:pPr>
            <w:r>
              <w:rPr>
                <w:rFonts w:ascii="Arial" w:cs="Arial" w:eastAsia="Arial" w:hAnsi="Arial"/>
                <w:sz w:val="14"/>
                <w:szCs w:val="14"/>
                <w:b w:val="1"/>
                <w:bCs w:val="1"/>
                <w:color w:val="auto"/>
              </w:rPr>
              <w:t>As reported</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Balances</w:t>
            </w:r>
          </w:p>
        </w:tc>
      </w:tr>
      <w:tr>
        <w:trPr>
          <w:trHeight w:val="162"/>
        </w:trPr>
        <w:tc>
          <w:tcPr>
            <w:tcW w:w="3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7"/>
              </w:rPr>
              <w:t>under</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4"/>
          </w:tcPr>
          <w:p>
            <w:pPr>
              <w:ind w:left="20"/>
              <w:spacing w:after="0"/>
              <w:rPr>
                <w:sz w:val="20"/>
                <w:szCs w:val="20"/>
                <w:color w:val="auto"/>
              </w:rPr>
            </w:pPr>
            <w:r>
              <w:rPr>
                <w:rFonts w:ascii="Arial" w:cs="Arial" w:eastAsia="Arial" w:hAnsi="Arial"/>
                <w:sz w:val="14"/>
                <w:szCs w:val="14"/>
                <w:b w:val="1"/>
                <w:bCs w:val="1"/>
                <w:color w:val="auto"/>
              </w:rPr>
              <w:t>without adoption</w:t>
            </w:r>
          </w:p>
        </w:tc>
      </w:tr>
      <w:tr>
        <w:trPr>
          <w:trHeight w:val="177"/>
        </w:trPr>
        <w:tc>
          <w:tcPr>
            <w:tcW w:w="37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6"/>
          </w:tcPr>
          <w:p>
            <w:pPr>
              <w:ind w:left="40"/>
              <w:spacing w:after="0"/>
              <w:rPr>
                <w:sz w:val="20"/>
                <w:szCs w:val="20"/>
                <w:color w:val="auto"/>
              </w:rPr>
            </w:pPr>
            <w:r>
              <w:rPr>
                <w:rFonts w:ascii="Arial" w:cs="Arial" w:eastAsia="Arial" w:hAnsi="Arial"/>
                <w:sz w:val="14"/>
                <w:szCs w:val="14"/>
                <w:b w:val="1"/>
                <w:bCs w:val="1"/>
                <w:color w:val="auto"/>
              </w:rPr>
              <w:t>ASC 606</w:t>
            </w:r>
          </w:p>
        </w:tc>
        <w:tc>
          <w:tcPr>
            <w:tcW w:w="540" w:type="dxa"/>
            <w:vAlign w:val="bottom"/>
          </w:tcPr>
          <w:p>
            <w:pPr>
              <w:spacing w:after="0"/>
              <w:rPr>
                <w:sz w:val="15"/>
                <w:szCs w:val="15"/>
                <w:color w:val="auto"/>
              </w:rPr>
            </w:pPr>
          </w:p>
        </w:tc>
        <w:tc>
          <w:tcPr>
            <w:tcW w:w="980" w:type="dxa"/>
            <w:vAlign w:val="bottom"/>
            <w:gridSpan w:val="9"/>
          </w:tcPr>
          <w:p>
            <w:pPr>
              <w:ind w:left="20"/>
              <w:spacing w:after="0"/>
              <w:rPr>
                <w:sz w:val="20"/>
                <w:szCs w:val="20"/>
                <w:color w:val="auto"/>
              </w:rPr>
            </w:pPr>
            <w:r>
              <w:rPr>
                <w:rFonts w:ascii="Arial" w:cs="Arial" w:eastAsia="Arial" w:hAnsi="Arial"/>
                <w:sz w:val="14"/>
                <w:szCs w:val="14"/>
                <w:b w:val="1"/>
                <w:bCs w:val="1"/>
                <w:color w:val="auto"/>
              </w:rPr>
              <w:t>Adjustments</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of ASC 606</w:t>
            </w:r>
          </w:p>
        </w:tc>
      </w:tr>
      <w:tr>
        <w:trPr>
          <w:trHeight w:val="183"/>
        </w:trPr>
        <w:tc>
          <w:tcPr>
            <w:tcW w:w="37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28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03"/>
        </w:trPr>
        <w:tc>
          <w:tcPr>
            <w:tcW w:w="3760" w:type="dxa"/>
            <w:vAlign w:val="bottom"/>
          </w:tcPr>
          <w:p>
            <w:pPr>
              <w:ind w:left="360"/>
              <w:spacing w:after="0" w:line="202" w:lineRule="exact"/>
              <w:rPr>
                <w:sz w:val="20"/>
                <w:szCs w:val="20"/>
                <w:color w:val="auto"/>
              </w:rPr>
            </w:pPr>
            <w:r>
              <w:rPr>
                <w:rFonts w:ascii="Arial" w:cs="Arial" w:eastAsia="Arial" w:hAnsi="Arial"/>
                <w:sz w:val="18"/>
                <w:szCs w:val="18"/>
                <w:color w:val="auto"/>
              </w:rPr>
              <w:t>Net loss</w:t>
            </w:r>
          </w:p>
        </w:tc>
        <w:tc>
          <w:tcPr>
            <w:tcW w:w="3080" w:type="dxa"/>
            <w:vAlign w:val="bottom"/>
            <w:gridSpan w:val="3"/>
          </w:tcPr>
          <w:p>
            <w:pPr>
              <w:ind w:left="288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4"/>
          </w:tcPr>
          <w:p>
            <w:pPr>
              <w:jc w:val="right"/>
              <w:spacing w:after="0" w:line="202" w:lineRule="exact"/>
              <w:rPr>
                <w:sz w:val="20"/>
                <w:szCs w:val="20"/>
                <w:color w:val="auto"/>
              </w:rPr>
            </w:pPr>
            <w:r>
              <w:rPr>
                <w:rFonts w:ascii="Arial" w:cs="Arial" w:eastAsia="Arial" w:hAnsi="Arial"/>
                <w:sz w:val="18"/>
                <w:szCs w:val="18"/>
                <w:color w:val="auto"/>
                <w:w w:val="95"/>
              </w:rPr>
              <w:t>(49,306)</w:t>
            </w:r>
          </w:p>
        </w:tc>
        <w:tc>
          <w:tcPr>
            <w:tcW w:w="80" w:type="dxa"/>
            <w:vAlign w:val="bottom"/>
          </w:tcPr>
          <w:p>
            <w:pPr>
              <w:spacing w:after="0"/>
              <w:rPr>
                <w:sz w:val="17"/>
                <w:szCs w:val="17"/>
                <w:color w:val="auto"/>
              </w:rPr>
            </w:pPr>
          </w:p>
        </w:tc>
        <w:tc>
          <w:tcPr>
            <w:tcW w:w="68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6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1,341</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(47,965)</w:t>
            </w:r>
          </w:p>
        </w:tc>
      </w:tr>
      <w:tr>
        <w:trPr>
          <w:trHeight w:val="203"/>
        </w:trPr>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Changes in operating assets and liabilities:</w:t>
            </w:r>
          </w:p>
        </w:tc>
        <w:tc>
          <w:tcPr>
            <w:tcW w:w="2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43"/>
        </w:trPr>
        <w:tc>
          <w:tcPr>
            <w:tcW w:w="376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3080" w:type="dxa"/>
            <w:vAlign w:val="bottom"/>
            <w:gridSpan w:val="3"/>
          </w:tcPr>
          <w:p>
            <w:pPr>
              <w:ind w:left="2880"/>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(3,346)</w:t>
            </w:r>
          </w:p>
        </w:tc>
        <w:tc>
          <w:tcPr>
            <w:tcW w:w="8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(1,341)</w:t>
            </w: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(4,687)</w:t>
            </w:r>
          </w:p>
        </w:tc>
      </w:tr>
      <w:tr>
        <w:trPr>
          <w:trHeight w:val="328"/>
        </w:trPr>
        <w:tc>
          <w:tcPr>
            <w:tcW w:w="3760" w:type="dxa"/>
            <w:vAlign w:val="bottom"/>
          </w:tcPr>
          <w:p>
            <w:pPr>
              <w:spacing w:after="0"/>
              <w:rPr>
                <w:sz w:val="24"/>
                <w:szCs w:val="24"/>
                <w:color w:val="auto"/>
              </w:rPr>
            </w:pPr>
          </w:p>
        </w:tc>
        <w:tc>
          <w:tcPr>
            <w:tcW w:w="3080" w:type="dxa"/>
            <w:vAlign w:val="bottom"/>
            <w:gridSpan w:val="3"/>
          </w:tcPr>
          <w:p>
            <w:pPr>
              <w:jc w:val="center"/>
              <w:ind w:left="310"/>
              <w:spacing w:after="0"/>
              <w:rPr>
                <w:sz w:val="20"/>
                <w:szCs w:val="20"/>
                <w:color w:val="auto"/>
              </w:rPr>
            </w:pPr>
            <w:r>
              <w:rPr>
                <w:rFonts w:ascii="Arial" w:cs="Arial" w:eastAsia="Arial" w:hAnsi="Arial"/>
                <w:sz w:val="18"/>
                <w:szCs w:val="18"/>
                <w:color w:val="auto"/>
                <w:w w:val="97"/>
              </w:rPr>
              <w:t>F-17</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62" w:name="page263"/>
    <w:bookmarkEnd w:id="2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firstLine="551"/>
        <w:spacing w:after="0" w:line="241"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Instruments—Overall: Recognition and Measurement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Assets and Financial Liabilities</w:t>
      </w:r>
      <w:r>
        <w:rPr>
          <w:rFonts w:ascii="Arial" w:cs="Arial" w:eastAsia="Arial" w:hAnsi="Arial"/>
          <w:sz w:val="18"/>
          <w:szCs w:val="18"/>
          <w:color w:val="auto"/>
        </w:rPr>
        <w:t>. This ASU enhances the reporting model for financial instruments, which includes amendments to address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aspects of recognition, measurement, presentation and disclosure. This ASU is effective for fiscal years beginning after December 15, 2018, and interim periods within fiscal years beginning after December 15, 2019. In February 2018, the FASB issued ASU 2018-03, </w:t>
      </w:r>
      <w:r>
        <w:rPr>
          <w:rFonts w:ascii="Arial" w:cs="Arial" w:eastAsia="Arial" w:hAnsi="Arial"/>
          <w:sz w:val="18"/>
          <w:szCs w:val="18"/>
          <w:i w:val="1"/>
          <w:iCs w:val="1"/>
          <w:color w:val="auto"/>
        </w:rPr>
        <w:t>Technical Corrections and Improvements to Financial Instruments—Overall (Subtopic 825-10)</w:t>
      </w:r>
      <w:r>
        <w:rPr>
          <w:rFonts w:ascii="Arial" w:cs="Arial" w:eastAsia="Arial" w:hAnsi="Arial"/>
          <w:sz w:val="18"/>
          <w:szCs w:val="18"/>
          <w:color w:val="auto"/>
        </w:rPr>
        <w:t>. This ASU clarified certain aspects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issued standard. This ASU is effective on the same effective date as ASU 2016-01. The adoption of this guidance during the year ended December 31, 2019 did not have an impact on the Company’s financial statements.</w:t>
      </w:r>
    </w:p>
    <w:p>
      <w:pPr>
        <w:spacing w:after="0" w:line="179"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In August 2016, the FASB issued ASU 2016-15</w:t>
      </w:r>
      <w:r>
        <w:rPr>
          <w:rFonts w:ascii="Arial" w:cs="Arial" w:eastAsia="Arial" w:hAnsi="Arial"/>
          <w:sz w:val="18"/>
          <w:szCs w:val="18"/>
          <w:i w:val="1"/>
          <w:iCs w:val="1"/>
          <w:color w:val="auto"/>
        </w:rPr>
        <w:t>, Statement of Cash Flows (Topic 230): Classification of Certain Cash Receipts and</w:t>
      </w:r>
      <w:r>
        <w:rPr>
          <w:rFonts w:ascii="Arial" w:cs="Arial" w:eastAsia="Arial" w:hAnsi="Arial"/>
          <w:sz w:val="18"/>
          <w:szCs w:val="18"/>
          <w:color w:val="auto"/>
        </w:rPr>
        <w:t xml:space="preserve"> </w:t>
      </w:r>
      <w:r>
        <w:rPr>
          <w:rFonts w:ascii="Arial" w:cs="Arial" w:eastAsia="Arial" w:hAnsi="Arial"/>
          <w:sz w:val="18"/>
          <w:szCs w:val="18"/>
          <w:i w:val="1"/>
          <w:iCs w:val="1"/>
          <w:color w:val="auto"/>
        </w:rPr>
        <w:t>Cash Payments</w:t>
      </w:r>
      <w:r>
        <w:rPr>
          <w:rFonts w:ascii="Arial" w:cs="Arial" w:eastAsia="Arial" w:hAnsi="Arial"/>
          <w:sz w:val="18"/>
          <w:szCs w:val="18"/>
          <w:color w:val="auto"/>
        </w:rPr>
        <w:t>. This ASU requires changes to how cash receipts and cash payments are presented and classified in the statement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flows. This ASU is effective for fiscal years beginning after December 15, 2018, and interim periods within fiscal years beginning after December 15, 2019. The adoption of this guidance during the year ended December 31, 2019 did not have an impact on the Company’s financial statements.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Recently Adopted Accounting Pronouncements (unaudited)</w:t>
      </w:r>
    </w:p>
    <w:p>
      <w:pPr>
        <w:spacing w:after="0" w:line="102"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 xml:space="preserve">In June 2018, FASB issued ASU 2018-07, </w:t>
      </w:r>
      <w:r>
        <w:rPr>
          <w:rFonts w:ascii="Arial" w:cs="Arial" w:eastAsia="Arial" w:hAnsi="Arial"/>
          <w:sz w:val="18"/>
          <w:szCs w:val="18"/>
          <w:i w:val="1"/>
          <w:iCs w:val="1"/>
          <w:color w:val="auto"/>
        </w:rPr>
        <w:t>Compensation—Stock Compensation (Topic 718): Improvements to Nonemployee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Share-Based Payment Accounting</w:t>
      </w:r>
      <w:r>
        <w:rPr>
          <w:rFonts w:ascii="Arial" w:cs="Arial" w:eastAsia="Arial" w:hAnsi="Arial"/>
          <w:sz w:val="18"/>
          <w:szCs w:val="18"/>
          <w:color w:val="auto"/>
        </w:rPr>
        <w:t>. This ASU aligns the measurement and classification guidance for share-based payments to</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nonemployees with the guidance for share-based payment to employees. Under this ASU, the measurement of equity-classified nonemployee awards will be fixed at the grant date, which may lower their cost and reduce volatility in the statement of operations and comprehensive loss. The transition method provided by this ASU is on a modified retrospective basis, which recognizes a cumulative-effect adjustment to the opening balance of retained earnings in the period of adoption. This ASU is effective for fiscal years beginning after December 15, 2019, and interim periods within fiscal years beginning after December 15, 2020, with early adoption permitted, but no earlier than a company’s adoption date of ASC 606. The Company adopted this guidance effective January 1, 2020 using the modified retrospective method. The Company recorded a less than $ 0.1 million (unaudited) cumulative-effect adjustment reflected as a decrease to the opening balance of accumulated deficit and a decrease to additional paid-in capital.</w:t>
      </w:r>
    </w:p>
    <w:p>
      <w:pPr>
        <w:spacing w:after="0" w:line="180" w:lineRule="exact"/>
        <w:rPr>
          <w:sz w:val="20"/>
          <w:szCs w:val="20"/>
          <w:color w:val="auto"/>
        </w:rPr>
      </w:pPr>
    </w:p>
    <w:p>
      <w:pPr>
        <w:ind w:left="120" w:right="80" w:firstLine="551"/>
        <w:spacing w:after="0" w:line="255"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Framework—Changes to the</w:t>
      </w:r>
      <w:r>
        <w:rPr>
          <w:rFonts w:ascii="Arial" w:cs="Arial" w:eastAsia="Arial" w:hAnsi="Arial"/>
          <w:sz w:val="17"/>
          <w:szCs w:val="17"/>
          <w:color w:val="auto"/>
        </w:rPr>
        <w:t xml:space="preserve"> </w:t>
      </w:r>
      <w:r>
        <w:rPr>
          <w:rFonts w:ascii="Arial" w:cs="Arial" w:eastAsia="Arial" w:hAnsi="Arial"/>
          <w:sz w:val="17"/>
          <w:szCs w:val="17"/>
          <w:i w:val="1"/>
          <w:iCs w:val="1"/>
          <w:color w:val="auto"/>
        </w:rPr>
        <w:t>Disclosure Requirements for Fair Value Measurement</w:t>
      </w:r>
      <w:r>
        <w:rPr>
          <w:rFonts w:ascii="Arial" w:cs="Arial" w:eastAsia="Arial" w:hAnsi="Arial"/>
          <w:sz w:val="17"/>
          <w:szCs w:val="17"/>
          <w:color w:val="auto"/>
        </w:rPr>
        <w:t>. This ASU amends the disclosure requirement in ASC 820,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 by adding, changing, or removing certain disclosures. This ASU applies to all entities that are required under this guidance to provide disclosure about recurring or nonrecurring fair value measurements. The amendments require new disclosures related to: (i) changes in unrealized gains and losses for the period included in other comprehensive income for recurring Level 3 fair value measurements held at the end of the reporting period; and (ii) the range and weighted-average of significant unobservable inputs used to develop Level 3 fair value measurements. In addition, there are certain changes in disclosure requirements in the existing guidance. For all entities, this ASU is effective for fiscal years beginning after December 15, 2019, and interim periods within those fiscal years. Early adoption is permitted. The Company adopted this guidance effective January 1, 2020 with relevant updates made to disclosures.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102" w:lineRule="exact"/>
        <w:rPr>
          <w:sz w:val="20"/>
          <w:szCs w:val="20"/>
          <w:color w:val="auto"/>
        </w:rPr>
      </w:pPr>
    </w:p>
    <w:p>
      <w:pPr>
        <w:ind w:left="120" w:firstLine="551"/>
        <w:spacing w:after="0" w:line="277" w:lineRule="auto"/>
        <w:rPr>
          <w:sz w:val="20"/>
          <w:szCs w:val="20"/>
          <w:color w:val="auto"/>
        </w:rPr>
      </w:pPr>
      <w:r>
        <w:rPr>
          <w:rFonts w:ascii="Arial" w:cs="Arial" w:eastAsia="Arial" w:hAnsi="Arial"/>
          <w:sz w:val="17"/>
          <w:szCs w:val="17"/>
          <w:color w:val="auto"/>
        </w:rPr>
        <w:t xml:space="preserve">In November 2018, the FASB issued ASU 2018-18, </w:t>
      </w:r>
      <w:r>
        <w:rPr>
          <w:rFonts w:ascii="Arial" w:cs="Arial" w:eastAsia="Arial" w:hAnsi="Arial"/>
          <w:sz w:val="17"/>
          <w:szCs w:val="17"/>
          <w:i w:val="1"/>
          <w:iCs w:val="1"/>
          <w:color w:val="auto"/>
        </w:rPr>
        <w:t>Collaborative Arrangements (Topic 808): Clarifying the Interaction Between</w:t>
      </w:r>
      <w:r>
        <w:rPr>
          <w:rFonts w:ascii="Arial" w:cs="Arial" w:eastAsia="Arial" w:hAnsi="Arial"/>
          <w:sz w:val="17"/>
          <w:szCs w:val="17"/>
          <w:color w:val="auto"/>
        </w:rPr>
        <w:t xml:space="preserve"> </w:t>
      </w:r>
      <w:r>
        <w:rPr>
          <w:rFonts w:ascii="Arial" w:cs="Arial" w:eastAsia="Arial" w:hAnsi="Arial"/>
          <w:sz w:val="17"/>
          <w:szCs w:val="17"/>
          <w:i w:val="1"/>
          <w:iCs w:val="1"/>
          <w:color w:val="auto"/>
        </w:rPr>
        <w:t>Topic 808 and Topic 606</w:t>
      </w:r>
      <w:r>
        <w:rPr>
          <w:rFonts w:ascii="Arial" w:cs="Arial" w:eastAsia="Arial" w:hAnsi="Arial"/>
          <w:sz w:val="17"/>
          <w:szCs w:val="17"/>
          <w:color w:val="auto"/>
        </w:rPr>
        <w:t>. This ASU clarifies that certain transactions between participants in a collaborative arrangement should be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accounted for under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when the counterparty is a customer. This ASU also precludes an</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5" w:right="459" w:bottom="1440" w:gutter="0" w:footer="0" w:header="0"/>
        </w:sectPr>
      </w:pPr>
    </w:p>
    <w:bookmarkStart w:id="263" w:name="page264"/>
    <w:bookmarkEnd w:id="2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80"/>
        <w:spacing w:after="0" w:line="245" w:lineRule="auto"/>
        <w:rPr>
          <w:sz w:val="20"/>
          <w:szCs w:val="20"/>
          <w:color w:val="auto"/>
        </w:rPr>
      </w:pPr>
      <w:r>
        <w:rPr>
          <w:rFonts w:ascii="Arial" w:cs="Arial" w:eastAsia="Arial" w:hAnsi="Arial"/>
          <w:sz w:val="18"/>
          <w:szCs w:val="18"/>
          <w:color w:val="auto"/>
        </w:rPr>
        <w:t xml:space="preserve">entity from presenting consideration received from a transaction as revenue from contracts with customers if the counterparty is not a customer for that transaction. This ASU is effective for fiscal years beginning after December 15, 2020, and interim periods within fiscal years beginning after December 15, 2021. Early adoption is permitted for entities that have adopted ASC 606,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with Customers</w:t>
      </w:r>
      <w:r>
        <w:rPr>
          <w:rFonts w:ascii="Arial" w:cs="Arial" w:eastAsia="Arial" w:hAnsi="Arial"/>
          <w:sz w:val="18"/>
          <w:szCs w:val="18"/>
          <w:color w:val="auto"/>
        </w:rPr>
        <w:t>. The Company is currently evaluating the impact the adoption of this standard will have on its financial statements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disclosures.</w:t>
      </w:r>
    </w:p>
    <w:p>
      <w:pPr>
        <w:spacing w:after="0" w:line="172" w:lineRule="exact"/>
        <w:rPr>
          <w:sz w:val="20"/>
          <w:szCs w:val="20"/>
          <w:color w:val="auto"/>
        </w:rPr>
      </w:pPr>
    </w:p>
    <w:p>
      <w:pPr>
        <w:ind w:left="120" w:right="540" w:firstLine="551"/>
        <w:spacing w:after="0" w:line="262"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Intangibles—Goodwill and Other—Internal-Use Software (Subtopic 350-40),</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 Accounting for Implementation Costs Incurred in a Cloud Computing Arrangement That Is a Service Contract</w:t>
      </w:r>
      <w:r>
        <w:rPr>
          <w:rFonts w:ascii="Arial" w:cs="Arial" w:eastAsia="Arial" w:hAnsi="Arial"/>
          <w:sz w:val="17"/>
          <w:szCs w:val="17"/>
          <w:color w:val="auto"/>
        </w:rPr>
        <w:t>, or ASU</w:t>
      </w:r>
    </w:p>
    <w:p>
      <w:pPr>
        <w:ind w:left="120" w:right="20"/>
        <w:spacing w:after="0" w:line="239" w:lineRule="auto"/>
        <w:rPr>
          <w:sz w:val="20"/>
          <w:szCs w:val="20"/>
          <w:color w:val="auto"/>
        </w:rPr>
      </w:pPr>
      <w:r>
        <w:rPr>
          <w:rFonts w:ascii="Arial" w:cs="Arial" w:eastAsia="Arial" w:hAnsi="Arial"/>
          <w:sz w:val="18"/>
          <w:szCs w:val="18"/>
          <w:color w:val="auto"/>
        </w:rPr>
        <w:t>2018-15. ASU 2018-15 requires a customer that is a party to a cloud computing service contract to follow the internal-use software guidance in Subtopic 350-40 to determine which implementation costs to capitalize and which costs to expense. The amendments in this update should be applied either retrospectively or prospectively to all implementation costs incurred after the date of adoption. This ASU is effective for fiscal years beginning after December 15, 2020, and interim periods within fiscal years beginning after December 15, 2021. The Company is currently evaluating the impact the adoption of this standard will have on its financial statements and related disclosures.</w:t>
      </w:r>
    </w:p>
    <w:p>
      <w:pPr>
        <w:spacing w:after="0" w:line="17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 xml:space="preserve">In July 2017, the FASB issued ASU 2017-11, </w:t>
      </w:r>
      <w:r>
        <w:rPr>
          <w:rFonts w:ascii="Arial" w:cs="Arial" w:eastAsia="Arial" w:hAnsi="Arial"/>
          <w:sz w:val="18"/>
          <w:szCs w:val="18"/>
          <w:i w:val="1"/>
          <w:iCs w:val="1"/>
          <w:color w:val="auto"/>
        </w:rPr>
        <w:t>Earnings Per Share (Topic 260) Distinguishing Liabilities from Equity (Topic 480)</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Derivatives and 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8"/>
          <w:szCs w:val="18"/>
          <w:color w:val="auto"/>
        </w:rPr>
        <w:t>. This ASU simplifies the accounting for certain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with down round features, a provision in an equity-linked financial instrument (or embedded feature) that provides a downward adjustment of the current exercise price based on the price of future equity offerings. Down round features are common in warrants, preferred shares, and convertible debt instruments issued by private companies and early-stage public companies. This ASU requires companies to disregard the down round feature when assessing whether the instrument is indexed to its own stock, for purposes of determining liability or equity classification. The amendments in Part I of this ASU are effective for fiscal years beginning after December 15, 2019, and interim periods within fiscal years beginning after December 15, 2020. Early adoption is permitted. The amendments in Part I should be applied (1) retrospectively to outstanding financial instruments with a down round feature by means of a cumulative-effect adjustment to the balance sheet as of the beginning of the first fiscal year and interim periods; (2) retrospectively to outstanding financial instruments with a down round feature for each prior reporting period presented. The amendments in Part II of this ASU do not require any transition guidance because those amendments do not have an accounting effect. The Company does not expect adoption of this ASU to have a material impact on its financial statements.</w:t>
      </w:r>
    </w:p>
    <w:p>
      <w:pPr>
        <w:spacing w:after="0" w:line="188" w:lineRule="exact"/>
        <w:rPr>
          <w:sz w:val="20"/>
          <w:szCs w:val="20"/>
          <w:color w:val="auto"/>
        </w:rPr>
      </w:pPr>
    </w:p>
    <w:p>
      <w:pPr>
        <w:ind w:left="120" w:firstLine="551"/>
        <w:spacing w:after="0" w:line="252"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 (“ASC 842”)</w:t>
      </w:r>
      <w:r>
        <w:rPr>
          <w:rFonts w:ascii="Arial" w:cs="Arial" w:eastAsia="Arial" w:hAnsi="Arial"/>
          <w:sz w:val="17"/>
          <w:szCs w:val="17"/>
          <w:color w:val="auto"/>
        </w:rPr>
        <w:t xml:space="preserve">, which sets out the principles for the recognition, measurement, presentation and disclosure of leases for both parties to a contract (i.e. lessees and lessors). In July 2018, the FASB issued ASU 2018-10, </w:t>
      </w:r>
      <w:r>
        <w:rPr>
          <w:rFonts w:ascii="Arial" w:cs="Arial" w:eastAsia="Arial" w:hAnsi="Arial"/>
          <w:sz w:val="17"/>
          <w:szCs w:val="17"/>
          <w:i w:val="1"/>
          <w:iCs w:val="1"/>
          <w:color w:val="auto"/>
        </w:rPr>
        <w:t>Codification Improvements to Topic 842, Leases</w:t>
      </w:r>
      <w:r>
        <w:rPr>
          <w:rFonts w:ascii="Arial" w:cs="Arial" w:eastAsia="Arial" w:hAnsi="Arial"/>
          <w:sz w:val="17"/>
          <w:szCs w:val="17"/>
          <w:color w:val="auto"/>
        </w:rPr>
        <w:t>, which provides clarification to ASU 2016-02. These ASUs (collectively the “new leasing standard”) require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existing guidance for operating leases today.</w:t>
      </w:r>
    </w:p>
    <w:p>
      <w:pPr>
        <w:ind w:left="120"/>
        <w:spacing w:after="0" w:line="234" w:lineRule="auto"/>
        <w:rPr>
          <w:sz w:val="20"/>
          <w:szCs w:val="20"/>
          <w:color w:val="auto"/>
        </w:rPr>
      </w:pPr>
      <w:r>
        <w:rPr>
          <w:rFonts w:ascii="Arial" w:cs="Arial" w:eastAsia="Arial" w:hAnsi="Arial"/>
          <w:sz w:val="18"/>
          <w:szCs w:val="18"/>
          <w:color w:val="auto"/>
        </w:rPr>
        <w:t xml:space="preserve">ASC 842 supersedes the previous leases standard,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In July 2018, the FASB issued ASU 2018-11, </w:t>
      </w:r>
      <w:r>
        <w:rPr>
          <w:rFonts w:ascii="Arial" w:cs="Arial" w:eastAsia="Arial" w:hAnsi="Arial"/>
          <w:sz w:val="18"/>
          <w:szCs w:val="18"/>
          <w:i w:val="1"/>
          <w:iCs w:val="1"/>
          <w:color w:val="auto"/>
        </w:rPr>
        <w:t>Leases (Topic 842):</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 xml:space="preserve">Targeted Improvements, </w:t>
      </w:r>
      <w:r>
        <w:rPr>
          <w:rFonts w:ascii="Arial" w:cs="Arial" w:eastAsia="Arial" w:hAnsi="Arial"/>
          <w:sz w:val="18"/>
          <w:szCs w:val="18"/>
          <w:color w:val="auto"/>
        </w:rPr>
        <w:t>which allows entities to elect an optional</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320" w:top="455" w:right="459" w:bottom="1440" w:gutter="0" w:footer="0" w:header="0"/>
        </w:sectPr>
      </w:pPr>
    </w:p>
    <w:bookmarkStart w:id="264" w:name="page265"/>
    <w:bookmarkEnd w:id="2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39" w:lineRule="auto"/>
        <w:rPr>
          <w:sz w:val="20"/>
          <w:szCs w:val="20"/>
          <w:color w:val="auto"/>
        </w:rPr>
      </w:pPr>
      <w:r>
        <w:rPr>
          <w:rFonts w:ascii="Arial" w:cs="Arial" w:eastAsia="Arial" w:hAnsi="Arial"/>
          <w:sz w:val="18"/>
          <w:szCs w:val="18"/>
          <w:color w:val="auto"/>
        </w:rPr>
        <w:t xml:space="preserve">transition method where entities may continue to apply the existing lease guidance during the comparative periods and apply the new lease requirements through a cumulative effect adjustment in the period of adoption rather than in the earliest period presented. In March 2019, the FASB issued ASU 2019-01, which provides clarification on implementation issues associated with adopting ASU 2016-02. In November 2019, the FASB issued ASU 2019-10, </w:t>
      </w:r>
      <w:r>
        <w:rPr>
          <w:rFonts w:ascii="Arial" w:cs="Arial" w:eastAsia="Arial" w:hAnsi="Arial"/>
          <w:sz w:val="18"/>
          <w:szCs w:val="18"/>
          <w:i w:val="1"/>
          <w:iCs w:val="1"/>
          <w:color w:val="auto"/>
        </w:rPr>
        <w:t>Financial Instruments—Credit Losses (Topic 326), Derivatives and Hedging (Topic 815),</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Leases (Topic 842) </w:t>
      </w:r>
      <w:r>
        <w:rPr>
          <w:rFonts w:ascii="Arial" w:cs="Arial" w:eastAsia="Arial" w:hAnsi="Arial"/>
          <w:sz w:val="18"/>
          <w:szCs w:val="18"/>
          <w:color w:val="auto"/>
        </w:rPr>
        <w:t>Effective Dates. This ASU provides a one-year deferral of the effective dates of the ASUs on derivatives, hedging</w:t>
      </w:r>
      <w:r>
        <w:rPr>
          <w:rFonts w:ascii="Arial" w:cs="Arial" w:eastAsia="Arial" w:hAnsi="Arial"/>
          <w:sz w:val="18"/>
          <w:szCs w:val="18"/>
          <w:i w:val="1"/>
          <w:iCs w:val="1"/>
          <w:color w:val="auto"/>
        </w:rPr>
        <w:t xml:space="preserve"> </w:t>
      </w:r>
      <w:r>
        <w:rPr>
          <w:rFonts w:ascii="Arial" w:cs="Arial" w:eastAsia="Arial" w:hAnsi="Arial"/>
          <w:sz w:val="18"/>
          <w:szCs w:val="18"/>
          <w:color w:val="auto"/>
        </w:rPr>
        <w:t>and lease for companies that are non-public entities. In June 2020, the FASB issued ASU 2020-05, which deferred the effective date of the new leasing standard by one year for certain entities that have not already issued or made available for issuance their financial statements reflecting the adoption of the standard. ASU 2014-09 is effective for these entities for fiscal years beginning after December 15, 2021, and for interim periods within fiscal years beginning after December 15, 2022. Early adoption is permitted. The Company is currently evaluating the impact the adoption of this standard will have on its financial statements and related disclosures.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3. Fair Value Measurements</w:t>
      </w:r>
    </w:p>
    <w:p>
      <w:pPr>
        <w:spacing w:after="0" w:line="104" w:lineRule="exact"/>
        <w:rPr>
          <w:sz w:val="20"/>
          <w:szCs w:val="20"/>
          <w:color w:val="auto"/>
        </w:rPr>
      </w:pPr>
    </w:p>
    <w:p>
      <w:pPr>
        <w:ind w:left="120" w:right="100" w:firstLine="551"/>
        <w:spacing w:after="0" w:line="276" w:lineRule="auto"/>
        <w:rPr>
          <w:sz w:val="20"/>
          <w:szCs w:val="20"/>
          <w:color w:val="auto"/>
        </w:rPr>
      </w:pPr>
      <w:r>
        <w:rPr>
          <w:rFonts w:ascii="Arial" w:cs="Arial" w:eastAsia="Arial" w:hAnsi="Arial"/>
          <w:sz w:val="18"/>
          <w:szCs w:val="18"/>
          <w:color w:val="auto"/>
        </w:rPr>
        <w:t>The following tables represent the Company’s fair value hierarchy for financial assets and financial liabilities measured at fair value on a recurring basis as of December 31, 2018, December 31, 2019 and September 30, 2020 (unaudited) (in thousands):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8"/>
            <w:vMerge w:val="restart"/>
          </w:tcPr>
          <w:p>
            <w:pPr>
              <w:jc w:val="center"/>
              <w:spacing w:after="0"/>
              <w:rPr>
                <w:sz w:val="20"/>
                <w:szCs w:val="20"/>
                <w:color w:val="auto"/>
              </w:rPr>
            </w:pPr>
            <w:r>
              <w:rPr>
                <w:rFonts w:ascii="Arial" w:cs="Arial" w:eastAsia="Arial" w:hAnsi="Arial"/>
                <w:sz w:val="14"/>
                <w:szCs w:val="14"/>
                <w:b w:val="1"/>
                <w:bCs w:val="1"/>
                <w:color w:val="auto"/>
              </w:rPr>
              <w:t>Basis for Fair Value</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94"/>
        </w:trPr>
        <w:tc>
          <w:tcPr>
            <w:tcW w:w="366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80" w:type="dxa"/>
            <w:vAlign w:val="bottom"/>
            <w:gridSpan w:val="8"/>
            <w:vMerge w:val="continue"/>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as of</w:t>
            </w:r>
          </w:p>
        </w:tc>
        <w:tc>
          <w:tcPr>
            <w:tcW w:w="0" w:type="dxa"/>
            <w:vAlign w:val="bottom"/>
          </w:tcPr>
          <w:p>
            <w:pPr>
              <w:spacing w:after="0"/>
              <w:rPr>
                <w:sz w:val="1"/>
                <w:szCs w:val="1"/>
                <w:color w:val="auto"/>
              </w:rPr>
            </w:pPr>
          </w:p>
        </w:tc>
      </w:tr>
      <w:tr>
        <w:trPr>
          <w:trHeight w:val="68"/>
        </w:trPr>
        <w:tc>
          <w:tcPr>
            <w:tcW w:w="3660" w:type="dxa"/>
            <w:vAlign w:val="bottom"/>
          </w:tcPr>
          <w:p>
            <w:pPr>
              <w:spacing w:after="0"/>
              <w:rPr>
                <w:sz w:val="5"/>
                <w:szCs w:val="5"/>
                <w:color w:val="auto"/>
              </w:rPr>
            </w:pPr>
          </w:p>
        </w:tc>
        <w:tc>
          <w:tcPr>
            <w:tcW w:w="3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rPr>
              <w:t>Measurements</w:t>
            </w: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3660" w:type="dxa"/>
            <w:vAlign w:val="bottom"/>
          </w:tcPr>
          <w:p>
            <w:pPr>
              <w:spacing w:after="0"/>
              <w:rPr>
                <w:sz w:val="9"/>
                <w:szCs w:val="9"/>
                <w:color w:val="auto"/>
              </w:rPr>
            </w:pPr>
          </w:p>
        </w:tc>
        <w:tc>
          <w:tcPr>
            <w:tcW w:w="3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gridSpan w:val="4"/>
            <w:vMerge w:val="continue"/>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32"/>
        </w:trPr>
        <w:tc>
          <w:tcPr>
            <w:tcW w:w="36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36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800" w:type="dxa"/>
            <w:vAlign w:val="bottom"/>
            <w:gridSpan w:val="4"/>
          </w:tcPr>
          <w:p>
            <w:pPr>
              <w:jc w:val="right"/>
              <w:ind w:right="108"/>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(Level 2)</w:t>
            </w:r>
          </w:p>
        </w:tc>
        <w:tc>
          <w:tcPr>
            <w:tcW w:w="60" w:type="dxa"/>
            <w:vAlign w:val="bottom"/>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33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right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left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left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660" w:type="dxa"/>
            <w:vAlign w:val="bottom"/>
          </w:tcPr>
          <w:p>
            <w:pPr>
              <w:ind w:left="360"/>
              <w:spacing w:after="0" w:line="202" w:lineRule="exact"/>
              <w:rPr>
                <w:sz w:val="20"/>
                <w:szCs w:val="20"/>
                <w:color w:val="auto"/>
              </w:rPr>
            </w:pPr>
            <w:r>
              <w:rPr>
                <w:rFonts w:ascii="Arial" w:cs="Arial" w:eastAsia="Arial" w:hAnsi="Arial"/>
                <w:sz w:val="18"/>
                <w:szCs w:val="18"/>
                <w:color w:val="auto"/>
              </w:rPr>
              <w:t>Money market funds</w:t>
            </w:r>
          </w:p>
        </w:tc>
        <w:tc>
          <w:tcPr>
            <w:tcW w:w="4160" w:type="dxa"/>
            <w:vAlign w:val="bottom"/>
            <w:gridSpan w:val="5"/>
          </w:tcPr>
          <w:p>
            <w:pPr>
              <w:jc w:val="right"/>
              <w:ind w:right="68"/>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91,761</w:t>
            </w:r>
          </w:p>
        </w:tc>
        <w:tc>
          <w:tcPr>
            <w:tcW w:w="5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91,761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w:t>
            </w:r>
          </w:p>
        </w:tc>
        <w:tc>
          <w:tcPr>
            <w:tcW w:w="4160" w:type="dxa"/>
            <w:vAlign w:val="bottom"/>
            <w:gridSpan w:val="5"/>
            <w:shd w:val="clear" w:color="auto" w:fill="CCEEFF"/>
          </w:tcPr>
          <w:p>
            <w:pPr>
              <w:jc w:val="right"/>
              <w:ind w:right="68"/>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91,761</w:t>
            </w:r>
          </w:p>
        </w:tc>
        <w:tc>
          <w:tcPr>
            <w:tcW w:w="5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91,761</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vMerge w:val="continue"/>
          </w:tcPr>
          <w:p>
            <w:pPr>
              <w:spacing w:after="0"/>
              <w:rPr>
                <w:sz w:val="17"/>
                <w:szCs w:val="17"/>
                <w:color w:val="auto"/>
              </w:rPr>
            </w:pPr>
          </w:p>
        </w:tc>
        <w:tc>
          <w:tcPr>
            <w:tcW w:w="3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Derivative liability</w:t>
            </w:r>
          </w:p>
        </w:tc>
        <w:tc>
          <w:tcPr>
            <w:tcW w:w="3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68"/>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c>
          <w:tcPr>
            <w:tcW w:w="38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9"/>
        </w:trPr>
        <w:tc>
          <w:tcPr>
            <w:tcW w:w="3660" w:type="dxa"/>
            <w:vAlign w:val="bottom"/>
          </w:tcPr>
          <w:p>
            <w:pPr>
              <w:ind w:left="720"/>
              <w:spacing w:after="0"/>
              <w:rPr>
                <w:sz w:val="20"/>
                <w:szCs w:val="20"/>
                <w:color w:val="auto"/>
              </w:rPr>
            </w:pPr>
            <w:r>
              <w:rPr>
                <w:rFonts w:ascii="Arial" w:cs="Arial" w:eastAsia="Arial" w:hAnsi="Arial"/>
                <w:sz w:val="18"/>
                <w:szCs w:val="18"/>
                <w:color w:val="auto"/>
              </w:rPr>
              <w:t>Total</w:t>
            </w:r>
          </w:p>
        </w:tc>
        <w:tc>
          <w:tcPr>
            <w:tcW w:w="33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77"/>
              </w:rPr>
              <w:t>—</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36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gridSpan w:val="7"/>
            <w:vMerge w:val="restart"/>
          </w:tcPr>
          <w:p>
            <w:pPr>
              <w:jc w:val="center"/>
              <w:ind w:right="22"/>
              <w:spacing w:after="0"/>
              <w:rPr>
                <w:sz w:val="20"/>
                <w:szCs w:val="20"/>
                <w:color w:val="auto"/>
              </w:rPr>
            </w:pPr>
            <w:r>
              <w:rPr>
                <w:rFonts w:ascii="Arial" w:cs="Arial" w:eastAsia="Arial" w:hAnsi="Arial"/>
                <w:sz w:val="14"/>
                <w:szCs w:val="14"/>
                <w:b w:val="1"/>
                <w:bCs w:val="1"/>
                <w:color w:val="auto"/>
              </w:rPr>
              <w:t>Basis for Fair Value</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94"/>
        </w:trPr>
        <w:tc>
          <w:tcPr>
            <w:tcW w:w="366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80" w:type="dxa"/>
            <w:vAlign w:val="bottom"/>
            <w:gridSpan w:val="7"/>
            <w:vMerge w:val="continue"/>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68"/>
        </w:trPr>
        <w:tc>
          <w:tcPr>
            <w:tcW w:w="3660" w:type="dxa"/>
            <w:vAlign w:val="bottom"/>
          </w:tcPr>
          <w:p>
            <w:pPr>
              <w:spacing w:after="0"/>
              <w:rPr>
                <w:sz w:val="5"/>
                <w:szCs w:val="5"/>
                <w:color w:val="auto"/>
              </w:rPr>
            </w:pPr>
          </w:p>
        </w:tc>
        <w:tc>
          <w:tcPr>
            <w:tcW w:w="3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Measurements</w:t>
            </w: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3660" w:type="dxa"/>
            <w:vAlign w:val="bottom"/>
          </w:tcPr>
          <w:p>
            <w:pPr>
              <w:spacing w:after="0"/>
              <w:rPr>
                <w:sz w:val="9"/>
                <w:szCs w:val="9"/>
                <w:color w:val="auto"/>
              </w:rPr>
            </w:pPr>
          </w:p>
        </w:tc>
        <w:tc>
          <w:tcPr>
            <w:tcW w:w="3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gridSpan w:val="4"/>
            <w:vMerge w:val="continue"/>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32"/>
        </w:trPr>
        <w:tc>
          <w:tcPr>
            <w:tcW w:w="36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36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2)</w:t>
            </w:r>
          </w:p>
        </w:tc>
        <w:tc>
          <w:tcPr>
            <w:tcW w:w="60" w:type="dxa"/>
            <w:vAlign w:val="bottom"/>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5"/>
                <w:szCs w:val="15"/>
                <w:color w:val="auto"/>
              </w:rPr>
            </w:pPr>
          </w:p>
        </w:tc>
        <w:tc>
          <w:tcPr>
            <w:tcW w:w="840" w:type="dxa"/>
            <w:vAlign w:val="bottom"/>
          </w:tcPr>
          <w:p>
            <w:pPr>
              <w:jc w:val="center"/>
              <w:ind w:right="3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33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right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left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left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360"/>
              <w:spacing w:after="0" w:line="202" w:lineRule="exact"/>
              <w:rPr>
                <w:sz w:val="20"/>
                <w:szCs w:val="20"/>
                <w:color w:val="auto"/>
              </w:rPr>
            </w:pPr>
            <w:r>
              <w:rPr>
                <w:rFonts w:ascii="Arial" w:cs="Arial" w:eastAsia="Arial" w:hAnsi="Arial"/>
                <w:sz w:val="18"/>
                <w:szCs w:val="18"/>
                <w:color w:val="auto"/>
              </w:rPr>
              <w:t>Money market funds</w:t>
            </w:r>
          </w:p>
        </w:tc>
        <w:tc>
          <w:tcPr>
            <w:tcW w:w="4160" w:type="dxa"/>
            <w:vAlign w:val="bottom"/>
            <w:gridSpan w:val="5"/>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15,876</w:t>
            </w:r>
          </w:p>
        </w:tc>
        <w:tc>
          <w:tcPr>
            <w:tcW w:w="50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22"/>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15,876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Borders>
              <w:left w:val="single" w:sz="8" w:color="auto"/>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w:t>
            </w:r>
          </w:p>
        </w:tc>
        <w:tc>
          <w:tcPr>
            <w:tcW w:w="416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15,876</w:t>
            </w:r>
          </w:p>
        </w:tc>
        <w:tc>
          <w:tcPr>
            <w:tcW w:w="50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22"/>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15,876</w:t>
            </w:r>
          </w:p>
        </w:tc>
        <w:tc>
          <w:tcPr>
            <w:tcW w:w="8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vMerge w:val="continue"/>
          </w:tcPr>
          <w:p>
            <w:pPr>
              <w:spacing w:after="0"/>
              <w:rPr>
                <w:sz w:val="17"/>
                <w:szCs w:val="17"/>
                <w:color w:val="auto"/>
              </w:rPr>
            </w:pPr>
          </w:p>
        </w:tc>
        <w:tc>
          <w:tcPr>
            <w:tcW w:w="3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Derivative liability</w:t>
            </w:r>
          </w:p>
        </w:tc>
        <w:tc>
          <w:tcPr>
            <w:tcW w:w="3720" w:type="dxa"/>
            <w:vAlign w:val="bottom"/>
            <w:gridSpan w:val="3"/>
            <w:shd w:val="clear" w:color="auto" w:fill="CCEEFF"/>
          </w:tcPr>
          <w:p>
            <w:pPr>
              <w:jc w:val="right"/>
              <w:ind w:right="39"/>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22"/>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w:t>
            </w:r>
          </w:p>
        </w:tc>
        <w:tc>
          <w:tcPr>
            <w:tcW w:w="8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60" w:type="dxa"/>
            <w:vAlign w:val="bottom"/>
          </w:tcPr>
          <w:p>
            <w:pPr>
              <w:ind w:left="720"/>
              <w:spacing w:after="0"/>
              <w:rPr>
                <w:sz w:val="20"/>
                <w:szCs w:val="20"/>
                <w:color w:val="auto"/>
              </w:rPr>
            </w:pPr>
            <w:r>
              <w:rPr>
                <w:rFonts w:ascii="Arial" w:cs="Arial" w:eastAsia="Arial" w:hAnsi="Arial"/>
                <w:sz w:val="18"/>
                <w:szCs w:val="18"/>
                <w:color w:val="auto"/>
              </w:rPr>
              <w:t>Total</w:t>
            </w:r>
          </w:p>
        </w:tc>
        <w:tc>
          <w:tcPr>
            <w:tcW w:w="3500" w:type="dxa"/>
            <w:vAlign w:val="bottom"/>
            <w:gridSpan w:val="2"/>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1"/>
                <w:szCs w:val="11"/>
                <w:color w:val="auto"/>
                <w:w w:val="72"/>
              </w:rPr>
              <w:t>—</w:t>
            </w:r>
          </w:p>
        </w:tc>
        <w:tc>
          <w:tcPr>
            <w:tcW w:w="320" w:type="dxa"/>
            <w:vAlign w:val="bottom"/>
          </w:tcPr>
          <w:p>
            <w:pPr>
              <w:spacing w:after="0"/>
              <w:rPr>
                <w:sz w:val="18"/>
                <w:szCs w:val="18"/>
                <w:color w:val="auto"/>
              </w:rPr>
            </w:pPr>
          </w:p>
        </w:tc>
        <w:tc>
          <w:tcPr>
            <w:tcW w:w="300" w:type="dxa"/>
            <w:vAlign w:val="bottom"/>
            <w:tcBorders>
              <w:top w:val="single" w:sz="8" w:color="auto"/>
              <w:bottom w:val="single" w:sz="8" w:color="auto"/>
            </w:tcBorders>
            <w:gridSpan w:val="2"/>
          </w:tcPr>
          <w:p>
            <w:pPr>
              <w:jc w:val="right"/>
              <w:ind w:right="122"/>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3660" w:type="dxa"/>
            <w:vAlign w:val="bottom"/>
          </w:tcPr>
          <w:p>
            <w:pPr>
              <w:spacing w:after="0"/>
              <w:rPr>
                <w:sz w:val="24"/>
                <w:szCs w:val="24"/>
                <w:color w:val="auto"/>
              </w:rPr>
            </w:pPr>
          </w:p>
        </w:tc>
        <w:tc>
          <w:tcPr>
            <w:tcW w:w="3720" w:type="dxa"/>
            <w:vAlign w:val="bottom"/>
            <w:gridSpan w:val="3"/>
          </w:tcPr>
          <w:p>
            <w:pPr>
              <w:jc w:val="right"/>
              <w:ind w:right="1619"/>
              <w:spacing w:after="0"/>
              <w:rPr>
                <w:sz w:val="20"/>
                <w:szCs w:val="20"/>
                <w:color w:val="auto"/>
              </w:rPr>
            </w:pPr>
            <w:r>
              <w:rPr>
                <w:rFonts w:ascii="Arial" w:cs="Arial" w:eastAsia="Arial" w:hAnsi="Arial"/>
                <w:sz w:val="18"/>
                <w:szCs w:val="18"/>
                <w:color w:val="auto"/>
              </w:rPr>
              <w:t>F-20</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65" w:name="page266"/>
    <w:bookmarkEnd w:id="2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gridSpan w:val="6"/>
            <w:vMerge w:val="restart"/>
          </w:tcPr>
          <w:p>
            <w:pPr>
              <w:jc w:val="center"/>
              <w:ind w:right="139"/>
              <w:spacing w:after="0"/>
              <w:rPr>
                <w:sz w:val="20"/>
                <w:szCs w:val="20"/>
                <w:color w:val="auto"/>
              </w:rPr>
            </w:pPr>
            <w:r>
              <w:rPr>
                <w:rFonts w:ascii="Arial" w:cs="Arial" w:eastAsia="Arial" w:hAnsi="Arial"/>
                <w:sz w:val="14"/>
                <w:szCs w:val="14"/>
                <w:b w:val="1"/>
                <w:bCs w:val="1"/>
                <w:color w:val="auto"/>
              </w:rPr>
              <w:t>Basis for Fair Value</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95"/>
        </w:trPr>
        <w:tc>
          <w:tcPr>
            <w:tcW w:w="6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0" w:type="dxa"/>
            <w:vAlign w:val="bottom"/>
            <w:gridSpan w:val="6"/>
            <w:vMerge w:val="continue"/>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as of</w:t>
            </w:r>
          </w:p>
        </w:tc>
        <w:tc>
          <w:tcPr>
            <w:tcW w:w="0" w:type="dxa"/>
            <w:vAlign w:val="bottom"/>
          </w:tcPr>
          <w:p>
            <w:pPr>
              <w:spacing w:after="0"/>
              <w:rPr>
                <w:sz w:val="1"/>
                <w:szCs w:val="1"/>
                <w:color w:val="auto"/>
              </w:rPr>
            </w:pPr>
          </w:p>
        </w:tc>
      </w:tr>
      <w:tr>
        <w:trPr>
          <w:trHeight w:val="68"/>
        </w:trPr>
        <w:tc>
          <w:tcPr>
            <w:tcW w:w="68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gridSpan w:val="4"/>
            <w:vMerge w:val="restart"/>
          </w:tcPr>
          <w:p>
            <w:pPr>
              <w:jc w:val="center"/>
              <w:ind w:left="17"/>
              <w:spacing w:after="0"/>
              <w:rPr>
                <w:sz w:val="20"/>
                <w:szCs w:val="20"/>
                <w:color w:val="auto"/>
              </w:rPr>
            </w:pPr>
            <w:r>
              <w:rPr>
                <w:rFonts w:ascii="Arial" w:cs="Arial" w:eastAsia="Arial" w:hAnsi="Arial"/>
                <w:sz w:val="14"/>
                <w:szCs w:val="14"/>
                <w:b w:val="1"/>
                <w:bCs w:val="1"/>
                <w:color w:val="auto"/>
              </w:rPr>
              <w:t>Measurements</w:t>
            </w: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68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gridSpan w:val="4"/>
            <w:vMerge w:val="continue"/>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32"/>
        </w:trPr>
        <w:tc>
          <w:tcPr>
            <w:tcW w:w="6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5"/>
                <w:szCs w:val="15"/>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5"/>
                <w:szCs w:val="15"/>
                <w:color w:val="auto"/>
              </w:rPr>
            </w:pPr>
          </w:p>
        </w:tc>
        <w:tc>
          <w:tcPr>
            <w:tcW w:w="1100" w:type="dxa"/>
            <w:vAlign w:val="bottom"/>
            <w:gridSpan w:val="3"/>
          </w:tcPr>
          <w:p>
            <w:pPr>
              <w:ind w:left="6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5"/>
                <w:szCs w:val="15"/>
                <w:color w:val="auto"/>
              </w:rPr>
            </w:pPr>
          </w:p>
        </w:tc>
        <w:tc>
          <w:tcPr>
            <w:tcW w:w="880" w:type="dxa"/>
            <w:vAlign w:val="bottom"/>
          </w:tcPr>
          <w:p>
            <w:pPr>
              <w:jc w:val="center"/>
              <w:ind w:right="3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360"/>
              <w:spacing w:after="0" w:line="202" w:lineRule="exact"/>
              <w:rPr>
                <w:sz w:val="20"/>
                <w:szCs w:val="20"/>
                <w:color w:val="auto"/>
              </w:rPr>
            </w:pPr>
            <w:r>
              <w:rPr>
                <w:rFonts w:ascii="Arial" w:cs="Arial" w:eastAsia="Arial" w:hAnsi="Arial"/>
                <w:sz w:val="18"/>
                <w:szCs w:val="18"/>
                <w:color w:val="auto"/>
              </w:rPr>
              <w:t>Money market funds</w:t>
            </w:r>
          </w:p>
        </w:tc>
        <w:tc>
          <w:tcPr>
            <w:tcW w:w="100" w:type="dxa"/>
            <w:vAlign w:val="bottom"/>
            <w:gridSpan w:val="2"/>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8"/>
              </w:rPr>
              <w:t>88,755</w:t>
            </w:r>
          </w:p>
        </w:tc>
        <w:tc>
          <w:tcPr>
            <w:tcW w:w="620" w:type="dxa"/>
            <w:vAlign w:val="bottom"/>
            <w:gridSpan w:val="2"/>
          </w:tcPr>
          <w:p>
            <w:pPr>
              <w:jc w:val="right"/>
              <w:ind w:right="79"/>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79"/>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88,755</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8"/>
              </w:rPr>
              <w:t>88,755</w:t>
            </w:r>
          </w:p>
        </w:tc>
        <w:tc>
          <w:tcPr>
            <w:tcW w:w="620" w:type="dxa"/>
            <w:vAlign w:val="bottom"/>
            <w:gridSpan w:val="2"/>
            <w:shd w:val="clear" w:color="auto" w:fill="CCEEFF"/>
          </w:tcPr>
          <w:p>
            <w:pPr>
              <w:jc w:val="right"/>
              <w:ind w:right="79"/>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79"/>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88,755</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Derivative liability</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79"/>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79"/>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9"/>
        </w:trPr>
        <w:tc>
          <w:tcPr>
            <w:tcW w:w="6820" w:type="dxa"/>
            <w:vAlign w:val="bottom"/>
          </w:tcPr>
          <w:p>
            <w:pPr>
              <w:ind w:left="7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3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Level 3 Inputs</w:t>
      </w:r>
    </w:p>
    <w:p>
      <w:pPr>
        <w:spacing w:after="0" w:line="106"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color w:val="auto"/>
        </w:rPr>
        <w:t>The fair value of the warrant obligation is based on significant inputs not observable in the market, which represents a Level 3 measurement within the fair value hierarchy. The fair value of the common stock warrant obligation was determined using the Black-Scholes option pricing model. In determining the fair value of the common stock warrant obligation, the inputs impacting fair value include the expected term, expected volatility, risk-free interest rate and dividend yield. See Note 13 for further discussion on common stock warrant obligation.</w:t>
      </w:r>
    </w:p>
    <w:p>
      <w:pPr>
        <w:spacing w:after="0" w:line="172" w:lineRule="exact"/>
        <w:rPr>
          <w:sz w:val="20"/>
          <w:szCs w:val="20"/>
          <w:color w:val="auto"/>
        </w:rPr>
      </w:pPr>
    </w:p>
    <w:p>
      <w:pPr>
        <w:ind w:left="120" w:right="300" w:firstLine="551"/>
        <w:spacing w:after="0" w:line="245" w:lineRule="auto"/>
        <w:rPr>
          <w:sz w:val="20"/>
          <w:szCs w:val="20"/>
          <w:color w:val="auto"/>
        </w:rPr>
      </w:pPr>
      <w:r>
        <w:rPr>
          <w:rFonts w:ascii="Arial" w:cs="Arial" w:eastAsia="Arial" w:hAnsi="Arial"/>
          <w:sz w:val="18"/>
          <w:szCs w:val="18"/>
          <w:color w:val="auto"/>
        </w:rPr>
        <w:t>The fair value of the derivative liability is based on significant inputs not observable in the market, which represents a Level 3 measurement within the fair value hierarchy. The fair value of the derivative liability was determined using a present value analysis with multiple scenarios. In determining the fair value of the derivative liability, the inputs impacting fair value include the change of control payment to CFFT, the probability of a change of control event, the product status at time of a change of control event and the discount rate. See Note 15 for further discussion on embedded derivative.</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between Level 1, 2 and 3 during the periods presented.</w:t>
      </w:r>
    </w:p>
    <w:p>
      <w:pPr>
        <w:spacing w:after="0" w:line="212" w:lineRule="exact"/>
        <w:rPr>
          <w:sz w:val="20"/>
          <w:szCs w:val="20"/>
          <w:color w:val="auto"/>
        </w:rPr>
      </w:pPr>
    </w:p>
    <w:p>
      <w:pPr>
        <w:ind w:left="120" w:right="720" w:firstLine="551"/>
        <w:spacing w:after="0" w:line="276" w:lineRule="auto"/>
        <w:rPr>
          <w:sz w:val="20"/>
          <w:szCs w:val="20"/>
          <w:color w:val="auto"/>
        </w:rPr>
      </w:pPr>
      <w:r>
        <w:rPr>
          <w:rFonts w:ascii="Arial" w:cs="Arial" w:eastAsia="Arial" w:hAnsi="Arial"/>
          <w:sz w:val="18"/>
          <w:szCs w:val="18"/>
          <w:color w:val="auto"/>
        </w:rPr>
        <w:t>The following table sets forth a summary of the changes in the fair value of the Company’s Level 3 financial instruments (in thousands):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ind w:left="12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Derivative</w:t>
            </w:r>
          </w:p>
        </w:tc>
        <w:tc>
          <w:tcPr>
            <w:tcW w:w="0" w:type="dxa"/>
            <w:vAlign w:val="bottom"/>
          </w:tcPr>
          <w:p>
            <w:pPr>
              <w:spacing w:after="0"/>
              <w:rPr>
                <w:sz w:val="1"/>
                <w:szCs w:val="1"/>
                <w:color w:val="auto"/>
              </w:rPr>
            </w:pPr>
          </w:p>
        </w:tc>
      </w:tr>
      <w:tr>
        <w:trPr>
          <w:trHeight w:val="177"/>
        </w:trPr>
        <w:tc>
          <w:tcPr>
            <w:tcW w:w="7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tcPr>
          <w:p>
            <w:pPr>
              <w:spacing w:after="0"/>
              <w:rPr>
                <w:sz w:val="20"/>
                <w:szCs w:val="20"/>
                <w:color w:val="auto"/>
              </w:rPr>
            </w:pPr>
            <w:r>
              <w:rPr>
                <w:rFonts w:ascii="Arial" w:cs="Arial" w:eastAsia="Arial" w:hAnsi="Arial"/>
                <w:sz w:val="14"/>
                <w:szCs w:val="14"/>
                <w:b w:val="1"/>
                <w:bCs w:val="1"/>
                <w:color w:val="auto"/>
              </w:rPr>
              <w:t>Warrant Obligation</w:t>
            </w:r>
          </w:p>
        </w:tc>
        <w:tc>
          <w:tcPr>
            <w:tcW w:w="260" w:type="dxa"/>
            <w:vAlign w:val="bottom"/>
          </w:tcPr>
          <w:p>
            <w:pPr>
              <w:spacing w:after="0"/>
              <w:rPr>
                <w:sz w:val="15"/>
                <w:szCs w:val="15"/>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196"/>
        </w:trPr>
        <w:tc>
          <w:tcPr>
            <w:tcW w:w="7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as of December 31, 2017</w:t>
            </w: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ind w:left="1200"/>
              <w:spacing w:after="0" w:line="196" w:lineRule="exact"/>
              <w:rPr>
                <w:sz w:val="20"/>
                <w:szCs w:val="20"/>
                <w:color w:val="auto"/>
              </w:rPr>
            </w:pPr>
            <w:r>
              <w:rPr>
                <w:rFonts w:ascii="Arial" w:cs="Arial" w:eastAsia="Arial" w:hAnsi="Arial"/>
                <w:sz w:val="18"/>
                <w:szCs w:val="18"/>
                <w:color w:val="auto"/>
                <w:w w:val="89"/>
              </w:rPr>
              <w:t>60</w:t>
            </w:r>
          </w:p>
        </w:tc>
        <w:tc>
          <w:tcPr>
            <w:tcW w:w="3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tcPr>
          <w:p>
            <w:pPr>
              <w:ind w:left="360"/>
              <w:spacing w:after="0" w:line="202" w:lineRule="exact"/>
              <w:rPr>
                <w:sz w:val="20"/>
                <w:szCs w:val="20"/>
                <w:color w:val="auto"/>
              </w:rPr>
            </w:pPr>
            <w:r>
              <w:rPr>
                <w:rFonts w:ascii="Arial" w:cs="Arial" w:eastAsia="Arial" w:hAnsi="Arial"/>
                <w:sz w:val="18"/>
                <w:szCs w:val="18"/>
                <w:color w:val="auto"/>
              </w:rPr>
              <w:t>Issuance of common stock warrant</w:t>
            </w:r>
          </w:p>
        </w:tc>
        <w:tc>
          <w:tcPr>
            <w:tcW w:w="100" w:type="dxa"/>
            <w:vAlign w:val="bottom"/>
          </w:tcPr>
          <w:p>
            <w:pPr>
              <w:spacing w:after="0"/>
              <w:rPr>
                <w:sz w:val="17"/>
                <w:szCs w:val="17"/>
                <w:color w:val="auto"/>
              </w:rPr>
            </w:pPr>
          </w:p>
        </w:tc>
        <w:tc>
          <w:tcPr>
            <w:tcW w:w="17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(59)</w:t>
            </w:r>
          </w:p>
        </w:tc>
        <w:tc>
          <w:tcPr>
            <w:tcW w:w="260" w:type="dxa"/>
            <w:vAlign w:val="bottom"/>
          </w:tcPr>
          <w:p>
            <w:pPr>
              <w:spacing w:after="0"/>
              <w:rPr>
                <w:sz w:val="17"/>
                <w:szCs w:val="17"/>
                <w:color w:val="auto"/>
              </w:rPr>
            </w:pPr>
          </w:p>
        </w:tc>
        <w:tc>
          <w:tcPr>
            <w:tcW w:w="14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 in fair value included in other income (expense), net</w:t>
            </w:r>
          </w:p>
        </w:tc>
        <w:tc>
          <w:tcPr>
            <w:tcW w:w="10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9"/>
        </w:trPr>
        <w:tc>
          <w:tcPr>
            <w:tcW w:w="7480" w:type="dxa"/>
            <w:vAlign w:val="bottom"/>
          </w:tcPr>
          <w:p>
            <w:pPr>
              <w:spacing w:after="0"/>
              <w:rPr>
                <w:sz w:val="20"/>
                <w:szCs w:val="20"/>
                <w:color w:val="auto"/>
              </w:rPr>
            </w:pPr>
            <w:r>
              <w:rPr>
                <w:rFonts w:ascii="Arial" w:cs="Arial" w:eastAsia="Arial" w:hAnsi="Arial"/>
                <w:sz w:val="18"/>
                <w:szCs w:val="18"/>
                <w:b w:val="1"/>
                <w:bCs w:val="1"/>
                <w:color w:val="auto"/>
              </w:rPr>
              <w:t>Balance as of December 31, 2018</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ind w:left="122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 in fair value included in other income (expense), net</w:t>
            </w:r>
          </w:p>
        </w:tc>
        <w:tc>
          <w:tcPr>
            <w:tcW w:w="10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ind w:left="12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7480" w:type="dxa"/>
            <w:vAlign w:val="bottom"/>
          </w:tcPr>
          <w:p>
            <w:pPr>
              <w:spacing w:after="0"/>
              <w:rPr>
                <w:sz w:val="20"/>
                <w:szCs w:val="20"/>
                <w:color w:val="auto"/>
              </w:rPr>
            </w:pPr>
            <w:r>
              <w:rPr>
                <w:rFonts w:ascii="Arial" w:cs="Arial" w:eastAsia="Arial" w:hAnsi="Arial"/>
                <w:sz w:val="18"/>
                <w:szCs w:val="18"/>
                <w:b w:val="1"/>
                <w:bCs w:val="1"/>
                <w:color w:val="auto"/>
              </w:rPr>
              <w:t>Balance as of December 31, 2019</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ind w:left="122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 in fair value included in other income (expense), net (unaudited)</w:t>
            </w:r>
          </w:p>
        </w:tc>
        <w:tc>
          <w:tcPr>
            <w:tcW w:w="10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ind w:left="12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7480" w:type="dxa"/>
            <w:vAlign w:val="bottom"/>
          </w:tcPr>
          <w:p>
            <w:pPr>
              <w:spacing w:after="0"/>
              <w:rPr>
                <w:sz w:val="20"/>
                <w:szCs w:val="20"/>
                <w:color w:val="auto"/>
              </w:rPr>
            </w:pPr>
            <w:r>
              <w:rPr>
                <w:rFonts w:ascii="Arial" w:cs="Arial" w:eastAsia="Arial" w:hAnsi="Arial"/>
                <w:sz w:val="18"/>
                <w:szCs w:val="18"/>
                <w:b w:val="1"/>
                <w:bCs w:val="1"/>
                <w:color w:val="auto"/>
              </w:rPr>
              <w:t>Balance as of September 30, 2020 (unaudited)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ind w:left="122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vMerge w:val="restart"/>
          </w:tcPr>
          <w:p>
            <w:pPr>
              <w:ind w:left="5320"/>
              <w:spacing w:after="0"/>
              <w:rPr>
                <w:sz w:val="20"/>
                <w:szCs w:val="20"/>
                <w:color w:val="auto"/>
              </w:rPr>
            </w:pPr>
            <w:r>
              <w:rPr>
                <w:rFonts w:ascii="Arial" w:cs="Arial" w:eastAsia="Arial" w:hAnsi="Arial"/>
                <w:sz w:val="18"/>
                <w:szCs w:val="18"/>
                <w:color w:val="auto"/>
              </w:rPr>
              <w:t>F-21</w:t>
            </w: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7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66" w:name="page267"/>
    <w:bookmarkEnd w:id="2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 Property and Equipment, Net</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80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r>
      <w:tr>
        <w:trPr>
          <w:trHeight w:val="177"/>
        </w:trPr>
        <w:tc>
          <w:tcPr>
            <w:tcW w:w="68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r>
      <w:tr>
        <w:trPr>
          <w:trHeight w:val="156"/>
        </w:trPr>
        <w:tc>
          <w:tcPr>
            <w:tcW w:w="6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0" w:type="dxa"/>
            <w:vAlign w:val="bottom"/>
            <w:gridSpan w:val="2"/>
          </w:tcPr>
          <w:p>
            <w:pPr>
              <w:jc w:val="right"/>
              <w:ind w:right="12"/>
              <w:spacing w:after="0" w:line="155"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r>
      <w:tr>
        <w:trPr>
          <w:trHeight w:val="203"/>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Machinery and equipment</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2,433</w:t>
            </w:r>
          </w:p>
        </w:tc>
        <w:tc>
          <w:tcPr>
            <w:tcW w:w="48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3,761</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4,636</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17"/>
                <w:szCs w:val="17"/>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1,349</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2,405</w:t>
            </w:r>
          </w:p>
        </w:tc>
        <w:tc>
          <w:tcPr>
            <w:tcW w:w="22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2,527</w:t>
            </w:r>
          </w:p>
        </w:tc>
      </w:tr>
      <w:tr>
        <w:trPr>
          <w:trHeight w:val="203"/>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Furniture and fixtures</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182</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541</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596</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Office equipment</w:t>
            </w:r>
          </w:p>
        </w:tc>
        <w:tc>
          <w:tcPr>
            <w:tcW w:w="200" w:type="dxa"/>
            <w:vAlign w:val="bottom"/>
          </w:tcPr>
          <w:p>
            <w:pPr>
              <w:spacing w:after="0"/>
              <w:rPr>
                <w:sz w:val="17"/>
                <w:szCs w:val="17"/>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74</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98</w:t>
            </w:r>
          </w:p>
        </w:tc>
        <w:tc>
          <w:tcPr>
            <w:tcW w:w="22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121</w:t>
            </w:r>
          </w:p>
        </w:tc>
      </w:tr>
      <w:tr>
        <w:trPr>
          <w:trHeight w:val="203"/>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Computer equipment and software</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52</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306</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366</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Construction in progress</w:t>
            </w:r>
          </w:p>
        </w:tc>
        <w:tc>
          <w:tcPr>
            <w:tcW w:w="200" w:type="dxa"/>
            <w:vAlign w:val="bottom"/>
          </w:tcPr>
          <w:p>
            <w:pPr>
              <w:spacing w:after="0"/>
              <w:rPr>
                <w:sz w:val="17"/>
                <w:szCs w:val="17"/>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34</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563</w:t>
            </w:r>
          </w:p>
        </w:tc>
        <w:tc>
          <w:tcPr>
            <w:tcW w:w="22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432</w:t>
            </w:r>
          </w:p>
        </w:tc>
      </w:tr>
      <w:tr>
        <w:trPr>
          <w:trHeight w:val="27"/>
        </w:trPr>
        <w:tc>
          <w:tcPr>
            <w:tcW w:w="6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property and equipment</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4,124</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7,674</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8,678</w:t>
            </w:r>
          </w:p>
        </w:tc>
      </w:tr>
      <w:tr>
        <w:trPr>
          <w:trHeight w:val="311"/>
        </w:trPr>
        <w:tc>
          <w:tcPr>
            <w:tcW w:w="6800" w:type="dxa"/>
            <w:vAlign w:val="bottom"/>
          </w:tcPr>
          <w:p>
            <w:pPr>
              <w:ind w:left="36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(1,652)</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(2,625)</w:t>
            </w:r>
          </w:p>
        </w:tc>
        <w:tc>
          <w:tcPr>
            <w:tcW w:w="22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(3,697)</w:t>
            </w:r>
          </w:p>
        </w:tc>
      </w:tr>
      <w:tr>
        <w:trPr>
          <w:trHeight w:val="27"/>
        </w:trPr>
        <w:tc>
          <w:tcPr>
            <w:tcW w:w="6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68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2,472</w:t>
            </w:r>
          </w:p>
        </w:tc>
        <w:tc>
          <w:tcPr>
            <w:tcW w:w="48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5,049</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4,981</w:t>
            </w:r>
          </w:p>
        </w:tc>
      </w:tr>
      <w:tr>
        <w:trPr>
          <w:trHeight w:val="20"/>
        </w:trPr>
        <w:tc>
          <w:tcPr>
            <w:tcW w:w="6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420" w:firstLine="551"/>
        <w:spacing w:after="0" w:line="255" w:lineRule="auto"/>
        <w:rPr>
          <w:sz w:val="20"/>
          <w:szCs w:val="20"/>
          <w:color w:val="auto"/>
        </w:rPr>
      </w:pPr>
      <w:r>
        <w:rPr>
          <w:rFonts w:ascii="Arial" w:cs="Arial" w:eastAsia="Arial" w:hAnsi="Arial"/>
          <w:sz w:val="18"/>
          <w:szCs w:val="18"/>
          <w:color w:val="auto"/>
        </w:rPr>
        <w:t>All property and equipment are maintained in the United States. Depreciation expense was $0.7 million and $1.0 million for the years ended December 31, 2018 and 2019 and $0.7 million (unaudited) and $1.1 million (unaudited) for the nine months ended September 30, 2019 and 2020, respectively.</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5. Accrued and Other Current Liabilities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and other current liabilities consisted of the following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r>
      <w:tr>
        <w:trPr>
          <w:trHeight w:val="177"/>
        </w:trPr>
        <w:tc>
          <w:tcPr>
            <w:tcW w:w="5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r>
      <w:tr>
        <w:trPr>
          <w:trHeight w:val="155"/>
        </w:trPr>
        <w:tc>
          <w:tcPr>
            <w:tcW w:w="5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gridSpan w:val="2"/>
          </w:tcPr>
          <w:p>
            <w:pPr>
              <w:jc w:val="right"/>
              <w:ind w:right="13"/>
              <w:spacing w:after="0" w:line="155"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3"/>
                <w:szCs w:val="13"/>
                <w:color w:val="auto"/>
              </w:rPr>
            </w:pPr>
          </w:p>
        </w:tc>
      </w:tr>
      <w:tr>
        <w:trPr>
          <w:trHeight w:val="203"/>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Payroll and related</w:t>
            </w:r>
          </w:p>
        </w:tc>
        <w:tc>
          <w:tcPr>
            <w:tcW w:w="1920" w:type="dxa"/>
            <w:vAlign w:val="bottom"/>
            <w:gridSpan w:val="2"/>
            <w:shd w:val="clear" w:color="auto" w:fill="CCEEFF"/>
          </w:tcPr>
          <w:p>
            <w:pPr>
              <w:ind w:left="172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1,313</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2,133</w:t>
            </w:r>
          </w:p>
        </w:tc>
        <w:tc>
          <w:tcPr>
            <w:tcW w:w="52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2,110</w:t>
            </w: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Accrued clinical and preclinical study costs</w:t>
            </w:r>
          </w:p>
        </w:tc>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75</w:t>
            </w:r>
          </w:p>
        </w:tc>
        <w:tc>
          <w:tcPr>
            <w:tcW w:w="200" w:type="dxa"/>
            <w:vAlign w:val="bottom"/>
          </w:tcPr>
          <w:p>
            <w:pPr>
              <w:spacing w:after="0"/>
              <w:rPr>
                <w:sz w:val="17"/>
                <w:szCs w:val="17"/>
                <w:color w:val="auto"/>
              </w:rPr>
            </w:pPr>
          </w:p>
        </w:tc>
        <w:tc>
          <w:tcPr>
            <w:tcW w:w="10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494</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978</w:t>
            </w:r>
          </w:p>
        </w:tc>
      </w:tr>
      <w:tr>
        <w:trPr>
          <w:trHeight w:val="203"/>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Consulting and professional</w:t>
            </w:r>
          </w:p>
        </w:tc>
        <w:tc>
          <w:tcPr>
            <w:tcW w:w="1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549</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2,239</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3,947</w:t>
            </w:r>
          </w:p>
        </w:tc>
      </w:tr>
      <w:tr>
        <w:trPr>
          <w:trHeight w:val="210"/>
        </w:trPr>
        <w:tc>
          <w:tcPr>
            <w:tcW w:w="5100" w:type="dxa"/>
            <w:vAlign w:val="bottom"/>
          </w:tcPr>
          <w:p>
            <w:pPr>
              <w:spacing w:after="0" w:line="202" w:lineRule="exact"/>
              <w:rPr>
                <w:sz w:val="20"/>
                <w:szCs w:val="20"/>
                <w:color w:val="auto"/>
              </w:rPr>
            </w:pPr>
            <w:r>
              <w:rPr>
                <w:rFonts w:ascii="Arial" w:cs="Arial" w:eastAsia="Arial" w:hAnsi="Arial"/>
                <w:sz w:val="18"/>
                <w:szCs w:val="18"/>
                <w:color w:val="auto"/>
              </w:rPr>
              <w:t>Other accrued expenses</w:t>
            </w:r>
          </w:p>
        </w:tc>
        <w:tc>
          <w:tcPr>
            <w:tcW w:w="17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256</w:t>
            </w:r>
          </w:p>
        </w:tc>
        <w:tc>
          <w:tcPr>
            <w:tcW w:w="6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481</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332</w:t>
            </w:r>
          </w:p>
        </w:tc>
        <w:tc>
          <w:tcPr>
            <w:tcW w:w="60" w:type="dxa"/>
            <w:vAlign w:val="bottom"/>
          </w:tcPr>
          <w:p>
            <w:pPr>
              <w:spacing w:after="0"/>
              <w:rPr>
                <w:sz w:val="18"/>
                <w:szCs w:val="18"/>
                <w:color w:val="auto"/>
              </w:rPr>
            </w:pPr>
          </w:p>
        </w:tc>
      </w:tr>
      <w:tr>
        <w:trPr>
          <w:trHeight w:val="203"/>
        </w:trPr>
        <w:tc>
          <w:tcPr>
            <w:tcW w:w="510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ind w:left="172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2,193</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5,347</w:t>
            </w:r>
          </w:p>
        </w:tc>
        <w:tc>
          <w:tcPr>
            <w:tcW w:w="52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7,367</w:t>
            </w:r>
          </w:p>
        </w:tc>
      </w:tr>
      <w:tr>
        <w:trPr>
          <w:trHeight w:val="20"/>
        </w:trPr>
        <w:tc>
          <w:tcPr>
            <w:tcW w:w="5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6. Research and Collaboration Arrangements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Collaboration and license revenue for each period was as follows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316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Revenue</w:t>
            </w:r>
          </w:p>
        </w:tc>
        <w:tc>
          <w:tcPr>
            <w:tcW w:w="5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0"/>
        </w:trPr>
        <w:tc>
          <w:tcPr>
            <w:tcW w:w="31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5"/>
          </w:tcPr>
          <w:p>
            <w:pPr>
              <w:ind w:left="300"/>
              <w:spacing w:after="0" w:line="141"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4"/>
          </w:tcPr>
          <w:p>
            <w:pPr>
              <w:jc w:val="right"/>
              <w:ind w:right="92"/>
              <w:spacing w:after="0" w:line="141" w:lineRule="exact"/>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2"/>
                <w:szCs w:val="12"/>
                <w:color w:val="auto"/>
              </w:rPr>
            </w:pPr>
          </w:p>
        </w:tc>
      </w:tr>
      <w:tr>
        <w:trPr>
          <w:trHeight w:val="177"/>
        </w:trPr>
        <w:tc>
          <w:tcPr>
            <w:tcW w:w="316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5"/>
          </w:tcPr>
          <w:p>
            <w:pPr>
              <w:ind w:left="2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September 30,</w:t>
            </w:r>
          </w:p>
        </w:tc>
      </w:tr>
      <w:tr>
        <w:trPr>
          <w:trHeight w:val="155"/>
        </w:trPr>
        <w:tc>
          <w:tcPr>
            <w:tcW w:w="3160" w:type="dxa"/>
            <w:vAlign w:val="bottom"/>
            <w:tcBorders>
              <w:bottom w:val="single" w:sz="8" w:color="CCEEFF"/>
            </w:tcBorders>
          </w:tcPr>
          <w:p>
            <w:pPr>
              <w:spacing w:after="0"/>
              <w:rPr>
                <w:sz w:val="13"/>
                <w:szCs w:val="13"/>
                <w:color w:val="auto"/>
              </w:rPr>
            </w:pPr>
          </w:p>
        </w:tc>
        <w:tc>
          <w:tcPr>
            <w:tcW w:w="406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9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w w:val="96"/>
              </w:rPr>
              <w:t>2019</w:t>
            </w:r>
          </w:p>
        </w:tc>
        <w:tc>
          <w:tcPr>
            <w:tcW w:w="26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196"/>
        </w:trPr>
        <w:tc>
          <w:tcPr>
            <w:tcW w:w="3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uniQure</w:t>
            </w:r>
          </w:p>
        </w:tc>
        <w:tc>
          <w:tcPr>
            <w:tcW w:w="40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300"/>
              <w:spacing w:after="0" w:line="196" w:lineRule="exact"/>
              <w:rPr>
                <w:sz w:val="20"/>
                <w:szCs w:val="20"/>
                <w:color w:val="auto"/>
              </w:rPr>
            </w:pPr>
            <w:r>
              <w:rPr>
                <w:rFonts w:ascii="Arial" w:cs="Arial" w:eastAsia="Arial" w:hAnsi="Arial"/>
                <w:sz w:val="18"/>
                <w:szCs w:val="18"/>
                <w:color w:val="auto"/>
                <w:w w:val="93"/>
              </w:rPr>
              <w:t>143</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504</w:t>
            </w:r>
          </w:p>
        </w:tc>
        <w:tc>
          <w:tcPr>
            <w:tcW w:w="120" w:type="dxa"/>
            <w:vAlign w:val="bottom"/>
            <w:shd w:val="clear" w:color="auto" w:fill="CCEEFF"/>
          </w:tcPr>
          <w:p>
            <w:pPr>
              <w:spacing w:after="0"/>
              <w:rPr>
                <w:sz w:val="17"/>
                <w:szCs w:val="17"/>
                <w:color w:val="auto"/>
              </w:rPr>
            </w:pPr>
          </w:p>
        </w:tc>
      </w:tr>
      <w:tr>
        <w:trPr>
          <w:trHeight w:val="203"/>
        </w:trPr>
        <w:tc>
          <w:tcPr>
            <w:tcW w:w="3160" w:type="dxa"/>
            <w:vAlign w:val="bottom"/>
          </w:tcPr>
          <w:p>
            <w:pPr>
              <w:spacing w:after="0" w:line="202" w:lineRule="exact"/>
              <w:rPr>
                <w:sz w:val="20"/>
                <w:szCs w:val="20"/>
                <w:color w:val="auto"/>
              </w:rPr>
            </w:pPr>
            <w:r>
              <w:rPr>
                <w:rFonts w:ascii="Arial" w:cs="Arial" w:eastAsia="Arial" w:hAnsi="Arial"/>
                <w:sz w:val="18"/>
                <w:szCs w:val="18"/>
                <w:color w:val="auto"/>
              </w:rPr>
              <w:t>Benitec</w:t>
            </w:r>
          </w:p>
        </w:tc>
        <w:tc>
          <w:tcPr>
            <w:tcW w:w="4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200</w:t>
            </w:r>
          </w:p>
        </w:tc>
        <w:tc>
          <w:tcPr>
            <w:tcW w:w="140" w:type="dxa"/>
            <w:vAlign w:val="bottom"/>
          </w:tcPr>
          <w:p>
            <w:pPr>
              <w:spacing w:after="0"/>
              <w:rPr>
                <w:sz w:val="17"/>
                <w:szCs w:val="17"/>
                <w:color w:val="auto"/>
              </w:rPr>
            </w:pPr>
          </w:p>
        </w:tc>
        <w:tc>
          <w:tcPr>
            <w:tcW w:w="6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w:t>
            </w:r>
          </w:p>
        </w:tc>
        <w:tc>
          <w:tcPr>
            <w:tcW w:w="16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3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AGTC</w:t>
            </w:r>
          </w:p>
        </w:tc>
        <w:tc>
          <w:tcPr>
            <w:tcW w:w="4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272</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3160" w:type="dxa"/>
            <w:vAlign w:val="bottom"/>
          </w:tcPr>
          <w:p>
            <w:pPr>
              <w:spacing w:after="0" w:line="202" w:lineRule="exact"/>
              <w:rPr>
                <w:sz w:val="20"/>
                <w:szCs w:val="20"/>
                <w:color w:val="auto"/>
              </w:rPr>
            </w:pPr>
            <w:r>
              <w:rPr>
                <w:rFonts w:ascii="Arial" w:cs="Arial" w:eastAsia="Arial" w:hAnsi="Arial"/>
                <w:sz w:val="18"/>
                <w:szCs w:val="18"/>
                <w:color w:val="auto"/>
              </w:rPr>
              <w:t>CRF</w:t>
            </w:r>
          </w:p>
        </w:tc>
        <w:tc>
          <w:tcPr>
            <w:tcW w:w="4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3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Pfizer</w:t>
            </w:r>
          </w:p>
        </w:tc>
        <w:tc>
          <w:tcPr>
            <w:tcW w:w="4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5,000</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3160" w:type="dxa"/>
            <w:vAlign w:val="bottom"/>
          </w:tcPr>
          <w:p>
            <w:pPr>
              <w:spacing w:after="0" w:line="202" w:lineRule="exact"/>
              <w:rPr>
                <w:sz w:val="20"/>
                <w:szCs w:val="20"/>
                <w:color w:val="auto"/>
              </w:rPr>
            </w:pPr>
            <w:r>
              <w:rPr>
                <w:rFonts w:ascii="Arial" w:cs="Arial" w:eastAsia="Arial" w:hAnsi="Arial"/>
                <w:sz w:val="18"/>
                <w:szCs w:val="18"/>
                <w:color w:val="auto"/>
              </w:rPr>
              <w:t>Roche</w:t>
            </w:r>
          </w:p>
        </w:tc>
        <w:tc>
          <w:tcPr>
            <w:tcW w:w="4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7,460</w:t>
            </w:r>
          </w:p>
        </w:tc>
        <w:tc>
          <w:tcPr>
            <w:tcW w:w="140" w:type="dxa"/>
            <w:vAlign w:val="bottom"/>
          </w:tcPr>
          <w:p>
            <w:pPr>
              <w:spacing w:after="0"/>
              <w:rPr>
                <w:sz w:val="17"/>
                <w:szCs w:val="17"/>
                <w:color w:val="auto"/>
              </w:rPr>
            </w:pPr>
          </w:p>
        </w:tc>
        <w:tc>
          <w:tcPr>
            <w:tcW w:w="6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6,287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4,354</w:t>
            </w:r>
          </w:p>
        </w:tc>
        <w:tc>
          <w:tcPr>
            <w:tcW w:w="16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14,174</w:t>
            </w:r>
          </w:p>
        </w:tc>
      </w:tr>
      <w:tr>
        <w:trPr>
          <w:trHeight w:val="202"/>
        </w:trPr>
        <w:tc>
          <w:tcPr>
            <w:tcW w:w="3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CFFT</w:t>
            </w:r>
          </w:p>
        </w:tc>
        <w:tc>
          <w:tcPr>
            <w:tcW w:w="4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(89)</w:t>
            </w:r>
          </w:p>
        </w:tc>
      </w:tr>
      <w:tr>
        <w:trPr>
          <w:trHeight w:val="203"/>
        </w:trPr>
        <w:tc>
          <w:tcPr>
            <w:tcW w:w="3160" w:type="dxa"/>
            <w:vAlign w:val="bottom"/>
          </w:tcPr>
          <w:p>
            <w:pPr>
              <w:spacing w:after="0" w:line="202" w:lineRule="exact"/>
              <w:rPr>
                <w:sz w:val="20"/>
                <w:szCs w:val="20"/>
                <w:color w:val="auto"/>
              </w:rPr>
            </w:pPr>
            <w:r>
              <w:rPr>
                <w:rFonts w:ascii="Arial" w:cs="Arial" w:eastAsia="Arial" w:hAnsi="Arial"/>
                <w:sz w:val="18"/>
                <w:szCs w:val="18"/>
                <w:color w:val="auto"/>
              </w:rPr>
              <w:t>AstraZeneca</w:t>
            </w:r>
          </w:p>
        </w:tc>
        <w:tc>
          <w:tcPr>
            <w:tcW w:w="4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1,000</w:t>
            </w:r>
          </w:p>
        </w:tc>
        <w:tc>
          <w:tcPr>
            <w:tcW w:w="140" w:type="dxa"/>
            <w:vAlign w:val="bottom"/>
          </w:tcPr>
          <w:p>
            <w:pPr>
              <w:spacing w:after="0"/>
              <w:rPr>
                <w:sz w:val="17"/>
                <w:szCs w:val="17"/>
                <w:color w:val="auto"/>
              </w:rPr>
            </w:pPr>
          </w:p>
        </w:tc>
        <w:tc>
          <w:tcPr>
            <w:tcW w:w="6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548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548</w:t>
            </w:r>
          </w:p>
        </w:tc>
        <w:tc>
          <w:tcPr>
            <w:tcW w:w="16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7"/>
        </w:trPr>
        <w:tc>
          <w:tcPr>
            <w:tcW w:w="316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3160" w:type="dxa"/>
            <w:vAlign w:val="bottom"/>
            <w:shd w:val="clear" w:color="auto" w:fill="CCEEFF"/>
          </w:tcPr>
          <w:p>
            <w:pPr>
              <w:spacing w:after="0"/>
              <w:rPr>
                <w:sz w:val="17"/>
                <w:szCs w:val="17"/>
                <w:color w:val="auto"/>
              </w:rPr>
            </w:pPr>
          </w:p>
        </w:tc>
        <w:tc>
          <w:tcPr>
            <w:tcW w:w="4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14,130</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6,986</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4,956</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14,589</w:t>
            </w:r>
          </w:p>
        </w:tc>
      </w:tr>
      <w:tr>
        <w:trPr>
          <w:trHeight w:val="20"/>
        </w:trPr>
        <w:tc>
          <w:tcPr>
            <w:tcW w:w="31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63"/>
        </w:trPr>
        <w:tc>
          <w:tcPr>
            <w:tcW w:w="3160" w:type="dxa"/>
            <w:vAlign w:val="bottom"/>
          </w:tcPr>
          <w:p>
            <w:pPr>
              <w:spacing w:after="0"/>
              <w:rPr>
                <w:sz w:val="24"/>
                <w:szCs w:val="24"/>
                <w:color w:val="auto"/>
              </w:rPr>
            </w:pPr>
          </w:p>
        </w:tc>
        <w:tc>
          <w:tcPr>
            <w:tcW w:w="4220" w:type="dxa"/>
            <w:vAlign w:val="bottom"/>
            <w:gridSpan w:val="2"/>
          </w:tcPr>
          <w:p>
            <w:pPr>
              <w:jc w:val="right"/>
              <w:ind w:right="1610"/>
              <w:spacing w:after="0"/>
              <w:rPr>
                <w:sz w:val="20"/>
                <w:szCs w:val="20"/>
                <w:color w:val="auto"/>
              </w:rPr>
            </w:pPr>
            <w:r>
              <w:rPr>
                <w:rFonts w:ascii="Arial" w:cs="Arial" w:eastAsia="Arial" w:hAnsi="Arial"/>
                <w:sz w:val="18"/>
                <w:szCs w:val="18"/>
                <w:color w:val="auto"/>
              </w:rPr>
              <w:t>F-22</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67" w:name="page268"/>
    <w:bookmarkEnd w:id="2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Deferred revenue for each period was as follows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0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Deferred Revenue</w:t>
            </w: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0"/>
        </w:trPr>
        <w:tc>
          <w:tcPr>
            <w:tcW w:w="40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480"/>
              <w:spacing w:after="0" w:line="141" w:lineRule="exact"/>
              <w:rPr>
                <w:sz w:val="20"/>
                <w:szCs w:val="20"/>
                <w:color w:val="auto"/>
              </w:rPr>
            </w:pPr>
            <w:r>
              <w:rPr>
                <w:rFonts w:ascii="Arial" w:cs="Arial" w:eastAsia="Arial" w:hAnsi="Arial"/>
                <w:sz w:val="14"/>
                <w:szCs w:val="14"/>
                <w:b w:val="1"/>
                <w:bCs w:val="1"/>
                <w:color w:val="auto"/>
              </w:rPr>
              <w:t>As of</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540"/>
              <w:spacing w:after="0" w:line="141" w:lineRule="exact"/>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ind w:right="133"/>
              <w:spacing w:after="0" w:line="141" w:lineRule="exact"/>
              <w:rPr>
                <w:sz w:val="20"/>
                <w:szCs w:val="20"/>
                <w:color w:val="auto"/>
              </w:rPr>
            </w:pPr>
            <w:r>
              <w:rPr>
                <w:rFonts w:ascii="Arial" w:cs="Arial" w:eastAsia="Arial" w:hAnsi="Arial"/>
                <w:sz w:val="14"/>
                <w:szCs w:val="14"/>
                <w:b w:val="1"/>
                <w:bCs w:val="1"/>
                <w:color w:val="auto"/>
              </w:rPr>
              <w:t>As of</w:t>
            </w:r>
          </w:p>
        </w:tc>
        <w:tc>
          <w:tcPr>
            <w:tcW w:w="60" w:type="dxa"/>
            <w:vAlign w:val="bottom"/>
          </w:tcPr>
          <w:p>
            <w:pPr>
              <w:spacing w:after="0"/>
              <w:rPr>
                <w:sz w:val="12"/>
                <w:szCs w:val="12"/>
                <w:color w:val="auto"/>
              </w:rPr>
            </w:pPr>
          </w:p>
        </w:tc>
      </w:tr>
      <w:tr>
        <w:trPr>
          <w:trHeight w:val="162"/>
        </w:trPr>
        <w:tc>
          <w:tcPr>
            <w:tcW w:w="40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0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September 30,</w:t>
            </w:r>
          </w:p>
        </w:tc>
      </w:tr>
      <w:tr>
        <w:trPr>
          <w:trHeight w:val="177"/>
        </w:trPr>
        <w:tc>
          <w:tcPr>
            <w:tcW w:w="4080" w:type="dxa"/>
            <w:vAlign w:val="bottom"/>
            <w:tcBorders>
              <w:bottom w:val="single" w:sz="8" w:color="CCEEFF"/>
            </w:tcBorders>
          </w:tcPr>
          <w:p>
            <w:pPr>
              <w:spacing w:after="0"/>
              <w:rPr>
                <w:sz w:val="15"/>
                <w:szCs w:val="15"/>
                <w:color w:val="auto"/>
              </w:rPr>
            </w:pPr>
          </w:p>
        </w:tc>
        <w:tc>
          <w:tcPr>
            <w:tcW w:w="30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196"/>
        </w:trPr>
        <w:tc>
          <w:tcPr>
            <w:tcW w:w="4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uniQure</w:t>
            </w:r>
          </w:p>
        </w:tc>
        <w:tc>
          <w:tcPr>
            <w:tcW w:w="3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5,137</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4,634</w:t>
            </w:r>
          </w:p>
        </w:tc>
        <w:tc>
          <w:tcPr>
            <w:tcW w:w="60" w:type="dxa"/>
            <w:vAlign w:val="bottom"/>
            <w:shd w:val="clear" w:color="auto" w:fill="CCEEFF"/>
          </w:tcPr>
          <w:p>
            <w:pPr>
              <w:spacing w:after="0"/>
              <w:rPr>
                <w:sz w:val="17"/>
                <w:szCs w:val="17"/>
                <w:color w:val="auto"/>
              </w:rPr>
            </w:pP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Benitec</w:t>
            </w:r>
          </w:p>
        </w:tc>
        <w:tc>
          <w:tcPr>
            <w:tcW w:w="3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183</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AGTC</w:t>
            </w:r>
          </w:p>
        </w:tc>
        <w:tc>
          <w:tcPr>
            <w:tcW w:w="3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CRF</w:t>
            </w:r>
          </w:p>
        </w:tc>
        <w:tc>
          <w:tcPr>
            <w:tcW w:w="3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Pfizer</w:t>
            </w:r>
          </w:p>
        </w:tc>
        <w:tc>
          <w:tcPr>
            <w:tcW w:w="3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Roche</w:t>
            </w:r>
          </w:p>
        </w:tc>
        <w:tc>
          <w:tcPr>
            <w:tcW w:w="3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17,055</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13,640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11,937</w:t>
            </w: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CFFT</w:t>
            </w:r>
          </w:p>
        </w:tc>
        <w:tc>
          <w:tcPr>
            <w:tcW w:w="3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245</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690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779</w:t>
            </w: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AstraZeneca</w:t>
            </w:r>
          </w:p>
        </w:tc>
        <w:tc>
          <w:tcPr>
            <w:tcW w:w="3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500</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7"/>
        </w:trPr>
        <w:tc>
          <w:tcPr>
            <w:tcW w:w="40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4080" w:type="dxa"/>
            <w:vAlign w:val="bottom"/>
            <w:shd w:val="clear" w:color="auto" w:fill="CCEEFF"/>
          </w:tcPr>
          <w:p>
            <w:pPr>
              <w:spacing w:after="0"/>
              <w:rPr>
                <w:sz w:val="17"/>
                <w:szCs w:val="17"/>
                <w:color w:val="auto"/>
              </w:rPr>
            </w:pPr>
          </w:p>
        </w:tc>
        <w:tc>
          <w:tcPr>
            <w:tcW w:w="3260" w:type="dxa"/>
            <w:vAlign w:val="bottom"/>
            <w:gridSpan w:val="2"/>
            <w:shd w:val="clear" w:color="auto" w:fill="CCEEFF"/>
          </w:tcPr>
          <w:p>
            <w:pPr>
              <w:ind w:left="306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17,983</w:t>
            </w:r>
          </w:p>
        </w:tc>
        <w:tc>
          <w:tcPr>
            <w:tcW w:w="500" w:type="dxa"/>
            <w:vAlign w:val="bottom"/>
            <w:gridSpan w:val="2"/>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19,467</w:t>
            </w:r>
          </w:p>
        </w:tc>
        <w:tc>
          <w:tcPr>
            <w:tcW w:w="360" w:type="dxa"/>
            <w:vAlign w:val="bottom"/>
            <w:gridSpan w:val="2"/>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17,350</w:t>
            </w:r>
          </w:p>
        </w:tc>
      </w:tr>
      <w:tr>
        <w:trPr>
          <w:trHeight w:val="20"/>
        </w:trPr>
        <w:tc>
          <w:tcPr>
            <w:tcW w:w="40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180" w:firstLine="551"/>
        <w:spacing w:after="0" w:line="255" w:lineRule="auto"/>
        <w:rPr>
          <w:sz w:val="20"/>
          <w:szCs w:val="20"/>
          <w:color w:val="auto"/>
        </w:rPr>
      </w:pPr>
      <w:r>
        <w:rPr>
          <w:rFonts w:ascii="Arial" w:cs="Arial" w:eastAsia="Arial" w:hAnsi="Arial"/>
          <w:sz w:val="18"/>
          <w:szCs w:val="18"/>
          <w:color w:val="auto"/>
        </w:rPr>
        <w:t>The total amount of revenue in the year ended December 31, 2019, which was included in deferred revenue at January 1, 2019, was $3.6 million. The total amount of revenue in the nine months ended September 30, 2020, which was included in deferred revenue at January 1, 2020, was $4.0 million (unaudited).</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uniQure</w:t>
      </w:r>
    </w:p>
    <w:p>
      <w:pPr>
        <w:spacing w:after="0" w:line="106" w:lineRule="exact"/>
        <w:rPr>
          <w:sz w:val="20"/>
          <w:szCs w:val="20"/>
          <w:color w:val="auto"/>
        </w:rPr>
      </w:pPr>
    </w:p>
    <w:p>
      <w:pPr>
        <w:ind w:left="120" w:right="120" w:firstLine="551"/>
        <w:spacing w:after="0" w:line="248" w:lineRule="auto"/>
        <w:rPr>
          <w:sz w:val="20"/>
          <w:szCs w:val="20"/>
          <w:color w:val="auto"/>
        </w:rPr>
      </w:pPr>
      <w:r>
        <w:rPr>
          <w:rFonts w:ascii="Arial" w:cs="Arial" w:eastAsia="Arial" w:hAnsi="Arial"/>
          <w:sz w:val="18"/>
          <w:szCs w:val="18"/>
          <w:color w:val="auto"/>
        </w:rPr>
        <w:t>In January 2014, the Company and uniQure biopharma B.V. (“uniQure”) entered into a Collaboration and License Agreement (the “uniQure Agreement”) to collaborate on the discovery and non-clinical research activities related to the Company’s Therapeutic Vector Evolution platform in order to generate and validate vectors for gene delivery to treat diseases within the central nervous system and liver (together, the “uniQure Field”).</w:t>
      </w:r>
    </w:p>
    <w:p>
      <w:pPr>
        <w:spacing w:after="0" w:line="170"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The uniQure Agreement provided uniQure with a research license as well as an exclusive development and commercialization license for each project variant selected for further development. The initial research term is three years with an option for uniQure to extend the research term one time for an additional year. Once the Company’s research plan has concluded, uniQure is solely responsible for the continued development, manufacturing and commercialization of the project variants as potential product candidates. In October 2016, uniQure exercised its option to extend the research term for an additional year to January 2018. The Company was also required to work exclusively with uniQure in the uniQure Field (the “uniQure Exclusivity Clause”).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the uniQure Agreement, the Company received upfront payments of $0.2 million, and was entitled to receive</w:t>
      </w:r>
    </w:p>
    <w:p>
      <w:pPr>
        <w:spacing w:after="0" w:line="18" w:lineRule="exact"/>
        <w:rPr>
          <w:sz w:val="20"/>
          <w:szCs w:val="20"/>
          <w:color w:val="auto"/>
        </w:rPr>
      </w:pPr>
    </w:p>
    <w:p>
      <w:pPr>
        <w:ind w:left="120" w:right="500" w:hanging="4"/>
        <w:spacing w:after="0" w:line="238" w:lineRule="auto"/>
        <w:tabs>
          <w:tab w:leader="none" w:pos="33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contingent payments for the achievement of research and development milestones of up to $5.0 million for each licensed product selected under the arrangement, and (ii) royalties in the single digit range on future sales of the potential product candidates and sublicense consideration in the low teens to low thirties range on any future sublicensing arrangements. The Company also received capped research and development service fees based on contractual full-time employee rates per year. In connection with the performance obligations under the uniQure Agreement, the founders of 4D Molecular Therapeutics, LLC received equity options to purchase an aggregate of 609,744 of uniQure ordinary shares that vest over the initial three-year term of the agreement.</w:t>
      </w:r>
    </w:p>
    <w:p>
      <w:pPr>
        <w:spacing w:after="0" w:line="177"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The upfront payment of $0.2 million was recorded as deferred revenue and was recognized on a ratable basis over the estimated performance period of four years. Payments and reimbursements for research costs were recognized on an as-incurred basis. The options to purchase uniQure shares</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5" w:right="439" w:bottom="1440" w:gutter="0" w:footer="0" w:header="0"/>
        </w:sectPr>
      </w:pPr>
    </w:p>
    <w:bookmarkStart w:id="268" w:name="page269"/>
    <w:bookmarkEnd w:id="2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48" w:lineRule="auto"/>
        <w:rPr>
          <w:sz w:val="20"/>
          <w:szCs w:val="20"/>
          <w:color w:val="auto"/>
        </w:rPr>
      </w:pPr>
      <w:r>
        <w:rPr>
          <w:rFonts w:ascii="Arial" w:cs="Arial" w:eastAsia="Arial" w:hAnsi="Arial"/>
          <w:sz w:val="18"/>
          <w:szCs w:val="18"/>
          <w:color w:val="auto"/>
        </w:rPr>
        <w:t>were deemed to be a noncash component of the arrangement consideration, as the vesting of options is linked to the uniQure Agreement and there is a requirement for the holders of the options to provide services under the agreement. The fair value of the uniQure options, which was estimated to be $10.6 million, was recognized ratably as revenue over the estimated performance period of four years and the associated compensation expense related to the stock options were recorded as research and development expense.</w:t>
      </w:r>
    </w:p>
    <w:p>
      <w:pPr>
        <w:spacing w:after="0" w:line="170" w:lineRule="exact"/>
        <w:rPr>
          <w:sz w:val="20"/>
          <w:szCs w:val="20"/>
          <w:color w:val="auto"/>
        </w:rPr>
      </w:pPr>
    </w:p>
    <w:p>
      <w:pPr>
        <w:ind w:left="120" w:right="20" w:firstLine="551"/>
        <w:spacing w:after="0" w:line="268" w:lineRule="auto"/>
        <w:rPr>
          <w:sz w:val="20"/>
          <w:szCs w:val="20"/>
          <w:color w:val="auto"/>
        </w:rPr>
      </w:pPr>
      <w:r>
        <w:rPr>
          <w:rFonts w:ascii="Arial" w:cs="Arial" w:eastAsia="Arial" w:hAnsi="Arial"/>
          <w:sz w:val="17"/>
          <w:szCs w:val="17"/>
          <w:color w:val="auto"/>
        </w:rPr>
        <w:t>In August 2019, the Company and uniQure entered into an Amended and Restated Collaboration and License Agreement (the “Amended uniQure Agreement”), which amended and restated the uniQure Agreement, and a separate Collaboration and License Agreement (the “Second uniQure Agreement”). Under these agreements, the Company agreed to transfer incremental rights and services to uniQure in exchange for uniQure eliminating the uniQure Exclusivity Clause and transferring other rights back to the Company.</w:t>
      </w:r>
    </w:p>
    <w:p>
      <w:pPr>
        <w:spacing w:after="0" w:line="153" w:lineRule="exact"/>
        <w:rPr>
          <w:sz w:val="20"/>
          <w:szCs w:val="20"/>
          <w:color w:val="auto"/>
        </w:rPr>
      </w:pPr>
    </w:p>
    <w:p>
      <w:pPr>
        <w:ind w:left="120" w:right="140" w:firstLine="551"/>
        <w:spacing w:after="0" w:line="241" w:lineRule="auto"/>
        <w:rPr>
          <w:sz w:val="20"/>
          <w:szCs w:val="20"/>
          <w:color w:val="auto"/>
        </w:rPr>
      </w:pPr>
      <w:r>
        <w:rPr>
          <w:rFonts w:ascii="Arial" w:cs="Arial" w:eastAsia="Arial" w:hAnsi="Arial"/>
          <w:sz w:val="18"/>
          <w:szCs w:val="18"/>
          <w:color w:val="auto"/>
        </w:rPr>
        <w:t>Under the Amended uniQure Agreement, uniQure continues to have an exclusive license to select AAV capsid variants (the “Selected Variants”) in the uniQure Field. uniQure continues to be solely responsible, at its cost, to develop and commercialize the compounds and products containing the Selected Variants. The amended uniQure Agreement eliminated the uniQure Exclusivity Clause in the uniQure Agreement. Furthermore, the contingent payments that the Company was entitled to from uniQure for the achievement of research and development milestones of up to $5.0 million for each licensed product selected under the uniQure Agreement were eliminated and sublicense consideration on any future sublicensing arrangements was reduced from the low teens to low thirties percentages to mid-single digit to mid-twenties percentages.</w:t>
      </w:r>
    </w:p>
    <w:p>
      <w:pPr>
        <w:spacing w:after="0" w:line="179"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Under the Second uniQure Agreement, the parties agreed to research and develop new AAV capsid variants (the “New Variants”) that are not Selected Variants that affect certain targets selected by uniQure (the “uniQure Targets”) in the uniQure Field. The Company is solely responsible, at its cost, for the research of the New Variants. The Company granted uniQure an exclusive license to a certain number of the New Variants (the “uniQure New Variants”) that affect the uniQure Targets. uniQure is solely responsible, at its cost, to develop and commercialize the compounds and products containing the uniQure New Variants that affect the uniQure Targets (the “Licensed Products”). The Company retains all rights to New Variants in the uniQure Field that affect targets other than the uniQure Targets.</w:t>
      </w:r>
    </w:p>
    <w:p>
      <w:pPr>
        <w:spacing w:after="0" w:line="179"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color w:val="auto"/>
        </w:rPr>
        <w:t>Under both the Amended uniQure Agreement and the Second uniQure Agreement, uniQure will be required to pay the Company royalties on worldwide annual net sales of Licensed Products at a mid-single digit percentage rate, subject to certain specified reductions. uniQure will also be required to pay the Company sublicensing consideration for sublicensing the Company’s intellectual property rights licensed under the Amended uniQure Agreement or the Second uniQure Agreement to third parties at a rate between the mid-single digit to mid-twenties. The Company has reciprocal obligations, at the same percentage rates as uniQure, to pay uniQure royalties and sublicensing consideration for sublicensing certain intellectual property rights licensed under the Amended uniQure Agreement or the Second uniQure Agreement to third parties.</w:t>
      </w:r>
    </w:p>
    <w:p>
      <w:pPr>
        <w:spacing w:after="0" w:line="179" w:lineRule="exact"/>
        <w:rPr>
          <w:sz w:val="20"/>
          <w:szCs w:val="20"/>
          <w:color w:val="auto"/>
        </w:rPr>
      </w:pPr>
    </w:p>
    <w:p>
      <w:pPr>
        <w:ind w:left="120" w:firstLine="551"/>
        <w:spacing w:after="0" w:line="263" w:lineRule="auto"/>
        <w:rPr>
          <w:sz w:val="20"/>
          <w:szCs w:val="20"/>
          <w:color w:val="auto"/>
        </w:rPr>
      </w:pPr>
      <w:r>
        <w:rPr>
          <w:rFonts w:ascii="Arial" w:cs="Arial" w:eastAsia="Arial" w:hAnsi="Arial"/>
          <w:sz w:val="17"/>
          <w:szCs w:val="17"/>
          <w:color w:val="auto"/>
        </w:rPr>
        <w:t>The Company concluded that the Amended uniQure Agreement and the Second uniQure Agreement should be accounted for as one combined contract that should be accounted for as a separate contract from the uniQure Agreement given that the incremental licensed intellectual property rights and research and development services are distinct from the rights and services previously transferred to uniQure under the uniQure Agreement and the transaction price increased by an amount that equals the standalone selling price of the incremental rights and services to be transferred to uniQure under the Amended uniQure Agreement and Second uniQure Agreement.</w:t>
      </w:r>
    </w:p>
    <w:p>
      <w:pPr>
        <w:spacing w:after="0" w:line="157" w:lineRule="exact"/>
        <w:rPr>
          <w:sz w:val="20"/>
          <w:szCs w:val="20"/>
          <w:color w:val="auto"/>
        </w:rPr>
      </w:pPr>
    </w:p>
    <w:p>
      <w:pPr>
        <w:ind w:left="120" w:right="100" w:firstLine="551"/>
        <w:spacing w:after="0" w:line="276" w:lineRule="auto"/>
        <w:rPr>
          <w:sz w:val="20"/>
          <w:szCs w:val="20"/>
          <w:color w:val="auto"/>
        </w:rPr>
      </w:pPr>
      <w:r>
        <w:rPr>
          <w:rFonts w:ascii="Arial" w:cs="Arial" w:eastAsia="Arial" w:hAnsi="Arial"/>
          <w:sz w:val="18"/>
          <w:szCs w:val="18"/>
          <w:color w:val="auto"/>
        </w:rPr>
        <w:t>Neither party was required to pay monetary consideration in connection with the execution of the Amended uniQure Agreement or the Second uniQure Agreement or for subsequent performance by</w:t>
      </w:r>
    </w:p>
    <w:p>
      <w:pPr>
        <w:spacing w:after="0" w:line="7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080"/>
          </w:cols>
          <w:pgMar w:left="320" w:top="455" w:right="499" w:bottom="1440" w:gutter="0" w:footer="0" w:header="0"/>
        </w:sectPr>
      </w:pPr>
    </w:p>
    <w:bookmarkStart w:id="269" w:name="page270"/>
    <w:bookmarkEnd w:id="2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20"/>
        <w:spacing w:after="0" w:line="248" w:lineRule="auto"/>
        <w:rPr>
          <w:sz w:val="20"/>
          <w:szCs w:val="20"/>
          <w:color w:val="auto"/>
        </w:rPr>
      </w:pPr>
      <w:r>
        <w:rPr>
          <w:rFonts w:ascii="Arial" w:cs="Arial" w:eastAsia="Arial" w:hAnsi="Arial"/>
          <w:sz w:val="18"/>
          <w:szCs w:val="18"/>
          <w:color w:val="auto"/>
        </w:rPr>
        <w:t>the parties under those agreements, notwithstanding the potential future royalty and sublicense consideration described above. The fair value of the non-monetary consideration given by uniQure to the Company, for the intellectual property right is $5.1 million. This intellectual property right is considered to be an in-process research and development asset with no alternative future use and, accordingly, was written off as acquired in-process research and development expense in the year ended December 31, 2019.</w:t>
      </w:r>
    </w:p>
    <w:p>
      <w:pPr>
        <w:spacing w:after="0" w:line="170" w:lineRule="exact"/>
        <w:rPr>
          <w:sz w:val="20"/>
          <w:szCs w:val="20"/>
          <w:color w:val="auto"/>
        </w:rPr>
      </w:pPr>
    </w:p>
    <w:p>
      <w:pPr>
        <w:ind w:left="120" w:right="20" w:firstLine="551"/>
        <w:spacing w:after="0" w:line="263" w:lineRule="auto"/>
        <w:rPr>
          <w:sz w:val="20"/>
          <w:szCs w:val="20"/>
          <w:color w:val="auto"/>
        </w:rPr>
      </w:pPr>
      <w:r>
        <w:rPr>
          <w:rFonts w:ascii="Arial" w:cs="Arial" w:eastAsia="Arial" w:hAnsi="Arial"/>
          <w:sz w:val="17"/>
          <w:szCs w:val="17"/>
          <w:color w:val="auto"/>
        </w:rPr>
        <w:t>The incremental transaction price described in the paragraph above was recorded as deferred revenue given that the Company identified one single combined performance obligation under ASC 606, which includes the licenses to the New Variants, research services and participation in the joint steering committee (“JSC”). Revenue will be recognized using the input method based on actual costs incurred as a percentage of total budgeted costs as the Company completes its performance obligation. Based on the current estimated timelines, the deferred revenue is expected to be recognized as revenue over approximately three to four years from December 31, 2019.</w:t>
      </w:r>
    </w:p>
    <w:p>
      <w:pPr>
        <w:spacing w:after="0" w:line="157"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The Company determined the transaction price using the risk adjusted net present value analysis (“rNPV”) methodology to value the elimination of the uniQure exclusivity clause and other material rights received by the Company, including the potential royalties the Company would receive from uniQure. The rNPVs incorporate estimates and assumptions including the number of products the Company and uniQure would develop, the risk-adjusted probability of successfully developing a biopharmaceutical product, the probability that uniQure will develop a product, the research and development costs, the potential worldwide sales and associated commercialization costs, corporate tax rate, and discount rate.</w:t>
      </w:r>
    </w:p>
    <w:p>
      <w:pPr>
        <w:spacing w:after="0" w:line="174" w:lineRule="exact"/>
        <w:rPr>
          <w:sz w:val="20"/>
          <w:szCs w:val="20"/>
          <w:color w:val="auto"/>
        </w:rPr>
      </w:pPr>
    </w:p>
    <w:p>
      <w:pPr>
        <w:ind w:left="120" w:right="80" w:firstLine="551"/>
        <w:spacing w:after="0" w:line="239" w:lineRule="auto"/>
        <w:rPr>
          <w:sz w:val="20"/>
          <w:szCs w:val="20"/>
          <w:color w:val="auto"/>
        </w:rPr>
      </w:pPr>
      <w:r>
        <w:rPr>
          <w:rFonts w:ascii="Arial" w:cs="Arial" w:eastAsia="Arial" w:hAnsi="Arial"/>
          <w:sz w:val="18"/>
          <w:szCs w:val="18"/>
          <w:color w:val="auto"/>
        </w:rPr>
        <w:t>During the years ended December 31, 2018 and 2019, the Company recognized revenue of $0.1 million and less than $0.1 million under the uniQure Agreement, respectively. During the year ended December 31, 2019, no revenue has been recognized in connection with the Amended uniQure Agreement or Second uniQure Agreement. During the nine months ended September 30, 2019, the Company recognized revenue of less than $0.1 million (unaudited) in connection with the uniQure Agreement. During the nine months ended September 30, 2020, the Company recognized revenue of</w:t>
      </w:r>
    </w:p>
    <w:p>
      <w:pPr>
        <w:spacing w:after="0" w:line="4"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$0.5 million (unaudited) in connection with the Amended uniQure Agreement and Second uniQure Agreement. As of December 31, 2018, December 31 2019 and September 30, 2020, deferred revenue relating to uniQure was $0, $5.1 million and $4.6 million (unaudited), respectively. There were no amounts due from uniQure under the uniQure Agreement, Amended uniQure Agreement or Second uniQure Agreement as of December 31, 2018, December 31, 2019 and September 30, 2020 (unaudited). As of December 31, 2019, the aggregate amount of the transaction price allocated to the remaining performance obligation was $5.1 million. No adjustment was necessary upon adoption of ASC 606 because the uniQure Agreement was substantially completed as of January 1, 2019.</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Benitec</w:t>
      </w:r>
    </w:p>
    <w:p>
      <w:pPr>
        <w:spacing w:after="0" w:line="106"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In November 2014, the Company and Benitec Biopharma Limited (“Benitec”) entered into a collaboration and license agreement to collaborate on the discovery and non-clinical research activities related to the Company’s Therapeutic Vector Evolution platform in order to generate and validate vectors for gene delivery to treat certain ophthalmic diseases (the “Benitec Agreement”). Benitec has the option of nominating up to three project variants as part of the Benitec Agreement.</w:t>
      </w:r>
    </w:p>
    <w:p>
      <w:pPr>
        <w:spacing w:after="0" w:line="170" w:lineRule="exact"/>
        <w:rPr>
          <w:sz w:val="20"/>
          <w:szCs w:val="20"/>
          <w:color w:val="auto"/>
        </w:rPr>
      </w:pPr>
    </w:p>
    <w:p>
      <w:pPr>
        <w:ind w:left="120" w:right="220" w:firstLine="551"/>
        <w:spacing w:after="0" w:line="277" w:lineRule="auto"/>
        <w:rPr>
          <w:sz w:val="20"/>
          <w:szCs w:val="20"/>
          <w:color w:val="auto"/>
        </w:rPr>
      </w:pPr>
      <w:r>
        <w:rPr>
          <w:rFonts w:ascii="Arial" w:cs="Arial" w:eastAsia="Arial" w:hAnsi="Arial"/>
          <w:sz w:val="17"/>
          <w:szCs w:val="17"/>
          <w:color w:val="auto"/>
        </w:rPr>
        <w:t>The Benitec Agreement provides Benitec with a temporary research license as well as an exclusive development and commercialization license for each project variant selected to further develop. The initial research term is two years and is automatically extended in six-month increments, if necessary, in order to complete additional required studies, for a maximum of five years. Once the</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00"/>
          </w:cols>
          <w:pgMar w:left="320" w:top="455" w:right="479" w:bottom="1440" w:gutter="0" w:footer="0" w:header="0"/>
        </w:sectPr>
      </w:pPr>
    </w:p>
    <w:bookmarkStart w:id="270" w:name="page271"/>
    <w:bookmarkEnd w:id="2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340"/>
        <w:spacing w:after="0" w:line="276" w:lineRule="auto"/>
        <w:rPr>
          <w:sz w:val="20"/>
          <w:szCs w:val="20"/>
          <w:color w:val="auto"/>
        </w:rPr>
      </w:pPr>
      <w:r>
        <w:rPr>
          <w:rFonts w:ascii="Arial" w:cs="Arial" w:eastAsia="Arial" w:hAnsi="Arial"/>
          <w:sz w:val="18"/>
          <w:szCs w:val="18"/>
          <w:color w:val="auto"/>
        </w:rPr>
        <w:t>Company’s research plan has concluded, Benitec is solely responsible for the continued development, manufacturing and commercialization of the project variants as potential product candidates.</w:t>
      </w:r>
    </w:p>
    <w:p>
      <w:pPr>
        <w:spacing w:after="0" w:line="145" w:lineRule="exact"/>
        <w:rPr>
          <w:sz w:val="20"/>
          <w:szCs w:val="20"/>
          <w:color w:val="auto"/>
        </w:rPr>
      </w:pPr>
    </w:p>
    <w:p>
      <w:pPr>
        <w:jc w:val="both"/>
        <w:ind w:left="120" w:right="480" w:firstLine="551"/>
        <w:spacing w:after="0" w:line="255" w:lineRule="auto"/>
        <w:rPr>
          <w:sz w:val="20"/>
          <w:szCs w:val="20"/>
          <w:color w:val="auto"/>
        </w:rPr>
      </w:pPr>
      <w:r>
        <w:rPr>
          <w:rFonts w:ascii="Arial" w:cs="Arial" w:eastAsia="Arial" w:hAnsi="Arial"/>
          <w:sz w:val="18"/>
          <w:szCs w:val="18"/>
          <w:color w:val="auto"/>
        </w:rPr>
        <w:t>Pursuant to the Benitec Agreement, the Company received as consideration (i) an upfront payment of $0.5 million, (ii) capped research and development service fees based in part on prescribed full-time equivalent labor rates and (iii) reimbursements of pass-through and overhead costs incurred on behalf of Benitec.</w:t>
      </w:r>
    </w:p>
    <w:p>
      <w:pPr>
        <w:spacing w:after="0" w:line="164" w:lineRule="exact"/>
        <w:rPr>
          <w:sz w:val="20"/>
          <w:szCs w:val="20"/>
          <w:color w:val="auto"/>
        </w:rPr>
      </w:pPr>
    </w:p>
    <w:p>
      <w:pPr>
        <w:ind w:left="120" w:right="340" w:firstLine="551"/>
        <w:spacing w:after="0" w:line="248" w:lineRule="auto"/>
        <w:rPr>
          <w:sz w:val="20"/>
          <w:szCs w:val="20"/>
          <w:color w:val="auto"/>
        </w:rPr>
      </w:pPr>
      <w:r>
        <w:rPr>
          <w:rFonts w:ascii="Arial" w:cs="Arial" w:eastAsia="Arial" w:hAnsi="Arial"/>
          <w:sz w:val="18"/>
          <w:szCs w:val="18"/>
          <w:color w:val="auto"/>
        </w:rPr>
        <w:t>On January 24, 2017, the Benitec Agreement was amended to give Benitec sole responsibility for the performance of certain research work which would have generated research services revenue for the Company under the original agreement. Pursuant to the amendment, the Company received $0.5 million as consideration. This $0.5 million was recorded as deferred revenue and is being recognized over the same period as the upfront payment.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March 2019, the Benitec Agreement was terminated based on mutual agreement between the Company and Benitec.</w:t>
      </w:r>
    </w:p>
    <w:p>
      <w:pPr>
        <w:spacing w:after="0" w:line="21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 xml:space="preserve">Under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the payments of $1.0 million were recorded as deferred revenue and were being recognized on a ratable basis over the estimated performance period of five years. Payments and reimbursements for research costs, including pass-through and other out-of-pocket costs, were recognized on an as-incurred basis under ASC 605. Under ASC 606, the Company uses the input method to measure progress toward completion of the performance obligation and concluded that revenue will be recognized based on actual costs incurred as a percentage of total budgeted costs as the Company completes its performance obligation. Upon the adoption of ASC 606 on January 1, 2019, the Company recorded an additional $0.2 million of cumulative revenue through a decrease in deferred revenue and decrease in the beginning accumulated deficit, based on the difference between the input method used under ASC 606 and the ratable recognition previously used under ASC 605.</w:t>
      </w:r>
    </w:p>
    <w:p>
      <w:pPr>
        <w:spacing w:after="0" w:line="180"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color w:val="auto"/>
        </w:rPr>
        <w:t>The Company identified one combined performance obligation to provide the research license, exclusive development and commercialization licenses for each project variance selected to further develop, research services and participation in the JSC. The transaction price included the $1.0 million non-refundable upfront fees and $2.4 million reimbursement for costs incurred and the value of labor hours expended. The Company excluded any consideration related to sales-based milestones, including royalties, which are recognized when the related sales occur. For the year ended December 31, 2019, there was no change in the transaction price.</w:t>
      </w:r>
    </w:p>
    <w:p>
      <w:pPr>
        <w:spacing w:after="0" w:line="172"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color w:val="auto"/>
        </w:rPr>
        <w:t>During the years ended December 31, 2018 and 2019, the Company recognized revenue of $0.2 million and less than $0.1 million under the Benitec Agreement, respectively. During the nine months ended September 30, 2019 and September 30, 2020, the Company recognized revenue of less than $0.1 million (unaudited) and $0 (unaudited), respectively. As of December 31, 2018, December 31, 2019 and September 30, 2020, deferred revenue relating to the Benitec Agreement was $0.2 million, $0 and $0 (unaudited), respectively. There were no amounts due from Benitec under the Benitec Agreement as of December 31, 2018, December 31, 2019 and September 30, 2020 (unaudited), respectively. Upon termination of the Benitec Agreement in March 2019, the Company had no further obligations impacting revenue recognition.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AGTC</w:t>
      </w:r>
    </w:p>
    <w:p>
      <w:pPr>
        <w:spacing w:after="0" w:line="106" w:lineRule="exact"/>
        <w:rPr>
          <w:sz w:val="20"/>
          <w:szCs w:val="20"/>
          <w:color w:val="auto"/>
        </w:rPr>
      </w:pPr>
    </w:p>
    <w:p>
      <w:pPr>
        <w:ind w:left="120" w:right="280" w:firstLine="551"/>
        <w:spacing w:after="0" w:line="255" w:lineRule="auto"/>
        <w:rPr>
          <w:sz w:val="20"/>
          <w:szCs w:val="20"/>
          <w:color w:val="auto"/>
        </w:rPr>
      </w:pPr>
      <w:r>
        <w:rPr>
          <w:rFonts w:ascii="Arial" w:cs="Arial" w:eastAsia="Arial" w:hAnsi="Arial"/>
          <w:sz w:val="18"/>
          <w:szCs w:val="18"/>
          <w:color w:val="auto"/>
        </w:rPr>
        <w:t>In April 2015, the Company entered into a collaboration and option agreement with Applied Genetic Technologies Corporation (“AGTC”) to discover and develop optimized AAV vectors to treat specific ophthalmic disease indications with high unmet medical need (the “AGTC Agreement”). The</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20"/>
          </w:cols>
          <w:pgMar w:left="320" w:top="455" w:right="459" w:bottom="1440" w:gutter="0" w:footer="0" w:header="0"/>
        </w:sectPr>
      </w:pPr>
    </w:p>
    <w:bookmarkStart w:id="271" w:name="page272"/>
    <w:bookmarkEnd w:id="2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AGTC Agreement included both a research funding component as well as a licensing component, wherein AGTC was granted the option to license up to three resulting project variants for up to six products for further development and commercialization. The AGTC Agreement expired in October 2018 when AGTC did not exercise their option to license during the option period.</w:t>
      </w:r>
    </w:p>
    <w:p>
      <w:pPr>
        <w:spacing w:after="0" w:line="16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accordance with ASC 605, the Company identified the following deliverables at the inception of the AGTC Agreement: (i) the research license, (ii) research services, and (iii) participation in a joint research steering committee. The Company determined that neither the research license nor participation in the joint research steering committee has stand-alone value to AGTC due to the specialized nature of the research services to be provided by the Company, and accordingly, this deliverable was combined with the research services as a single unit of accounting. Further, at the inception of the AGTC Agreement, AGTC’s options to obtain an exclusive development and commercialization license for each research project target did not represent deliverables because they are substantive options and do not contain a significant or incremental discount. No adjustment was necessary upon adoption of ASC 606. The Company elected to use the practical expedients permitted related to adoption, which do not require the Company to apply the revenue standard to contracts that are completed as of the date of initial application.</w:t>
      </w:r>
    </w:p>
    <w:p>
      <w:pPr>
        <w:spacing w:after="0" w:line="176"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color w:val="auto"/>
        </w:rPr>
        <w:t>Pursuant to the AGTC Agreement, the Company received two upfront payments totaling $3.0 million as consideration. The upfront payments of $3.0 million were recorded as deferred revenue and were recognized on a ratable basis over the estimated performance period of three years.</w:t>
      </w:r>
    </w:p>
    <w:p>
      <w:pPr>
        <w:spacing w:after="0" w:line="164"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Revenue was fully recognized on the AGTC Agreement in the year ended December 31, 2018. During the years ended December 31, 2018 and 2019, the Company recognized revenue of $0.3 million and $0, respectively. As of December 31, 2018, December 31, 2019 and September 30, 2020 (unaudited), deferred revenue relating to the AGTC Agreement was $0. No amount was due from AGTC under the AGTC Agreement as of December 31, 2018, December 31, 2019 and September 30, 2020 (unaudited).</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CRF</w:t>
      </w:r>
    </w:p>
    <w:p>
      <w:pPr>
        <w:spacing w:after="0" w:line="106"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In November 2015, the Company entered into a research funding and collaboration agreement (the “CRF Agreement”) with the Choroideremia Research Foundation (“CRF”), a non-profit organization dedicated to finding a cure for choroideremia, a rare inherited disorder that causes progressive vision loss, ultimately leading to complete blindness. The goal of the CRF Agreement is for CRF to contribute funding to help with the advancement of the Company’s choroideremia research program. The Company is responsible for all decision making and execution of any and all of the related activities to be completed in its sole discretion. The initial term of the CRF Research Plan is two years. The agreement includes contribution to CRF of up to $2.5 million upon certain development or approval milestones. The overall arrangement has automatic extensions of up to three additional years. As of December 31, 2019 and September 30, 2020 (unaudited), no milestones have been achieved.</w:t>
      </w:r>
    </w:p>
    <w:p>
      <w:pPr>
        <w:spacing w:after="0" w:line="180" w:lineRule="exact"/>
        <w:rPr>
          <w:sz w:val="20"/>
          <w:szCs w:val="20"/>
          <w:color w:val="auto"/>
        </w:rPr>
      </w:pPr>
    </w:p>
    <w:p>
      <w:pPr>
        <w:jc w:val="both"/>
        <w:ind w:left="120" w:right="20" w:firstLine="551"/>
        <w:spacing w:after="0" w:line="255" w:lineRule="auto"/>
        <w:rPr>
          <w:sz w:val="20"/>
          <w:szCs w:val="20"/>
          <w:color w:val="auto"/>
        </w:rPr>
      </w:pPr>
      <w:r>
        <w:rPr>
          <w:rFonts w:ascii="Arial" w:cs="Arial" w:eastAsia="Arial" w:hAnsi="Arial"/>
          <w:sz w:val="18"/>
          <w:szCs w:val="18"/>
          <w:color w:val="auto"/>
        </w:rPr>
        <w:t>Revenue was fully recognized for this agreement in the year ended December 31, 2017. There was no deferred revenue relating to the CRF Agreement as of December 31, 2018, December 31, 2019 and September 30, 2020 (unaudited). No amount was due from CRF under the CRF Agreement as of December 31, 2018, December 31, 2019 and September 30, 2020 (unaudited).</w:t>
      </w:r>
    </w:p>
    <w:p>
      <w:pPr>
        <w:spacing w:after="0" w:line="164" w:lineRule="exact"/>
        <w:rPr>
          <w:sz w:val="20"/>
          <w:szCs w:val="20"/>
          <w:color w:val="auto"/>
        </w:rPr>
      </w:pPr>
    </w:p>
    <w:p>
      <w:pPr>
        <w:jc w:val="both"/>
        <w:ind w:left="120" w:right="20" w:firstLine="551"/>
        <w:spacing w:after="0" w:line="276" w:lineRule="auto"/>
        <w:rPr>
          <w:sz w:val="20"/>
          <w:szCs w:val="20"/>
          <w:color w:val="auto"/>
        </w:rPr>
      </w:pPr>
      <w:r>
        <w:rPr>
          <w:rFonts w:ascii="Arial" w:cs="Arial" w:eastAsia="Arial" w:hAnsi="Arial"/>
          <w:sz w:val="18"/>
          <w:szCs w:val="18"/>
          <w:color w:val="auto"/>
        </w:rPr>
        <w:t>No adjustment was necessary upon adoption of ASC 606. The Company elected to use the practical expedient permitted related to adoption, which does not require the Company to apply ASC 606 to contracts that are completed as of the date of initial application.</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00"/>
          </w:cols>
          <w:pgMar w:left="320" w:top="455" w:right="479" w:bottom="1440" w:gutter="0" w:footer="0" w:header="0"/>
        </w:sectPr>
      </w:pPr>
    </w:p>
    <w:bookmarkStart w:id="272" w:name="page273"/>
    <w:bookmarkEnd w:id="2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Pfizer</w:t>
      </w:r>
    </w:p>
    <w:p>
      <w:pPr>
        <w:spacing w:after="0" w:line="106"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In December 2015, the Company signed a collaboration and license agreement (the “Pfizer Agreement”) with Pfizer, Inc. (“Pfizer”). Under the terms of the Pfizer Agreement, the Company agreed to deploy its Therapeutic Vector Evolution platform to generate and validate up to three project variants for gene delivery to treat diseases in cardiac tissue. Once the Company’s research activities concluded, Pfizer would be solely responsible for the continued development, manufacturing and commercialization of the project variants as potential product candidates.</w:t>
      </w:r>
    </w:p>
    <w:p>
      <w:pPr>
        <w:spacing w:after="0" w:line="172"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Pursuant to the Pfizer Agreement, the Company received a non-refundable upfront payment of $5.0 million as consideration. No revenue was recognized under the Pfizer Agreement until Pfizer terminated this agreement for convenience in December 2018. The entire upfront payment of $ 5.0 million was recognized as revenue in December 2018 as the Company had no further obligations impacting revenue recognition. As of December 31, 2018, December 31, 2019 and September 30, 2020 (uanudited), deferred revenue relating to the Pfizer Agreement was $0. No amount was due from Pfizer under the Pfizer Agreement as of December 31, 2018, December 31, 2019 and September 30, 2020 (unaudited).</w:t>
      </w:r>
    </w:p>
    <w:p>
      <w:pPr>
        <w:spacing w:after="0" w:line="174" w:lineRule="exact"/>
        <w:rPr>
          <w:sz w:val="20"/>
          <w:szCs w:val="20"/>
          <w:color w:val="auto"/>
        </w:rPr>
      </w:pPr>
    </w:p>
    <w:p>
      <w:pPr>
        <w:ind w:left="120" w:right="40" w:firstLine="551"/>
        <w:spacing w:after="0" w:line="276" w:lineRule="auto"/>
        <w:rPr>
          <w:sz w:val="20"/>
          <w:szCs w:val="20"/>
          <w:color w:val="auto"/>
        </w:rPr>
      </w:pPr>
      <w:r>
        <w:rPr>
          <w:rFonts w:ascii="Arial" w:cs="Arial" w:eastAsia="Arial" w:hAnsi="Arial"/>
          <w:sz w:val="18"/>
          <w:szCs w:val="18"/>
          <w:color w:val="auto"/>
        </w:rPr>
        <w:t>No adjustment was necessary upon adoption of ASC 606. The Company elected to use the practical expedient permitted related to adoption, which does not require the Company to apply ASC 606 to contracts that are completed as of the date of initial application.</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Roche</w:t>
      </w:r>
    </w:p>
    <w:p>
      <w:pPr>
        <w:spacing w:after="0" w:line="106"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In November 2017, the Company entered into a collaboration and license agreement with F. Hoffmann-La Roche Ltd and Hoffmann-La Roche Inc. (together, “Roche”) to discover and develop products containing optimized next generation AAV Vectors focused on ophthalmological diseases and disorders excluding select criteria (the “2017 Roche Agreement”). The Company and Roche both have the ability to nominate products to discover, develop and commercialize.</w:t>
      </w:r>
    </w:p>
    <w:p>
      <w:pPr>
        <w:spacing w:after="0" w:line="170" w:lineRule="exact"/>
        <w:rPr>
          <w:sz w:val="20"/>
          <w:szCs w:val="20"/>
          <w:color w:val="auto"/>
        </w:rPr>
      </w:pPr>
    </w:p>
    <w:p>
      <w:pPr>
        <w:ind w:left="120" w:right="300" w:firstLine="551"/>
        <w:spacing w:after="0" w:line="245" w:lineRule="auto"/>
        <w:rPr>
          <w:sz w:val="20"/>
          <w:szCs w:val="20"/>
          <w:color w:val="auto"/>
        </w:rPr>
      </w:pPr>
      <w:r>
        <w:rPr>
          <w:rFonts w:ascii="Arial" w:cs="Arial" w:eastAsia="Arial" w:hAnsi="Arial"/>
          <w:sz w:val="18"/>
          <w:szCs w:val="18"/>
          <w:color w:val="auto"/>
        </w:rPr>
        <w:t>At the effective date, choroideremia was designated a Roche product. The Company is responsible for conducting research and development services prior to pivotal clinical studies, and Roche is responsible for conducting subsequent development and commercialization activities. In addition, Roche agreed to pay for research and development services at the agreed upon full-time employee rate for work performed for choroideremia under the 2017 Roche Agreement, except for the costs associated with the manufacturing work for choroideremia.</w:t>
      </w:r>
    </w:p>
    <w:p>
      <w:pPr>
        <w:spacing w:after="0" w:line="172" w:lineRule="exact"/>
        <w:rPr>
          <w:sz w:val="20"/>
          <w:szCs w:val="20"/>
          <w:color w:val="auto"/>
        </w:rPr>
      </w:pPr>
    </w:p>
    <w:p>
      <w:pPr>
        <w:ind w:left="120" w:right="80" w:firstLine="551"/>
        <w:spacing w:after="0" w:line="248" w:lineRule="auto"/>
        <w:rPr>
          <w:sz w:val="20"/>
          <w:szCs w:val="20"/>
          <w:color w:val="auto"/>
        </w:rPr>
      </w:pPr>
      <w:r>
        <w:rPr>
          <w:rFonts w:ascii="Arial" w:cs="Arial" w:eastAsia="Arial" w:hAnsi="Arial"/>
          <w:sz w:val="18"/>
          <w:szCs w:val="18"/>
          <w:color w:val="auto"/>
        </w:rPr>
        <w:t>For any product that the Company nominates and conducts research and development services under the 2017 Roche Agreement prior to pivotal clinical studies, Roche has an option to convert the status of the product to a Roche product during the 90-day option period. If Roche chooses to not exercise its option, the Company can continue subsequent development and commercialization activities and Roche will have no further rights with respect to such product.</w:t>
      </w:r>
    </w:p>
    <w:p>
      <w:pPr>
        <w:spacing w:after="0" w:line="170" w:lineRule="exact"/>
        <w:rPr>
          <w:sz w:val="20"/>
          <w:szCs w:val="20"/>
          <w:color w:val="auto"/>
        </w:rPr>
      </w:pPr>
    </w:p>
    <w:p>
      <w:pPr>
        <w:jc w:val="both"/>
        <w:ind w:left="120" w:right="180" w:firstLine="551"/>
        <w:spacing w:after="0" w:line="257" w:lineRule="auto"/>
        <w:rPr>
          <w:sz w:val="20"/>
          <w:szCs w:val="20"/>
          <w:color w:val="auto"/>
        </w:rPr>
      </w:pPr>
      <w:r>
        <w:rPr>
          <w:rFonts w:ascii="Arial" w:cs="Arial" w:eastAsia="Arial" w:hAnsi="Arial"/>
          <w:sz w:val="17"/>
          <w:szCs w:val="17"/>
          <w:color w:val="auto"/>
        </w:rPr>
        <w:t>Pursuant to the 2017 Roche Agreement, the Company received an upfront payment of $21.0 million as consideration. In addition, the Company is entitled to contingent payments including (i) $1.0 million for each Roche nominated product beyond the first three, (ii) up to $30.0 million upon exercise of the option to convert a product the Company nominated and developed prior to pivotal clinical studies</w:t>
      </w:r>
    </w:p>
    <w:p>
      <w:pPr>
        <w:spacing w:after="0" w:line="2" w:lineRule="exact"/>
        <w:rPr>
          <w:sz w:val="20"/>
          <w:szCs w:val="20"/>
          <w:color w:val="auto"/>
        </w:rPr>
      </w:pPr>
    </w:p>
    <w:p>
      <w:pPr>
        <w:ind w:left="120" w:right="20" w:hanging="4"/>
        <w:spacing w:after="0"/>
        <w:tabs>
          <w:tab w:leader="none" w:pos="41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development milestone payments of up to $223.0 million, of which $86.0 million relates to choroideremia and the rest relate to other licensed products; and (iv) sales-based milestones of up to $123.0 million in connection with licensed products. The 2017 Roche Agreement also includes provisions that entitle the Company to receive royalty payments ranging from the mid-single digits to the mid-teens for the net sales of the licensed products, in each case subject to the reductions in accordance with the terms of the agreement.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20"/>
          </w:cols>
          <w:pgMar w:left="320" w:top="455" w:right="459" w:bottom="1440" w:gutter="0" w:footer="0" w:header="0"/>
        </w:sectPr>
      </w:pPr>
    </w:p>
    <w:bookmarkStart w:id="273" w:name="page274"/>
    <w:bookmarkEnd w:id="2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80" w:firstLine="551"/>
        <w:spacing w:after="0" w:line="241" w:lineRule="auto"/>
        <w:rPr>
          <w:sz w:val="20"/>
          <w:szCs w:val="20"/>
          <w:color w:val="auto"/>
        </w:rPr>
      </w:pPr>
      <w:r>
        <w:rPr>
          <w:rFonts w:ascii="Arial" w:cs="Arial" w:eastAsia="Arial" w:hAnsi="Arial"/>
          <w:sz w:val="18"/>
          <w:szCs w:val="18"/>
          <w:color w:val="auto"/>
        </w:rPr>
        <w:t>Under ASC 605, the upfront payment of $21.0 million was recorded as deferred revenue and was being recognized on a ratable basis over the estimated performance period of five and a half years. Under ASC 606, the Company uses the input method to measure progress toward completion of the performance obligation and concluded that revenue will be recognized based on actual resources consumed, labor hours expended and costs incurred as a percentage of total budgeted costs. Upon the adoption of ASC 606, the Company recognized an additional $0.4 million of cumulative revenue through a decrease to deferred revenue and a decrease in the beginning accumulated deficit, based on the difference between the input method used under ASC 606 and the ratable recognition previously used under ASC 605.</w:t>
      </w:r>
    </w:p>
    <w:p>
      <w:pPr>
        <w:spacing w:after="0" w:line="179"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Under ASC 606, the Company identified one single combined performance obligation for the license, research services and participation in the JSC. Furthermore, the Company concluded that at the inception of the agreement, Roche’s option, exercisable prior to pivotal clinical study initiation, does not represent a material right and should be allocated to the single performance obligation and recognized as revenue upon Roche’s exercise of the option. The transaction price related to the agreement upon adoption of ASC 606 included the $21.0 million non-refundable upfront fee and $10.7 million for estimated reimbursements for research and development services at the agreed upon full-time employee rate and third party costs. The Company’s contract with Roche does not include a significant financing component. The Company concluded that the transaction price should not include the variable consideration related to development milestones as they were considered to be constrained as it is probable that the inclusion of such variable consideration could result in a significant reversal of cumulative revenue in the future. The Company excluded any consideration related to sales-based milestones, including royalties, which are recognized when the related sales occur. The transaction price and estimated period of performance will be re-evaluated at each reporting period. For the year ended December 31, 2019, an adjustment of $4.5 million was made to the transaction price to reflect an increase in the scope of the project and expected reimbursable costs. For the nine months ended September 30, 2019, an adjustment of $4.2 million (unaudited) was made to the transaction price to reflect an increase in the scope of the project and expected reimbursable costs. For the nine months ended September 30, 2020, an adjustment of $15.1 million (unaudited) was made to the transaction price to reflect an increase of $5.1 million (unaudited) in the scope of the project and expected reimbursable costs and the addition of $10.0 million (unaudited) of variable consideration as the uncertainty associated with two development milestones was resolved. The increase in the transaction price and total budgeted costs resulted in a $ 1.6 million decrease in revenue recognized in the year ended December 31, 2019 related to performance obligations partially satisfied in periods prior to January 1, 2019. For the nine months ended September 30, 2019 and 2020, the change in the transaction price and total budgeted costs resulted in a decrease of $1.5 million (unaudited) and an increase of $7.1 million (unaudited) in revenue recognized related to performance obligations partially satisfied in periods prior to January 1, 2019 and January 1, 2020, respectively.</w:t>
      </w:r>
    </w:p>
    <w:p>
      <w:pPr>
        <w:spacing w:after="0" w:line="176"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During the years ended December 31, 2018 and 2019, the Company recognized revenue of $7.5 million and $6.3 million, respectively. During the nine months ended September 30, 2019 and 2020, the Company recognized revenue of $4.4 million (unaudited) and $14.2 million (unaudited), respectively. As of December 31, 2018, December 31, 2019 and September 30, 2020, deferred revenue relating to the Roche Agreement was $17.1 million, $13.6 million and $11.9 million (unaudited), respectively. Accounts receivable from Roche under this agreement as of December 31, 2018, December 31, 2019 and September 30, 2020 was $1.1 million, $0.6 million and $0.9 million (unaudited), respectively. As of December 31, 2019 and September 30, 2020, the aggregate amount of the transaction price allocated to the remaining performance obligation was $21.6 million and $22.6 million (unaudited), respectively. Based on current timelines, the deferred revenue is expected to be recognized as revenue over the next four to six years as the Company continues to develop nominated products until the initiation of pivotal studies.</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20"/>
          </w:cols>
          <w:pgMar w:left="320" w:top="455" w:right="459" w:bottom="1440" w:gutter="0" w:footer="0" w:header="0"/>
        </w:sectPr>
      </w:pPr>
    </w:p>
    <w:bookmarkStart w:id="274" w:name="page275"/>
    <w:bookmarkEnd w:id="2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CFFT</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September 2016, the Company entered into an award agreement for the Optimized Adeno-Associated Virus for Lung Epithelia</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Gene Delivery Development Program with CFFT, a non-profit organization dedicated to finding a cure for cystic fibrosis, an inherited</w:t>
      </w:r>
    </w:p>
    <w:p>
      <w:pPr>
        <w:ind w:left="120"/>
        <w:spacing w:after="0" w:line="234" w:lineRule="auto"/>
        <w:rPr>
          <w:sz w:val="20"/>
          <w:szCs w:val="20"/>
          <w:color w:val="auto"/>
        </w:rPr>
      </w:pPr>
      <w:r>
        <w:rPr>
          <w:rFonts w:ascii="Arial" w:cs="Arial" w:eastAsia="Arial" w:hAnsi="Arial"/>
          <w:sz w:val="18"/>
          <w:szCs w:val="18"/>
          <w:color w:val="auto"/>
        </w:rPr>
        <w:t>disorder that causes disease in the pulmonary airways leading to morbidity and mortality. Under this agreement, CFFT contributes funding</w:t>
      </w:r>
    </w:p>
    <w:p>
      <w:pPr>
        <w:ind w:left="120"/>
        <w:spacing w:after="0" w:line="235" w:lineRule="auto"/>
        <w:rPr>
          <w:sz w:val="20"/>
          <w:szCs w:val="20"/>
          <w:color w:val="auto"/>
        </w:rPr>
      </w:pPr>
      <w:r>
        <w:rPr>
          <w:rFonts w:ascii="Arial" w:cs="Arial" w:eastAsia="Arial" w:hAnsi="Arial"/>
          <w:sz w:val="18"/>
          <w:szCs w:val="18"/>
          <w:color w:val="auto"/>
        </w:rPr>
        <w:t>to help advance the Company’s CF research program. The agreement was subsequently amended in September 2017 and August 2018</w:t>
      </w:r>
    </w:p>
    <w:p>
      <w:pPr>
        <w:ind w:left="120"/>
        <w:spacing w:after="0" w:line="235" w:lineRule="auto"/>
        <w:rPr>
          <w:sz w:val="20"/>
          <w:szCs w:val="20"/>
          <w:color w:val="auto"/>
        </w:rPr>
      </w:pPr>
      <w:r>
        <w:rPr>
          <w:rFonts w:ascii="Arial" w:cs="Arial" w:eastAsia="Arial" w:hAnsi="Arial"/>
          <w:sz w:val="18"/>
          <w:szCs w:val="18"/>
          <w:color w:val="auto"/>
        </w:rPr>
        <w:t>(all three agreements are collectively referred to as the “CFFT Agreements”). The total amount of the award under the CFFT Agreements</w:t>
      </w:r>
    </w:p>
    <w:p>
      <w:pPr>
        <w:ind w:left="120"/>
        <w:spacing w:after="0" w:line="235" w:lineRule="auto"/>
        <w:rPr>
          <w:sz w:val="20"/>
          <w:szCs w:val="20"/>
          <w:color w:val="auto"/>
        </w:rPr>
      </w:pPr>
      <w:r>
        <w:rPr>
          <w:rFonts w:ascii="Arial" w:cs="Arial" w:eastAsia="Arial" w:hAnsi="Arial"/>
          <w:sz w:val="18"/>
          <w:szCs w:val="18"/>
          <w:color w:val="auto"/>
        </w:rPr>
        <w:t>is $3.5 million. As of December 31, 2018, December 31, 2019 and September 30, 2020, the Company achieved milestones totaling</w:t>
      </w:r>
    </w:p>
    <w:p>
      <w:pPr>
        <w:ind w:left="120"/>
        <w:spacing w:after="0" w:line="235" w:lineRule="auto"/>
        <w:rPr>
          <w:sz w:val="20"/>
          <w:szCs w:val="20"/>
          <w:color w:val="auto"/>
        </w:rPr>
      </w:pPr>
      <w:r>
        <w:rPr>
          <w:rFonts w:ascii="Arial" w:cs="Arial" w:eastAsia="Arial" w:hAnsi="Arial"/>
          <w:sz w:val="18"/>
          <w:szCs w:val="18"/>
          <w:color w:val="auto"/>
        </w:rPr>
        <w:t>$0.6 million, $0.9 million and $0.9 million (unaudited) under the CFFT Agreements, respectively. The remaining award amount will be paid</w:t>
      </w:r>
    </w:p>
    <w:p>
      <w:pPr>
        <w:ind w:left="120"/>
        <w:spacing w:after="0"/>
        <w:rPr>
          <w:sz w:val="20"/>
          <w:szCs w:val="20"/>
          <w:color w:val="auto"/>
        </w:rPr>
      </w:pPr>
      <w:r>
        <w:rPr>
          <w:rFonts w:ascii="Arial" w:cs="Arial" w:eastAsia="Arial" w:hAnsi="Arial"/>
          <w:sz w:val="18"/>
          <w:szCs w:val="18"/>
          <w:color w:val="auto"/>
        </w:rPr>
        <w:t>by CFFT based on achievement of certain development milestones by the Company.</w:t>
      </w:r>
    </w:p>
    <w:p>
      <w:pPr>
        <w:spacing w:after="0" w:line="190"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The Company expects to make payments to CFFT equal to six times the actual award received by the Company in three installments within the first four years of the first commercial sale of a product developed under this agreement. The Company also has agreed to make future sales-based milestone payments to CFFT of up to three times the actual award received upon achieving specified commercialization milestones with respect to the first of any product developed utilizing any compound covered under the collaboration agreement. The CFFT Agreements also require the Company to pay to CFFT royalties of a mid-single digit percentage, up to six times the actual award received, on any amounts received by the Company from the sale, license or transfer to a third-party of rights in the technology developed as a result of this collaboration. Any such royalty payments shall be credited against the payments owed by the Company upon first commercial sale. In the event of a change of control of the Company, CFFT will receive certain payments, depending on the timing of the change of control and the size of the transaction.</w:t>
      </w:r>
    </w:p>
    <w:p>
      <w:pPr>
        <w:spacing w:after="0" w:line="176" w:lineRule="exact"/>
        <w:rPr>
          <w:sz w:val="20"/>
          <w:szCs w:val="20"/>
          <w:color w:val="auto"/>
        </w:rPr>
      </w:pPr>
    </w:p>
    <w:p>
      <w:pPr>
        <w:ind w:left="120" w:right="200" w:firstLine="551"/>
        <w:spacing w:after="0" w:line="276" w:lineRule="auto"/>
        <w:rPr>
          <w:sz w:val="20"/>
          <w:szCs w:val="20"/>
          <w:color w:val="auto"/>
        </w:rPr>
      </w:pPr>
      <w:r>
        <w:rPr>
          <w:rFonts w:ascii="Arial" w:cs="Arial" w:eastAsia="Arial" w:hAnsi="Arial"/>
          <w:sz w:val="18"/>
          <w:szCs w:val="18"/>
          <w:color w:val="auto"/>
        </w:rPr>
        <w:t>To date, the Company has not developed a commercial product in connection with this award agreement, and it has not licensed, sold or otherwise transferred to another party the product developed under the agreement or the underlying technology.</w:t>
      </w:r>
    </w:p>
    <w:p>
      <w:pPr>
        <w:spacing w:after="0" w:line="145"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If at any time prior to the first commercial sale of a product developed as a result of the agreement, the Company ceases to use commercially reasonable efforts to develop or commercialize any product under this agreement for a continuous period of 180 consecutive days and fails to present a reasonable plan to resume commercially reasonable efforts, the Company will grant to CFFT an irrevocable, exclusive worldwide interruption license under all of the Company’s interest in the research plan technology to exploit such product. Any third-party license granted by the Company shall be subject to such interruption license.</w:t>
      </w:r>
    </w:p>
    <w:p>
      <w:pPr>
        <w:spacing w:after="0" w:line="172"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Under ASC 605, the Company recognized revenue under this agreement on a ratable basis over the estimated performance period of all milestones. Under ASC 606, the Company uses the input method to measure progress toward completion of the performance obligation and concluded that revenue will be recognized based on actual resources consumed, labor hours expended and costs incurred as a percentage of total budgeted costs. Upon the adoption of ASC 606, the Company decreased cumulative revenue by $0.2 million through an increase to deferred revenue and an increase to beginning accumulated deficit, based on the difference between the input method under ASC 606 and the ratable recognition previously used under ASC 605.</w:t>
      </w:r>
    </w:p>
    <w:p>
      <w:pPr>
        <w:spacing w:after="0" w:line="174" w:lineRule="exact"/>
        <w:rPr>
          <w:sz w:val="20"/>
          <w:szCs w:val="20"/>
          <w:color w:val="auto"/>
        </w:rPr>
      </w:pPr>
    </w:p>
    <w:p>
      <w:pPr>
        <w:jc w:val="both"/>
        <w:ind w:left="120" w:right="180" w:firstLine="551"/>
        <w:spacing w:after="0" w:line="255" w:lineRule="auto"/>
        <w:rPr>
          <w:sz w:val="20"/>
          <w:szCs w:val="20"/>
          <w:color w:val="auto"/>
        </w:rPr>
      </w:pPr>
      <w:r>
        <w:rPr>
          <w:rFonts w:ascii="Arial" w:cs="Arial" w:eastAsia="Arial" w:hAnsi="Arial"/>
          <w:sz w:val="18"/>
          <w:szCs w:val="18"/>
          <w:color w:val="auto"/>
        </w:rPr>
        <w:t>Under ASC 606, the Company identified one performance obligation within the CFFT grant agreement for research activities. The transaction price related to the agreement upon the adoption of ASC 606 included the $0.6 million non-refundable milestones previously met under the CFFT Agreement. The Company’s contract with CFFT does not include a significant financing component.</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20"/>
          </w:cols>
          <w:pgMar w:left="320" w:top="455" w:right="459" w:bottom="1440" w:gutter="0" w:footer="0" w:header="0"/>
        </w:sectPr>
      </w:pPr>
    </w:p>
    <w:bookmarkStart w:id="275" w:name="page276"/>
    <w:bookmarkEnd w:id="2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80"/>
        <w:spacing w:after="0" w:line="245" w:lineRule="auto"/>
        <w:rPr>
          <w:sz w:val="20"/>
          <w:szCs w:val="20"/>
          <w:color w:val="auto"/>
        </w:rPr>
      </w:pPr>
      <w:r>
        <w:rPr>
          <w:rFonts w:ascii="Arial" w:cs="Arial" w:eastAsia="Arial" w:hAnsi="Arial"/>
          <w:sz w:val="18"/>
          <w:szCs w:val="18"/>
          <w:color w:val="auto"/>
        </w:rPr>
        <w:t>The Company concluded that the transaction price should not include the variable consideration related to future research milestones as they were considered to be constrained as it is probable that the inclusion of such variable consideration could result in a significant reversal of cumulative revenue in the future. The Company will re-evaluate the transaction price and estimated period of performance at each reporting period. For the year ended December 31, 2019, an adjustment of $0.4 million was made to the transaction price to reflect the achievement of the second milestone related to in vivo screening of AAV library under the CFFT agreement.</w:t>
      </w:r>
    </w:p>
    <w:p>
      <w:pPr>
        <w:spacing w:after="0" w:line="172"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During each of the years ended December 31, 2018 and 2019, the Company recognized revenue of $0.1 million. During the nine months ended September 30, 2019 and 2020, the Company recognized revenue of less than $0.1 million (unaudited) and $(0.1) million (unaudited), respectively. As of December 31, 2018, December 31, 2019 and September 30, 2020, deferred revenue relating to the CFFT Agreement was $0.2 million, $0.7 million and $ 0.8 million (unaudited), respectively. Accounts receivable from CFFT under this agreement as of December 31, 2018, December 31, 2019 and September 30, 2020 was $0, $0.4 million and $0 (unaudited), respectively. As of December 31, 2019 and September 30, 2020, the aggregate amount of the transaction price allocated to the remaining performance obligation was $0.7 million and $0.8 million (unaudited), respectively. Based on current timelines, the deferred revenue is expected to be recognized as revenue over the next four to five years as the Company performs research services through the completion of IND-enabling studies.</w:t>
      </w:r>
    </w:p>
    <w:p>
      <w:pPr>
        <w:spacing w:after="0" w:line="176"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The obligation to make payments to CFFT upon a change of control meets the definition of an embedded derivative that is required to be bifurcated and separately accounted for as a derivative liability. The Company determined the estimated fair value of this derivative liability to be $0.1 million as of December 31, 2018, December 31, 2019 and September 30, 2020. See Note 15 for further discussion of the embedded derivative.</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AstraZeneca</w:t>
      </w:r>
    </w:p>
    <w:p>
      <w:pPr>
        <w:spacing w:after="0" w:line="106"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color w:val="auto"/>
        </w:rPr>
        <w:t>In December 2017, the Company entered into a collaboration and option agreement with MedImmune, Inc., the global biologics research and development arm of AstraZeneca, (“AstraZeneca”) to discover and develop optimized AAV vectors to treat specific lung disease indications (the “AstraZeneca Agreement”). The AstraZeneca agreement included both a research funding component as well as a licensing component, wherein AstraZeneca was granted the option to license up to three resulting project vector variants for further development and commercialization.</w:t>
      </w:r>
    </w:p>
    <w:p>
      <w:pPr>
        <w:spacing w:after="0" w:line="172"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color w:val="auto"/>
        </w:rPr>
        <w:t>The initial research term was approximately twelve months with AstraZeneca’s option to extend the term for an additional six months. AstraZeneca requested the six-month extension in October 2018. AstraZeneca’s option to license the resulting project variants expires twelve months after the conclusion of the research phase. Once the Company’s research activities have concluded, AstraZeneca is solely responsible for the continued development, manufacturing and eventual commercialization of the project variants as potential product candidates.</w:t>
      </w:r>
    </w:p>
    <w:p>
      <w:pPr>
        <w:spacing w:after="0" w:line="172"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Pursuant to the AstraZeneca Agreement, the Company received an upfront payment of $1.5 million as consideration. In addition, the Company is entitled to contingent payments including (i) a non-refundable license option exercise fee of $2.0 million and (ii) milestones up to $45.0 million for each product. The AstraZeneca Agreement also includes provisions that entitle the Company to receive royalties in the single digit range on future sales of the potential product candidates.</w:t>
      </w:r>
    </w:p>
    <w:p>
      <w:pPr>
        <w:spacing w:after="0" w:line="170" w:lineRule="exact"/>
        <w:rPr>
          <w:sz w:val="20"/>
          <w:szCs w:val="20"/>
          <w:color w:val="auto"/>
        </w:rPr>
      </w:pPr>
    </w:p>
    <w:p>
      <w:pPr>
        <w:ind w:left="120" w:right="280" w:firstLine="551"/>
        <w:spacing w:after="0" w:line="255" w:lineRule="auto"/>
        <w:rPr>
          <w:sz w:val="20"/>
          <w:szCs w:val="20"/>
          <w:color w:val="auto"/>
        </w:rPr>
      </w:pPr>
      <w:r>
        <w:rPr>
          <w:rFonts w:ascii="Arial" w:cs="Arial" w:eastAsia="Arial" w:hAnsi="Arial"/>
          <w:sz w:val="18"/>
          <w:szCs w:val="18"/>
          <w:color w:val="auto"/>
        </w:rPr>
        <w:t>The Company has identified one single combined performance obligations within the AstraZeneca agreement for the research program license, research and development activities and participation in the joint project team and JSC. The Company concluded that the performance obligations are not distinct and, therefore, should be combined into a single combined performance</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20"/>
          </w:cols>
          <w:pgMar w:left="320" w:top="455" w:right="459" w:bottom="1440" w:gutter="0" w:footer="0" w:header="0"/>
        </w:sectPr>
      </w:pPr>
    </w:p>
    <w:bookmarkStart w:id="276" w:name="page277"/>
    <w:bookmarkEnd w:id="2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obligation. Furthermore, the Company concluded that at the inception of the agreement, AstraZeneca’s license option, does not represent a material right and should be allocated to the single performance obligation and recognized as revenue upon AstraZeneca’s exercise of the Option.</w:t>
      </w:r>
    </w:p>
    <w:p>
      <w:pPr>
        <w:spacing w:after="0" w:line="164"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color w:val="auto"/>
        </w:rPr>
        <w:t>The transaction price related to the agreement consists of the $ 1.5 million non-refundable upfront fee. The Company concluded that the transaction price should not include the variable consideration related to developmental milestones as they were considered to be constrained as it is probable that the inclusion of such variable consideration could result in a significant reversal of cumulative revenue in the future. The Company excluded any consideration related to sales-based milestones, including royalties, which are recognized when the related sales occur. The Company will re-evaluate the transaction price and estimated period of performance at each reporting period. The Company’s contract with AstraZeneca does not include a significant financing component.</w:t>
      </w:r>
    </w:p>
    <w:p>
      <w:pPr>
        <w:spacing w:after="0" w:line="174" w:lineRule="exact"/>
        <w:rPr>
          <w:sz w:val="20"/>
          <w:szCs w:val="20"/>
          <w:color w:val="auto"/>
        </w:rPr>
      </w:pPr>
    </w:p>
    <w:p>
      <w:pPr>
        <w:ind w:left="120" w:right="160" w:firstLine="551"/>
        <w:spacing w:after="0" w:line="241" w:lineRule="auto"/>
        <w:rPr>
          <w:sz w:val="20"/>
          <w:szCs w:val="20"/>
          <w:color w:val="auto"/>
        </w:rPr>
      </w:pPr>
      <w:r>
        <w:rPr>
          <w:rFonts w:ascii="Arial" w:cs="Arial" w:eastAsia="Arial" w:hAnsi="Arial"/>
          <w:sz w:val="18"/>
          <w:szCs w:val="18"/>
          <w:color w:val="auto"/>
        </w:rPr>
        <w:t>Under ASC 605, the $1.5 million upfront payment was recorded as deferred revenue and was being recognized as revenue on a ratable basis over the estimated performance period of one and a half years. Under ASC 606, the Company used the input method to measure progress toward completion of the performance obligation and concluded that revenue will be recognized based on actual resources consumed, labor hours expended and costs incurred as a percentage of total budgeted costs. Upon the adoption of ASC 606, the Company reduced cumulative revenue by $48,000 through an increase to deferred revenue and an increase to the beginning accumulated deficit, based on the difference between the input method used under ASC 606 and the ratable recognition previously used under ASC 605.</w:t>
      </w:r>
    </w:p>
    <w:p>
      <w:pPr>
        <w:spacing w:after="0" w:line="179" w:lineRule="exact"/>
        <w:rPr>
          <w:sz w:val="20"/>
          <w:szCs w:val="20"/>
          <w:color w:val="auto"/>
        </w:rPr>
      </w:pPr>
    </w:p>
    <w:p>
      <w:pPr>
        <w:ind w:left="120" w:right="80" w:firstLine="551"/>
        <w:spacing w:after="0" w:line="248" w:lineRule="auto"/>
        <w:rPr>
          <w:sz w:val="20"/>
          <w:szCs w:val="20"/>
          <w:color w:val="auto"/>
        </w:rPr>
      </w:pPr>
      <w:r>
        <w:rPr>
          <w:rFonts w:ascii="Arial" w:cs="Arial" w:eastAsia="Arial" w:hAnsi="Arial"/>
          <w:sz w:val="18"/>
          <w:szCs w:val="18"/>
          <w:color w:val="auto"/>
        </w:rPr>
        <w:t>In June 2019, the research phase concluded and the Company delivered its final report to AstraZeneca. The option term continues for twelve months after AstraZeneca’s receipt of the final report where they may exercise the option to obtain the license of up to three project vector variants. In June 2020, AstraZeneca’s option to obtain the license of up to three project vector variants under the AstraZeneca Agreement expired unexercised (unaudited).</w:t>
      </w:r>
    </w:p>
    <w:p>
      <w:pPr>
        <w:spacing w:after="0" w:line="170"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During the years ended December 31, 2018 and 2019, the Company recognized revenue of $1.0 million and $0.5 million, respectively. During the nine months ended September 30, 2019 and 2020, the Company recognized revenue of $0.5 million (unaudited) and $0 (unaudited), respectively. As of December 31, 2018, December 31, 2019 and September 30, 2020, deferred revenue relating to the AstraZeneca Agreement was $0.5 million, $0 and $0 (unaudited), respectively. No amount was due from AstraZeneca under this agreement as of December 31, 2018, December 31, 2019 and September 30, 2020 (unaudited).</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7. License Arrangements</w:t>
      </w:r>
    </w:p>
    <w:p>
      <w:pPr>
        <w:spacing w:after="0" w:line="104" w:lineRule="exact"/>
        <w:rPr>
          <w:sz w:val="20"/>
          <w:szCs w:val="20"/>
          <w:color w:val="auto"/>
        </w:rPr>
      </w:pPr>
    </w:p>
    <w:p>
      <w:pPr>
        <w:jc w:val="both"/>
        <w:ind w:left="120" w:right="80" w:firstLine="551"/>
        <w:spacing w:after="0" w:line="257" w:lineRule="auto"/>
        <w:rPr>
          <w:sz w:val="20"/>
          <w:szCs w:val="20"/>
          <w:color w:val="auto"/>
        </w:rPr>
      </w:pPr>
      <w:r>
        <w:rPr>
          <w:rFonts w:ascii="Arial" w:cs="Arial" w:eastAsia="Arial" w:hAnsi="Arial"/>
          <w:sz w:val="17"/>
          <w:szCs w:val="17"/>
          <w:color w:val="auto"/>
        </w:rPr>
        <w:t>The Company has exclusive, worldwide license agreements (the “UC Agreements”) with the Regents of the University of California (the “UC Regents”) relating to the use of certain patents and intellectual property surrounding its core technologies, including Therapeutic Vector Evolution. Pursuant to each of the UC Agreements executed prior to January 2019, the Company was obligated to pay a</w:t>
      </w:r>
    </w:p>
    <w:p>
      <w:pPr>
        <w:ind w:left="320" w:hanging="204"/>
        <w:spacing w:after="0" w:line="236" w:lineRule="auto"/>
        <w:tabs>
          <w:tab w:leader="none" w:pos="3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non-refundable license fee of $5,000 upon execution, (ii) a non-refundable license fee of $5,000 each year thereafter, until sales of a</w:t>
      </w:r>
    </w:p>
    <w:p>
      <w:pPr>
        <w:ind w:left="120" w:right="40"/>
        <w:spacing w:after="0" w:line="239" w:lineRule="auto"/>
        <w:rPr>
          <w:rFonts w:ascii="Arial" w:cs="Arial" w:eastAsia="Arial" w:hAnsi="Arial"/>
          <w:sz w:val="18"/>
          <w:szCs w:val="18"/>
          <w:color w:val="auto"/>
        </w:rPr>
      </w:pPr>
      <w:r>
        <w:rPr>
          <w:rFonts w:ascii="Arial" w:cs="Arial" w:eastAsia="Arial" w:hAnsi="Arial"/>
          <w:sz w:val="18"/>
          <w:szCs w:val="18"/>
          <w:color w:val="auto"/>
        </w:rPr>
        <w:t>licensed product are made and royalties are paid to the UC Regents, (iii) reimbursement of domestic and foreign patent filing, prosecution and maintenance fees, and (iv) either $50,000 or issuance of a 3% equity interest in the Company upon the closing of the first qualified financing at the option of the UC Regents. The Company’s first qualified financing occurred in 2015 and at the election of the UC Regents, the Company issued the UC Regents in January 2016 an amount of common stock equal to 6% of the equity interests in the Company pursuant to the applicable clause in each of the UC Agreements.</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20"/>
          </w:cols>
          <w:pgMar w:left="320" w:top="455" w:right="459" w:bottom="1440" w:gutter="0" w:footer="0" w:header="0"/>
        </w:sectPr>
      </w:pPr>
    </w:p>
    <w:bookmarkStart w:id="277" w:name="page278"/>
    <w:bookmarkEnd w:id="2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Pursuant to an agreement with the UC Regents executed in January 2019 the Company paid a non-refundable license fee of $50,000 to the UC Regents upon execution of the agreement. The Company is obligated to pay a non-refundable license fee of $5,000 on the one-year anniversary of the contract effective date and each year thereafter, until sales of a licensed product are made and royalties are paid to the UC Regents.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the Company is obligated to make certain contingent payments including (i) development milestones up to $3.1 million,</w:t>
      </w:r>
    </w:p>
    <w:p>
      <w:pPr>
        <w:spacing w:after="0" w:line="18" w:lineRule="exact"/>
        <w:rPr>
          <w:sz w:val="20"/>
          <w:szCs w:val="20"/>
          <w:color w:val="auto"/>
        </w:rPr>
      </w:pPr>
    </w:p>
    <w:p>
      <w:pPr>
        <w:jc w:val="both"/>
        <w:ind w:left="120" w:right="60" w:hanging="4"/>
        <w:spacing w:after="0"/>
        <w:tabs>
          <w:tab w:leader="none" w:pos="37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low single digit royalties on the net sales of its developed products that consists of a minimum annual royalty of up to $0.1 million per year for the term of the Agreement beginning in the first calendar year after the year in which net sales first occurred, and (iii) sublicense consideration in the mid-teens to the mid-twenties-range on any future sublicensing arrangements the Company may enter into with third-party licensees.</w:t>
      </w:r>
    </w:p>
    <w:p>
      <w:pPr>
        <w:spacing w:after="0" w:line="176" w:lineRule="exact"/>
        <w:rPr>
          <w:sz w:val="20"/>
          <w:szCs w:val="20"/>
          <w:color w:val="auto"/>
        </w:rPr>
      </w:pPr>
    </w:p>
    <w:p>
      <w:pPr>
        <w:ind w:left="120" w:right="340" w:firstLine="551"/>
        <w:spacing w:after="0" w:line="277" w:lineRule="auto"/>
        <w:rPr>
          <w:sz w:val="20"/>
          <w:szCs w:val="20"/>
          <w:color w:val="auto"/>
        </w:rPr>
      </w:pPr>
      <w:r>
        <w:rPr>
          <w:rFonts w:ascii="Arial" w:cs="Arial" w:eastAsia="Arial" w:hAnsi="Arial"/>
          <w:sz w:val="17"/>
          <w:szCs w:val="17"/>
          <w:color w:val="auto"/>
        </w:rPr>
        <w:t>During the years ended December 31, 2018 and 2019, the Company incurred expenses of $0.1 million and $0.3 million, respectively, under the provisions of the UC Agreements. During the nine months ended September 30, 2019 and 2020, the Company incurred expenses of $0.2 million (unaudited) and $0.1 million (unaudited), respectively, under the provisions of the UC Agreements.</w:t>
      </w:r>
    </w:p>
    <w:p>
      <w:pPr>
        <w:spacing w:after="0" w:line="255" w:lineRule="exact"/>
        <w:rPr>
          <w:sz w:val="20"/>
          <w:szCs w:val="20"/>
          <w:color w:val="auto"/>
        </w:rPr>
      </w:pPr>
    </w:p>
    <w:p>
      <w:pPr>
        <w:ind w:left="120" w:right="7920" w:hanging="4"/>
        <w:spacing w:after="0" w:line="381" w:lineRule="auto"/>
        <w:tabs>
          <w:tab w:leader="none" w:pos="320" w:val="left"/>
        </w:tabs>
        <w:numPr>
          <w:ilvl w:val="0"/>
          <w:numId w:val="15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Commitments and Contingencies </w:t>
      </w:r>
      <w:r>
        <w:rPr>
          <w:rFonts w:ascii="Arial" w:cs="Arial" w:eastAsia="Arial" w:hAnsi="Arial"/>
          <w:sz w:val="17"/>
          <w:szCs w:val="17"/>
          <w:b w:val="1"/>
          <w:bCs w:val="1"/>
          <w:color w:val="auto"/>
        </w:rPr>
        <w:t>Operating Lease Commitments</w:t>
      </w:r>
    </w:p>
    <w:p>
      <w:pPr>
        <w:ind w:left="120" w:right="60" w:firstLine="551"/>
        <w:spacing w:after="0" w:line="243" w:lineRule="auto"/>
        <w:rPr>
          <w:sz w:val="20"/>
          <w:szCs w:val="20"/>
          <w:color w:val="auto"/>
        </w:rPr>
      </w:pPr>
      <w:r>
        <w:rPr>
          <w:rFonts w:ascii="Arial" w:cs="Arial" w:eastAsia="Arial" w:hAnsi="Arial"/>
          <w:sz w:val="18"/>
          <w:szCs w:val="18"/>
          <w:color w:val="auto"/>
        </w:rPr>
        <w:t>In May 2015, the Company executed a lease agreement for office and laboratory space in Emeryville, California. In January 2016, the Company executed the first amendment to the lease agreement for additional rentable office and laboratory space which extends the lease to March 31, 2023. In October 2018, the Company executed a second amendment to extend the lease to end at the same time as the new lease discussed below. Additionally, the second amendment provided a tenant improvement allowance of $0.2 million, which was paid to the Company in November 2018. The Company amortizes the tenant improvement allowance on a straight-line basis over the remaining term of the lease as a reduction of rent expense.</w:t>
      </w:r>
    </w:p>
    <w:p>
      <w:pPr>
        <w:spacing w:after="0" w:line="174" w:lineRule="exact"/>
        <w:rPr>
          <w:sz w:val="20"/>
          <w:szCs w:val="20"/>
          <w:color w:val="auto"/>
        </w:rPr>
      </w:pPr>
    </w:p>
    <w:p>
      <w:pPr>
        <w:ind w:left="120" w:right="140" w:firstLine="551"/>
        <w:spacing w:after="0" w:line="245" w:lineRule="auto"/>
        <w:rPr>
          <w:sz w:val="20"/>
          <w:szCs w:val="20"/>
          <w:color w:val="auto"/>
        </w:rPr>
      </w:pPr>
      <w:r>
        <w:rPr>
          <w:rFonts w:ascii="Arial" w:cs="Arial" w:eastAsia="Arial" w:hAnsi="Arial"/>
          <w:sz w:val="18"/>
          <w:szCs w:val="18"/>
          <w:color w:val="auto"/>
        </w:rPr>
        <w:t>In October 2018, the Company executed a second lease agreement for additional office and laboratory space in Emeryville, California. The new lease has an initial term of 87 months beginning on the rent commencement date with the option to renew the lease for one additional term of five years. The Company did not have to pay rent until October 2019. This lease agreement also provided for a tenant improvement allowance of $0.4 million, which was paid to the Company in December 2019. The Company amortizes the tenant improvement allowance on a straight-line basis over the remaining term of the lease as a reduction of rent expense.</w:t>
      </w:r>
    </w:p>
    <w:p>
      <w:pPr>
        <w:spacing w:after="0" w:line="172"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In May 2019, the Company amended the second lease agreement executed in October 2018 to add additional office and laboratory space. The amendment extended the term of the lease to December 31, 2029. The Company did not have to pay rent until December 2019. The annual rent for the additional space is $ 1.0 million per annum and escalates at 3% annually. This lease agreement also provides for a tenant improvement allowance of at least $1.6 million.</w:t>
      </w:r>
    </w:p>
    <w:p>
      <w:pPr>
        <w:spacing w:after="0" w:line="170"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The Company recognizes rent expense on a straight-line basis over the lease term with the difference between the rent payments and the straight-line rent expense recorded as deferred rent. Rent expense for the years ended December 31, 2018 and 2019 and the nine months ended September 30, 2019 and 2020 for these facilities was $0.5 million, $1.3 million, $0.8 million (unaudited) and $2.3 million (unaudited), respectively. Deferred rent (included in prepaid expenses and other current assets on the balance sheets) as of December 31, 2018, December 31, 2019 and September 30, 2020 was $0.4 million, $1.2 million and $1.5 million (unaudited), respectively. In</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00"/>
          </w:cols>
          <w:pgMar w:left="320" w:top="455" w:right="479" w:bottom="1440" w:gutter="0" w:footer="0" w:header="0"/>
        </w:sectPr>
      </w:pPr>
    </w:p>
    <w:bookmarkStart w:id="278" w:name="page279"/>
    <w:bookmarkEnd w:id="2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conjunction with the lease agreements and amendments, the Company paid total security deposits of $0.3 million, $0.6 million and</w:t>
      </w:r>
    </w:p>
    <w:p>
      <w:pPr>
        <w:spacing w:after="0" w:line="18" w:lineRule="exact"/>
        <w:rPr>
          <w:sz w:val="20"/>
          <w:szCs w:val="20"/>
          <w:color w:val="auto"/>
        </w:rPr>
      </w:pPr>
    </w:p>
    <w:p>
      <w:pPr>
        <w:ind w:left="120" w:right="180"/>
        <w:spacing w:after="0" w:line="250" w:lineRule="auto"/>
        <w:rPr>
          <w:sz w:val="20"/>
          <w:szCs w:val="20"/>
          <w:color w:val="auto"/>
        </w:rPr>
      </w:pPr>
      <w:r>
        <w:rPr>
          <w:rFonts w:ascii="Arial" w:cs="Arial" w:eastAsia="Arial" w:hAnsi="Arial"/>
          <w:sz w:val="18"/>
          <w:szCs w:val="18"/>
          <w:color w:val="auto"/>
        </w:rPr>
        <w:t>$0.6 million (unaudited), which are included in other assets within the balance sheets as of December 31, 2018, December 31, 2019 and September 30, 2020, respectively.</w:t>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10300" w:type="dxa"/>
            <w:vAlign w:val="bottom"/>
          </w:tcPr>
          <w:p>
            <w:pPr>
              <w:ind w:left="540"/>
              <w:spacing w:after="0"/>
              <w:rPr>
                <w:sz w:val="20"/>
                <w:szCs w:val="20"/>
                <w:color w:val="auto"/>
              </w:rPr>
            </w:pPr>
            <w:r>
              <w:rPr>
                <w:rFonts w:ascii="Arial" w:cs="Arial" w:eastAsia="Arial" w:hAnsi="Arial"/>
                <w:sz w:val="18"/>
                <w:szCs w:val="18"/>
                <w:color w:val="auto"/>
              </w:rPr>
              <w:t>The following table summarizes the Company’s future minimum commitments under lease contracts (in thousands):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25"/>
        </w:trPr>
        <w:tc>
          <w:tcPr>
            <w:tcW w:w="10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3"/>
        </w:trPr>
        <w:tc>
          <w:tcPr>
            <w:tcW w:w="10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 of December 31, 2019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10300" w:type="dxa"/>
            <w:vAlign w:val="bottom"/>
          </w:tcPr>
          <w:p>
            <w:pPr>
              <w:spacing w:after="0" w:line="202" w:lineRule="exact"/>
              <w:rPr>
                <w:sz w:val="20"/>
                <w:szCs w:val="20"/>
                <w:color w:val="auto"/>
              </w:rPr>
            </w:pPr>
            <w:r>
              <w:rPr>
                <w:rFonts w:ascii="Arial" w:cs="Arial" w:eastAsia="Arial" w:hAnsi="Arial"/>
                <w:sz w:val="18"/>
                <w:szCs w:val="18"/>
                <w:color w:val="auto"/>
              </w:rPr>
              <w:t>2020</w:t>
            </w:r>
          </w:p>
        </w:tc>
        <w:tc>
          <w:tcPr>
            <w:tcW w:w="1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2,759</w:t>
            </w:r>
          </w:p>
        </w:tc>
        <w:tc>
          <w:tcPr>
            <w:tcW w:w="40" w:type="dxa"/>
            <w:vAlign w:val="bottom"/>
          </w:tcPr>
          <w:p>
            <w:pPr>
              <w:spacing w:after="0"/>
              <w:rPr>
                <w:sz w:val="17"/>
                <w:szCs w:val="17"/>
                <w:color w:val="auto"/>
              </w:rPr>
            </w:pPr>
          </w:p>
        </w:tc>
      </w:tr>
      <w:tr>
        <w:trPr>
          <w:trHeight w:val="203"/>
        </w:trPr>
        <w:tc>
          <w:tcPr>
            <w:tcW w:w="10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2,893</w:t>
            </w:r>
          </w:p>
        </w:tc>
        <w:tc>
          <w:tcPr>
            <w:tcW w:w="40" w:type="dxa"/>
            <w:vAlign w:val="bottom"/>
            <w:shd w:val="clear" w:color="auto" w:fill="CCEEFF"/>
          </w:tcPr>
          <w:p>
            <w:pPr>
              <w:spacing w:after="0"/>
              <w:rPr>
                <w:sz w:val="17"/>
                <w:szCs w:val="17"/>
                <w:color w:val="auto"/>
              </w:rPr>
            </w:pPr>
          </w:p>
        </w:tc>
      </w:tr>
      <w:tr>
        <w:trPr>
          <w:trHeight w:val="203"/>
        </w:trPr>
        <w:tc>
          <w:tcPr>
            <w:tcW w:w="1030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2,973</w:t>
            </w:r>
          </w:p>
        </w:tc>
        <w:tc>
          <w:tcPr>
            <w:tcW w:w="40" w:type="dxa"/>
            <w:vAlign w:val="bottom"/>
          </w:tcPr>
          <w:p>
            <w:pPr>
              <w:spacing w:after="0"/>
              <w:rPr>
                <w:sz w:val="17"/>
                <w:szCs w:val="17"/>
                <w:color w:val="auto"/>
              </w:rPr>
            </w:pPr>
          </w:p>
        </w:tc>
      </w:tr>
      <w:tr>
        <w:trPr>
          <w:trHeight w:val="203"/>
        </w:trPr>
        <w:tc>
          <w:tcPr>
            <w:tcW w:w="10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3,058</w:t>
            </w:r>
          </w:p>
        </w:tc>
        <w:tc>
          <w:tcPr>
            <w:tcW w:w="40" w:type="dxa"/>
            <w:vAlign w:val="bottom"/>
            <w:shd w:val="clear" w:color="auto" w:fill="CCEEFF"/>
          </w:tcPr>
          <w:p>
            <w:pPr>
              <w:spacing w:after="0"/>
              <w:rPr>
                <w:sz w:val="17"/>
                <w:szCs w:val="17"/>
                <w:color w:val="auto"/>
              </w:rPr>
            </w:pPr>
          </w:p>
        </w:tc>
      </w:tr>
      <w:tr>
        <w:trPr>
          <w:trHeight w:val="203"/>
        </w:trPr>
        <w:tc>
          <w:tcPr>
            <w:tcW w:w="1030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3,149</w:t>
            </w:r>
          </w:p>
        </w:tc>
        <w:tc>
          <w:tcPr>
            <w:tcW w:w="40" w:type="dxa"/>
            <w:vAlign w:val="bottom"/>
          </w:tcPr>
          <w:p>
            <w:pPr>
              <w:spacing w:after="0"/>
              <w:rPr>
                <w:sz w:val="17"/>
                <w:szCs w:val="17"/>
                <w:color w:val="auto"/>
              </w:rPr>
            </w:pPr>
          </w:p>
        </w:tc>
      </w:tr>
      <w:tr>
        <w:trPr>
          <w:trHeight w:val="203"/>
        </w:trPr>
        <w:tc>
          <w:tcPr>
            <w:tcW w:w="10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 and beyond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8"/>
              </w:rPr>
              <w:t>15,064</w:t>
            </w:r>
          </w:p>
        </w:tc>
        <w:tc>
          <w:tcPr>
            <w:tcW w:w="40" w:type="dxa"/>
            <w:vAlign w:val="bottom"/>
            <w:shd w:val="clear" w:color="auto" w:fill="CCEEFF"/>
          </w:tcPr>
          <w:p>
            <w:pPr>
              <w:spacing w:after="0"/>
              <w:rPr>
                <w:sz w:val="17"/>
                <w:szCs w:val="17"/>
                <w:color w:val="auto"/>
              </w:rPr>
            </w:pPr>
          </w:p>
        </w:tc>
      </w:tr>
      <w:tr>
        <w:trPr>
          <w:trHeight w:val="210"/>
        </w:trPr>
        <w:tc>
          <w:tcPr>
            <w:tcW w:w="1030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29,896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10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0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3"/>
        </w:trPr>
        <w:tc>
          <w:tcPr>
            <w:tcW w:w="10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 of September 30, 2020 (unaudited)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10300" w:type="dxa"/>
            <w:vAlign w:val="bottom"/>
          </w:tcPr>
          <w:p>
            <w:pPr>
              <w:spacing w:after="0" w:line="202" w:lineRule="exact"/>
              <w:rPr>
                <w:sz w:val="20"/>
                <w:szCs w:val="20"/>
                <w:color w:val="auto"/>
              </w:rPr>
            </w:pPr>
            <w:r>
              <w:rPr>
                <w:rFonts w:ascii="Arial" w:cs="Arial" w:eastAsia="Arial" w:hAnsi="Arial"/>
                <w:sz w:val="18"/>
                <w:szCs w:val="18"/>
                <w:color w:val="auto"/>
              </w:rPr>
              <w:t>Remainder of 2020</w:t>
            </w:r>
          </w:p>
        </w:tc>
        <w:tc>
          <w:tcPr>
            <w:tcW w:w="1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737</w:t>
            </w:r>
          </w:p>
        </w:tc>
        <w:tc>
          <w:tcPr>
            <w:tcW w:w="40" w:type="dxa"/>
            <w:vAlign w:val="bottom"/>
          </w:tcPr>
          <w:p>
            <w:pPr>
              <w:spacing w:after="0"/>
              <w:rPr>
                <w:sz w:val="17"/>
                <w:szCs w:val="17"/>
                <w:color w:val="auto"/>
              </w:rPr>
            </w:pPr>
          </w:p>
        </w:tc>
      </w:tr>
      <w:tr>
        <w:trPr>
          <w:trHeight w:val="203"/>
        </w:trPr>
        <w:tc>
          <w:tcPr>
            <w:tcW w:w="10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3,000</w:t>
            </w:r>
          </w:p>
        </w:tc>
        <w:tc>
          <w:tcPr>
            <w:tcW w:w="40" w:type="dxa"/>
            <w:vAlign w:val="bottom"/>
            <w:shd w:val="clear" w:color="auto" w:fill="CCEEFF"/>
          </w:tcPr>
          <w:p>
            <w:pPr>
              <w:spacing w:after="0"/>
              <w:rPr>
                <w:sz w:val="17"/>
                <w:szCs w:val="17"/>
                <w:color w:val="auto"/>
              </w:rPr>
            </w:pPr>
          </w:p>
        </w:tc>
      </w:tr>
      <w:tr>
        <w:trPr>
          <w:trHeight w:val="203"/>
        </w:trPr>
        <w:tc>
          <w:tcPr>
            <w:tcW w:w="1030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3,079</w:t>
            </w:r>
          </w:p>
        </w:tc>
        <w:tc>
          <w:tcPr>
            <w:tcW w:w="40" w:type="dxa"/>
            <w:vAlign w:val="bottom"/>
          </w:tcPr>
          <w:p>
            <w:pPr>
              <w:spacing w:after="0"/>
              <w:rPr>
                <w:sz w:val="17"/>
                <w:szCs w:val="17"/>
                <w:color w:val="auto"/>
              </w:rPr>
            </w:pPr>
          </w:p>
        </w:tc>
      </w:tr>
      <w:tr>
        <w:trPr>
          <w:trHeight w:val="203"/>
        </w:trPr>
        <w:tc>
          <w:tcPr>
            <w:tcW w:w="10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3,159</w:t>
            </w:r>
          </w:p>
        </w:tc>
        <w:tc>
          <w:tcPr>
            <w:tcW w:w="40" w:type="dxa"/>
            <w:vAlign w:val="bottom"/>
            <w:shd w:val="clear" w:color="auto" w:fill="CCEEFF"/>
          </w:tcPr>
          <w:p>
            <w:pPr>
              <w:spacing w:after="0"/>
              <w:rPr>
                <w:sz w:val="17"/>
                <w:szCs w:val="17"/>
                <w:color w:val="auto"/>
              </w:rPr>
            </w:pPr>
          </w:p>
        </w:tc>
      </w:tr>
      <w:tr>
        <w:trPr>
          <w:trHeight w:val="203"/>
        </w:trPr>
        <w:tc>
          <w:tcPr>
            <w:tcW w:w="1030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3,249</w:t>
            </w:r>
          </w:p>
        </w:tc>
        <w:tc>
          <w:tcPr>
            <w:tcW w:w="40" w:type="dxa"/>
            <w:vAlign w:val="bottom"/>
          </w:tcPr>
          <w:p>
            <w:pPr>
              <w:spacing w:after="0"/>
              <w:rPr>
                <w:sz w:val="17"/>
                <w:szCs w:val="17"/>
                <w:color w:val="auto"/>
              </w:rPr>
            </w:pPr>
          </w:p>
        </w:tc>
      </w:tr>
      <w:tr>
        <w:trPr>
          <w:trHeight w:val="203"/>
        </w:trPr>
        <w:tc>
          <w:tcPr>
            <w:tcW w:w="10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 and beyond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8"/>
              </w:rPr>
              <w:t>15,089</w:t>
            </w:r>
          </w:p>
        </w:tc>
        <w:tc>
          <w:tcPr>
            <w:tcW w:w="40" w:type="dxa"/>
            <w:vAlign w:val="bottom"/>
            <w:shd w:val="clear" w:color="auto" w:fill="CCEEFF"/>
          </w:tcPr>
          <w:p>
            <w:pPr>
              <w:spacing w:after="0"/>
              <w:rPr>
                <w:sz w:val="17"/>
                <w:szCs w:val="17"/>
                <w:color w:val="auto"/>
              </w:rPr>
            </w:pPr>
          </w:p>
        </w:tc>
      </w:tr>
      <w:tr>
        <w:trPr>
          <w:trHeight w:val="209"/>
        </w:trPr>
        <w:tc>
          <w:tcPr>
            <w:tcW w:w="1030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28,313</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10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 Warrant Obligation</w:t>
      </w:r>
    </w:p>
    <w:p>
      <w:pPr>
        <w:spacing w:after="0" w:line="106"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As of December 31, 2017, the Company had an obligation to issue a warrant for 23,669 shares of the Company’s common stock to a service provider. The Company issued the warrant in May 2018. See Note 13 for further discussion on the common stock warrant obligation.</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106"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In the ordinary course of business, the Company enters into agreements that may include indemnification provisions, such as with vendors and other parties. Pursuant to such agreements, the Company may indemnify, hold harmless and defend an indemnified party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require the Company, among other things, to indemnify them against certain liabilities that may arise by reason of their status or service as directors or officers to the fullest extent permitted by Delaware corporate law. The Company currently maintains directors’ and officers’ liability insurance that would generally enable it to recover a portion of any future amounts paid. The Company believes the estimated fair value of its indemnification agreements in excess of applicable insurance coverage is not material.</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06" w:lineRule="exact"/>
        <w:rPr>
          <w:sz w:val="20"/>
          <w:szCs w:val="20"/>
          <w:color w:val="auto"/>
        </w:rPr>
      </w:pPr>
    </w:p>
    <w:p>
      <w:pPr>
        <w:ind w:left="120" w:right="500" w:firstLine="551"/>
        <w:spacing w:after="0" w:line="276" w:lineRule="auto"/>
        <w:rPr>
          <w:sz w:val="20"/>
          <w:szCs w:val="20"/>
          <w:color w:val="auto"/>
        </w:rPr>
      </w:pPr>
      <w:r>
        <w:rPr>
          <w:rFonts w:ascii="Arial" w:cs="Arial" w:eastAsia="Arial" w:hAnsi="Arial"/>
          <w:sz w:val="18"/>
          <w:szCs w:val="18"/>
          <w:color w:val="auto"/>
        </w:rPr>
        <w:t>From time to time, the Company may become involved in legal proceedings arising from the ordinary course of its business. If applicable, the Company records a legal liability when it believes that</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320" w:top="455" w:right="439" w:bottom="1440" w:gutter="0" w:footer="0" w:header="0"/>
        </w:sectPr>
      </w:pPr>
    </w:p>
    <w:bookmarkStart w:id="279" w:name="page280"/>
    <w:bookmarkEnd w:id="2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40"/>
        <w:spacing w:after="0" w:line="248" w:lineRule="auto"/>
        <w:rPr>
          <w:sz w:val="20"/>
          <w:szCs w:val="20"/>
          <w:color w:val="auto"/>
        </w:rPr>
      </w:pPr>
      <w:r>
        <w:rPr>
          <w:rFonts w:ascii="Arial" w:cs="Arial" w:eastAsia="Arial" w:hAnsi="Arial"/>
          <w:sz w:val="18"/>
          <w:szCs w:val="18"/>
          <w:color w:val="auto"/>
        </w:rPr>
        <w:t>it is both probable that a liability may be imputed, and the amount of the liability can be reasonably estimated. Significant judgment by the Company is required to determine both probability and the estimated amount. As of December 31, 2019 and September 30, 2020 (unaudited), the Company does not believe that any such matters, individually or in the aggregate, will have a material adverse effect on the Company’s financial position, results of operations or cash flows.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9. Income Taxes</w:t>
      </w:r>
    </w:p>
    <w:p>
      <w:pPr>
        <w:spacing w:after="0" w:line="104" w:lineRule="exact"/>
        <w:rPr>
          <w:sz w:val="20"/>
          <w:szCs w:val="20"/>
          <w:color w:val="auto"/>
        </w:rPr>
      </w:pPr>
    </w:p>
    <w:p>
      <w:pPr>
        <w:jc w:val="both"/>
        <w:ind w:left="120" w:right="160" w:firstLine="551"/>
        <w:spacing w:after="0" w:line="255" w:lineRule="auto"/>
        <w:rPr>
          <w:sz w:val="20"/>
          <w:szCs w:val="20"/>
          <w:color w:val="auto"/>
        </w:rPr>
      </w:pPr>
      <w:r>
        <w:rPr>
          <w:rFonts w:ascii="Arial" w:cs="Arial" w:eastAsia="Arial" w:hAnsi="Arial"/>
          <w:sz w:val="18"/>
          <w:szCs w:val="18"/>
          <w:color w:val="auto"/>
        </w:rPr>
        <w:t>The Company did not record any income tax expense during the years ended December 31, 2018 and 2019. The Company has a net operating loss and has provided a valuation allowance against net deferred tax assets due to uncertainties regarding the Company’s ability to realize these assets. All losses before income taxes arose in the United States.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effective tax rate of the Company’s income tax expense (benefit) differs from the federal statutory rate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77"/>
        </w:trPr>
        <w:tc>
          <w:tcPr>
            <w:tcW w:w="8260" w:type="dxa"/>
            <w:vAlign w:val="bottom"/>
          </w:tcPr>
          <w:p>
            <w:pPr>
              <w:spacing w:after="0"/>
              <w:rPr>
                <w:sz w:val="15"/>
                <w:szCs w:val="15"/>
                <w:color w:val="auto"/>
              </w:rPr>
            </w:pPr>
          </w:p>
        </w:tc>
        <w:tc>
          <w:tcPr>
            <w:tcW w:w="940" w:type="dxa"/>
            <w:vAlign w:val="bottom"/>
          </w:tcPr>
          <w:p>
            <w:pPr>
              <w:jc w:val="right"/>
              <w:ind w:right="215"/>
              <w:spacing w:after="0"/>
              <w:rPr>
                <w:sz w:val="20"/>
                <w:szCs w:val="20"/>
                <w:color w:val="auto"/>
              </w:rPr>
            </w:pPr>
            <w:r>
              <w:rPr>
                <w:rFonts w:ascii="Arial" w:cs="Arial" w:eastAsia="Arial" w:hAnsi="Arial"/>
                <w:sz w:val="14"/>
                <w:szCs w:val="14"/>
                <w:b w:val="1"/>
                <w:bCs w:val="1"/>
                <w:color w:val="auto"/>
              </w:rPr>
              <w:t>2018</w:t>
            </w:r>
          </w:p>
        </w:tc>
        <w:tc>
          <w:tcPr>
            <w:tcW w:w="1820" w:type="dxa"/>
            <w:vAlign w:val="bottom"/>
            <w:gridSpan w:val="2"/>
          </w:tcPr>
          <w:p>
            <w:pPr>
              <w:jc w:val="right"/>
              <w:ind w:right="236"/>
              <w:spacing w:after="0"/>
              <w:rPr>
                <w:sz w:val="20"/>
                <w:szCs w:val="20"/>
                <w:color w:val="auto"/>
              </w:rPr>
            </w:pPr>
            <w:r>
              <w:rPr>
                <w:rFonts w:ascii="Arial" w:cs="Arial" w:eastAsia="Arial" w:hAnsi="Arial"/>
                <w:sz w:val="14"/>
                <w:szCs w:val="14"/>
                <w:b w:val="1"/>
                <w:bCs w:val="1"/>
                <w:color w:val="auto"/>
              </w:rPr>
              <w:t>2019</w:t>
            </w:r>
          </w:p>
        </w:tc>
      </w:tr>
      <w:tr>
        <w:trPr>
          <w:trHeight w:val="196"/>
        </w:trPr>
        <w:tc>
          <w:tcPr>
            <w:tcW w:w="8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Federal statutory income tax rate</w:t>
            </w:r>
          </w:p>
        </w:tc>
        <w:tc>
          <w:tcPr>
            <w:tcW w:w="940" w:type="dxa"/>
            <w:vAlign w:val="bottom"/>
            <w:tcBorders>
              <w:top w:val="single" w:sz="8" w:color="auto"/>
            </w:tcBorders>
            <w:shd w:val="clear" w:color="auto" w:fill="CCEEFF"/>
          </w:tcPr>
          <w:p>
            <w:pPr>
              <w:jc w:val="right"/>
              <w:ind w:right="95"/>
              <w:spacing w:after="0" w:line="196" w:lineRule="exact"/>
              <w:rPr>
                <w:sz w:val="20"/>
                <w:szCs w:val="20"/>
                <w:color w:val="auto"/>
              </w:rPr>
            </w:pPr>
            <w:r>
              <w:rPr>
                <w:rFonts w:ascii="Arial" w:cs="Arial" w:eastAsia="Arial" w:hAnsi="Arial"/>
                <w:sz w:val="18"/>
                <w:szCs w:val="18"/>
                <w:color w:val="auto"/>
              </w:rPr>
              <w:t>21.0%</w:t>
            </w:r>
          </w:p>
        </w:tc>
        <w:tc>
          <w:tcPr>
            <w:tcW w:w="8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116"/>
              <w:spacing w:after="0" w:line="196" w:lineRule="exact"/>
              <w:rPr>
                <w:sz w:val="20"/>
                <w:szCs w:val="20"/>
                <w:color w:val="auto"/>
              </w:rPr>
            </w:pPr>
            <w:r>
              <w:rPr>
                <w:rFonts w:ascii="Arial" w:cs="Arial" w:eastAsia="Arial" w:hAnsi="Arial"/>
                <w:sz w:val="18"/>
                <w:szCs w:val="18"/>
                <w:color w:val="auto"/>
              </w:rPr>
              <w:t>21.0%</w:t>
            </w:r>
          </w:p>
        </w:tc>
      </w:tr>
      <w:tr>
        <w:trPr>
          <w:trHeight w:val="203"/>
        </w:trPr>
        <w:tc>
          <w:tcPr>
            <w:tcW w:w="8260" w:type="dxa"/>
            <w:vAlign w:val="bottom"/>
          </w:tcPr>
          <w:p>
            <w:pPr>
              <w:spacing w:after="0" w:line="202" w:lineRule="exact"/>
              <w:rPr>
                <w:sz w:val="20"/>
                <w:szCs w:val="20"/>
                <w:color w:val="auto"/>
              </w:rPr>
            </w:pPr>
            <w:r>
              <w:rPr>
                <w:rFonts w:ascii="Arial" w:cs="Arial" w:eastAsia="Arial" w:hAnsi="Arial"/>
                <w:sz w:val="18"/>
                <w:szCs w:val="18"/>
                <w:color w:val="auto"/>
              </w:rPr>
              <w:t>Research tax credit</w:t>
            </w:r>
          </w:p>
        </w:tc>
        <w:tc>
          <w:tcPr>
            <w:tcW w:w="940" w:type="dxa"/>
            <w:vAlign w:val="bottom"/>
          </w:tcPr>
          <w:p>
            <w:pPr>
              <w:jc w:val="right"/>
              <w:ind w:right="95"/>
              <w:spacing w:after="0" w:line="202" w:lineRule="exact"/>
              <w:rPr>
                <w:sz w:val="20"/>
                <w:szCs w:val="20"/>
                <w:color w:val="auto"/>
              </w:rPr>
            </w:pPr>
            <w:r>
              <w:rPr>
                <w:rFonts w:ascii="Arial" w:cs="Arial" w:eastAsia="Arial" w:hAnsi="Arial"/>
                <w:sz w:val="18"/>
                <w:szCs w:val="18"/>
                <w:color w:val="auto"/>
              </w:rPr>
              <w:t>10.0%</w:t>
            </w:r>
          </w:p>
        </w:tc>
        <w:tc>
          <w:tcPr>
            <w:tcW w:w="1820" w:type="dxa"/>
            <w:vAlign w:val="bottom"/>
            <w:gridSpan w:val="2"/>
          </w:tcPr>
          <w:p>
            <w:pPr>
              <w:jc w:val="right"/>
              <w:ind w:right="116"/>
              <w:spacing w:after="0" w:line="202" w:lineRule="exact"/>
              <w:rPr>
                <w:sz w:val="20"/>
                <w:szCs w:val="20"/>
                <w:color w:val="auto"/>
              </w:rPr>
            </w:pPr>
            <w:r>
              <w:rPr>
                <w:rFonts w:ascii="Arial" w:cs="Arial" w:eastAsia="Arial" w:hAnsi="Arial"/>
                <w:sz w:val="18"/>
                <w:szCs w:val="18"/>
                <w:color w:val="auto"/>
              </w:rPr>
              <w:t>5.2%</w:t>
            </w:r>
          </w:p>
        </w:tc>
      </w:tr>
      <w:tr>
        <w:trPr>
          <w:trHeight w:val="203"/>
        </w:trPr>
        <w:tc>
          <w:tcPr>
            <w:tcW w:w="8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Permanent differences</w:t>
            </w:r>
          </w:p>
        </w:tc>
        <w:tc>
          <w:tcPr>
            <w:tcW w:w="940" w:type="dxa"/>
            <w:vAlign w:val="bottom"/>
            <w:shd w:val="clear" w:color="auto" w:fill="CCEEFF"/>
          </w:tcPr>
          <w:p>
            <w:pPr>
              <w:jc w:val="right"/>
              <w:ind w:right="35"/>
              <w:spacing w:after="0" w:line="202" w:lineRule="exact"/>
              <w:rPr>
                <w:sz w:val="20"/>
                <w:szCs w:val="20"/>
                <w:color w:val="auto"/>
              </w:rPr>
            </w:pPr>
            <w:r>
              <w:rPr>
                <w:rFonts w:ascii="Arial" w:cs="Arial" w:eastAsia="Arial" w:hAnsi="Arial"/>
                <w:sz w:val="18"/>
                <w:szCs w:val="18"/>
                <w:color w:val="auto"/>
              </w:rPr>
              <w:t>(1.1%)</w:t>
            </w:r>
          </w:p>
        </w:tc>
        <w:tc>
          <w:tcPr>
            <w:tcW w:w="1820" w:type="dxa"/>
            <w:vAlign w:val="bottom"/>
            <w:gridSpan w:val="2"/>
            <w:shd w:val="clear" w:color="auto" w:fill="CCEEFF"/>
          </w:tcPr>
          <w:p>
            <w:pPr>
              <w:jc w:val="right"/>
              <w:ind w:right="56"/>
              <w:spacing w:after="0" w:line="202" w:lineRule="exact"/>
              <w:rPr>
                <w:sz w:val="20"/>
                <w:szCs w:val="20"/>
                <w:color w:val="auto"/>
              </w:rPr>
            </w:pPr>
            <w:r>
              <w:rPr>
                <w:rFonts w:ascii="Arial" w:cs="Arial" w:eastAsia="Arial" w:hAnsi="Arial"/>
                <w:sz w:val="18"/>
                <w:szCs w:val="18"/>
                <w:color w:val="auto"/>
              </w:rPr>
              <w:t>(0.7%)</w:t>
            </w:r>
          </w:p>
        </w:tc>
      </w:tr>
      <w:tr>
        <w:trPr>
          <w:trHeight w:val="203"/>
        </w:trPr>
        <w:tc>
          <w:tcPr>
            <w:tcW w:w="8260" w:type="dxa"/>
            <w:vAlign w:val="bottom"/>
          </w:tcPr>
          <w:p>
            <w:pPr>
              <w:spacing w:after="0" w:line="202" w:lineRule="exact"/>
              <w:rPr>
                <w:sz w:val="20"/>
                <w:szCs w:val="20"/>
                <w:color w:val="auto"/>
              </w:rPr>
            </w:pPr>
            <w:r>
              <w:rPr>
                <w:rFonts w:ascii="Arial" w:cs="Arial" w:eastAsia="Arial" w:hAnsi="Arial"/>
                <w:sz w:val="18"/>
                <w:szCs w:val="18"/>
                <w:color w:val="auto"/>
              </w:rPr>
              <w:t>Valuation allowance</w:t>
            </w:r>
          </w:p>
        </w:tc>
        <w:tc>
          <w:tcPr>
            <w:tcW w:w="9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(27.4%)</w:t>
            </w:r>
          </w:p>
        </w:tc>
        <w:tc>
          <w:tcPr>
            <w:tcW w:w="1820" w:type="dxa"/>
            <w:vAlign w:val="bottom"/>
            <w:gridSpan w:val="2"/>
          </w:tcPr>
          <w:p>
            <w:pPr>
              <w:jc w:val="right"/>
              <w:ind w:right="56"/>
              <w:spacing w:after="0" w:line="202" w:lineRule="exact"/>
              <w:rPr>
                <w:sz w:val="20"/>
                <w:szCs w:val="20"/>
                <w:color w:val="auto"/>
              </w:rPr>
            </w:pPr>
            <w:r>
              <w:rPr>
                <w:rFonts w:ascii="Arial" w:cs="Arial" w:eastAsia="Arial" w:hAnsi="Arial"/>
                <w:sz w:val="18"/>
                <w:szCs w:val="18"/>
                <w:color w:val="auto"/>
              </w:rPr>
              <w:t>(25.5%)</w:t>
            </w:r>
          </w:p>
        </w:tc>
      </w:tr>
      <w:tr>
        <w:trPr>
          <w:trHeight w:val="203"/>
        </w:trPr>
        <w:tc>
          <w:tcPr>
            <w:tcW w:w="8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Section 382 limitation</w:t>
            </w:r>
          </w:p>
        </w:tc>
        <w:tc>
          <w:tcPr>
            <w:tcW w:w="940" w:type="dxa"/>
            <w:vAlign w:val="bottom"/>
            <w:shd w:val="clear" w:color="auto" w:fill="CCEEFF"/>
          </w:tcPr>
          <w:p>
            <w:pPr>
              <w:jc w:val="right"/>
              <w:ind w:right="35"/>
              <w:spacing w:after="0" w:line="202" w:lineRule="exact"/>
              <w:rPr>
                <w:sz w:val="20"/>
                <w:szCs w:val="20"/>
                <w:color w:val="auto"/>
              </w:rPr>
            </w:pPr>
            <w:r>
              <w:rPr>
                <w:rFonts w:ascii="Arial" w:cs="Arial" w:eastAsia="Arial" w:hAnsi="Arial"/>
                <w:sz w:val="18"/>
                <w:szCs w:val="18"/>
                <w:color w:val="auto"/>
              </w:rPr>
              <w:t>(2.5%)</w:t>
            </w:r>
          </w:p>
        </w:tc>
        <w:tc>
          <w:tcPr>
            <w:tcW w:w="1820" w:type="dxa"/>
            <w:vAlign w:val="bottom"/>
            <w:gridSpan w:val="2"/>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0.0%</w:t>
            </w:r>
          </w:p>
        </w:tc>
      </w:tr>
      <w:tr>
        <w:trPr>
          <w:trHeight w:val="209"/>
        </w:trPr>
        <w:tc>
          <w:tcPr>
            <w:tcW w:w="82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94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8"/>
                <w:szCs w:val="18"/>
                <w:color w:val="auto"/>
              </w:rPr>
              <w:t>0.0%</w:t>
            </w:r>
          </w:p>
        </w:tc>
        <w:tc>
          <w:tcPr>
            <w:tcW w:w="8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rPr>
              <w:t>0.0%</w:t>
            </w:r>
          </w:p>
        </w:tc>
      </w:tr>
      <w:tr>
        <w:trPr>
          <w:trHeight w:val="20"/>
        </w:trPr>
        <w:tc>
          <w:tcPr>
            <w:tcW w:w="8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tax effects of temporary differences that give rise to significant components of the deferred taxes are as follows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7"/>
        </w:trPr>
        <w:tc>
          <w:tcPr>
            <w:tcW w:w="82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83"/>
        </w:trPr>
        <w:tc>
          <w:tcPr>
            <w:tcW w:w="82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Deferred Tax Assets</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8280" w:type="dxa"/>
            <w:vAlign w:val="bottom"/>
          </w:tcPr>
          <w:p>
            <w:pPr>
              <w:ind w:left="360"/>
              <w:spacing w:after="0" w:line="202" w:lineRule="exact"/>
              <w:rPr>
                <w:sz w:val="20"/>
                <w:szCs w:val="20"/>
                <w:color w:val="auto"/>
              </w:rPr>
            </w:pPr>
            <w:r>
              <w:rPr>
                <w:rFonts w:ascii="Arial" w:cs="Arial" w:eastAsia="Arial" w:hAnsi="Arial"/>
                <w:sz w:val="18"/>
                <w:szCs w:val="18"/>
                <w:color w:val="auto"/>
              </w:rPr>
              <w:t>Net operating loss carryforwards</w:t>
            </w:r>
          </w:p>
        </w:tc>
        <w:tc>
          <w:tcPr>
            <w:tcW w:w="20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1,990</w:t>
            </w:r>
          </w:p>
        </w:tc>
        <w:tc>
          <w:tcPr>
            <w:tcW w:w="380" w:type="dxa"/>
            <w:vAlign w:val="bottom"/>
          </w:tcPr>
          <w:p>
            <w:pPr>
              <w:spacing w:after="0"/>
              <w:rPr>
                <w:sz w:val="17"/>
                <w:szCs w:val="17"/>
                <w:color w:val="auto"/>
              </w:rPr>
            </w:pPr>
          </w:p>
        </w:tc>
        <w:tc>
          <w:tcPr>
            <w:tcW w:w="54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10,638</w:t>
            </w:r>
          </w:p>
        </w:tc>
      </w:tr>
      <w:tr>
        <w:trPr>
          <w:trHeight w:val="203"/>
        </w:trPr>
        <w:tc>
          <w:tcPr>
            <w:tcW w:w="82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accrued liabilities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103</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336</w:t>
            </w:r>
          </w:p>
        </w:tc>
      </w:tr>
      <w:tr>
        <w:trPr>
          <w:trHeight w:val="202"/>
        </w:trPr>
        <w:tc>
          <w:tcPr>
            <w:tcW w:w="8280" w:type="dxa"/>
            <w:vAlign w:val="bottom"/>
          </w:tcPr>
          <w:p>
            <w:pPr>
              <w:ind w:left="360"/>
              <w:spacing w:after="0" w:line="202" w:lineRule="exact"/>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3,598</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2,698</w:t>
            </w:r>
          </w:p>
        </w:tc>
      </w:tr>
      <w:tr>
        <w:trPr>
          <w:trHeight w:val="203"/>
        </w:trPr>
        <w:tc>
          <w:tcPr>
            <w:tcW w:w="82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Research tax credits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1,872</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4,457</w:t>
            </w:r>
          </w:p>
        </w:tc>
      </w:tr>
      <w:tr>
        <w:trPr>
          <w:trHeight w:val="203"/>
        </w:trPr>
        <w:tc>
          <w:tcPr>
            <w:tcW w:w="8280" w:type="dxa"/>
            <w:vAlign w:val="bottom"/>
          </w:tcPr>
          <w:p>
            <w:pPr>
              <w:ind w:left="360"/>
              <w:spacing w:after="0" w:line="202" w:lineRule="exact"/>
              <w:rPr>
                <w:sz w:val="20"/>
                <w:szCs w:val="20"/>
                <w:color w:val="auto"/>
              </w:rPr>
            </w:pPr>
            <w:r>
              <w:rPr>
                <w:rFonts w:ascii="Arial" w:cs="Arial" w:eastAsia="Arial" w:hAnsi="Arial"/>
                <w:sz w:val="18"/>
                <w:szCs w:val="18"/>
                <w:color w:val="auto"/>
              </w:rPr>
              <w:t>Stock compensation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212</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554</w:t>
            </w:r>
          </w:p>
        </w:tc>
      </w:tr>
      <w:tr>
        <w:trPr>
          <w:trHeight w:val="203"/>
        </w:trPr>
        <w:tc>
          <w:tcPr>
            <w:tcW w:w="82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Intangible asset basis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1,591</w:t>
            </w:r>
          </w:p>
        </w:tc>
      </w:tr>
      <w:tr>
        <w:trPr>
          <w:trHeight w:val="217"/>
        </w:trPr>
        <w:tc>
          <w:tcPr>
            <w:tcW w:w="828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20,274</w:t>
            </w:r>
          </w:p>
        </w:tc>
        <w:tc>
          <w:tcPr>
            <w:tcW w:w="120" w:type="dxa"/>
            <w:vAlign w:val="bottom"/>
          </w:tcPr>
          <w:p>
            <w:pPr>
              <w:spacing w:after="0"/>
              <w:rPr>
                <w:sz w:val="18"/>
                <w:szCs w:val="18"/>
                <w:color w:val="auto"/>
              </w:rPr>
            </w:pP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valuation allowance</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(7,775)</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(20,274)</w:t>
            </w:r>
          </w:p>
        </w:tc>
      </w:tr>
      <w:tr>
        <w:trPr>
          <w:trHeight w:val="210"/>
        </w:trPr>
        <w:tc>
          <w:tcPr>
            <w:tcW w:w="828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0"/>
        </w:trPr>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200" w:firstLine="551"/>
        <w:spacing w:after="0" w:line="243" w:lineRule="auto"/>
        <w:rPr>
          <w:sz w:val="20"/>
          <w:szCs w:val="20"/>
          <w:color w:val="auto"/>
        </w:rPr>
      </w:pPr>
      <w:r>
        <w:rPr>
          <w:rFonts w:ascii="Arial" w:cs="Arial" w:eastAsia="Arial" w:hAnsi="Arial"/>
          <w:sz w:val="18"/>
          <w:szCs w:val="18"/>
          <w:color w:val="auto"/>
        </w:rPr>
        <w:t xml:space="preserve">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requires that the tax benefit of net operating losses, temporary differences and credit carryforwards be recorded as an asset to the extent that management assesses that realization is “more likely than not.” Realization of the future tax benefits is dependent on the Company’s ability to generate sufficient taxable income within the carryforward period. Because of the Company’s recent history of operating losses, management believes that recognition of the deferred tax assets arising from future tax benefits is currently not likely to be realized and, accordingly, has provided a full valuation allowance. The valuation allowance increased by $2.6 million and $12.5 million during the years ended December 31, 2018 and 2019, respectively.</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5" w:right="439" w:bottom="1440" w:gutter="0" w:footer="0" w:header="0"/>
        </w:sectPr>
      </w:pPr>
    </w:p>
    <w:bookmarkStart w:id="280" w:name="page281"/>
    <w:bookmarkEnd w:id="2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60" w:firstLine="551"/>
        <w:spacing w:after="0" w:line="255" w:lineRule="auto"/>
        <w:rPr>
          <w:sz w:val="20"/>
          <w:szCs w:val="20"/>
          <w:color w:val="auto"/>
        </w:rPr>
      </w:pPr>
      <w:r>
        <w:rPr>
          <w:rFonts w:ascii="Arial" w:cs="Arial" w:eastAsia="Arial" w:hAnsi="Arial"/>
          <w:sz w:val="18"/>
          <w:szCs w:val="18"/>
          <w:color w:val="auto"/>
        </w:rPr>
        <w:t>The Company had net operating loss carryforwards of $9.5 million and $50.7 million as of December 31, 2018 and 2019, respectively, available to reduce future taxable income, if any, for federal income tax purposes. $9.5 million of the federal net operating loss carryforwards expire in 2037 and the remaining $41.2 million carryforward indefinitely.</w:t>
      </w:r>
    </w:p>
    <w:p>
      <w:pPr>
        <w:spacing w:after="0" w:line="164" w:lineRule="exact"/>
        <w:rPr>
          <w:sz w:val="20"/>
          <w:szCs w:val="20"/>
          <w:color w:val="auto"/>
        </w:rPr>
      </w:pPr>
    </w:p>
    <w:p>
      <w:pPr>
        <w:jc w:val="both"/>
        <w:ind w:left="120" w:right="80" w:firstLine="551"/>
        <w:spacing w:after="0" w:line="248" w:lineRule="auto"/>
        <w:rPr>
          <w:sz w:val="20"/>
          <w:szCs w:val="20"/>
          <w:color w:val="auto"/>
        </w:rPr>
      </w:pPr>
      <w:r>
        <w:rPr>
          <w:rFonts w:ascii="Arial" w:cs="Arial" w:eastAsia="Arial" w:hAnsi="Arial"/>
          <w:sz w:val="18"/>
          <w:szCs w:val="18"/>
          <w:color w:val="auto"/>
        </w:rPr>
        <w:t>As of December 31, 2018 and 2019, the Company had federal research and development credit carryforwards of $1.3 million and $3.3 million, respectively, and state research and development credit carryforwards of $1.4 million and $3.3 million, respectively, available to reduce future taxable income, if any, for federal and California state income tax purposes, respectively. The federal credit carryforwards begin expiring in 2035 and the state credits carryforward indefinitely.</w:t>
      </w:r>
    </w:p>
    <w:p>
      <w:pPr>
        <w:spacing w:after="0" w:line="170" w:lineRule="exact"/>
        <w:rPr>
          <w:sz w:val="20"/>
          <w:szCs w:val="20"/>
          <w:color w:val="auto"/>
        </w:rPr>
      </w:pPr>
    </w:p>
    <w:p>
      <w:pPr>
        <w:ind w:left="120" w:right="140" w:firstLine="551"/>
        <w:spacing w:after="0" w:line="241" w:lineRule="auto"/>
        <w:rPr>
          <w:sz w:val="20"/>
          <w:szCs w:val="20"/>
          <w:color w:val="auto"/>
        </w:rPr>
      </w:pPr>
      <w:r>
        <w:rPr>
          <w:rFonts w:ascii="Arial" w:cs="Arial" w:eastAsia="Arial" w:hAnsi="Arial"/>
          <w:sz w:val="18"/>
          <w:szCs w:val="18"/>
          <w:color w:val="auto"/>
        </w:rPr>
        <w:t>Utilization of the net operating loss carryforwards and research credit carryforwards may be subject to an annual limitation due to the ownership percentage change limitations provided by the Internal Revenue Code and similar state provisions. Annual limitations may result in the expiration of the net operating losses (NOL) and tax credit carryforwards before they are utilized. The Company has experienced ownership changes in the past as a result of its Series B redeemable convertible preferred stock financing. As a result of the ownership changes, the Company has determined that $0.9 million of its NOLs will expire unutilized for federal income tax purposes and such amounts are excluded from its NOLs as of December 31, 2019. Subsequent ownership changes may affect the limitation in future years.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reconciliation of the beginning and ending unrecognized tax benefits amounts is as follows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94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rPr>
              <w:t>Unrecognized</w:t>
            </w:r>
          </w:p>
        </w:tc>
      </w:tr>
      <w:tr>
        <w:trPr>
          <w:trHeight w:val="162"/>
        </w:trPr>
        <w:tc>
          <w:tcPr>
            <w:tcW w:w="9940" w:type="dxa"/>
            <w:vAlign w:val="bottom"/>
          </w:tcPr>
          <w:p>
            <w:pPr>
              <w:spacing w:after="0"/>
              <w:rPr>
                <w:sz w:val="14"/>
                <w:szCs w:val="14"/>
                <w:color w:val="auto"/>
              </w:rPr>
            </w:pPr>
          </w:p>
        </w:tc>
        <w:tc>
          <w:tcPr>
            <w:tcW w:w="1080" w:type="dxa"/>
            <w:vAlign w:val="bottom"/>
            <w:gridSpan w:val="4"/>
          </w:tcPr>
          <w:p>
            <w:pPr>
              <w:ind w:left="80"/>
              <w:spacing w:after="0"/>
              <w:rPr>
                <w:sz w:val="20"/>
                <w:szCs w:val="20"/>
                <w:color w:val="auto"/>
              </w:rPr>
            </w:pPr>
            <w:r>
              <w:rPr>
                <w:rFonts w:ascii="Arial" w:cs="Arial" w:eastAsia="Arial" w:hAnsi="Arial"/>
                <w:sz w:val="14"/>
                <w:szCs w:val="14"/>
                <w:b w:val="1"/>
                <w:bCs w:val="1"/>
                <w:color w:val="auto"/>
              </w:rPr>
              <w:t>Income Tax</w:t>
            </w:r>
          </w:p>
        </w:tc>
      </w:tr>
      <w:tr>
        <w:trPr>
          <w:trHeight w:val="177"/>
        </w:trPr>
        <w:tc>
          <w:tcPr>
            <w:tcW w:w="9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Benefits</w:t>
            </w:r>
          </w:p>
        </w:tc>
      </w:tr>
      <w:tr>
        <w:trPr>
          <w:trHeight w:val="196"/>
        </w:trPr>
        <w:tc>
          <w:tcPr>
            <w:tcW w:w="9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as of December 31, 2017</w:t>
            </w: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352</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9940" w:type="dxa"/>
            <w:vAlign w:val="bottom"/>
          </w:tcPr>
          <w:p>
            <w:pPr>
              <w:ind w:left="360"/>
              <w:spacing w:after="0" w:line="202" w:lineRule="exact"/>
              <w:rPr>
                <w:sz w:val="20"/>
                <w:szCs w:val="20"/>
                <w:color w:val="auto"/>
              </w:rPr>
            </w:pPr>
            <w:r>
              <w:rPr>
                <w:rFonts w:ascii="Arial" w:cs="Arial" w:eastAsia="Arial" w:hAnsi="Arial"/>
                <w:sz w:val="18"/>
                <w:szCs w:val="18"/>
                <w:color w:val="auto"/>
              </w:rPr>
              <w:t>Additions for current year tax positions</w:t>
            </w:r>
          </w:p>
        </w:tc>
        <w:tc>
          <w:tcPr>
            <w:tcW w:w="14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333</w:t>
            </w:r>
          </w:p>
        </w:tc>
        <w:tc>
          <w:tcPr>
            <w:tcW w:w="100" w:type="dxa"/>
            <w:vAlign w:val="bottom"/>
          </w:tcPr>
          <w:p>
            <w:pPr>
              <w:spacing w:after="0"/>
              <w:rPr>
                <w:sz w:val="17"/>
                <w:szCs w:val="17"/>
                <w:color w:val="auto"/>
              </w:rPr>
            </w:pPr>
          </w:p>
        </w:tc>
      </w:tr>
      <w:tr>
        <w:trPr>
          <w:trHeight w:val="203"/>
        </w:trPr>
        <w:tc>
          <w:tcPr>
            <w:tcW w:w="99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Reductions of prior year positions</w:t>
            </w:r>
          </w:p>
        </w:tc>
        <w:tc>
          <w:tcPr>
            <w:tcW w:w="1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w:t>
            </w:r>
          </w:p>
        </w:tc>
      </w:tr>
      <w:tr>
        <w:trPr>
          <w:trHeight w:val="209"/>
        </w:trPr>
        <w:tc>
          <w:tcPr>
            <w:tcW w:w="9940" w:type="dxa"/>
            <w:vAlign w:val="bottom"/>
          </w:tcPr>
          <w:p>
            <w:pPr>
              <w:spacing w:after="0"/>
              <w:rPr>
                <w:sz w:val="20"/>
                <w:szCs w:val="20"/>
                <w:color w:val="auto"/>
              </w:rPr>
            </w:pPr>
            <w:r>
              <w:rPr>
                <w:rFonts w:ascii="Arial" w:cs="Arial" w:eastAsia="Arial" w:hAnsi="Arial"/>
                <w:sz w:val="18"/>
                <w:szCs w:val="18"/>
                <w:color w:val="auto"/>
              </w:rPr>
              <w:t>Balance as of December 31, 2018</w:t>
            </w: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99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Additions for current year tax positions</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907</w:t>
            </w:r>
          </w:p>
        </w:tc>
        <w:tc>
          <w:tcPr>
            <w:tcW w:w="100" w:type="dxa"/>
            <w:vAlign w:val="bottom"/>
            <w:shd w:val="clear" w:color="auto" w:fill="CCEEFF"/>
          </w:tcPr>
          <w:p>
            <w:pPr>
              <w:spacing w:after="0"/>
              <w:rPr>
                <w:sz w:val="17"/>
                <w:szCs w:val="17"/>
                <w:color w:val="auto"/>
              </w:rPr>
            </w:pPr>
          </w:p>
        </w:tc>
      </w:tr>
      <w:tr>
        <w:trPr>
          <w:trHeight w:val="210"/>
        </w:trPr>
        <w:tc>
          <w:tcPr>
            <w:tcW w:w="9940" w:type="dxa"/>
            <w:vAlign w:val="bottom"/>
          </w:tcPr>
          <w:p>
            <w:pPr>
              <w:spacing w:after="0"/>
              <w:rPr>
                <w:sz w:val="20"/>
                <w:szCs w:val="20"/>
                <w:color w:val="auto"/>
              </w:rPr>
            </w:pPr>
            <w:r>
              <w:rPr>
                <w:rFonts w:ascii="Arial" w:cs="Arial" w:eastAsia="Arial" w:hAnsi="Arial"/>
                <w:sz w:val="18"/>
                <w:szCs w:val="18"/>
                <w:color w:val="auto"/>
              </w:rPr>
              <w:t>Balance as of December 31, 2019</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1,566</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9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The entire amount of the unrecognized tax benefits would not impact the Company’s effective tax rate if recognized. During each of the years ended December 31, 2018 and 2019, the Company did not recognize accrued interest and penalties related to unrecognized tax benefits. The Company does not anticipate that the amount of existing unrecognized tax benefits will materially increase or decrease during the next 12 months.</w:t>
      </w:r>
    </w:p>
    <w:p>
      <w:pPr>
        <w:spacing w:after="0" w:line="170" w:lineRule="exact"/>
        <w:rPr>
          <w:sz w:val="20"/>
          <w:szCs w:val="20"/>
          <w:color w:val="auto"/>
        </w:rPr>
      </w:pPr>
    </w:p>
    <w:p>
      <w:pPr>
        <w:ind w:left="120" w:right="80" w:firstLine="551"/>
        <w:spacing w:after="0" w:line="306" w:lineRule="auto"/>
        <w:rPr>
          <w:sz w:val="20"/>
          <w:szCs w:val="20"/>
          <w:color w:val="auto"/>
        </w:rPr>
      </w:pPr>
      <w:r>
        <w:rPr>
          <w:rFonts w:ascii="Arial" w:cs="Arial" w:eastAsia="Arial" w:hAnsi="Arial"/>
          <w:sz w:val="17"/>
          <w:szCs w:val="17"/>
          <w:color w:val="auto"/>
        </w:rPr>
        <w:t>The Company files income tax returns in the U.S. federal and California tax jurisdictions. All tax returns from inception to December 31, 2019 remain subject to examination. The Company has no ongoing income tax examinations by tax authorities at this time.</w:t>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10. Redeemable Convertible Preferred Stock</w:t>
      </w:r>
    </w:p>
    <w:p>
      <w:pPr>
        <w:spacing w:after="0" w:line="104" w:lineRule="exact"/>
        <w:rPr>
          <w:sz w:val="20"/>
          <w:szCs w:val="20"/>
          <w:color w:val="auto"/>
        </w:rPr>
      </w:pPr>
    </w:p>
    <w:p>
      <w:pPr>
        <w:ind w:left="120" w:right="120" w:firstLine="551"/>
        <w:spacing w:after="0" w:line="276" w:lineRule="auto"/>
        <w:rPr>
          <w:sz w:val="20"/>
          <w:szCs w:val="20"/>
          <w:color w:val="auto"/>
        </w:rPr>
      </w:pPr>
      <w:r>
        <w:rPr>
          <w:rFonts w:ascii="Arial" w:cs="Arial" w:eastAsia="Arial" w:hAnsi="Arial"/>
          <w:sz w:val="18"/>
          <w:szCs w:val="18"/>
          <w:color w:val="auto"/>
        </w:rPr>
        <w:t>In August 2018, the Company issued 5,154,632 shares of Series B redeemable convertible preferred stock at $17.46 per share for gross proceeds of $90.0 million.</w:t>
      </w:r>
    </w:p>
    <w:p>
      <w:pPr>
        <w:spacing w:after="0" w:line="145" w:lineRule="exact"/>
        <w:rPr>
          <w:sz w:val="20"/>
          <w:szCs w:val="20"/>
          <w:color w:val="auto"/>
        </w:rPr>
      </w:pPr>
    </w:p>
    <w:p>
      <w:pPr>
        <w:ind w:left="120" w:right="240" w:firstLine="551"/>
        <w:spacing w:after="0" w:line="276" w:lineRule="auto"/>
        <w:rPr>
          <w:sz w:val="20"/>
          <w:szCs w:val="20"/>
          <w:color w:val="auto"/>
        </w:rPr>
      </w:pPr>
      <w:r>
        <w:rPr>
          <w:rFonts w:ascii="Arial" w:cs="Arial" w:eastAsia="Arial" w:hAnsi="Arial"/>
          <w:sz w:val="18"/>
          <w:szCs w:val="18"/>
          <w:color w:val="auto"/>
        </w:rPr>
        <w:t>As of December 31, 2018 and 2019, the Company’s certificate of incorporation authorized the Company to issue up to 7,375,638 shares of redeemable convertible preferred stock at a par value of $0.0001 per share.</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55" w:right="439" w:bottom="1440" w:gutter="0" w:footer="0" w:header="0"/>
        </w:sectPr>
      </w:pPr>
    </w:p>
    <w:bookmarkStart w:id="281" w:name="page282"/>
    <w:bookmarkEnd w:id="2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40" w:firstLine="551"/>
        <w:spacing w:after="0" w:line="276" w:lineRule="auto"/>
        <w:rPr>
          <w:sz w:val="20"/>
          <w:szCs w:val="20"/>
          <w:color w:val="auto"/>
        </w:rPr>
      </w:pPr>
      <w:r>
        <w:rPr>
          <w:rFonts w:ascii="Arial" w:cs="Arial" w:eastAsia="Arial" w:hAnsi="Arial"/>
          <w:sz w:val="18"/>
          <w:szCs w:val="18"/>
          <w:color w:val="auto"/>
        </w:rPr>
        <w:t>In April and June of 2020, the Company issued a total of 4,200,353 shares of Series C redeemable convertible preferred stock at $18.00 per share for gross proceeds of $75.6 million (unaudited).</w:t>
      </w:r>
    </w:p>
    <w:p>
      <w:pPr>
        <w:spacing w:after="0" w:line="145" w:lineRule="exact"/>
        <w:rPr>
          <w:sz w:val="20"/>
          <w:szCs w:val="20"/>
          <w:color w:val="auto"/>
        </w:rPr>
      </w:pPr>
    </w:p>
    <w:p>
      <w:pPr>
        <w:ind w:left="120" w:right="100" w:firstLine="551"/>
        <w:spacing w:after="0" w:line="276" w:lineRule="auto"/>
        <w:rPr>
          <w:sz w:val="20"/>
          <w:szCs w:val="20"/>
          <w:color w:val="auto"/>
        </w:rPr>
      </w:pPr>
      <w:r>
        <w:rPr>
          <w:rFonts w:ascii="Arial" w:cs="Arial" w:eastAsia="Arial" w:hAnsi="Arial"/>
          <w:sz w:val="18"/>
          <w:szCs w:val="18"/>
          <w:color w:val="auto"/>
        </w:rPr>
        <w:t>As of September 30, 2020, the Company’s amended certificate of incorporation authorized the Company to issue up to 11,575,984 (unaudited) shares of redeemable convertible preferred stock at a par value of $0.0001 per share.</w:t>
      </w:r>
    </w:p>
    <w:p>
      <w:pPr>
        <w:spacing w:after="0" w:line="145" w:lineRule="exact"/>
        <w:rPr>
          <w:sz w:val="20"/>
          <w:szCs w:val="20"/>
          <w:color w:val="auto"/>
        </w:rPr>
      </w:pPr>
    </w:p>
    <w:p>
      <w:pPr>
        <w:ind w:left="120" w:right="400" w:firstLine="551"/>
        <w:spacing w:after="0" w:line="276" w:lineRule="auto"/>
        <w:rPr>
          <w:sz w:val="20"/>
          <w:szCs w:val="20"/>
          <w:color w:val="auto"/>
        </w:rPr>
      </w:pPr>
      <w:r>
        <w:rPr>
          <w:rFonts w:ascii="Arial" w:cs="Arial" w:eastAsia="Arial" w:hAnsi="Arial"/>
          <w:sz w:val="18"/>
          <w:szCs w:val="18"/>
          <w:color w:val="auto"/>
        </w:rPr>
        <w:t>Redeemable convertible preferred stock consists of the following as of December 31, 2018 and 2019 (in thousands, except per share and share amounts):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Original</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Proceeds</w:t>
            </w:r>
          </w:p>
        </w:tc>
      </w:tr>
      <w:tr>
        <w:trPr>
          <w:trHeight w:val="162"/>
        </w:trPr>
        <w:tc>
          <w:tcPr>
            <w:tcW w:w="56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Issuance</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Issued and</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Liquidation</w:t>
            </w:r>
          </w:p>
        </w:tc>
        <w:tc>
          <w:tcPr>
            <w:tcW w:w="16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Net of</w:t>
            </w:r>
          </w:p>
        </w:tc>
      </w:tr>
      <w:tr>
        <w:trPr>
          <w:trHeight w:val="177"/>
        </w:trPr>
        <w:tc>
          <w:tcPr>
            <w:tcW w:w="560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Authorized</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Price</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Value</w:t>
            </w:r>
          </w:p>
        </w:tc>
        <w:tc>
          <w:tcPr>
            <w:tcW w:w="11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Issuance Cost</w:t>
            </w:r>
          </w:p>
        </w:tc>
      </w:tr>
      <w:tr>
        <w:trPr>
          <w:trHeight w:val="196"/>
        </w:trPr>
        <w:tc>
          <w:tcPr>
            <w:tcW w:w="5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A</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909,312</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7.70</w:t>
            </w: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909,312</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7,001</w:t>
            </w: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6,960</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Series A-1</w:t>
            </w: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1,311,687</w:t>
            </w:r>
          </w:p>
        </w:tc>
        <w:tc>
          <w:tcPr>
            <w:tcW w:w="380" w:type="dxa"/>
            <w:vAlign w:val="bottom"/>
            <w:gridSpan w:val="2"/>
          </w:tcPr>
          <w:p>
            <w:pPr>
              <w:ind w:left="26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8.84</w:t>
            </w: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1,311,687</w:t>
            </w:r>
          </w:p>
        </w:tc>
        <w:tc>
          <w:tcPr>
            <w:tcW w:w="140" w:type="dxa"/>
            <w:vAlign w:val="bottom"/>
          </w:tcPr>
          <w:p>
            <w:pPr>
              <w:spacing w:after="0"/>
              <w:rPr>
                <w:sz w:val="17"/>
                <w:szCs w:val="17"/>
                <w:color w:val="auto"/>
              </w:rPr>
            </w:pPr>
          </w:p>
        </w:tc>
        <w:tc>
          <w:tcPr>
            <w:tcW w:w="9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11,595</w:t>
            </w:r>
          </w:p>
        </w:tc>
        <w:tc>
          <w:tcPr>
            <w:tcW w:w="16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11,548</w:t>
            </w: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B</w:t>
            </w: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5,154,639</w:t>
            </w:r>
          </w:p>
        </w:tc>
        <w:tc>
          <w:tcPr>
            <w:tcW w:w="38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17.46</w:t>
            </w: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5,154,632</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90,000</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84,472</w:t>
            </w:r>
          </w:p>
        </w:tc>
      </w:tr>
      <w:tr>
        <w:trPr>
          <w:trHeight w:val="209"/>
        </w:trPr>
        <w:tc>
          <w:tcPr>
            <w:tcW w:w="5600" w:type="dxa"/>
            <w:vAlign w:val="bottom"/>
          </w:tcPr>
          <w:p>
            <w:pPr>
              <w:ind w:left="36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7,375,638</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7,375,631</w:t>
            </w: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108,596</w:t>
            </w: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102,980</w:t>
            </w:r>
          </w:p>
        </w:tc>
        <w:tc>
          <w:tcPr>
            <w:tcW w:w="80" w:type="dxa"/>
            <w:vAlign w:val="bottom"/>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180" w:firstLine="551"/>
        <w:spacing w:after="0" w:line="276" w:lineRule="auto"/>
        <w:rPr>
          <w:sz w:val="20"/>
          <w:szCs w:val="20"/>
          <w:color w:val="auto"/>
        </w:rPr>
      </w:pPr>
      <w:r>
        <w:rPr>
          <w:rFonts w:ascii="Arial" w:cs="Arial" w:eastAsia="Arial" w:hAnsi="Arial"/>
          <w:sz w:val="18"/>
          <w:szCs w:val="18"/>
          <w:color w:val="auto"/>
        </w:rPr>
        <w:t>Redeemable convertible preferred stock consists of the following as of September 30, 2020 (unaudited) (in thousands, except per share and share amounts):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Original</w:t>
            </w: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Proceeds</w:t>
            </w:r>
          </w:p>
        </w:tc>
      </w:tr>
      <w:tr>
        <w:trPr>
          <w:trHeight w:val="162"/>
        </w:trPr>
        <w:tc>
          <w:tcPr>
            <w:tcW w:w="494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Issuance</w:t>
            </w: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Issued and</w:t>
            </w:r>
          </w:p>
        </w:tc>
        <w:tc>
          <w:tcPr>
            <w:tcW w:w="10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Liquidation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Net of</w:t>
            </w:r>
          </w:p>
        </w:tc>
      </w:tr>
      <w:tr>
        <w:trPr>
          <w:trHeight w:val="177"/>
        </w:trPr>
        <w:tc>
          <w:tcPr>
            <w:tcW w:w="4940" w:type="dxa"/>
            <w:vAlign w:val="bottom"/>
          </w:tcPr>
          <w:p>
            <w:pPr>
              <w:spacing w:after="0"/>
              <w:rPr>
                <w:sz w:val="15"/>
                <w:szCs w:val="15"/>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Authorized</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Price</w:t>
            </w: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5"/>
                <w:szCs w:val="15"/>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200" w:type="dxa"/>
            <w:vAlign w:val="bottom"/>
          </w:tcPr>
          <w:p>
            <w:pPr>
              <w:spacing w:after="0"/>
              <w:rPr>
                <w:sz w:val="15"/>
                <w:szCs w:val="15"/>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Issuance Cost</w:t>
            </w:r>
          </w:p>
        </w:tc>
      </w:tr>
      <w:tr>
        <w:trPr>
          <w:trHeight w:val="196"/>
        </w:trPr>
        <w:tc>
          <w:tcPr>
            <w:tcW w:w="4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A</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909,312</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7.70</w:t>
            </w:r>
          </w:p>
        </w:tc>
        <w:tc>
          <w:tcPr>
            <w:tcW w:w="3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909,312</w:t>
            </w: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7,001</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6,960</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Series A-1</w:t>
            </w:r>
          </w:p>
        </w:tc>
        <w:tc>
          <w:tcPr>
            <w:tcW w:w="11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1,311,687</w:t>
            </w:r>
          </w:p>
        </w:tc>
        <w:tc>
          <w:tcPr>
            <w:tcW w:w="300" w:type="dxa"/>
            <w:vAlign w:val="bottom"/>
            <w:gridSpan w:val="2"/>
          </w:tcPr>
          <w:p>
            <w:pPr>
              <w:ind w:left="18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8.84</w:t>
            </w:r>
          </w:p>
        </w:tc>
        <w:tc>
          <w:tcPr>
            <w:tcW w:w="13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1,311,687</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11,595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11,548</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B</w:t>
            </w:r>
          </w:p>
        </w:tc>
        <w:tc>
          <w:tcPr>
            <w:tcW w:w="11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5,154,632</w:t>
            </w:r>
          </w:p>
        </w:tc>
        <w:tc>
          <w:tcPr>
            <w:tcW w:w="3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17.46</w:t>
            </w:r>
          </w:p>
        </w:tc>
        <w:tc>
          <w:tcPr>
            <w:tcW w:w="13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5,154,632</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90,000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84,472</w:t>
            </w: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Series C</w:t>
            </w:r>
          </w:p>
        </w:tc>
        <w:tc>
          <w:tcPr>
            <w:tcW w:w="11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4,200,353</w:t>
            </w:r>
          </w:p>
        </w:tc>
        <w:tc>
          <w:tcPr>
            <w:tcW w:w="300" w:type="dxa"/>
            <w:vAlign w:val="bottom"/>
            <w:gridSpan w:val="2"/>
          </w:tcPr>
          <w:p>
            <w:pPr>
              <w:ind w:left="18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18.00</w:t>
            </w:r>
          </w:p>
        </w:tc>
        <w:tc>
          <w:tcPr>
            <w:tcW w:w="13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4,200,353</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75,606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72,468</w:t>
            </w:r>
          </w:p>
        </w:tc>
      </w:tr>
      <w:tr>
        <w:trPr>
          <w:trHeight w:val="27"/>
        </w:trPr>
        <w:tc>
          <w:tcPr>
            <w:tcW w:w="49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2"/>
        </w:trPr>
        <w:tc>
          <w:tcPr>
            <w:tcW w:w="49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11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11,575,984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11,575,984</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184,202</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175,448</w:t>
            </w:r>
          </w:p>
        </w:tc>
      </w:tr>
      <w:tr>
        <w:trPr>
          <w:trHeight w:val="20"/>
        </w:trPr>
        <w:tc>
          <w:tcPr>
            <w:tcW w:w="49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holders of redeemable convertible preferred stock have various rights and preferences including the following:</w:t>
      </w:r>
    </w:p>
    <w:p>
      <w:pPr>
        <w:spacing w:after="0" w:line="212"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i w:val="1"/>
          <w:iCs w:val="1"/>
          <w:color w:val="auto"/>
        </w:rPr>
        <w:t>Liquidation Preference—</w:t>
      </w:r>
      <w:r>
        <w:rPr>
          <w:rFonts w:ascii="Arial" w:cs="Arial" w:eastAsia="Arial" w:hAnsi="Arial"/>
          <w:sz w:val="18"/>
          <w:szCs w:val="18"/>
          <w:color w:val="auto"/>
        </w:rPr>
        <w:t>In the event of a liquidation event, the holders of the shares of Series C (unaudited) and Series B</w:t>
      </w:r>
      <w:r>
        <w:rPr>
          <w:rFonts w:ascii="Arial" w:cs="Arial" w:eastAsia="Arial" w:hAnsi="Arial"/>
          <w:sz w:val="18"/>
          <w:szCs w:val="18"/>
          <w:i w:val="1"/>
          <w:iCs w:val="1"/>
          <w:color w:val="auto"/>
        </w:rPr>
        <w:t xml:space="preserve"> </w:t>
      </w:r>
      <w:r>
        <w:rPr>
          <w:rFonts w:ascii="Arial" w:cs="Arial" w:eastAsia="Arial" w:hAnsi="Arial"/>
          <w:sz w:val="18"/>
          <w:szCs w:val="18"/>
          <w:color w:val="auto"/>
        </w:rPr>
        <w:t>redeemable convertible preferred stock are entitled to receive any distribution of any of the assets of the Company in preference to the holders of the Series A-1 redeemable convertible preferred stock, Series A redeemable convertible preferred stock or common stock, an amount per share equal to the greater of (i) the sum of the original Series C (unaudited) issue price plus all declared but unpaid dividends thereon or the original Series B issue price plus all declared but unpaid dividends and (ii) such amount per share payable had all shares of Series C (unaudited) and Series B redeemable convertible preferred stock been converted into common stock. If upon the occurrence of a liquidation event, the available assets are insufficient to pay the holders of Series C and Series B redeemable convertible preferred stock the full amount to which they are entitled, then the available assets shall be distributed to the holders of the shares of Series C and Series B redeemable convertible preferred stock, in proportion to the full preferential amount each holder is otherwise entitled to receive (unaudited). After full payment to holders of the Series C (unaudited) and Series B redeemable convertible preferred stock, payment should be made to the holders of Series A-1 redeemable convertible preferred stock, in preference to the holders of the Series A redeemable convertible preferred stock or common stock, in an amount equal to the greater of (i) the original Series A-1 issue price plus all declared but unpaid dividends and (ii) such amount per share payable had all shares of Series A-1 redeemable convertible preferred stock been converted into common stock. After</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40"/>
          </w:cols>
          <w:pgMar w:left="320" w:top="455" w:right="439" w:bottom="1440" w:gutter="0" w:footer="0" w:header="0"/>
        </w:sectPr>
      </w:pPr>
    </w:p>
    <w:bookmarkStart w:id="282" w:name="page283"/>
    <w:bookmarkEnd w:id="2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80"/>
        <w:spacing w:after="0" w:line="258" w:lineRule="auto"/>
        <w:rPr>
          <w:sz w:val="20"/>
          <w:szCs w:val="20"/>
          <w:color w:val="auto"/>
        </w:rPr>
      </w:pPr>
      <w:r>
        <w:rPr>
          <w:rFonts w:ascii="Arial" w:cs="Arial" w:eastAsia="Arial" w:hAnsi="Arial"/>
          <w:sz w:val="17"/>
          <w:szCs w:val="17"/>
          <w:color w:val="auto"/>
        </w:rPr>
        <w:t>full payment to holders of the Series A-1 redeemable convertible preferred stock, payment should be made to the holders of Series A redeemable convertible preferred stock, in preference to the holders of the common stock, in an amount equal to the greater of (i) the original Series A issue price plus all declared but unpaid dividends and (ii) such amount per share payable had all shares of Series A redeemable convertible preferred stock been converted into common stock. If upon the occurrence of a liquidation event, the available assets are insufficient to pay the holders of Series A-1 or Series A redeemable convertible preferred stock the full amount to which they are entitled, then the available assets shall be distributed to the holders of such redeemable convertible preferred stock on a pro rata, on an equal priority, pari passu basis, in proportion to the full preferential amount such holder is otherwise entitled to receive (unaudited).</w:t>
      </w:r>
    </w:p>
    <w:p>
      <w:pPr>
        <w:spacing w:after="0" w:line="163"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Notwithstanding the above, for purposes of determining the amount each holder of shares of redeemable convertible preferred stock is entitled to receive with respect to a Liquidation Event, each such holder of shares of a series of redeemable convertible preferred stock shall be deemed to have converted such holder’s shares of such series into shares of common stock immediately prior to the Liquidation Event if, as a result of an actual conversion, such holder would receive, in the aggregate, an amount greater than the amount that would be distributed to such holder if such holder did not convert such series of redeemable convertible preferred stock into shares of common stock. If any such holder shall be deemed to have converted shares of redeemable convertible preferred stock into common stock pursuant to this paragraph, then such holder shall not be entitled to receive any distribution that would otherwise be made to holders of redeemable convertible preferred stock that have not converted into shares of common stock.</w:t>
      </w:r>
    </w:p>
    <w:p>
      <w:pPr>
        <w:spacing w:after="0" w:line="180"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i w:val="1"/>
          <w:iCs w:val="1"/>
          <w:color w:val="auto"/>
        </w:rPr>
        <w:t>Conversion—</w:t>
      </w:r>
      <w:r>
        <w:rPr>
          <w:rFonts w:ascii="Arial" w:cs="Arial" w:eastAsia="Arial" w:hAnsi="Arial"/>
          <w:sz w:val="18"/>
          <w:szCs w:val="18"/>
          <w:color w:val="auto"/>
        </w:rPr>
        <w:t>Shares of any series of redeemable convertible preferred stock can be converted, at the option of the holder, into</w:t>
      </w:r>
      <w:r>
        <w:rPr>
          <w:rFonts w:ascii="Arial" w:cs="Arial" w:eastAsia="Arial" w:hAnsi="Arial"/>
          <w:sz w:val="18"/>
          <w:szCs w:val="18"/>
          <w:i w:val="1"/>
          <w:iCs w:val="1"/>
          <w:color w:val="auto"/>
        </w:rPr>
        <w:t xml:space="preserve"> </w:t>
      </w:r>
      <w:r>
        <w:rPr>
          <w:rFonts w:ascii="Arial" w:cs="Arial" w:eastAsia="Arial" w:hAnsi="Arial"/>
          <w:sz w:val="18"/>
          <w:szCs w:val="18"/>
          <w:color w:val="auto"/>
        </w:rPr>
        <w:t>such number of fully paid and non-assessable shares of common stock using a conversion rate determined by dividing the applicable original issue price by the applicable conversion price, as adjusted for any anti-dilution adjustments. If, after the issuance date of the redeemable convertible preferred stock, the Company issues or sells, or is deemed to have sold, additional shares of common stock at a price lower than the relevant conversion price in effect, except for certain exceptions allowed, the conversion price of the redeemable convertible preferred stock would be adjusted. As of December 31, 2018 and 2019, the conversion price for the Series A, A-1 and B redeemable convertible preferred stock is $7.700 per share, $8.839 per share and $17.460 per share, respectively, and the conversion ratio is one-for-one. As of September 30, 2020, the conversion price for the Series A, A-1, B and C redeemable convertible preferred stock is $7.700 (unaudited) per share, $8.839 (unaudited) per share, $17.460 (unaudited) per share, and $18.000 (unaudited) per share, respectively, and the conversion ratio is one-for-one.</w:t>
      </w:r>
    </w:p>
    <w:p>
      <w:pPr>
        <w:spacing w:after="0" w:line="180" w:lineRule="exact"/>
        <w:rPr>
          <w:sz w:val="20"/>
          <w:szCs w:val="20"/>
          <w:color w:val="auto"/>
        </w:rPr>
      </w:pPr>
    </w:p>
    <w:p>
      <w:pPr>
        <w:ind w:left="120" w:firstLine="551"/>
        <w:spacing w:after="0" w:line="254" w:lineRule="auto"/>
        <w:rPr>
          <w:sz w:val="20"/>
          <w:szCs w:val="20"/>
          <w:color w:val="auto"/>
        </w:rPr>
      </w:pPr>
      <w:r>
        <w:rPr>
          <w:rFonts w:ascii="Arial" w:cs="Arial" w:eastAsia="Arial" w:hAnsi="Arial"/>
          <w:sz w:val="17"/>
          <w:szCs w:val="17"/>
          <w:color w:val="auto"/>
        </w:rPr>
        <w:t>As of December 31, 2018 and 2019, shares of redeemable convertible preferred stock shall automatically be converted into shares of common stock at the then effective conversion price for such share, immediately prior to either: (i) the completion of an underwritten public offering of the Company’s common stock at a price of at least 1.5 times the original Series B issuance price for any initial public offering consummated at any time prior to the first anniversary of the Series B original issuance date, or 1.25 times the original Series B issuance price for any such IPO thereafter and that provides at least $30.0 million of gross proceeds to the Company (a “Qualified IPO”) or</w:t>
      </w:r>
    </w:p>
    <w:p>
      <w:pPr>
        <w:ind w:left="120" w:right="20" w:hanging="4"/>
        <w:spacing w:after="0" w:line="242" w:lineRule="auto"/>
        <w:tabs>
          <w:tab w:leader="none" w:pos="37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conversion by the holders of redeemable convertible preferred stock, which requires the vote of the holders of a majority of the then outstanding shares of redeemable convertible preferred stock, voting together as a single class on an as-converted to common stock basis.</w:t>
      </w:r>
    </w:p>
    <w:p>
      <w:pPr>
        <w:spacing w:after="0" w:line="175" w:lineRule="exact"/>
        <w:rPr>
          <w:sz w:val="20"/>
          <w:szCs w:val="20"/>
          <w:color w:val="auto"/>
        </w:rPr>
      </w:pPr>
    </w:p>
    <w:p>
      <w:pPr>
        <w:ind w:left="120" w:right="440" w:firstLine="551"/>
        <w:spacing w:after="0" w:line="248" w:lineRule="auto"/>
        <w:rPr>
          <w:sz w:val="20"/>
          <w:szCs w:val="20"/>
          <w:color w:val="auto"/>
        </w:rPr>
      </w:pPr>
      <w:r>
        <w:rPr>
          <w:rFonts w:ascii="Arial" w:cs="Arial" w:eastAsia="Arial" w:hAnsi="Arial"/>
          <w:sz w:val="18"/>
          <w:szCs w:val="18"/>
          <w:color w:val="auto"/>
        </w:rPr>
        <w:t>As of September 30, 2020 (unaudited), shares of redeemable convertible preferred stock shall automatically be converted into shares of common stock at the then effective conversion price for such share, immediately prior to either: (i) the completion of an underwritten public offering of the Company’s common stock at a price of at least 1.25 times the original Series C issuance price, as adjusted for any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20"/>
          </w:cols>
          <w:pgMar w:left="320" w:top="455" w:right="459" w:bottom="1440" w:gutter="0" w:footer="0" w:header="0"/>
        </w:sectPr>
      </w:pPr>
    </w:p>
    <w:bookmarkStart w:id="283" w:name="page284"/>
    <w:bookmarkEnd w:id="2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3" w:lineRule="auto"/>
        <w:rPr>
          <w:sz w:val="20"/>
          <w:szCs w:val="20"/>
          <w:color w:val="auto"/>
        </w:rPr>
      </w:pPr>
      <w:r>
        <w:rPr>
          <w:rFonts w:ascii="Arial" w:cs="Arial" w:eastAsia="Arial" w:hAnsi="Arial"/>
          <w:sz w:val="18"/>
          <w:szCs w:val="18"/>
          <w:color w:val="auto"/>
        </w:rPr>
        <w:t>stock splits, stock dividends, combinations, subdivisions, recapitalizations or the like that provides at least $50.0 million of gross proceeds to the Company (a “Qualified IPO”) or (ii) the conversion by the holders of redeemable convertible preferred stock, which requires the vote of the holders of a majority of the then outstanding shares of redeemable convertible preferred stock voting together as a single class on an as-converted to common stock basis; provided, however that any automatic conversion of the Series C and Series B redeemable convertible preferred stock under (ii) shall require the consent of the holders of a majority of Series C and Series B redeemable convertible preferred stock then outstanding voting together as a single class on an as-converted to common stock basis.</w:t>
      </w:r>
    </w:p>
    <w:p>
      <w:pPr>
        <w:spacing w:after="0" w:line="174"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Holders of shares of redeemable convertible preferred stock shall be entitled to non-cumulative dividends prior to, and</w:t>
      </w:r>
      <w:r>
        <w:rPr>
          <w:rFonts w:ascii="Arial" w:cs="Arial" w:eastAsia="Arial" w:hAnsi="Arial"/>
          <w:sz w:val="18"/>
          <w:szCs w:val="18"/>
          <w:i w:val="1"/>
          <w:iCs w:val="1"/>
          <w:color w:val="auto"/>
        </w:rPr>
        <w:t xml:space="preserve"> </w:t>
      </w:r>
      <w:r>
        <w:rPr>
          <w:rFonts w:ascii="Arial" w:cs="Arial" w:eastAsia="Arial" w:hAnsi="Arial"/>
          <w:sz w:val="18"/>
          <w:szCs w:val="18"/>
          <w:color w:val="auto"/>
        </w:rPr>
        <w:t>in preference to any declaration or payment of any dividend on common stock. The amount of such dividends payable per share of preferred stock is at least equal to the dividend payable per share of common stock. Through December 31, 2018, December 31, 2019 and September 30, 2020 (unaudited), no dividends had been declared. Given this dividend preference, the Company considers all series of redeemable convertible preferred stock to be participating securities.</w:t>
      </w:r>
    </w:p>
    <w:p>
      <w:pPr>
        <w:spacing w:after="0" w:line="172"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Each holder of redeemable convertible preferred stock shall be entitled to the number of votes equal to the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of shares of common stock into which the shares of redeemable convertible preferred stock held by such holder could be converted as of the record date. Holders of redeemable convertible preferred stock and common stock generally vote as a single class. So long as at least 777,778 shares of Series C redeemable convertible preferred stock issued remain outstanding, the holders of a majority of Series C redeemable convertible preferred stock will be entitled to designate one director (unaudited). So long as at least 916,380 of the Series B redeemable convertible preferred stock issued remain outstanding, the holders of a majority of the Series B redeemable convertible preferred stock will be entitled to designate one director. The holders of record of shares of Series A-1 redeemable convertible preferred stock, exclusively and as a separate class, shall be entitled to designate one director (unaudited).</w:t>
      </w:r>
    </w:p>
    <w:p>
      <w:pPr>
        <w:spacing w:after="0" w:line="180" w:lineRule="exact"/>
        <w:rPr>
          <w:sz w:val="20"/>
          <w:szCs w:val="20"/>
          <w:color w:val="auto"/>
        </w:rPr>
      </w:pPr>
    </w:p>
    <w:p>
      <w:pPr>
        <w:ind w:left="120" w:right="440" w:firstLine="551"/>
        <w:spacing w:after="0" w:line="255" w:lineRule="auto"/>
        <w:rPr>
          <w:sz w:val="20"/>
          <w:szCs w:val="20"/>
          <w:color w:val="auto"/>
        </w:rPr>
      </w:pPr>
      <w:r>
        <w:rPr>
          <w:rFonts w:ascii="Arial" w:cs="Arial" w:eastAsia="Arial" w:hAnsi="Arial"/>
          <w:sz w:val="18"/>
          <w:szCs w:val="18"/>
          <w:i w:val="1"/>
          <w:iCs w:val="1"/>
          <w:color w:val="auto"/>
        </w:rPr>
        <w:t>Redemption and Balance Sheet Classification—</w:t>
      </w:r>
      <w:r>
        <w:rPr>
          <w:rFonts w:ascii="Arial" w:cs="Arial" w:eastAsia="Arial" w:hAnsi="Arial"/>
          <w:sz w:val="18"/>
          <w:szCs w:val="18"/>
          <w:color w:val="auto"/>
        </w:rPr>
        <w:t>The redeemable convertible preferred stock is recorded in mezzanine equity</w:t>
      </w:r>
      <w:r>
        <w:rPr>
          <w:rFonts w:ascii="Arial" w:cs="Arial" w:eastAsia="Arial" w:hAnsi="Arial"/>
          <w:sz w:val="18"/>
          <w:szCs w:val="18"/>
          <w:i w:val="1"/>
          <w:iCs w:val="1"/>
          <w:color w:val="auto"/>
        </w:rPr>
        <w:t xml:space="preserve"> </w:t>
      </w:r>
      <w:r>
        <w:rPr>
          <w:rFonts w:ascii="Arial" w:cs="Arial" w:eastAsia="Arial" w:hAnsi="Arial"/>
          <w:sz w:val="18"/>
          <w:szCs w:val="18"/>
          <w:color w:val="auto"/>
        </w:rPr>
        <w:t>because while it is not mandatorily redeemable, it will become redeemable at the option of the stockholders upon the occurrence of a deemed liquidation event that is considered not solely within the Company’s control.</w:t>
      </w:r>
    </w:p>
    <w:p>
      <w:pPr>
        <w:spacing w:after="0" w:line="164" w:lineRule="exact"/>
        <w:rPr>
          <w:sz w:val="20"/>
          <w:szCs w:val="20"/>
          <w:color w:val="auto"/>
        </w:rPr>
      </w:pPr>
    </w:p>
    <w:p>
      <w:pPr>
        <w:jc w:val="both"/>
        <w:ind w:left="120" w:right="160" w:firstLine="551"/>
        <w:spacing w:after="0" w:line="257" w:lineRule="auto"/>
        <w:rPr>
          <w:sz w:val="20"/>
          <w:szCs w:val="20"/>
          <w:color w:val="auto"/>
        </w:rPr>
      </w:pPr>
      <w:r>
        <w:rPr>
          <w:rFonts w:ascii="Arial" w:cs="Arial" w:eastAsia="Arial" w:hAnsi="Arial"/>
          <w:sz w:val="17"/>
          <w:szCs w:val="17"/>
          <w:i w:val="1"/>
          <w:iCs w:val="1"/>
          <w:color w:val="auto"/>
        </w:rPr>
        <w:t>Funding Agreement with CFF (unaudited)—</w:t>
      </w:r>
      <w:r>
        <w:rPr>
          <w:rFonts w:ascii="Arial" w:cs="Arial" w:eastAsia="Arial" w:hAnsi="Arial"/>
          <w:sz w:val="17"/>
          <w:szCs w:val="17"/>
          <w:color w:val="auto"/>
        </w:rPr>
        <w:t>In April 2020, the Cystic Fibrosis Foundation (“CFF”) made a $10.0 million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in the Company’s Series C redeemable convertible preferred stock financing. In return for the investment, CFF received shares of Series C redeemable convertible preferred stock, and the Company and CFF entered into a Funding Agreement (“the Funding Agreement”).</w:t>
      </w:r>
    </w:p>
    <w:p>
      <w:pPr>
        <w:spacing w:after="0" w:line="2"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Pursuant to the terms of the Funding Agreement, except in the event of a technical failure, the $10.0 million received from CFF will be used to advance the development program for 4D-710, the Company’s lead product in cystic fibrosis, or any other therapeutic approved by the Program Advisory Group (“PAG”) to alleviate pulmonary complications of cystic fibrosis (“the Funding Agreement Product”). CFF is committed to provide an additional $4.0 million of funding upon acceptance of an Investigational New Drug application or its equivalent to allow for human testing of the Funding Agreement Product (“Acceptance”), except in the event of a change of control transaction occurring prior to Acceptance or Acceptance occurring after April 29, 2026. If the Company’s common stock is publicly traded at the time of Acceptance, CFF will receive shares of common stock priced at the 10-day average reported closing price of the Company’s common stock on the date of Acceptance. If the Company’s common stock is not publicly traded at the time of Acceptance, CFF will receive a convertible note (“Note”). The Note has a term of three years from date of issuance and carries an 8% interest rate per annum on the outstanding principal amount. All unpaid interest and principal shall be due and payable upon request of CFF on the third anniversary of the issuance of the Note. The Note</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20"/>
          </w:cols>
          <w:pgMar w:left="320" w:top="455" w:right="459" w:bottom="1440" w:gutter="0" w:footer="0" w:header="0"/>
        </w:sectPr>
      </w:pPr>
    </w:p>
    <w:bookmarkStart w:id="284" w:name="page285"/>
    <w:bookmarkEnd w:id="2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shall automatically convert as follows: (i) into common stock at 85% of the public price per share, or (ii) into preferred shares at 85% of the lowest price per share paid by other investors in a secondary or private offering of the Company’s preferred stock of more than $25.0 million. If a conversion has not occurred after five hundred forty days from date of the Note issuance, CFF may elect to convert the principal amount of the Note plus accrued interest into Series C redeemable convertible preferred stock at a price per share of $ 18.00 upon notice to the Company. Except in the event of a technical failure, the Company is committed to providing an amount equal to the funding provided by CFF to be used solely to advance the Funding Agreement Product. A technical failure is defined as a determination by the Company, after consultation with and approval of the PAG that (i) the Funding Agreement Product has failed to reach its intended endpoints due to safety issues, lack of sufficient transgene expression and/or efficacy, each despite commercially reasonable efforts and</w:t>
      </w:r>
    </w:p>
    <w:p>
      <w:pPr>
        <w:spacing w:after="0" w:line="7" w:lineRule="exact"/>
        <w:rPr>
          <w:sz w:val="20"/>
          <w:szCs w:val="20"/>
          <w:color w:val="auto"/>
        </w:rPr>
      </w:pPr>
    </w:p>
    <w:p>
      <w:pPr>
        <w:ind w:left="120" w:right="280" w:hanging="4"/>
        <w:spacing w:after="0" w:line="242" w:lineRule="auto"/>
        <w:tabs>
          <w:tab w:leader="none" w:pos="37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exercise of further commercially reasonable efforts is unlikely to correct such failure. Under the terms of the Funding Agreement, neither the $10.0 million investment in the Series C redeemable convertible preferred stock nor the $4.0 million of funding upon Acceptance are restricted as to withdrawal or usage.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11. Common Stock</w:t>
      </w:r>
    </w:p>
    <w:p>
      <w:pPr>
        <w:spacing w:after="0" w:line="104"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As of each of December 31, 2018 and 2019, the Company’s certificate of incorporation authorized the Company to issue 50,000,000 shares of common stock at the par value of $0.0001 per share. As of September 30, 2020, the Company’s amended certificate of incorporation authorized the Company to issue 20,866,244 (unaudited) shares of common stock at the par value of $0.0001 per share. The holder of each share of common stock is entitled to one vote per share.</w:t>
      </w:r>
    </w:p>
    <w:p>
      <w:pPr>
        <w:spacing w:after="0" w:line="170"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Common stockholders are entitled to dividends if and when declared by the board of directors, subject to the prior rights of the redeemable preferred stockholders. As of December 31, 2018, December 31, 2019 and September 30, 2020 (unaudited), no dividends on common stock had been declared by the board of directors.</w:t>
      </w:r>
    </w:p>
    <w:p>
      <w:pPr>
        <w:spacing w:after="0" w:line="164" w:lineRule="exact"/>
        <w:rPr>
          <w:sz w:val="20"/>
          <w:szCs w:val="20"/>
          <w:color w:val="auto"/>
        </w:rPr>
      </w:pPr>
    </w:p>
    <w:p>
      <w:pPr>
        <w:ind w:left="120" w:right="140" w:firstLine="551"/>
        <w:spacing w:after="0" w:line="277" w:lineRule="auto"/>
        <w:rPr>
          <w:sz w:val="20"/>
          <w:szCs w:val="20"/>
          <w:color w:val="auto"/>
        </w:rPr>
      </w:pPr>
      <w:r>
        <w:rPr>
          <w:rFonts w:ascii="Arial" w:cs="Arial" w:eastAsia="Arial" w:hAnsi="Arial"/>
          <w:sz w:val="17"/>
          <w:szCs w:val="17"/>
          <w:color w:val="auto"/>
        </w:rPr>
        <w:t>The number of authorized shares of common stock may be increased or decreased (but not below the number of shares thereof then outstanding or reserved for issuance) by the affirmative vote of the holders of a majority (assuming the conversion of all redeemable convertible preferred stock) of the capital stock of the Company entitled to vote and without a separate class vote of the common stock.</w:t>
      </w:r>
    </w:p>
    <w:p>
      <w:pPr>
        <w:spacing w:after="0" w:line="147" w:lineRule="exact"/>
        <w:rPr>
          <w:sz w:val="20"/>
          <w:szCs w:val="20"/>
          <w:color w:val="auto"/>
        </w:rPr>
      </w:pPr>
    </w:p>
    <w:p>
      <w:pPr>
        <w:ind w:left="120" w:right="240" w:firstLine="551"/>
        <w:spacing w:after="0" w:line="276" w:lineRule="auto"/>
        <w:rPr>
          <w:sz w:val="20"/>
          <w:szCs w:val="20"/>
          <w:color w:val="auto"/>
        </w:rPr>
      </w:pPr>
      <w:r>
        <w:rPr>
          <w:rFonts w:ascii="Arial" w:cs="Arial" w:eastAsia="Arial" w:hAnsi="Arial"/>
          <w:sz w:val="18"/>
          <w:szCs w:val="18"/>
          <w:color w:val="auto"/>
        </w:rPr>
        <w:t>As of December 31, 2018, December 31, 2019 and September 30, 2020 (unaudited), the Company has reserved common stock, on an as-converted basis, for future issuance as follows: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16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December 31,</w:t>
            </w:r>
          </w:p>
        </w:tc>
        <w:tc>
          <w:tcPr>
            <w:tcW w:w="12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September 30,</w:t>
            </w:r>
          </w:p>
        </w:tc>
      </w:tr>
      <w:tr>
        <w:trPr>
          <w:trHeight w:val="177"/>
        </w:trPr>
        <w:tc>
          <w:tcPr>
            <w:tcW w:w="7160" w:type="dxa"/>
            <w:vAlign w:val="bottom"/>
          </w:tcPr>
          <w:p>
            <w:pPr>
              <w:spacing w:after="0"/>
              <w:rPr>
                <w:sz w:val="15"/>
                <w:szCs w:val="15"/>
                <w:color w:val="auto"/>
              </w:rPr>
            </w:pPr>
          </w:p>
        </w:tc>
        <w:tc>
          <w:tcPr>
            <w:tcW w:w="11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5"/>
                <w:szCs w:val="15"/>
                <w:color w:val="auto"/>
              </w:rPr>
            </w:pPr>
          </w:p>
        </w:tc>
        <w:tc>
          <w:tcPr>
            <w:tcW w:w="11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r>
      <w:tr>
        <w:trPr>
          <w:trHeight w:val="155"/>
        </w:trPr>
        <w:tc>
          <w:tcPr>
            <w:tcW w:w="7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3"/>
                <w:szCs w:val="13"/>
                <w:color w:val="auto"/>
              </w:rPr>
            </w:pP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Conversion of redeemable convertible preferred stock</w:t>
            </w:r>
          </w:p>
        </w:tc>
        <w:tc>
          <w:tcPr>
            <w:tcW w:w="12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7,375,631</w:t>
            </w:r>
          </w:p>
        </w:tc>
        <w:tc>
          <w:tcPr>
            <w:tcW w:w="13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7,375,631</w:t>
            </w:r>
          </w:p>
        </w:tc>
        <w:tc>
          <w:tcPr>
            <w:tcW w:w="1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11,575,984</w:t>
            </w: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Stock options available for future stock option grant</w:t>
            </w: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578,842</w:t>
            </w:r>
          </w:p>
        </w:tc>
        <w:tc>
          <w:tcPr>
            <w:tcW w:w="13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125,353</w:t>
            </w: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41,897</w:t>
            </w: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issued and outstanding</w:t>
            </w:r>
          </w:p>
        </w:tc>
        <w:tc>
          <w:tcPr>
            <w:tcW w:w="12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2,028,274</w:t>
            </w:r>
          </w:p>
        </w:tc>
        <w:tc>
          <w:tcPr>
            <w:tcW w:w="13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2,474,152</w:t>
            </w:r>
          </w:p>
        </w:tc>
        <w:tc>
          <w:tcPr>
            <w:tcW w:w="1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2,928,321</w:t>
            </w: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Common stock warrants</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68,669</w:t>
            </w:r>
          </w:p>
        </w:tc>
        <w:tc>
          <w:tcPr>
            <w:tcW w:w="160" w:type="dxa"/>
            <w:vAlign w:val="bottom"/>
          </w:tcPr>
          <w:p>
            <w:pPr>
              <w:spacing w:after="0"/>
              <w:rPr>
                <w:sz w:val="17"/>
                <w:szCs w:val="17"/>
                <w:color w:val="auto"/>
              </w:rPr>
            </w:pPr>
          </w:p>
        </w:tc>
        <w:tc>
          <w:tcPr>
            <w:tcW w:w="13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68,669</w:t>
            </w: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68,669</w:t>
            </w:r>
          </w:p>
        </w:tc>
      </w:tr>
      <w:tr>
        <w:trPr>
          <w:trHeight w:val="27"/>
        </w:trPr>
        <w:tc>
          <w:tcPr>
            <w:tcW w:w="71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7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common stock reserved</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10,051,416</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10,043,805</w:t>
            </w:r>
          </w:p>
        </w:tc>
        <w:tc>
          <w:tcPr>
            <w:tcW w:w="1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14,614,871</w:t>
            </w:r>
          </w:p>
        </w:tc>
      </w:tr>
      <w:tr>
        <w:trPr>
          <w:trHeight w:val="20"/>
        </w:trPr>
        <w:tc>
          <w:tcPr>
            <w:tcW w:w="7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Common Stock</w:t>
      </w:r>
    </w:p>
    <w:p>
      <w:pPr>
        <w:spacing w:after="0" w:line="106" w:lineRule="exact"/>
        <w:rPr>
          <w:sz w:val="20"/>
          <w:szCs w:val="20"/>
          <w:color w:val="auto"/>
        </w:rPr>
      </w:pPr>
    </w:p>
    <w:p>
      <w:pPr>
        <w:ind w:left="120" w:right="420" w:firstLine="551"/>
        <w:spacing w:after="0" w:line="276" w:lineRule="auto"/>
        <w:rPr>
          <w:sz w:val="20"/>
          <w:szCs w:val="20"/>
          <w:color w:val="auto"/>
        </w:rPr>
      </w:pPr>
      <w:r>
        <w:rPr>
          <w:rFonts w:ascii="Arial" w:cs="Arial" w:eastAsia="Arial" w:hAnsi="Arial"/>
          <w:sz w:val="18"/>
          <w:szCs w:val="18"/>
          <w:color w:val="auto"/>
        </w:rPr>
        <w:t>During 2015, the Company issued common stock to the Company founders of 4,710,060 shares, of which 4,473,374 were fully vested upon issuance. The remainder were deemed to be restricted</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5" w:right="439" w:bottom="1440" w:gutter="0" w:footer="0" w:header="0"/>
        </w:sectPr>
      </w:pPr>
    </w:p>
    <w:bookmarkStart w:id="285" w:name="page286"/>
    <w:bookmarkEnd w:id="2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48" w:lineRule="auto"/>
        <w:rPr>
          <w:sz w:val="20"/>
          <w:szCs w:val="20"/>
          <w:color w:val="auto"/>
        </w:rPr>
      </w:pPr>
      <w:r>
        <w:rPr>
          <w:rFonts w:ascii="Arial" w:cs="Arial" w:eastAsia="Arial" w:hAnsi="Arial"/>
          <w:sz w:val="18"/>
          <w:szCs w:val="18"/>
          <w:color w:val="auto"/>
        </w:rPr>
        <w:t>based on their vesting conditions. The stock agreement contains certain provisions that allow the Company to repurchase unvested portions of stock from such founders in the event they depart from the Company. The repurchase rights on the restricted common stock lapsed over time and fully expired in March 2019. As of December 31, 2018, December 31, 2019 and September 30, 2020, 14,793, 0 and 0 (unaudited) shares of restricted common stock remained subject to repurchase, respectively.</w:t>
      </w:r>
    </w:p>
    <w:p>
      <w:pPr>
        <w:spacing w:after="0" w:line="278" w:lineRule="exact"/>
        <w:rPr>
          <w:sz w:val="20"/>
          <w:szCs w:val="20"/>
          <w:color w:val="auto"/>
        </w:rPr>
      </w:pPr>
    </w:p>
    <w:p>
      <w:pPr>
        <w:ind w:left="120" w:right="8360" w:hanging="4"/>
        <w:spacing w:after="0" w:line="381" w:lineRule="auto"/>
        <w:tabs>
          <w:tab w:leader="none" w:pos="420" w:val="left"/>
        </w:tabs>
        <w:numPr>
          <w:ilvl w:val="0"/>
          <w:numId w:val="15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Stock-based Compensation </w:t>
      </w:r>
      <w:r>
        <w:rPr>
          <w:rFonts w:ascii="Arial" w:cs="Arial" w:eastAsia="Arial" w:hAnsi="Arial"/>
          <w:sz w:val="17"/>
          <w:szCs w:val="17"/>
          <w:b w:val="1"/>
          <w:bCs w:val="1"/>
          <w:color w:val="auto"/>
        </w:rPr>
        <w:t>2015 Equity Incentive Plan</w:t>
      </w:r>
    </w:p>
    <w:p>
      <w:pPr>
        <w:ind w:left="120" w:right="20" w:firstLine="551"/>
        <w:spacing w:after="0" w:line="241" w:lineRule="auto"/>
        <w:rPr>
          <w:sz w:val="20"/>
          <w:szCs w:val="20"/>
          <w:color w:val="auto"/>
        </w:rPr>
      </w:pPr>
      <w:r>
        <w:rPr>
          <w:rFonts w:ascii="Arial" w:cs="Arial" w:eastAsia="Arial" w:hAnsi="Arial"/>
          <w:sz w:val="18"/>
          <w:szCs w:val="18"/>
          <w:color w:val="auto"/>
        </w:rPr>
        <w:t>In March 2015, the Company adopted the 2015 Equity Incentive Plan (the “2015 Plan”) under which the board of directors is authorized to issue grants of stock options, stock appreciation rights, restricted stock and restricted stock unit awards to employees, directors and consultants of the Company. As of December 31, 2018, December 31, 2019 and September 30, 2020, there were 2,694,528, 2,739,528 and 3,189,028 (unaudited) shares authorized and reserved for issuance, respectively. Under the 2015 Plan, as of</w:t>
      </w:r>
    </w:p>
    <w:p>
      <w:pPr>
        <w:spacing w:after="0" w:line="1"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December 31, 2018, December 31, 2019 and September 30, 2020, 578,842, 125,353 and 41,897 (unaudited) of these shares, respectively, were available for grant. All options are exercisable over a period not to exceed the contractual term of ten years from the date the stock options were issued and are granted at prices not less than the estimated fair market value of the Company’s common stock on the grant date as determined by the board of directors. If an individual owns stock representing more than 10% of the Company’s outstanding shares, the exercise price of each share shall be at least 110% of the fair market value on the date of grant.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Options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stock options activity:</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640" w:type="dxa"/>
            <w:vAlign w:val="bottom"/>
          </w:tcPr>
          <w:p>
            <w:pPr>
              <w:spacing w:after="0"/>
              <w:rPr>
                <w:sz w:val="15"/>
                <w:szCs w:val="15"/>
                <w:color w:val="auto"/>
              </w:rPr>
            </w:pPr>
          </w:p>
        </w:tc>
        <w:tc>
          <w:tcPr>
            <w:tcW w:w="140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rPr>
              <w:t>Number of</w:t>
            </w:r>
          </w:p>
        </w:tc>
        <w:tc>
          <w:tcPr>
            <w:tcW w:w="2480" w:type="dxa"/>
            <w:vAlign w:val="bottom"/>
            <w:gridSpan w:val="5"/>
          </w:tcPr>
          <w:p>
            <w:pPr>
              <w:ind w:left="320"/>
              <w:spacing w:after="0"/>
              <w:rPr>
                <w:sz w:val="20"/>
                <w:szCs w:val="20"/>
                <w:color w:val="auto"/>
              </w:rPr>
            </w:pPr>
            <w:r>
              <w:rPr>
                <w:rFonts w:ascii="Arial" w:cs="Arial" w:eastAsia="Arial" w:hAnsi="Arial"/>
                <w:sz w:val="14"/>
                <w:szCs w:val="14"/>
                <w:b w:val="1"/>
                <w:bCs w:val="1"/>
                <w:color w:val="auto"/>
              </w:rPr>
              <w:t>Options Outstanding</w:t>
            </w:r>
          </w:p>
        </w:tc>
        <w:tc>
          <w:tcPr>
            <w:tcW w:w="14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64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360" w:type="dxa"/>
            <w:vAlign w:val="bottom"/>
            <w:tcBorders>
              <w:top w:val="single" w:sz="8" w:color="auto"/>
            </w:tcBorders>
            <w:gridSpan w:val="2"/>
          </w:tcPr>
          <w:p>
            <w:pPr>
              <w:jc w:val="center"/>
              <w:ind w:right="480"/>
              <w:spacing w:after="0" w:line="141" w:lineRule="exact"/>
              <w:rPr>
                <w:sz w:val="20"/>
                <w:szCs w:val="20"/>
                <w:color w:val="auto"/>
              </w:rPr>
            </w:pPr>
            <w:r>
              <w:rPr>
                <w:rFonts w:ascii="Arial" w:cs="Arial" w:eastAsia="Arial" w:hAnsi="Arial"/>
                <w:sz w:val="14"/>
                <w:szCs w:val="14"/>
                <w:b w:val="1"/>
                <w:bCs w:val="1"/>
                <w:color w:val="auto"/>
              </w:rPr>
              <w:t>Number of</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Shares</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Shares</w:t>
            </w: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Underlying</w:t>
            </w:r>
          </w:p>
        </w:tc>
        <w:tc>
          <w:tcPr>
            <w:tcW w:w="11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Average</w:t>
            </w: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Remaining</w:t>
            </w: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Available</w:t>
            </w: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Outstanding</w:t>
            </w:r>
          </w:p>
        </w:tc>
        <w:tc>
          <w:tcPr>
            <w:tcW w:w="11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Exercise</w:t>
            </w: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Contractual</w:t>
            </w: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7"/>
        </w:trPr>
        <w:tc>
          <w:tcPr>
            <w:tcW w:w="4640" w:type="dxa"/>
            <w:vAlign w:val="bottom"/>
          </w:tcPr>
          <w:p>
            <w:pPr>
              <w:spacing w:after="0"/>
              <w:rPr>
                <w:sz w:val="15"/>
                <w:szCs w:val="15"/>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for Grant</w:t>
            </w: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5"/>
                <w:szCs w:val="15"/>
                <w:color w:val="auto"/>
              </w:rPr>
            </w:pPr>
          </w:p>
        </w:tc>
        <w:tc>
          <w:tcPr>
            <w:tcW w:w="9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Price</w:t>
            </w: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Term (in years)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96"/>
        </w:trPr>
        <w:tc>
          <w:tcPr>
            <w:tcW w:w="4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Balances at December 31, 2017</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1,004,239</w:t>
            </w:r>
          </w:p>
        </w:tc>
        <w:tc>
          <w:tcPr>
            <w:tcW w:w="480" w:type="dxa"/>
            <w:vAlign w:val="bottom"/>
            <w:tcBorders>
              <w:top w:val="single" w:sz="8" w:color="CCEEFF"/>
            </w:tcBorders>
            <w:gridSpan w:val="2"/>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792,290</w:t>
            </w: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1.16</w:t>
            </w:r>
          </w:p>
        </w:tc>
        <w:tc>
          <w:tcPr>
            <w:tcW w:w="4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8.27</w:t>
            </w: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1,609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40" w:type="dxa"/>
            <w:vAlign w:val="bottom"/>
          </w:tcPr>
          <w:p>
            <w:pPr>
              <w:spacing w:after="0" w:line="202" w:lineRule="exact"/>
              <w:rPr>
                <w:sz w:val="20"/>
                <w:szCs w:val="20"/>
                <w:color w:val="auto"/>
              </w:rPr>
            </w:pPr>
            <w:r>
              <w:rPr>
                <w:rFonts w:ascii="Arial" w:cs="Arial" w:eastAsia="Arial" w:hAnsi="Arial"/>
                <w:sz w:val="18"/>
                <w:szCs w:val="18"/>
                <w:color w:val="auto"/>
              </w:rPr>
              <w:t>Options authorized</w:t>
            </w: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873,628</w:t>
            </w:r>
          </w:p>
        </w:tc>
        <w:tc>
          <w:tcPr>
            <w:tcW w:w="460" w:type="dxa"/>
            <w:vAlign w:val="bottom"/>
          </w:tcPr>
          <w:p>
            <w:pPr>
              <w:spacing w:after="0"/>
              <w:rPr>
                <w:sz w:val="17"/>
                <w:szCs w:val="17"/>
                <w:color w:val="auto"/>
              </w:rPr>
            </w:pPr>
          </w:p>
        </w:tc>
        <w:tc>
          <w:tcPr>
            <w:tcW w:w="13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granted</w:t>
            </w:r>
          </w:p>
        </w:tc>
        <w:tc>
          <w:tcPr>
            <w:tcW w:w="140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(1,454,173)</w:t>
            </w:r>
          </w:p>
        </w:tc>
        <w:tc>
          <w:tcPr>
            <w:tcW w:w="13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1,454,173</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6.56</w:t>
            </w: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Options exercised</w:t>
            </w:r>
          </w:p>
        </w:tc>
        <w:tc>
          <w:tcPr>
            <w:tcW w:w="140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(63,041)</w:t>
            </w:r>
          </w:p>
        </w:tc>
        <w:tc>
          <w:tcPr>
            <w:tcW w:w="140" w:type="dxa"/>
            <w:vAlign w:val="bottom"/>
          </w:tcPr>
          <w:p>
            <w:pPr>
              <w:spacing w:after="0"/>
              <w:rPr>
                <w:sz w:val="17"/>
                <w:szCs w:val="17"/>
                <w:color w:val="auto"/>
              </w:rPr>
            </w:pPr>
          </w:p>
        </w:tc>
        <w:tc>
          <w:tcPr>
            <w:tcW w:w="9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1.66</w:t>
            </w: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expired</w:t>
            </w:r>
          </w:p>
        </w:tc>
        <w:tc>
          <w:tcPr>
            <w:tcW w:w="140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111,401</w:t>
            </w:r>
          </w:p>
        </w:tc>
        <w:tc>
          <w:tcPr>
            <w:tcW w:w="13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(111,401)</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1.13</w:t>
            </w: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Options forfeited</w:t>
            </w:r>
          </w:p>
        </w:tc>
        <w:tc>
          <w:tcPr>
            <w:tcW w:w="140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rPr>
              <w:t>43,747</w:t>
            </w:r>
          </w:p>
        </w:tc>
        <w:tc>
          <w:tcPr>
            <w:tcW w:w="13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(43,747)</w:t>
            </w:r>
          </w:p>
        </w:tc>
        <w:tc>
          <w:tcPr>
            <w:tcW w:w="140" w:type="dxa"/>
            <w:vAlign w:val="bottom"/>
          </w:tcPr>
          <w:p>
            <w:pPr>
              <w:spacing w:after="0"/>
              <w:rPr>
                <w:sz w:val="17"/>
                <w:szCs w:val="17"/>
                <w:color w:val="auto"/>
              </w:rPr>
            </w:pPr>
          </w:p>
        </w:tc>
        <w:tc>
          <w:tcPr>
            <w:tcW w:w="9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1.95</w:t>
            </w: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464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Balances at December 31, 2018</w:t>
            </w:r>
          </w:p>
        </w:tc>
        <w:tc>
          <w:tcPr>
            <w:tcW w:w="9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578,842</w:t>
            </w:r>
          </w:p>
        </w:tc>
        <w:tc>
          <w:tcPr>
            <w:tcW w:w="4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2,028,274</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5.00</w:t>
            </w:r>
          </w:p>
        </w:tc>
        <w:tc>
          <w:tcPr>
            <w:tcW w:w="14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8.97</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8,939</w:t>
            </w:r>
          </w:p>
        </w:tc>
        <w:tc>
          <w:tcPr>
            <w:tcW w:w="0" w:type="dxa"/>
            <w:vAlign w:val="bottom"/>
          </w:tcPr>
          <w:p>
            <w:pPr>
              <w:spacing w:after="0"/>
              <w:rPr>
                <w:sz w:val="1"/>
                <w:szCs w:val="1"/>
                <w:color w:val="auto"/>
              </w:rPr>
            </w:pP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Options authorized</w:t>
            </w:r>
          </w:p>
        </w:tc>
        <w:tc>
          <w:tcPr>
            <w:tcW w:w="140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rPr>
              <w:t>45,000</w:t>
            </w:r>
          </w:p>
        </w:tc>
        <w:tc>
          <w:tcPr>
            <w:tcW w:w="13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granted</w:t>
            </w:r>
          </w:p>
        </w:tc>
        <w:tc>
          <w:tcPr>
            <w:tcW w:w="140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(1,136,840)</w:t>
            </w:r>
          </w:p>
        </w:tc>
        <w:tc>
          <w:tcPr>
            <w:tcW w:w="13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1,136,840</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10.04</w:t>
            </w: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Options exercised</w:t>
            </w:r>
          </w:p>
        </w:tc>
        <w:tc>
          <w:tcPr>
            <w:tcW w:w="140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(52,611)</w:t>
            </w:r>
          </w:p>
        </w:tc>
        <w:tc>
          <w:tcPr>
            <w:tcW w:w="140" w:type="dxa"/>
            <w:vAlign w:val="bottom"/>
          </w:tcPr>
          <w:p>
            <w:pPr>
              <w:spacing w:after="0"/>
              <w:rPr>
                <w:sz w:val="17"/>
                <w:szCs w:val="17"/>
                <w:color w:val="auto"/>
              </w:rPr>
            </w:pPr>
          </w:p>
        </w:tc>
        <w:tc>
          <w:tcPr>
            <w:tcW w:w="9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1.43</w:t>
            </w: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expired</w:t>
            </w:r>
          </w:p>
        </w:tc>
        <w:tc>
          <w:tcPr>
            <w:tcW w:w="140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72,833</w:t>
            </w:r>
          </w:p>
        </w:tc>
        <w:tc>
          <w:tcPr>
            <w:tcW w:w="13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(72,833)</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1.80</w:t>
            </w: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Options forfeited</w:t>
            </w: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565,518</w:t>
            </w:r>
          </w:p>
        </w:tc>
        <w:tc>
          <w:tcPr>
            <w:tcW w:w="460" w:type="dxa"/>
            <w:vAlign w:val="bottom"/>
          </w:tcPr>
          <w:p>
            <w:pPr>
              <w:spacing w:after="0"/>
              <w:rPr>
                <w:sz w:val="17"/>
                <w:szCs w:val="17"/>
                <w:color w:val="auto"/>
              </w:rPr>
            </w:pPr>
          </w:p>
        </w:tc>
        <w:tc>
          <w:tcPr>
            <w:tcW w:w="13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(565,518)</w:t>
            </w:r>
          </w:p>
        </w:tc>
        <w:tc>
          <w:tcPr>
            <w:tcW w:w="140" w:type="dxa"/>
            <w:vAlign w:val="bottom"/>
          </w:tcPr>
          <w:p>
            <w:pPr>
              <w:spacing w:after="0"/>
              <w:rPr>
                <w:sz w:val="17"/>
                <w:szCs w:val="17"/>
                <w:color w:val="auto"/>
              </w:rPr>
            </w:pPr>
          </w:p>
        </w:tc>
        <w:tc>
          <w:tcPr>
            <w:tcW w:w="9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8.15</w:t>
            </w: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464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Balances at December 31, 2019</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125,353</w:t>
            </w: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2,474,152</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6.77</w:t>
            </w:r>
          </w:p>
        </w:tc>
        <w:tc>
          <w:tcPr>
            <w:tcW w:w="14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8.46</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19,974</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color w:val="auto"/>
              </w:rPr>
              <w:t>Options authorized (unaudited)</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4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449,500</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granted (unaudited)</w:t>
            </w:r>
          </w:p>
        </w:tc>
        <w:tc>
          <w:tcPr>
            <w:tcW w:w="140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(822,743)</w:t>
            </w:r>
          </w:p>
        </w:tc>
        <w:tc>
          <w:tcPr>
            <w:tcW w:w="13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822,743</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15.73</w:t>
            </w: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Options exercised (unaudited)</w:t>
            </w:r>
          </w:p>
        </w:tc>
        <w:tc>
          <w:tcPr>
            <w:tcW w:w="140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(78,787)</w:t>
            </w:r>
          </w:p>
        </w:tc>
        <w:tc>
          <w:tcPr>
            <w:tcW w:w="140" w:type="dxa"/>
            <w:vAlign w:val="bottom"/>
          </w:tcPr>
          <w:p>
            <w:pPr>
              <w:spacing w:after="0"/>
              <w:rPr>
                <w:sz w:val="17"/>
                <w:szCs w:val="17"/>
                <w:color w:val="auto"/>
              </w:rPr>
            </w:pPr>
          </w:p>
        </w:tc>
        <w:tc>
          <w:tcPr>
            <w:tcW w:w="9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7.07</w:t>
            </w: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02"/>
        </w:trPr>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expired (unaudited)</w:t>
            </w:r>
          </w:p>
        </w:tc>
        <w:tc>
          <w:tcPr>
            <w:tcW w:w="140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73,103</w:t>
            </w:r>
          </w:p>
        </w:tc>
        <w:tc>
          <w:tcPr>
            <w:tcW w:w="13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(73,103)</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5.57</w:t>
            </w: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Options forfeited (unaudited)</w:t>
            </w: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216,684</w:t>
            </w:r>
          </w:p>
        </w:tc>
        <w:tc>
          <w:tcPr>
            <w:tcW w:w="460" w:type="dxa"/>
            <w:vAlign w:val="bottom"/>
          </w:tcPr>
          <w:p>
            <w:pPr>
              <w:spacing w:after="0"/>
              <w:rPr>
                <w:sz w:val="17"/>
                <w:szCs w:val="17"/>
                <w:color w:val="auto"/>
              </w:rPr>
            </w:pPr>
          </w:p>
        </w:tc>
        <w:tc>
          <w:tcPr>
            <w:tcW w:w="13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(216,684)</w:t>
            </w:r>
          </w:p>
        </w:tc>
        <w:tc>
          <w:tcPr>
            <w:tcW w:w="140" w:type="dxa"/>
            <w:vAlign w:val="bottom"/>
          </w:tcPr>
          <w:p>
            <w:pPr>
              <w:spacing w:after="0"/>
              <w:rPr>
                <w:sz w:val="17"/>
                <w:szCs w:val="17"/>
                <w:color w:val="auto"/>
              </w:rPr>
            </w:pPr>
          </w:p>
        </w:tc>
        <w:tc>
          <w:tcPr>
            <w:tcW w:w="9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9.44</w:t>
            </w: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4640" w:type="dxa"/>
            <w:vAlign w:val="bottom"/>
          </w:tcPr>
          <w:p>
            <w:pPr>
              <w:spacing w:after="0"/>
              <w:rPr>
                <w:sz w:val="24"/>
                <w:szCs w:val="24"/>
                <w:color w:val="auto"/>
              </w:rPr>
            </w:pPr>
          </w:p>
        </w:tc>
        <w:tc>
          <w:tcPr>
            <w:tcW w:w="1400" w:type="dxa"/>
            <w:vAlign w:val="bottom"/>
            <w:gridSpan w:val="3"/>
          </w:tcPr>
          <w:p>
            <w:pPr>
              <w:jc w:val="right"/>
              <w:ind w:right="360"/>
              <w:spacing w:after="0"/>
              <w:rPr>
                <w:sz w:val="20"/>
                <w:szCs w:val="20"/>
                <w:color w:val="auto"/>
              </w:rPr>
            </w:pPr>
            <w:r>
              <w:rPr>
                <w:rFonts w:ascii="Arial" w:cs="Arial" w:eastAsia="Arial" w:hAnsi="Arial"/>
                <w:sz w:val="18"/>
                <w:szCs w:val="18"/>
                <w:color w:val="auto"/>
              </w:rPr>
              <w:t>F-41</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86" w:name="page287"/>
    <w:bookmarkEnd w:id="2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960" w:type="dxa"/>
            <w:vAlign w:val="bottom"/>
          </w:tcPr>
          <w:p>
            <w:pPr>
              <w:spacing w:after="0"/>
              <w:rPr>
                <w:sz w:val="15"/>
                <w:szCs w:val="15"/>
                <w:color w:val="auto"/>
              </w:rPr>
            </w:pPr>
          </w:p>
        </w:tc>
        <w:tc>
          <w:tcPr>
            <w:tcW w:w="11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Number of</w:t>
            </w:r>
          </w:p>
        </w:tc>
        <w:tc>
          <w:tcPr>
            <w:tcW w:w="2400" w:type="dxa"/>
            <w:vAlign w:val="bottom"/>
            <w:gridSpan w:val="5"/>
          </w:tcPr>
          <w:p>
            <w:pPr>
              <w:ind w:left="260"/>
              <w:spacing w:after="0"/>
              <w:rPr>
                <w:sz w:val="20"/>
                <w:szCs w:val="20"/>
                <w:color w:val="auto"/>
              </w:rPr>
            </w:pPr>
            <w:r>
              <w:rPr>
                <w:rFonts w:ascii="Arial" w:cs="Arial" w:eastAsia="Arial" w:hAnsi="Arial"/>
                <w:sz w:val="14"/>
                <w:szCs w:val="14"/>
                <w:b w:val="1"/>
                <w:bCs w:val="1"/>
                <w:color w:val="auto"/>
              </w:rPr>
              <w:t>Options Outstanding</w:t>
            </w:r>
          </w:p>
        </w:tc>
        <w:tc>
          <w:tcPr>
            <w:tcW w:w="14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9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80" w:type="dxa"/>
            <w:vAlign w:val="bottom"/>
            <w:tcBorders>
              <w:top w:val="single" w:sz="8" w:color="auto"/>
            </w:tcBorders>
            <w:gridSpan w:val="2"/>
          </w:tcPr>
          <w:p>
            <w:pPr>
              <w:jc w:val="center"/>
              <w:ind w:right="440"/>
              <w:spacing w:after="0" w:line="141" w:lineRule="exact"/>
              <w:rPr>
                <w:sz w:val="20"/>
                <w:szCs w:val="20"/>
                <w:color w:val="auto"/>
              </w:rPr>
            </w:pPr>
            <w:r>
              <w:rPr>
                <w:rFonts w:ascii="Arial" w:cs="Arial" w:eastAsia="Arial" w:hAnsi="Arial"/>
                <w:sz w:val="14"/>
                <w:szCs w:val="14"/>
                <w:b w:val="1"/>
                <w:bCs w:val="1"/>
                <w:color w:val="auto"/>
              </w:rPr>
              <w:t>Number of</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Shares</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Shares</w:t>
            </w: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Underlying</w:t>
            </w:r>
          </w:p>
        </w:tc>
        <w:tc>
          <w:tcPr>
            <w:tcW w:w="11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Average</w:t>
            </w: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Remaining</w:t>
            </w: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Available</w:t>
            </w: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Outstanding</w:t>
            </w:r>
          </w:p>
        </w:tc>
        <w:tc>
          <w:tcPr>
            <w:tcW w:w="11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Exercise</w:t>
            </w: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Contractual</w:t>
            </w: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7"/>
        </w:trPr>
        <w:tc>
          <w:tcPr>
            <w:tcW w:w="4960" w:type="dxa"/>
            <w:vAlign w:val="bottom"/>
          </w:tcPr>
          <w:p>
            <w:pPr>
              <w:spacing w:after="0"/>
              <w:rPr>
                <w:sz w:val="15"/>
                <w:szCs w:val="15"/>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for Grant</w:t>
            </w: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5"/>
                <w:szCs w:val="15"/>
                <w:color w:val="auto"/>
              </w:rPr>
            </w:pPr>
          </w:p>
        </w:tc>
        <w:tc>
          <w:tcPr>
            <w:tcW w:w="9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Price</w:t>
            </w:r>
          </w:p>
        </w:tc>
        <w:tc>
          <w:tcPr>
            <w:tcW w:w="14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Term (in years)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88"/>
        </w:trPr>
        <w:tc>
          <w:tcPr>
            <w:tcW w:w="496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Balances at September 30, 2020 (unaudited)</w:t>
            </w:r>
          </w:p>
        </w:tc>
        <w:tc>
          <w:tcPr>
            <w:tcW w:w="11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41,897</w:t>
            </w:r>
          </w:p>
        </w:tc>
        <w:tc>
          <w:tcPr>
            <w:tcW w:w="12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2,928,321</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9.11</w:t>
            </w:r>
          </w:p>
        </w:tc>
        <w:tc>
          <w:tcPr>
            <w:tcW w:w="14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8.26</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25,949</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color w:val="auto"/>
              </w:rPr>
              <w:t>Shares exercisable, December 31, 2019</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3.63</w:t>
            </w:r>
          </w:p>
        </w:tc>
        <w:tc>
          <w:tcPr>
            <w:tcW w:w="144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7.42</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10,414</w:t>
            </w:r>
          </w:p>
        </w:tc>
        <w:tc>
          <w:tcPr>
            <w:tcW w:w="0" w:type="dxa"/>
            <w:vAlign w:val="bottom"/>
          </w:tcPr>
          <w:p>
            <w:pPr>
              <w:spacing w:after="0" w:line="20" w:lineRule="exact"/>
              <w:rPr>
                <w:sz w:val="1"/>
                <w:szCs w:val="1"/>
                <w:color w:val="auto"/>
              </w:rPr>
            </w:pPr>
          </w:p>
        </w:tc>
      </w:tr>
      <w:tr>
        <w:trPr>
          <w:trHeight w:val="197"/>
        </w:trPr>
        <w:tc>
          <w:tcPr>
            <w:tcW w:w="496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928,864</w:t>
            </w:r>
          </w:p>
        </w:tc>
        <w:tc>
          <w:tcPr>
            <w:tcW w:w="4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vested and expected to vest, December 31, 2019</w:t>
            </w: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2,474,152</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6.77</w:t>
            </w:r>
          </w:p>
        </w:tc>
        <w:tc>
          <w:tcPr>
            <w:tcW w:w="14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8.46</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19,974</w:t>
            </w:r>
          </w:p>
        </w:tc>
        <w:tc>
          <w:tcPr>
            <w:tcW w:w="0" w:type="dxa"/>
            <w:vAlign w:val="bottom"/>
          </w:tcPr>
          <w:p>
            <w:pPr>
              <w:spacing w:after="0"/>
              <w:rPr>
                <w:sz w:val="1"/>
                <w:szCs w:val="1"/>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Shares exercisable, September 30, 2020 (unaudited)</w:t>
            </w: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1,306,359</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5.29</w:t>
            </w:r>
          </w:p>
        </w:tc>
        <w:tc>
          <w:tcPr>
            <w:tcW w:w="14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7.22</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16,567</w:t>
            </w:r>
          </w:p>
        </w:tc>
        <w:tc>
          <w:tcPr>
            <w:tcW w:w="0" w:type="dxa"/>
            <w:vAlign w:val="bottom"/>
          </w:tcPr>
          <w:p>
            <w:pPr>
              <w:spacing w:after="0"/>
              <w:rPr>
                <w:sz w:val="1"/>
                <w:szCs w:val="1"/>
                <w:color w:val="auto"/>
              </w:rPr>
            </w:pPr>
          </w:p>
        </w:tc>
      </w:tr>
      <w:tr>
        <w:trPr>
          <w:trHeight w:val="180"/>
        </w:trPr>
        <w:tc>
          <w:tcPr>
            <w:tcW w:w="496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Shares vested and expected to vest, September 30, 2020</w:t>
            </w: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(unaudited)</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2,928,321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9.11</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8.26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25,949</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is a summary of stock compensation expense for employees and nonemployees by function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168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Nine Months</w:t>
            </w:r>
          </w:p>
        </w:tc>
        <w:tc>
          <w:tcPr>
            <w:tcW w:w="380" w:type="dxa"/>
            <w:vAlign w:val="bottom"/>
          </w:tcPr>
          <w:p>
            <w:pPr>
              <w:spacing w:after="0"/>
              <w:rPr>
                <w:sz w:val="14"/>
                <w:szCs w:val="14"/>
                <w:color w:val="auto"/>
              </w:rPr>
            </w:pPr>
          </w:p>
        </w:tc>
        <w:tc>
          <w:tcPr>
            <w:tcW w:w="10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Nine Months</w:t>
            </w:r>
          </w:p>
        </w:tc>
      </w:tr>
      <w:tr>
        <w:trPr>
          <w:trHeight w:val="162"/>
        </w:trPr>
        <w:tc>
          <w:tcPr>
            <w:tcW w:w="4900" w:type="dxa"/>
            <w:vAlign w:val="bottom"/>
          </w:tcPr>
          <w:p>
            <w:pPr>
              <w:spacing w:after="0"/>
              <w:rPr>
                <w:sz w:val="14"/>
                <w:szCs w:val="14"/>
                <w:color w:val="auto"/>
              </w:rPr>
            </w:pPr>
          </w:p>
        </w:tc>
        <w:tc>
          <w:tcPr>
            <w:tcW w:w="16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68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Ended</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Ended</w:t>
            </w:r>
          </w:p>
        </w:tc>
      </w:tr>
      <w:tr>
        <w:trPr>
          <w:trHeight w:val="162"/>
        </w:trPr>
        <w:tc>
          <w:tcPr>
            <w:tcW w:w="4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4"/>
                <w:szCs w:val="14"/>
                <w:color w:val="auto"/>
              </w:rPr>
            </w:pPr>
          </w:p>
        </w:tc>
        <w:tc>
          <w:tcPr>
            <w:tcW w:w="10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September 30,</w:t>
            </w:r>
          </w:p>
        </w:tc>
      </w:tr>
      <w:tr>
        <w:trPr>
          <w:trHeight w:val="177"/>
        </w:trPr>
        <w:tc>
          <w:tcPr>
            <w:tcW w:w="49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2018</w:t>
            </w:r>
          </w:p>
        </w:tc>
        <w:tc>
          <w:tcPr>
            <w:tcW w:w="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r>
      <w:tr>
        <w:trPr>
          <w:trHeight w:val="155"/>
        </w:trPr>
        <w:tc>
          <w:tcPr>
            <w:tcW w:w="4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3"/>
                <w:szCs w:val="13"/>
                <w:color w:val="auto"/>
              </w:rPr>
            </w:pPr>
          </w:p>
        </w:tc>
      </w:tr>
      <w:tr>
        <w:trPr>
          <w:trHeight w:val="203"/>
        </w:trPr>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695</w:t>
            </w:r>
          </w:p>
        </w:tc>
        <w:tc>
          <w:tcPr>
            <w:tcW w:w="220" w:type="dxa"/>
            <w:vAlign w:val="bottom"/>
            <w:shd w:val="clear" w:color="auto" w:fill="CCEEFF"/>
          </w:tcPr>
          <w:p>
            <w:pPr>
              <w:jc w:val="right"/>
              <w:ind w:right="39"/>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2,191</w:t>
            </w:r>
          </w:p>
        </w:tc>
        <w:tc>
          <w:tcPr>
            <w:tcW w:w="180" w:type="dxa"/>
            <w:vAlign w:val="bottom"/>
            <w:shd w:val="clear" w:color="auto" w:fill="CCEEFF"/>
          </w:tcPr>
          <w:p>
            <w:pPr>
              <w:jc w:val="right"/>
              <w:ind w:right="1"/>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1,562</w:t>
            </w:r>
          </w:p>
        </w:tc>
        <w:tc>
          <w:tcPr>
            <w:tcW w:w="56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1,897</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682</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1,350</w:t>
            </w:r>
          </w:p>
        </w:tc>
        <w:tc>
          <w:tcPr>
            <w:tcW w:w="180" w:type="dxa"/>
            <w:vAlign w:val="bottom"/>
          </w:tcPr>
          <w:p>
            <w:pPr>
              <w:spacing w:after="0"/>
              <w:rPr>
                <w:sz w:val="17"/>
                <w:szCs w:val="17"/>
                <w:color w:val="auto"/>
              </w:rPr>
            </w:pPr>
          </w:p>
        </w:tc>
        <w:tc>
          <w:tcPr>
            <w:tcW w:w="11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964</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1,370</w:t>
            </w:r>
          </w:p>
        </w:tc>
      </w:tr>
      <w:tr>
        <w:trPr>
          <w:trHeight w:val="27"/>
        </w:trPr>
        <w:tc>
          <w:tcPr>
            <w:tcW w:w="49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4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stock-based compensation</w:t>
            </w:r>
          </w:p>
        </w:tc>
        <w:tc>
          <w:tcPr>
            <w:tcW w:w="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1,377</w:t>
            </w: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9"/>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3,541</w:t>
            </w:r>
          </w:p>
        </w:tc>
        <w:tc>
          <w:tcPr>
            <w:tcW w:w="180" w:type="dxa"/>
            <w:vAlign w:val="bottom"/>
            <w:shd w:val="clear" w:color="auto" w:fill="CCEEFF"/>
          </w:tcPr>
          <w:p>
            <w:pPr>
              <w:jc w:val="right"/>
              <w:ind w:right="1"/>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2,526</w:t>
            </w:r>
          </w:p>
        </w:tc>
        <w:tc>
          <w:tcPr>
            <w:tcW w:w="56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3,267</w:t>
            </w:r>
          </w:p>
        </w:tc>
      </w:tr>
      <w:tr>
        <w:trPr>
          <w:trHeight w:val="20"/>
        </w:trPr>
        <w:tc>
          <w:tcPr>
            <w:tcW w:w="4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80" w:firstLine="551"/>
        <w:spacing w:after="0" w:line="239" w:lineRule="auto"/>
        <w:rPr>
          <w:sz w:val="20"/>
          <w:szCs w:val="20"/>
          <w:color w:val="auto"/>
        </w:rPr>
      </w:pPr>
      <w:r>
        <w:rPr>
          <w:rFonts w:ascii="Arial" w:cs="Arial" w:eastAsia="Arial" w:hAnsi="Arial"/>
          <w:sz w:val="18"/>
          <w:szCs w:val="18"/>
          <w:color w:val="auto"/>
        </w:rPr>
        <w:t>During the years ended December 31, 2018 and 2019, the Company granted 1,234,173 and 1,101,840 stock options to employees with a weighted-average grant date fair value of $5.50 and $8.46 per share, respectively, and 220,000 and 35,000 stock options to nonemployees with a weighted-average grant date fair value of $ 3.38 and $8.43 per share, respectively. During the nine months ended September 30, 2019 and 2020, the Company granted 1,000,740 (unaudited) and 768,743 (unaudited) stock options to employees with a weighted-average grant date fair value of $8.30 (unaudited) and $11.00 (unaudited) per share, respectively, and 35,000 (unaudited) and 54,000 (unaudited) stock options to nonemployees with a weighted-average grant date fair value of $8.43 (unaudited) and $11.05 (unaudited) per share, respectively. The total fair value of options vested during the years ended December 31, 2018 and 2019 was $0.8 million and $2.2 million, respectively, and $ 1.5 million (unaudited) and $4.0 million (unaudited) during the nine months ended September 30, 2019 and 2020, respectively. As of December 31, 2019 and September 30, 2020, the unrecognized stock-based compensation of unvested options was $10.7 million and $ 14.7 million (unaudited), respectively, and is expected to be recognized over a weighted-average period of 3.0 years and 3.0 years (unaudited), respectively.</w:t>
      </w:r>
    </w:p>
    <w:p>
      <w:pPr>
        <w:spacing w:after="0" w:line="176" w:lineRule="exact"/>
        <w:rPr>
          <w:sz w:val="20"/>
          <w:szCs w:val="20"/>
          <w:color w:val="auto"/>
        </w:rPr>
      </w:pPr>
    </w:p>
    <w:p>
      <w:pPr>
        <w:ind w:left="120" w:right="220" w:firstLine="551"/>
        <w:spacing w:after="0" w:line="245" w:lineRule="auto"/>
        <w:rPr>
          <w:sz w:val="20"/>
          <w:szCs w:val="20"/>
          <w:color w:val="auto"/>
        </w:rPr>
      </w:pPr>
      <w:r>
        <w:rPr>
          <w:rFonts w:ascii="Arial" w:cs="Arial" w:eastAsia="Arial" w:hAnsi="Arial"/>
          <w:sz w:val="18"/>
          <w:szCs w:val="18"/>
          <w:color w:val="auto"/>
        </w:rPr>
        <w:t>Stock-based compensation expense recorded for employee options was $0.6 million and $2.8 million for the years ended December 31, 2018 and 2019 and $1.9 million (unaudited) and $2.9 million (unaudited) for the nine months ended September 30, 2019 and 2020, respectively. Stock-based compensation expense recorded for nonemployee consultants was $0.8 million and $0.7 million for years ended December 31, 2018 and 2019, respectively, and $0.6 million (unaudited) and $0.4 million (unaudited) for the nine months ended September 30, 2019 and 2020, respectively.</w:t>
      </w:r>
    </w:p>
    <w:p>
      <w:pPr>
        <w:spacing w:after="0" w:line="172" w:lineRule="exact"/>
        <w:rPr>
          <w:sz w:val="20"/>
          <w:szCs w:val="20"/>
          <w:color w:val="auto"/>
        </w:rPr>
      </w:pPr>
    </w:p>
    <w:p>
      <w:pPr>
        <w:ind w:left="120" w:right="460" w:firstLine="551"/>
        <w:spacing w:after="0" w:line="276" w:lineRule="auto"/>
        <w:rPr>
          <w:sz w:val="20"/>
          <w:szCs w:val="20"/>
          <w:color w:val="auto"/>
        </w:rPr>
      </w:pPr>
      <w:r>
        <w:rPr>
          <w:rFonts w:ascii="Arial" w:cs="Arial" w:eastAsia="Arial" w:hAnsi="Arial"/>
          <w:sz w:val="18"/>
          <w:szCs w:val="18"/>
          <w:color w:val="auto"/>
        </w:rPr>
        <w:t>The Company is a privately held company with no active public market for the Company’s common stock. The fair value of the shares of common stock underlying the stock options was</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40"/>
          </w:cols>
          <w:pgMar w:left="320" w:top="455" w:right="439" w:bottom="1440" w:gutter="0" w:footer="0" w:header="0"/>
        </w:sectPr>
      </w:pPr>
    </w:p>
    <w:bookmarkStart w:id="287" w:name="page288"/>
    <w:bookmarkEnd w:id="2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45" w:lineRule="auto"/>
        <w:rPr>
          <w:sz w:val="20"/>
          <w:szCs w:val="20"/>
          <w:color w:val="auto"/>
        </w:rPr>
      </w:pPr>
      <w:r>
        <w:rPr>
          <w:rFonts w:ascii="Arial" w:cs="Arial" w:eastAsia="Arial" w:hAnsi="Arial"/>
          <w:sz w:val="18"/>
          <w:szCs w:val="18"/>
          <w:color w:val="auto"/>
        </w:rPr>
        <w:t xml:space="preserve">estimated by the board of directors at various dates considering the Company’s most recently available third-party valuations of common stock as well as a number of objective and subjective factors including valuation of comparable companies, sales of redeemable convertible preferred stock, operating and financial performance and general and industry specific economic outlook, amongst other factors. The fair value was determined in accordance with the guidance provided by the American Institute of Certified Public Accountants’ Practice Guide,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w:t>
      </w:r>
    </w:p>
    <w:p>
      <w:pPr>
        <w:spacing w:after="0" w:line="172" w:lineRule="exact"/>
        <w:rPr>
          <w:sz w:val="20"/>
          <w:szCs w:val="20"/>
          <w:color w:val="auto"/>
        </w:rPr>
      </w:pPr>
    </w:p>
    <w:p>
      <w:pPr>
        <w:ind w:left="120" w:right="140" w:firstLine="551"/>
        <w:spacing w:after="0" w:line="248" w:lineRule="auto"/>
        <w:rPr>
          <w:sz w:val="20"/>
          <w:szCs w:val="20"/>
          <w:color w:val="auto"/>
        </w:rPr>
      </w:pPr>
      <w:r>
        <w:rPr>
          <w:rFonts w:ascii="Arial" w:cs="Arial" w:eastAsia="Arial" w:hAnsi="Arial"/>
          <w:sz w:val="18"/>
          <w:szCs w:val="18"/>
          <w:color w:val="auto"/>
        </w:rPr>
        <w:t>The Company estimates the fair value of employee and nonemployee stock options using the Black-Scholes valuation model. The fair value of employee and nonemployee stock options is recognized on a straight-line basis over the requisite service period of the awards. The fair value of the Company’s stock options was estimated using the following assumptions for the years ended December 31, 2018 and 2019 and nine months ended September 30, 2019 and 2020 (unaudited):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080" w:type="dxa"/>
            <w:vAlign w:val="bottom"/>
          </w:tcPr>
          <w:p>
            <w:pPr>
              <w:spacing w:after="0"/>
              <w:rPr>
                <w:sz w:val="13"/>
                <w:szCs w:val="13"/>
                <w:color w:val="auto"/>
              </w:rPr>
            </w:pPr>
          </w:p>
        </w:tc>
        <w:tc>
          <w:tcPr>
            <w:tcW w:w="246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95"/>
              </w:rPr>
              <w:t>Year Ended</w:t>
            </w:r>
          </w:p>
        </w:tc>
        <w:tc>
          <w:tcPr>
            <w:tcW w:w="244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95"/>
              </w:rPr>
              <w:t>Year Ended</w:t>
            </w:r>
          </w:p>
        </w:tc>
        <w:tc>
          <w:tcPr>
            <w:tcW w:w="25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5"/>
              </w:rPr>
              <w:t>Nine Months Ended</w:t>
            </w:r>
          </w:p>
        </w:tc>
        <w:tc>
          <w:tcPr>
            <w:tcW w:w="24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7"/>
              </w:rPr>
              <w:t>Nine Months Ended</w:t>
            </w:r>
          </w:p>
        </w:tc>
      </w:tr>
      <w:tr>
        <w:trPr>
          <w:trHeight w:val="135"/>
        </w:trPr>
        <w:tc>
          <w:tcPr>
            <w:tcW w:w="1080" w:type="dxa"/>
            <w:vAlign w:val="bottom"/>
          </w:tcPr>
          <w:p>
            <w:pPr>
              <w:spacing w:after="0"/>
              <w:rPr>
                <w:sz w:val="11"/>
                <w:szCs w:val="11"/>
                <w:color w:val="auto"/>
              </w:rPr>
            </w:pPr>
          </w:p>
        </w:tc>
        <w:tc>
          <w:tcPr>
            <w:tcW w:w="2460" w:type="dxa"/>
            <w:vAlign w:val="bottom"/>
            <w:gridSpan w:val="5"/>
          </w:tcPr>
          <w:p>
            <w:pPr>
              <w:jc w:val="center"/>
              <w:ind w:right="160"/>
              <w:spacing w:after="0" w:line="135" w:lineRule="exact"/>
              <w:rPr>
                <w:sz w:val="20"/>
                <w:szCs w:val="20"/>
                <w:color w:val="auto"/>
              </w:rPr>
            </w:pPr>
            <w:r>
              <w:rPr>
                <w:rFonts w:ascii="Arial" w:cs="Arial" w:eastAsia="Arial" w:hAnsi="Arial"/>
                <w:sz w:val="13"/>
                <w:szCs w:val="13"/>
                <w:b w:val="1"/>
                <w:bCs w:val="1"/>
                <w:color w:val="auto"/>
                <w:w w:val="96"/>
              </w:rPr>
              <w:t>December 31,</w:t>
            </w:r>
          </w:p>
        </w:tc>
        <w:tc>
          <w:tcPr>
            <w:tcW w:w="2440" w:type="dxa"/>
            <w:vAlign w:val="bottom"/>
            <w:gridSpan w:val="5"/>
          </w:tcPr>
          <w:p>
            <w:pPr>
              <w:jc w:val="center"/>
              <w:ind w:right="140"/>
              <w:spacing w:after="0" w:line="135" w:lineRule="exact"/>
              <w:rPr>
                <w:sz w:val="20"/>
                <w:szCs w:val="20"/>
                <w:color w:val="auto"/>
              </w:rPr>
            </w:pPr>
            <w:r>
              <w:rPr>
                <w:rFonts w:ascii="Arial" w:cs="Arial" w:eastAsia="Arial" w:hAnsi="Arial"/>
                <w:sz w:val="13"/>
                <w:szCs w:val="13"/>
                <w:b w:val="1"/>
                <w:bCs w:val="1"/>
                <w:color w:val="auto"/>
                <w:w w:val="96"/>
              </w:rPr>
              <w:t>December 31,</w:t>
            </w:r>
          </w:p>
        </w:tc>
        <w:tc>
          <w:tcPr>
            <w:tcW w:w="258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96"/>
              </w:rPr>
              <w:t>September 30,</w:t>
            </w:r>
          </w:p>
        </w:tc>
        <w:tc>
          <w:tcPr>
            <w:tcW w:w="246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September 30,</w:t>
            </w:r>
          </w:p>
        </w:tc>
      </w:tr>
      <w:tr>
        <w:trPr>
          <w:trHeight w:val="159"/>
        </w:trPr>
        <w:tc>
          <w:tcPr>
            <w:tcW w:w="1080" w:type="dxa"/>
            <w:vAlign w:val="bottom"/>
          </w:tcPr>
          <w:p>
            <w:pPr>
              <w:spacing w:after="0"/>
              <w:rPr>
                <w:sz w:val="13"/>
                <w:szCs w:val="13"/>
                <w:color w:val="auto"/>
              </w:rPr>
            </w:pPr>
          </w:p>
        </w:tc>
        <w:tc>
          <w:tcPr>
            <w:tcW w:w="1340" w:type="dxa"/>
            <w:vAlign w:val="bottom"/>
            <w:tcBorders>
              <w:bottom w:val="single" w:sz="8" w:color="auto"/>
            </w:tcBorders>
            <w:gridSpan w:val="3"/>
          </w:tcPr>
          <w:p>
            <w:pPr>
              <w:jc w:val="center"/>
              <w:ind w:left="913"/>
              <w:spacing w:after="0"/>
              <w:rPr>
                <w:sz w:val="20"/>
                <w:szCs w:val="20"/>
                <w:color w:val="auto"/>
              </w:rPr>
            </w:pPr>
            <w:r>
              <w:rPr>
                <w:rFonts w:ascii="Arial" w:cs="Arial" w:eastAsia="Arial" w:hAnsi="Arial"/>
                <w:sz w:val="13"/>
                <w:szCs w:val="13"/>
                <w:b w:val="1"/>
                <w:bCs w:val="1"/>
                <w:color w:val="auto"/>
                <w:w w:val="96"/>
              </w:rPr>
              <w:t>2018</w:t>
            </w:r>
          </w:p>
        </w:tc>
        <w:tc>
          <w:tcPr>
            <w:tcW w:w="9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Borders>
              <w:bottom w:val="single" w:sz="8" w:color="auto"/>
            </w:tcBorders>
            <w:gridSpan w:val="3"/>
          </w:tcPr>
          <w:p>
            <w:pPr>
              <w:jc w:val="center"/>
              <w:ind w:left="933"/>
              <w:spacing w:after="0"/>
              <w:rPr>
                <w:sz w:val="20"/>
                <w:szCs w:val="20"/>
                <w:color w:val="auto"/>
              </w:rPr>
            </w:pPr>
            <w:r>
              <w:rPr>
                <w:rFonts w:ascii="Arial" w:cs="Arial" w:eastAsia="Arial" w:hAnsi="Arial"/>
                <w:sz w:val="13"/>
                <w:szCs w:val="13"/>
                <w:b w:val="1"/>
                <w:bCs w:val="1"/>
                <w:color w:val="auto"/>
                <w:w w:val="96"/>
              </w:rPr>
              <w:t>2019</w:t>
            </w:r>
          </w:p>
        </w:tc>
        <w:tc>
          <w:tcPr>
            <w:tcW w:w="10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Borders>
              <w:bottom w:val="single" w:sz="8" w:color="auto"/>
            </w:tcBorders>
          </w:tcPr>
          <w:p>
            <w:pPr>
              <w:jc w:val="center"/>
              <w:ind w:left="973"/>
              <w:spacing w:after="0"/>
              <w:rPr>
                <w:sz w:val="20"/>
                <w:szCs w:val="20"/>
                <w:color w:val="auto"/>
              </w:rPr>
            </w:pPr>
            <w:r>
              <w:rPr>
                <w:rFonts w:ascii="Arial" w:cs="Arial" w:eastAsia="Arial" w:hAnsi="Arial"/>
                <w:sz w:val="13"/>
                <w:szCs w:val="13"/>
                <w:b w:val="1"/>
                <w:bCs w:val="1"/>
                <w:color w:val="auto"/>
                <w:w w:val="96"/>
              </w:rPr>
              <w:t>2019</w:t>
            </w:r>
          </w:p>
        </w:tc>
        <w:tc>
          <w:tcPr>
            <w:tcW w:w="10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Borders>
              <w:bottom w:val="single" w:sz="8" w:color="auto"/>
            </w:tcBorders>
          </w:tcPr>
          <w:p>
            <w:pPr>
              <w:jc w:val="center"/>
              <w:ind w:left="953"/>
              <w:spacing w:after="0"/>
              <w:rPr>
                <w:sz w:val="20"/>
                <w:szCs w:val="20"/>
                <w:color w:val="auto"/>
              </w:rPr>
            </w:pPr>
            <w:r>
              <w:rPr>
                <w:rFonts w:ascii="Arial" w:cs="Arial" w:eastAsia="Arial" w:hAnsi="Arial"/>
                <w:sz w:val="13"/>
                <w:szCs w:val="13"/>
                <w:b w:val="1"/>
                <w:bCs w:val="1"/>
                <w:color w:val="auto"/>
                <w:w w:val="96"/>
              </w:rPr>
              <w:t>2020</w:t>
            </w:r>
          </w:p>
        </w:tc>
        <w:tc>
          <w:tcPr>
            <w:tcW w:w="10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28"/>
        </w:trPr>
        <w:tc>
          <w:tcPr>
            <w:tcW w:w="1080" w:type="dxa"/>
            <w:vAlign w:val="bottom"/>
          </w:tcPr>
          <w:p>
            <w:pPr>
              <w:spacing w:after="0"/>
              <w:rPr>
                <w:sz w:val="11"/>
                <w:szCs w:val="11"/>
                <w:color w:val="auto"/>
              </w:rPr>
            </w:pPr>
          </w:p>
        </w:tc>
        <w:tc>
          <w:tcPr>
            <w:tcW w:w="1100" w:type="dxa"/>
            <w:vAlign w:val="bottom"/>
            <w:tcBorders>
              <w:bottom w:val="single" w:sz="8" w:color="auto"/>
            </w:tcBorders>
          </w:tcPr>
          <w:p>
            <w:pPr>
              <w:ind w:left="260"/>
              <w:spacing w:after="0" w:line="129" w:lineRule="exact"/>
              <w:rPr>
                <w:sz w:val="20"/>
                <w:szCs w:val="20"/>
                <w:color w:val="auto"/>
              </w:rPr>
            </w:pPr>
            <w:r>
              <w:rPr>
                <w:rFonts w:ascii="Arial" w:cs="Arial" w:eastAsia="Arial" w:hAnsi="Arial"/>
                <w:sz w:val="13"/>
                <w:szCs w:val="13"/>
                <w:b w:val="1"/>
                <w:bCs w:val="1"/>
                <w:color w:val="auto"/>
              </w:rPr>
              <w:t>Employee</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rPr>
              <w:t>Nonemployee</w:t>
            </w:r>
          </w:p>
        </w:tc>
        <w:tc>
          <w:tcPr>
            <w:tcW w:w="160" w:type="dxa"/>
            <w:vAlign w:val="bottom"/>
          </w:tcPr>
          <w:p>
            <w:pPr>
              <w:spacing w:after="0"/>
              <w:rPr>
                <w:sz w:val="11"/>
                <w:szCs w:val="11"/>
                <w:color w:val="auto"/>
              </w:rPr>
            </w:pPr>
          </w:p>
        </w:tc>
        <w:tc>
          <w:tcPr>
            <w:tcW w:w="1080" w:type="dxa"/>
            <w:vAlign w:val="bottom"/>
            <w:tcBorders>
              <w:bottom w:val="single" w:sz="8" w:color="auto"/>
            </w:tcBorders>
          </w:tcPr>
          <w:p>
            <w:pPr>
              <w:ind w:left="240"/>
              <w:spacing w:after="0" w:line="129" w:lineRule="exact"/>
              <w:rPr>
                <w:sz w:val="20"/>
                <w:szCs w:val="20"/>
                <w:color w:val="auto"/>
              </w:rPr>
            </w:pPr>
            <w:r>
              <w:rPr>
                <w:rFonts w:ascii="Arial" w:cs="Arial" w:eastAsia="Arial" w:hAnsi="Arial"/>
                <w:sz w:val="13"/>
                <w:szCs w:val="13"/>
                <w:b w:val="1"/>
                <w:bCs w:val="1"/>
                <w:color w:val="auto"/>
              </w:rPr>
              <w:t>Employee</w:t>
            </w: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ind w:left="40"/>
              <w:spacing w:after="0" w:line="129" w:lineRule="exact"/>
              <w:rPr>
                <w:sz w:val="20"/>
                <w:szCs w:val="20"/>
                <w:color w:val="auto"/>
              </w:rPr>
            </w:pPr>
            <w:r>
              <w:rPr>
                <w:rFonts w:ascii="Arial" w:cs="Arial" w:eastAsia="Arial" w:hAnsi="Arial"/>
                <w:sz w:val="13"/>
                <w:szCs w:val="13"/>
                <w:b w:val="1"/>
                <w:bCs w:val="1"/>
                <w:color w:val="auto"/>
              </w:rPr>
              <w:t>Nonemployee</w:t>
            </w:r>
          </w:p>
        </w:tc>
        <w:tc>
          <w:tcPr>
            <w:tcW w:w="160" w:type="dxa"/>
            <w:vAlign w:val="bottom"/>
          </w:tcPr>
          <w:p>
            <w:pPr>
              <w:spacing w:after="0"/>
              <w:rPr>
                <w:sz w:val="11"/>
                <w:szCs w:val="11"/>
                <w:color w:val="auto"/>
              </w:rPr>
            </w:pPr>
          </w:p>
        </w:tc>
        <w:tc>
          <w:tcPr>
            <w:tcW w:w="1400" w:type="dxa"/>
            <w:vAlign w:val="bottom"/>
            <w:tcBorders>
              <w:bottom w:val="single" w:sz="8" w:color="auto"/>
            </w:tcBorders>
          </w:tcPr>
          <w:p>
            <w:pPr>
              <w:jc w:val="right"/>
              <w:ind w:right="493"/>
              <w:spacing w:after="0" w:line="129" w:lineRule="exact"/>
              <w:rPr>
                <w:sz w:val="20"/>
                <w:szCs w:val="20"/>
                <w:color w:val="auto"/>
              </w:rPr>
            </w:pPr>
            <w:r>
              <w:rPr>
                <w:rFonts w:ascii="Arial" w:cs="Arial" w:eastAsia="Arial" w:hAnsi="Arial"/>
                <w:sz w:val="13"/>
                <w:szCs w:val="13"/>
                <w:b w:val="1"/>
                <w:bCs w:val="1"/>
                <w:color w:val="auto"/>
              </w:rPr>
              <w:t>Employee</w:t>
            </w:r>
          </w:p>
        </w:tc>
        <w:tc>
          <w:tcPr>
            <w:tcW w:w="1040" w:type="dxa"/>
            <w:vAlign w:val="bottom"/>
            <w:tcBorders>
              <w:bottom w:val="single" w:sz="8" w:color="auto"/>
            </w:tcBorders>
          </w:tcPr>
          <w:p>
            <w:pPr>
              <w:jc w:val="right"/>
              <w:ind w:right="70"/>
              <w:spacing w:after="0" w:line="129" w:lineRule="exact"/>
              <w:rPr>
                <w:sz w:val="20"/>
                <w:szCs w:val="20"/>
                <w:color w:val="auto"/>
              </w:rPr>
            </w:pPr>
            <w:r>
              <w:rPr>
                <w:rFonts w:ascii="Arial" w:cs="Arial" w:eastAsia="Arial" w:hAnsi="Arial"/>
                <w:sz w:val="13"/>
                <w:szCs w:val="13"/>
                <w:b w:val="1"/>
                <w:bCs w:val="1"/>
                <w:color w:val="auto"/>
              </w:rPr>
              <w:t>Nonemployee</w:t>
            </w:r>
          </w:p>
        </w:tc>
        <w:tc>
          <w:tcPr>
            <w:tcW w:w="140" w:type="dxa"/>
            <w:vAlign w:val="bottom"/>
          </w:tcPr>
          <w:p>
            <w:pPr>
              <w:spacing w:after="0"/>
              <w:rPr>
                <w:sz w:val="11"/>
                <w:szCs w:val="11"/>
                <w:color w:val="auto"/>
              </w:rPr>
            </w:pPr>
          </w:p>
        </w:tc>
        <w:tc>
          <w:tcPr>
            <w:tcW w:w="1380" w:type="dxa"/>
            <w:vAlign w:val="bottom"/>
            <w:tcBorders>
              <w:bottom w:val="single" w:sz="8" w:color="auto"/>
            </w:tcBorders>
          </w:tcPr>
          <w:p>
            <w:pPr>
              <w:jc w:val="right"/>
              <w:ind w:right="453"/>
              <w:spacing w:after="0" w:line="129" w:lineRule="exact"/>
              <w:rPr>
                <w:sz w:val="20"/>
                <w:szCs w:val="20"/>
                <w:color w:val="auto"/>
              </w:rPr>
            </w:pPr>
            <w:r>
              <w:rPr>
                <w:rFonts w:ascii="Arial" w:cs="Arial" w:eastAsia="Arial" w:hAnsi="Arial"/>
                <w:sz w:val="13"/>
                <w:szCs w:val="13"/>
                <w:b w:val="1"/>
                <w:bCs w:val="1"/>
                <w:color w:val="auto"/>
              </w:rPr>
              <w:t>Employee</w:t>
            </w:r>
          </w:p>
        </w:tc>
        <w:tc>
          <w:tcPr>
            <w:tcW w:w="1020" w:type="dxa"/>
            <w:vAlign w:val="bottom"/>
            <w:tcBorders>
              <w:bottom w:val="single" w:sz="8" w:color="auto"/>
            </w:tcBorders>
          </w:tcPr>
          <w:p>
            <w:pPr>
              <w:jc w:val="right"/>
              <w:ind w:right="70"/>
              <w:spacing w:after="0" w:line="129" w:lineRule="exact"/>
              <w:rPr>
                <w:sz w:val="20"/>
                <w:szCs w:val="20"/>
                <w:color w:val="auto"/>
              </w:rPr>
            </w:pPr>
            <w:r>
              <w:rPr>
                <w:rFonts w:ascii="Arial" w:cs="Arial" w:eastAsia="Arial" w:hAnsi="Arial"/>
                <w:sz w:val="13"/>
                <w:szCs w:val="13"/>
                <w:b w:val="1"/>
                <w:bCs w:val="1"/>
                <w:color w:val="auto"/>
              </w:rPr>
              <w:t>Nonemployee</w:t>
            </w:r>
          </w:p>
        </w:tc>
        <w:tc>
          <w:tcPr>
            <w:tcW w:w="60" w:type="dxa"/>
            <w:vAlign w:val="bottom"/>
          </w:tcPr>
          <w:p>
            <w:pPr>
              <w:spacing w:after="0"/>
              <w:rPr>
                <w:sz w:val="11"/>
                <w:szCs w:val="11"/>
                <w:color w:val="auto"/>
              </w:rPr>
            </w:pPr>
          </w:p>
        </w:tc>
      </w:tr>
      <w:tr>
        <w:trPr>
          <w:trHeight w:val="155"/>
        </w:trPr>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(Unaudited)</w:t>
            </w:r>
          </w:p>
        </w:tc>
        <w:tc>
          <w:tcPr>
            <w:tcW w:w="140" w:type="dxa"/>
            <w:vAlign w:val="bottom"/>
          </w:tcPr>
          <w:p>
            <w:pPr>
              <w:spacing w:after="0"/>
              <w:rPr>
                <w:sz w:val="13"/>
                <w:szCs w:val="13"/>
                <w:color w:val="auto"/>
              </w:rPr>
            </w:pPr>
          </w:p>
        </w:tc>
        <w:tc>
          <w:tcPr>
            <w:tcW w:w="246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6"/>
              </w:rPr>
              <w:t>(Unaudited)</w:t>
            </w:r>
          </w:p>
        </w:tc>
      </w:tr>
      <w:tr>
        <w:trPr>
          <w:trHeight w:val="162"/>
        </w:trPr>
        <w:tc>
          <w:tcPr>
            <w:tcW w:w="1080" w:type="dxa"/>
            <w:vAlign w:val="bottom"/>
            <w:shd w:val="clear" w:color="auto" w:fill="CCEEFF"/>
          </w:tcPr>
          <w:p>
            <w:pPr>
              <w:spacing w:after="0"/>
              <w:rPr>
                <w:sz w:val="20"/>
                <w:szCs w:val="20"/>
                <w:color w:val="auto"/>
              </w:rPr>
            </w:pPr>
            <w:r>
              <w:rPr>
                <w:rFonts w:ascii="Arial" w:cs="Arial" w:eastAsia="Arial" w:hAnsi="Arial"/>
                <w:sz w:val="14"/>
                <w:szCs w:val="14"/>
                <w:color w:val="auto"/>
              </w:rPr>
              <w:t>Expected term</w:t>
            </w:r>
          </w:p>
        </w:tc>
        <w:tc>
          <w:tcPr>
            <w:tcW w:w="13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5.5 –6.3 years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6.7 –9.9 years</w:t>
            </w:r>
          </w:p>
        </w:tc>
        <w:tc>
          <w:tcPr>
            <w:tcW w:w="128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5.5 –6.3 years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6.1 –10.0 years</w:t>
            </w:r>
          </w:p>
        </w:tc>
        <w:tc>
          <w:tcPr>
            <w:tcW w:w="1400" w:type="dxa"/>
            <w:vAlign w:val="bottom"/>
            <w:shd w:val="clear" w:color="auto" w:fill="CCEEFF"/>
          </w:tcPr>
          <w:p>
            <w:pPr>
              <w:jc w:val="right"/>
              <w:ind w:right="233"/>
              <w:spacing w:after="0"/>
              <w:rPr>
                <w:sz w:val="20"/>
                <w:szCs w:val="20"/>
                <w:color w:val="auto"/>
              </w:rPr>
            </w:pPr>
            <w:r>
              <w:rPr>
                <w:rFonts w:ascii="Arial" w:cs="Arial" w:eastAsia="Arial" w:hAnsi="Arial"/>
                <w:sz w:val="14"/>
                <w:szCs w:val="14"/>
                <w:color w:val="auto"/>
              </w:rPr>
              <w:t>5.5 – 6.3 years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6.1 –10.0 years</w:t>
            </w:r>
          </w:p>
        </w:tc>
        <w:tc>
          <w:tcPr>
            <w:tcW w:w="1380" w:type="dxa"/>
            <w:vAlign w:val="bottom"/>
            <w:shd w:val="clear" w:color="auto" w:fill="CCEEFF"/>
          </w:tcPr>
          <w:p>
            <w:pPr>
              <w:jc w:val="right"/>
              <w:ind w:right="193"/>
              <w:spacing w:after="0"/>
              <w:rPr>
                <w:sz w:val="20"/>
                <w:szCs w:val="20"/>
                <w:color w:val="auto"/>
              </w:rPr>
            </w:pPr>
            <w:r>
              <w:rPr>
                <w:rFonts w:ascii="Arial" w:cs="Arial" w:eastAsia="Arial" w:hAnsi="Arial"/>
                <w:sz w:val="14"/>
                <w:szCs w:val="14"/>
                <w:color w:val="auto"/>
              </w:rPr>
              <w:t>5.5 – 6.3 years</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6.0 years</w:t>
            </w: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Expected</w:t>
            </w: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5"/>
        </w:trPr>
        <w:tc>
          <w:tcPr>
            <w:tcW w:w="1080" w:type="dxa"/>
            <w:vAlign w:val="bottom"/>
          </w:tcPr>
          <w:p>
            <w:pPr>
              <w:ind w:left="140"/>
              <w:spacing w:after="0"/>
              <w:rPr>
                <w:sz w:val="20"/>
                <w:szCs w:val="20"/>
                <w:color w:val="auto"/>
              </w:rPr>
            </w:pPr>
            <w:r>
              <w:rPr>
                <w:rFonts w:ascii="Arial" w:cs="Arial" w:eastAsia="Arial" w:hAnsi="Arial"/>
                <w:sz w:val="14"/>
                <w:szCs w:val="14"/>
                <w:color w:val="auto"/>
              </w:rPr>
              <w:t>volatility</w:t>
            </w:r>
          </w:p>
        </w:tc>
        <w:tc>
          <w:tcPr>
            <w:tcW w:w="1340" w:type="dxa"/>
            <w:vAlign w:val="bottom"/>
            <w:gridSpan w:val="3"/>
          </w:tcPr>
          <w:p>
            <w:pPr>
              <w:jc w:val="right"/>
              <w:ind w:right="240"/>
              <w:spacing w:after="0"/>
              <w:rPr>
                <w:sz w:val="20"/>
                <w:szCs w:val="20"/>
                <w:color w:val="auto"/>
              </w:rPr>
            </w:pPr>
            <w:r>
              <w:rPr>
                <w:rFonts w:ascii="Arial" w:cs="Arial" w:eastAsia="Arial" w:hAnsi="Arial"/>
                <w:sz w:val="14"/>
                <w:szCs w:val="14"/>
                <w:color w:val="auto"/>
              </w:rPr>
              <w:t>81.4% – 84.1%</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80.8% –83.9%</w:t>
            </w:r>
          </w:p>
        </w:tc>
        <w:tc>
          <w:tcPr>
            <w:tcW w:w="1280" w:type="dxa"/>
            <w:vAlign w:val="bottom"/>
            <w:gridSpan w:val="3"/>
          </w:tcPr>
          <w:p>
            <w:pPr>
              <w:jc w:val="right"/>
              <w:ind w:right="200"/>
              <w:spacing w:after="0"/>
              <w:rPr>
                <w:sz w:val="20"/>
                <w:szCs w:val="20"/>
                <w:color w:val="auto"/>
              </w:rPr>
            </w:pPr>
            <w:r>
              <w:rPr>
                <w:rFonts w:ascii="Arial" w:cs="Arial" w:eastAsia="Arial" w:hAnsi="Arial"/>
                <w:sz w:val="14"/>
                <w:szCs w:val="14"/>
                <w:color w:val="auto"/>
              </w:rPr>
              <w:t>81.9% – 83.0%</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81.3% – 83.7%</w:t>
            </w:r>
          </w:p>
        </w:tc>
        <w:tc>
          <w:tcPr>
            <w:tcW w:w="1400" w:type="dxa"/>
            <w:vAlign w:val="bottom"/>
          </w:tcPr>
          <w:p>
            <w:pPr>
              <w:jc w:val="right"/>
              <w:ind w:right="233"/>
              <w:spacing w:after="0"/>
              <w:rPr>
                <w:sz w:val="20"/>
                <w:szCs w:val="20"/>
                <w:color w:val="auto"/>
              </w:rPr>
            </w:pPr>
            <w:r>
              <w:rPr>
                <w:rFonts w:ascii="Arial" w:cs="Arial" w:eastAsia="Arial" w:hAnsi="Arial"/>
                <w:sz w:val="14"/>
                <w:szCs w:val="14"/>
                <w:color w:val="auto"/>
              </w:rPr>
              <w:t>81.9% – 83.0%</w:t>
            </w: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81.3% – 83.7%</w:t>
            </w:r>
          </w:p>
        </w:tc>
        <w:tc>
          <w:tcPr>
            <w:tcW w:w="1380" w:type="dxa"/>
            <w:vAlign w:val="bottom"/>
          </w:tcPr>
          <w:p>
            <w:pPr>
              <w:jc w:val="right"/>
              <w:ind w:right="193"/>
              <w:spacing w:after="0"/>
              <w:rPr>
                <w:sz w:val="20"/>
                <w:szCs w:val="20"/>
                <w:color w:val="auto"/>
              </w:rPr>
            </w:pPr>
            <w:r>
              <w:rPr>
                <w:rFonts w:ascii="Arial" w:cs="Arial" w:eastAsia="Arial" w:hAnsi="Arial"/>
                <w:sz w:val="14"/>
                <w:szCs w:val="14"/>
                <w:color w:val="auto"/>
              </w:rPr>
              <w:t>82.1% – 83.8%</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82.1% – 83.1%</w:t>
            </w:r>
          </w:p>
        </w:tc>
      </w:tr>
      <w:tr>
        <w:trPr>
          <w:trHeight w:val="149"/>
        </w:trPr>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Risk-free</w:t>
            </w: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75"/>
        </w:trPr>
        <w:tc>
          <w:tcPr>
            <w:tcW w:w="1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rate</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2.7% – 3.0%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2.6% – 3.2%</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1.5% – 2.3%</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 – 2.4%</w:t>
            </w:r>
          </w:p>
        </w:tc>
        <w:tc>
          <w:tcPr>
            <w:tcW w:w="1400" w:type="dxa"/>
            <w:vAlign w:val="bottom"/>
            <w:shd w:val="clear" w:color="auto" w:fill="CCEEFF"/>
          </w:tcPr>
          <w:p>
            <w:pPr>
              <w:jc w:val="right"/>
              <w:ind w:right="233"/>
              <w:spacing w:after="0"/>
              <w:rPr>
                <w:sz w:val="20"/>
                <w:szCs w:val="20"/>
                <w:color w:val="auto"/>
              </w:rPr>
            </w:pPr>
            <w:r>
              <w:rPr>
                <w:rFonts w:ascii="Arial" w:cs="Arial" w:eastAsia="Arial" w:hAnsi="Arial"/>
                <w:sz w:val="14"/>
                <w:szCs w:val="14"/>
                <w:color w:val="auto"/>
              </w:rPr>
              <w:t>1.9% – 2.3%</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 – 2.4%</w:t>
            </w:r>
          </w:p>
        </w:tc>
        <w:tc>
          <w:tcPr>
            <w:tcW w:w="1380" w:type="dxa"/>
            <w:vAlign w:val="bottom"/>
            <w:shd w:val="clear" w:color="auto" w:fill="CCEEFF"/>
          </w:tcPr>
          <w:p>
            <w:pPr>
              <w:jc w:val="right"/>
              <w:ind w:right="193"/>
              <w:spacing w:after="0"/>
              <w:rPr>
                <w:sz w:val="20"/>
                <w:szCs w:val="20"/>
                <w:color w:val="auto"/>
              </w:rPr>
            </w:pPr>
            <w:r>
              <w:rPr>
                <w:rFonts w:ascii="Arial" w:cs="Arial" w:eastAsia="Arial" w:hAnsi="Arial"/>
                <w:sz w:val="14"/>
                <w:szCs w:val="14"/>
                <w:color w:val="auto"/>
              </w:rPr>
              <w:t>0.4% – 0.7%</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0.4% – 0.7%</w:t>
            </w: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Expected</w:t>
            </w: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1080" w:type="dxa"/>
            <w:vAlign w:val="bottom"/>
          </w:tcPr>
          <w:p>
            <w:pPr>
              <w:ind w:left="140"/>
              <w:spacing w:after="0"/>
              <w:rPr>
                <w:sz w:val="20"/>
                <w:szCs w:val="20"/>
                <w:color w:val="auto"/>
              </w:rPr>
            </w:pPr>
            <w:r>
              <w:rPr>
                <w:rFonts w:ascii="Arial" w:cs="Arial" w:eastAsia="Arial" w:hAnsi="Arial"/>
                <w:sz w:val="14"/>
                <w:szCs w:val="14"/>
                <w:color w:val="auto"/>
              </w:rPr>
              <w:t>dividend</w:t>
            </w: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4"/>
        </w:trPr>
        <w:tc>
          <w:tcPr>
            <w:tcW w:w="1080" w:type="dxa"/>
            <w:vAlign w:val="bottom"/>
          </w:tcPr>
          <w:p>
            <w:pPr>
              <w:ind w:left="140"/>
              <w:spacing w:after="0"/>
              <w:rPr>
                <w:sz w:val="20"/>
                <w:szCs w:val="20"/>
                <w:color w:val="auto"/>
              </w:rPr>
            </w:pPr>
            <w:r>
              <w:rPr>
                <w:rFonts w:ascii="Arial" w:cs="Arial" w:eastAsia="Arial" w:hAnsi="Arial"/>
                <w:sz w:val="14"/>
                <w:szCs w:val="14"/>
                <w:color w:val="auto"/>
              </w:rPr>
              <w:t>yield</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0%</w:t>
            </w: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0%</w:t>
            </w:r>
          </w:p>
        </w:tc>
        <w:tc>
          <w:tcPr>
            <w:tcW w:w="1400" w:type="dxa"/>
            <w:vAlign w:val="bottom"/>
          </w:tcPr>
          <w:p>
            <w:pPr>
              <w:jc w:val="right"/>
              <w:ind w:right="233"/>
              <w:spacing w:after="0"/>
              <w:rPr>
                <w:sz w:val="20"/>
                <w:szCs w:val="20"/>
                <w:color w:val="auto"/>
              </w:rPr>
            </w:pPr>
            <w:r>
              <w:rPr>
                <w:rFonts w:ascii="Arial" w:cs="Arial" w:eastAsia="Arial" w:hAnsi="Arial"/>
                <w:sz w:val="14"/>
                <w:szCs w:val="14"/>
                <w:color w:val="auto"/>
              </w:rPr>
              <w:t>0%</w:t>
            </w: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0%</w:t>
            </w:r>
          </w:p>
        </w:tc>
        <w:tc>
          <w:tcPr>
            <w:tcW w:w="1380" w:type="dxa"/>
            <w:vAlign w:val="bottom"/>
          </w:tcPr>
          <w:p>
            <w:pPr>
              <w:jc w:val="right"/>
              <w:ind w:right="193"/>
              <w:spacing w:after="0"/>
              <w:rPr>
                <w:sz w:val="20"/>
                <w:szCs w:val="20"/>
                <w:color w:val="auto"/>
              </w:rPr>
            </w:pPr>
            <w:r>
              <w:rPr>
                <w:rFonts w:ascii="Arial" w:cs="Arial" w:eastAsia="Arial" w:hAnsi="Arial"/>
                <w:sz w:val="14"/>
                <w:szCs w:val="14"/>
                <w:color w:val="auto"/>
              </w:rPr>
              <w:t>0%</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0%</w:t>
            </w:r>
          </w:p>
        </w:tc>
      </w:tr>
    </w:tbl>
    <w:p>
      <w:pPr>
        <w:spacing w:after="0" w:line="174" w:lineRule="exact"/>
        <w:rPr>
          <w:sz w:val="20"/>
          <w:szCs w:val="20"/>
          <w:color w:val="auto"/>
        </w:rPr>
      </w:pPr>
    </w:p>
    <w:p>
      <w:pPr>
        <w:ind w:left="120" w:right="40" w:firstLine="551"/>
        <w:spacing w:after="0" w:line="255"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for employee options is calculated using the simplified method as the Company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have sufficient historical information to provide a basis for estimate. The simplified method is based on the average of the vesting tranches and the contractual life of each grant. The expected term for nonemployee options is the contractual term of the options.</w:t>
      </w:r>
    </w:p>
    <w:p>
      <w:pPr>
        <w:spacing w:after="0" w:line="164" w:lineRule="exact"/>
        <w:rPr>
          <w:sz w:val="20"/>
          <w:szCs w:val="20"/>
          <w:color w:val="auto"/>
        </w:rPr>
      </w:pPr>
    </w:p>
    <w:p>
      <w:pPr>
        <w:ind w:left="120" w:right="260" w:firstLine="551"/>
        <w:spacing w:after="0" w:line="248"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expected volatility was estimated based on a study of publicly traded peer companies as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did not have any trading history for its common stock. The Company selected the peer group based on similarities in industry, stage of development, size and financial leverage with the Company’s principal business operations. For each grant, the Company measured historical volatility over a period equivalent to the expected term.</w:t>
      </w:r>
    </w:p>
    <w:p>
      <w:pPr>
        <w:spacing w:after="0" w:line="170" w:lineRule="exact"/>
        <w:rPr>
          <w:sz w:val="20"/>
          <w:szCs w:val="20"/>
          <w:color w:val="auto"/>
        </w:rPr>
      </w:pPr>
    </w:p>
    <w:p>
      <w:pPr>
        <w:ind w:left="120" w:right="380" w:firstLine="551"/>
        <w:spacing w:after="0" w:line="276"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yield available on U.S. Treasury zero-coupon issues whose</w:t>
      </w:r>
      <w:r>
        <w:rPr>
          <w:rFonts w:ascii="Arial" w:cs="Arial" w:eastAsia="Arial" w:hAnsi="Arial"/>
          <w:sz w:val="18"/>
          <w:szCs w:val="18"/>
          <w:i w:val="1"/>
          <w:iCs w:val="1"/>
          <w:color w:val="auto"/>
        </w:rPr>
        <w:t xml:space="preserve"> </w:t>
      </w:r>
      <w:r>
        <w:rPr>
          <w:rFonts w:ascii="Arial" w:cs="Arial" w:eastAsia="Arial" w:hAnsi="Arial"/>
          <w:sz w:val="18"/>
          <w:szCs w:val="18"/>
          <w:color w:val="auto"/>
        </w:rPr>
        <w:t>term is similar in duration to the expected term of the respective stock option.</w:t>
      </w:r>
    </w:p>
    <w:p>
      <w:pPr>
        <w:spacing w:after="0" w:line="145" w:lineRule="exact"/>
        <w:rPr>
          <w:sz w:val="20"/>
          <w:szCs w:val="20"/>
          <w:color w:val="auto"/>
        </w:rPr>
      </w:pPr>
    </w:p>
    <w:p>
      <w:pPr>
        <w:ind w:left="120" w:right="300" w:firstLine="551"/>
        <w:spacing w:after="0" w:line="276" w:lineRule="auto"/>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The Company has not paid and does not anticipate paying any dividends on its common stock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Accordingly, the Company has estimated the dividend yield to be zero.</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13. Common Stock Warrants</w:t>
      </w:r>
    </w:p>
    <w:p>
      <w:pPr>
        <w:spacing w:after="0" w:line="104"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In 2016, the Company issued a warrant for 45,000 shares of the Company’s common stock to a service provider with an exercise price of $1.14 per share, of which 15,000 warrant shares become exercisable upon completion of an offering of securities in a private placement by the Company with net proceeds in excess of $25.0 million and 30,000 warrant shares become exercisable upon completion of an IPO by the Company. As the services had been completed at the date the warrant had been issued, the fair value of the warrant was determined at the issuance date. In 2018, 15,000 of these warrant shares became exercisable upon the completion of the Series B financing and the $13,000 fair value of these warrant shares, as determined under the Black-Scholes Model, was recorded within operating expenses in the statements of operations and comprehensive loss and within additional paid-in-capital in the balance sheets. The Company has not recognized expense for the remaining 30,000</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40"/>
          </w:cols>
          <w:pgMar w:left="320" w:top="455" w:right="439" w:bottom="1440" w:gutter="0" w:footer="0" w:header="0"/>
        </w:sectPr>
      </w:pPr>
    </w:p>
    <w:bookmarkStart w:id="288" w:name="page289"/>
    <w:bookmarkEnd w:id="2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45" w:lineRule="auto"/>
        <w:rPr>
          <w:sz w:val="20"/>
          <w:szCs w:val="20"/>
          <w:color w:val="auto"/>
        </w:rPr>
      </w:pPr>
      <w:r>
        <w:rPr>
          <w:rFonts w:ascii="Arial" w:cs="Arial" w:eastAsia="Arial" w:hAnsi="Arial"/>
          <w:sz w:val="18"/>
          <w:szCs w:val="18"/>
          <w:color w:val="auto"/>
        </w:rPr>
        <w:t>warrant shares that become exercisable upon completion of an IPO as the vesting condition was not considered probable as of December 31, 2018, December 31, 2019 and September 30, 2020 (unaudited). If an IPO had occurred on December 31, 2019 or September 30, 2020 (unaudited), the Company would have recorded less than $0.1 million within operating expenses in the statements of operations and comprehensive loss and within additional paid-in-capital in the balance sheets for the 30,000 warrant shares becoming exercisable. The warrant expires in 2023.</w:t>
      </w:r>
    </w:p>
    <w:p>
      <w:pPr>
        <w:spacing w:after="0" w:line="172"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The Company also agreed to issue a warrant for 23,669 common stock shares with an exercise price of $3.19 per share to a third party. As the Company had not issued the warrant as of December 31, 2017, the obligation to issue this common stock warrant was remeasured to its fair value of $60,000 as of December 31, 2017 using the Black-Scholes option pricing model. The warrant was issued in May 2018 and the obligation to issue the common stock warrant was remeasured at the fair value of $59,000 and recorded within additional paid-in-capital in the balance sheet upon issuance of the warrant. The warrant expires in 2025.</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14. Net Loss Per Share Attributable to Common Stockholders</w:t>
      </w:r>
    </w:p>
    <w:p>
      <w:pPr>
        <w:spacing w:after="0" w:line="104" w:lineRule="exact"/>
        <w:rPr>
          <w:sz w:val="20"/>
          <w:szCs w:val="20"/>
          <w:color w:val="auto"/>
        </w:rPr>
      </w:pPr>
    </w:p>
    <w:p>
      <w:pPr>
        <w:ind w:left="120" w:right="580" w:firstLine="551"/>
        <w:spacing w:after="0" w:line="276"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(in thousands, except share and per share data):</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w:t>
            </w:r>
          </w:p>
        </w:tc>
        <w:tc>
          <w:tcPr>
            <w:tcW w:w="560" w:type="dxa"/>
            <w:vAlign w:val="bottom"/>
          </w:tcPr>
          <w:p>
            <w:pPr>
              <w:spacing w:after="0"/>
              <w:rPr>
                <w:sz w:val="14"/>
                <w:szCs w:val="14"/>
                <w:color w:val="auto"/>
              </w:rPr>
            </w:pPr>
          </w:p>
        </w:tc>
        <w:tc>
          <w:tcPr>
            <w:tcW w:w="168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rPr>
              <w:t>Year Ended</w:t>
            </w:r>
          </w:p>
        </w:tc>
        <w:tc>
          <w:tcPr>
            <w:tcW w:w="17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Nine Months Ended</w:t>
            </w:r>
          </w:p>
        </w:tc>
        <w:tc>
          <w:tcPr>
            <w:tcW w:w="340" w:type="dxa"/>
            <w:vAlign w:val="bottom"/>
          </w:tcPr>
          <w:p>
            <w:pPr>
              <w:spacing w:after="0"/>
              <w:rPr>
                <w:sz w:val="14"/>
                <w:szCs w:val="14"/>
                <w:color w:val="auto"/>
              </w:rPr>
            </w:pPr>
          </w:p>
        </w:tc>
        <w:tc>
          <w:tcPr>
            <w:tcW w:w="14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Nine Months Ended</w:t>
            </w:r>
          </w:p>
        </w:tc>
      </w:tr>
      <w:tr>
        <w:trPr>
          <w:trHeight w:val="162"/>
        </w:trPr>
        <w:tc>
          <w:tcPr>
            <w:tcW w:w="408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4"/>
                <w:szCs w:val="14"/>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6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September 30,</w:t>
            </w:r>
          </w:p>
        </w:tc>
      </w:tr>
      <w:tr>
        <w:trPr>
          <w:trHeight w:val="177"/>
        </w:trPr>
        <w:tc>
          <w:tcPr>
            <w:tcW w:w="40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r>
      <w:tr>
        <w:trPr>
          <w:trHeight w:val="156"/>
        </w:trPr>
        <w:tc>
          <w:tcPr>
            <w:tcW w:w="4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center"/>
              <w:ind w:right="57"/>
              <w:spacing w:after="0" w:line="155" w:lineRule="exact"/>
              <w:rPr>
                <w:sz w:val="20"/>
                <w:szCs w:val="20"/>
                <w:color w:val="auto"/>
              </w:rPr>
            </w:pPr>
            <w:r>
              <w:rPr>
                <w:rFonts w:ascii="Arial" w:cs="Arial" w:eastAsia="Arial" w:hAnsi="Arial"/>
                <w:sz w:val="14"/>
                <w:szCs w:val="14"/>
                <w:b w:val="1"/>
                <w:bCs w:val="1"/>
                <w:color w:val="auto"/>
              </w:rPr>
              <w:t>(Unaudited)</w:t>
            </w: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center"/>
              <w:ind w:right="57"/>
              <w:spacing w:after="0" w:line="155"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Numerator</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80"/>
        </w:trPr>
        <w:tc>
          <w:tcPr>
            <w:tcW w:w="4080" w:type="dxa"/>
            <w:vAlign w:val="bottom"/>
          </w:tcPr>
          <w:p>
            <w:pPr>
              <w:spacing w:after="0" w:line="180" w:lineRule="exact"/>
              <w:rPr>
                <w:sz w:val="20"/>
                <w:szCs w:val="20"/>
                <w:color w:val="auto"/>
              </w:rPr>
            </w:pPr>
            <w:r>
              <w:rPr>
                <w:rFonts w:ascii="Arial" w:cs="Arial" w:eastAsia="Arial" w:hAnsi="Arial"/>
                <w:sz w:val="18"/>
                <w:szCs w:val="18"/>
                <w:color w:val="auto"/>
              </w:rPr>
              <w:t>Net loss attributable to common</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5"/>
        </w:trPr>
        <w:tc>
          <w:tcPr>
            <w:tcW w:w="408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(9,551)</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(49,306)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(33,191)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(36,146)</w:t>
            </w:r>
          </w:p>
        </w:tc>
      </w:tr>
      <w:tr>
        <w:trPr>
          <w:trHeight w:val="20"/>
        </w:trPr>
        <w:tc>
          <w:tcPr>
            <w:tcW w:w="4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Weighted-average shares outstanding</w:t>
            </w:r>
          </w:p>
        </w:tc>
        <w:tc>
          <w:tcPr>
            <w:tcW w:w="120" w:type="dxa"/>
            <w:vAlign w:val="bottom"/>
          </w:tcPr>
          <w:p>
            <w:pPr>
              <w:spacing w:after="0"/>
              <w:rPr>
                <w:sz w:val="17"/>
                <w:szCs w:val="17"/>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9"/>
              </w:rPr>
              <w:t>5,090,988</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w w:val="99"/>
              </w:rPr>
              <w:t>5,143,776</w:t>
            </w:r>
          </w:p>
        </w:tc>
        <w:tc>
          <w:tcPr>
            <w:tcW w:w="140" w:type="dxa"/>
            <w:vAlign w:val="bottom"/>
          </w:tcPr>
          <w:p>
            <w:pPr>
              <w:spacing w:after="0"/>
              <w:rPr>
                <w:sz w:val="17"/>
                <w:szCs w:val="17"/>
                <w:color w:val="auto"/>
              </w:rPr>
            </w:pPr>
          </w:p>
        </w:tc>
        <w:tc>
          <w:tcPr>
            <w:tcW w:w="16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5,137,248</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5,188,628</w:t>
            </w:r>
          </w:p>
        </w:tc>
      </w:tr>
      <w:tr>
        <w:trPr>
          <w:trHeight w:val="180"/>
        </w:trPr>
        <w:tc>
          <w:tcPr>
            <w:tcW w:w="408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Less: Weighted-average shares subject to</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40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repurchase used in computing net loss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40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per share attributable to common</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5"/>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 basic and diluted</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(41,785)</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(1,216)</w:t>
            </w: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(1,626)</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187"/>
        </w:trPr>
        <w:tc>
          <w:tcPr>
            <w:tcW w:w="4080" w:type="dxa"/>
            <w:vAlign w:val="bottom"/>
          </w:tcPr>
          <w:p>
            <w:pPr>
              <w:spacing w:after="0" w:line="187" w:lineRule="exact"/>
              <w:rPr>
                <w:sz w:val="20"/>
                <w:szCs w:val="20"/>
                <w:color w:val="auto"/>
              </w:rPr>
            </w:pPr>
            <w:r>
              <w:rPr>
                <w:rFonts w:ascii="Arial" w:cs="Arial" w:eastAsia="Arial" w:hAnsi="Arial"/>
                <w:sz w:val="18"/>
                <w:szCs w:val="18"/>
                <w:color w:val="auto"/>
              </w:rPr>
              <w:t>Weighted-average shares outstanding</w:t>
            </w: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4080" w:type="dxa"/>
            <w:vAlign w:val="bottom"/>
          </w:tcPr>
          <w:p>
            <w:pPr>
              <w:ind w:left="180"/>
              <w:spacing w:after="0" w:line="202" w:lineRule="exact"/>
              <w:rPr>
                <w:sz w:val="20"/>
                <w:szCs w:val="20"/>
                <w:color w:val="auto"/>
              </w:rPr>
            </w:pPr>
            <w:r>
              <w:rPr>
                <w:rFonts w:ascii="Arial" w:cs="Arial" w:eastAsia="Arial" w:hAnsi="Arial"/>
                <w:sz w:val="18"/>
                <w:szCs w:val="18"/>
                <w:color w:val="auto"/>
              </w:rPr>
              <w:t>used in computing net loss per share</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080" w:type="dxa"/>
            <w:vAlign w:val="bottom"/>
          </w:tcPr>
          <w:p>
            <w:pPr>
              <w:ind w:left="180"/>
              <w:spacing w:after="0" w:line="202" w:lineRule="exact"/>
              <w:rPr>
                <w:sz w:val="20"/>
                <w:szCs w:val="20"/>
                <w:color w:val="auto"/>
              </w:rPr>
            </w:pPr>
            <w:r>
              <w:rPr>
                <w:rFonts w:ascii="Arial" w:cs="Arial" w:eastAsia="Arial" w:hAnsi="Arial"/>
                <w:sz w:val="18"/>
                <w:szCs w:val="18"/>
                <w:color w:val="auto"/>
              </w:rPr>
              <w:t>attributable to common stockholders,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5"/>
        </w:trPr>
        <w:tc>
          <w:tcPr>
            <w:tcW w:w="408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5,049,203</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8"/>
                <w:szCs w:val="18"/>
                <w:color w:val="auto"/>
                <w:w w:val="99"/>
              </w:rPr>
              <w:t>5,142,560</w:t>
            </w:r>
          </w:p>
        </w:tc>
        <w:tc>
          <w:tcPr>
            <w:tcW w:w="140" w:type="dxa"/>
            <w:vAlign w:val="bottom"/>
          </w:tcPr>
          <w:p>
            <w:pPr>
              <w:spacing w:after="0"/>
              <w:rPr>
                <w:sz w:val="19"/>
                <w:szCs w:val="19"/>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8"/>
                <w:szCs w:val="18"/>
                <w:color w:val="auto"/>
              </w:rPr>
              <w:t>5,135,622</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5,188,628</w:t>
            </w:r>
          </w:p>
        </w:tc>
      </w:tr>
      <w:tr>
        <w:trPr>
          <w:trHeight w:val="20"/>
        </w:trPr>
        <w:tc>
          <w:tcPr>
            <w:tcW w:w="4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4"/>
        </w:trPr>
        <w:tc>
          <w:tcPr>
            <w:tcW w:w="408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Net loss per share attributable to common</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5"/>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stockholders—basic and diluted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(9.59)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(6.97)</w:t>
            </w:r>
          </w:p>
        </w:tc>
      </w:tr>
      <w:tr>
        <w:trPr>
          <w:trHeight w:val="20"/>
        </w:trPr>
        <w:tc>
          <w:tcPr>
            <w:tcW w:w="4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63"/>
        </w:trPr>
        <w:tc>
          <w:tcPr>
            <w:tcW w:w="4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F-44</w:t>
            </w: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89" w:name="page290"/>
    <w:bookmarkEnd w:id="2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60" w:firstLine="551"/>
        <w:spacing w:after="0" w:line="276"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attributable to common stockholders for the period presented because including them would have been antidilutive:</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December 31,</w:t>
            </w: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September 30,</w:t>
            </w:r>
          </w:p>
        </w:tc>
      </w:tr>
      <w:tr>
        <w:trPr>
          <w:trHeight w:val="177"/>
        </w:trPr>
        <w:tc>
          <w:tcPr>
            <w:tcW w:w="5820" w:type="dxa"/>
            <w:vAlign w:val="bottom"/>
          </w:tcPr>
          <w:p>
            <w:pPr>
              <w:spacing w:after="0"/>
              <w:rPr>
                <w:sz w:val="15"/>
                <w:szCs w:val="15"/>
                <w:color w:val="auto"/>
              </w:rPr>
            </w:pPr>
          </w:p>
        </w:tc>
        <w:tc>
          <w:tcPr>
            <w:tcW w:w="10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5"/>
                <w:szCs w:val="15"/>
                <w:color w:val="auto"/>
              </w:rPr>
            </w:pPr>
          </w:p>
        </w:tc>
        <w:tc>
          <w:tcPr>
            <w:tcW w:w="10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r>
      <w:tr>
        <w:trPr>
          <w:trHeight w:val="156"/>
        </w:trPr>
        <w:tc>
          <w:tcPr>
            <w:tcW w:w="5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3"/>
                <w:szCs w:val="13"/>
                <w:color w:val="auto"/>
              </w:rPr>
            </w:pPr>
          </w:p>
        </w:tc>
        <w:tc>
          <w:tcPr>
            <w:tcW w:w="11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3"/>
                <w:szCs w:val="13"/>
                <w:color w:val="auto"/>
              </w:rPr>
            </w:pPr>
          </w:p>
        </w:tc>
      </w:tr>
      <w:tr>
        <w:trPr>
          <w:trHeight w:val="203"/>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Redeemable convertible preferred stock</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7,375,631</w:t>
            </w:r>
          </w:p>
        </w:tc>
        <w:tc>
          <w:tcPr>
            <w:tcW w:w="1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7,375,631</w:t>
            </w:r>
          </w:p>
        </w:tc>
        <w:tc>
          <w:tcPr>
            <w:tcW w:w="13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7,375,631</w:t>
            </w:r>
          </w:p>
        </w:tc>
        <w:tc>
          <w:tcPr>
            <w:tcW w:w="12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11,575,984</w:t>
            </w: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Options to purchase common stock</w:t>
            </w: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2,028,274</w:t>
            </w:r>
          </w:p>
        </w:tc>
        <w:tc>
          <w:tcPr>
            <w:tcW w:w="13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2,474,152</w:t>
            </w:r>
          </w:p>
        </w:tc>
        <w:tc>
          <w:tcPr>
            <w:tcW w:w="13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2,535,230</w:t>
            </w:r>
          </w:p>
        </w:tc>
        <w:tc>
          <w:tcPr>
            <w:tcW w:w="12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2,928,321</w:t>
            </w:r>
          </w:p>
        </w:tc>
      </w:tr>
      <w:tr>
        <w:trPr>
          <w:trHeight w:val="203"/>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Unvested common stock subject to repurchase</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14,793</w:t>
            </w:r>
          </w:p>
        </w:tc>
        <w:tc>
          <w:tcPr>
            <w:tcW w:w="1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Common stock warrant</w:t>
            </w: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68,669</w:t>
            </w:r>
          </w:p>
        </w:tc>
        <w:tc>
          <w:tcPr>
            <w:tcW w:w="13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68,669</w:t>
            </w:r>
          </w:p>
        </w:tc>
        <w:tc>
          <w:tcPr>
            <w:tcW w:w="13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68,669</w:t>
            </w:r>
          </w:p>
        </w:tc>
        <w:tc>
          <w:tcPr>
            <w:tcW w:w="12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68,669</w:t>
            </w:r>
          </w:p>
        </w:tc>
      </w:tr>
      <w:tr>
        <w:trPr>
          <w:trHeight w:val="27"/>
        </w:trPr>
        <w:tc>
          <w:tcPr>
            <w:tcW w:w="58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5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9,487,367</w:t>
            </w:r>
          </w:p>
        </w:tc>
        <w:tc>
          <w:tcPr>
            <w:tcW w:w="1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9,918,452</w:t>
            </w:r>
          </w:p>
        </w:tc>
        <w:tc>
          <w:tcPr>
            <w:tcW w:w="13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9,979,530</w:t>
            </w:r>
          </w:p>
        </w:tc>
        <w:tc>
          <w:tcPr>
            <w:tcW w:w="12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14,572,974</w:t>
            </w:r>
          </w:p>
        </w:tc>
      </w:tr>
      <w:tr>
        <w:trPr>
          <w:trHeight w:val="20"/>
        </w:trPr>
        <w:tc>
          <w:tcPr>
            <w:tcW w:w="58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Pro Forma Net Loss Per Share</w:t>
      </w:r>
    </w:p>
    <w:p>
      <w:pPr>
        <w:spacing w:after="0" w:line="106" w:lineRule="exact"/>
        <w:rPr>
          <w:sz w:val="20"/>
          <w:szCs w:val="20"/>
          <w:color w:val="auto"/>
        </w:rPr>
      </w:pPr>
    </w:p>
    <w:p>
      <w:pPr>
        <w:ind w:left="120" w:right="180" w:firstLine="551"/>
        <w:spacing w:after="0" w:line="248" w:lineRule="auto"/>
        <w:rPr>
          <w:sz w:val="20"/>
          <w:szCs w:val="20"/>
          <w:color w:val="auto"/>
        </w:rPr>
      </w:pPr>
      <w:r>
        <w:rPr>
          <w:rFonts w:ascii="Arial" w:cs="Arial" w:eastAsia="Arial" w:hAnsi="Arial"/>
          <w:sz w:val="18"/>
          <w:szCs w:val="18"/>
          <w:color w:val="auto"/>
        </w:rPr>
        <w:t>Unaudited pro forma basic and diluted net loss per share were computed to give effect to the automatic one-for-one conversion of all outstanding shares of redeemable convertible preferred stock into shares of common stock in connection with the closing of the planned IPO, using the as-converted method as though the conversion had occurred as of the beginning of the period presented or the date of issuance, if later.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Unaudited pro forma basic and diluted loss per share is computed as follows (in thousands, except share and per share data):</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Nine Months</w:t>
            </w:r>
          </w:p>
        </w:tc>
      </w:tr>
      <w:tr>
        <w:trPr>
          <w:trHeight w:val="162"/>
        </w:trPr>
        <w:tc>
          <w:tcPr>
            <w:tcW w:w="7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Ended</w:t>
            </w:r>
          </w:p>
        </w:tc>
      </w:tr>
      <w:tr>
        <w:trPr>
          <w:trHeight w:val="162"/>
        </w:trPr>
        <w:tc>
          <w:tcPr>
            <w:tcW w:w="7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September 30,</w:t>
            </w:r>
          </w:p>
        </w:tc>
      </w:tr>
      <w:tr>
        <w:trPr>
          <w:trHeight w:val="177"/>
        </w:trPr>
        <w:tc>
          <w:tcPr>
            <w:tcW w:w="776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r>
      <w:tr>
        <w:trPr>
          <w:trHeight w:val="183"/>
        </w:trPr>
        <w:tc>
          <w:tcPr>
            <w:tcW w:w="77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Numerator</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Net loss used in computing pro forma net loss per share, basic and diluted</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(49,306)</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(36,146)</w:t>
            </w:r>
          </w:p>
        </w:tc>
      </w:tr>
      <w:tr>
        <w:trPr>
          <w:trHeight w:val="20"/>
        </w:trPr>
        <w:tc>
          <w:tcPr>
            <w:tcW w:w="7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7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03"/>
        </w:trPr>
        <w:tc>
          <w:tcPr>
            <w:tcW w:w="77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Denominator</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80"/>
        </w:trPr>
        <w:tc>
          <w:tcPr>
            <w:tcW w:w="7760" w:type="dxa"/>
            <w:vAlign w:val="bottom"/>
          </w:tcPr>
          <w:p>
            <w:pPr>
              <w:spacing w:after="0" w:line="180" w:lineRule="exact"/>
              <w:rPr>
                <w:sz w:val="20"/>
                <w:szCs w:val="20"/>
                <w:color w:val="auto"/>
              </w:rPr>
            </w:pPr>
            <w:r>
              <w:rPr>
                <w:rFonts w:ascii="Arial" w:cs="Arial" w:eastAsia="Arial" w:hAnsi="Arial"/>
                <w:sz w:val="18"/>
                <w:szCs w:val="18"/>
                <w:color w:val="auto"/>
              </w:rPr>
              <w:t>Weighted-average shares outstanding used in computing net loss per share, attributable to</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5"/>
        </w:trPr>
        <w:tc>
          <w:tcPr>
            <w:tcW w:w="7760" w:type="dxa"/>
            <w:vAlign w:val="bottom"/>
          </w:tcPr>
          <w:p>
            <w:pPr>
              <w:ind w:left="180"/>
              <w:spacing w:after="0"/>
              <w:rPr>
                <w:sz w:val="20"/>
                <w:szCs w:val="20"/>
                <w:color w:val="auto"/>
              </w:rPr>
            </w:pPr>
            <w:r>
              <w:rPr>
                <w:rFonts w:ascii="Arial" w:cs="Arial" w:eastAsia="Arial" w:hAnsi="Arial"/>
                <w:sz w:val="18"/>
                <w:szCs w:val="18"/>
                <w:color w:val="auto"/>
              </w:rPr>
              <w:t>common stockholders, basic and diluted</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right"/>
              <w:ind w:right="740"/>
              <w:spacing w:after="0"/>
              <w:rPr>
                <w:sz w:val="20"/>
                <w:szCs w:val="20"/>
                <w:color w:val="auto"/>
              </w:rPr>
            </w:pPr>
            <w:r>
              <w:rPr>
                <w:rFonts w:ascii="Arial" w:cs="Arial" w:eastAsia="Arial" w:hAnsi="Arial"/>
                <w:sz w:val="18"/>
                <w:szCs w:val="18"/>
                <w:color w:val="auto"/>
              </w:rPr>
              <w:t>5,142,560</w:t>
            </w: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5,188,628</w:t>
            </w:r>
          </w:p>
        </w:tc>
      </w:tr>
      <w:tr>
        <w:trPr>
          <w:trHeight w:val="203"/>
        </w:trPr>
        <w:tc>
          <w:tcPr>
            <w:tcW w:w="7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 Conversion of redeemable convertible preferred stock</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7,375,631</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9,646,715</w:t>
            </w:r>
          </w:p>
        </w:tc>
      </w:tr>
      <w:tr>
        <w:trPr>
          <w:trHeight w:val="187"/>
        </w:trPr>
        <w:tc>
          <w:tcPr>
            <w:tcW w:w="7760" w:type="dxa"/>
            <w:vAlign w:val="bottom"/>
          </w:tcPr>
          <w:p>
            <w:pPr>
              <w:spacing w:after="0" w:line="187" w:lineRule="exact"/>
              <w:rPr>
                <w:sz w:val="20"/>
                <w:szCs w:val="20"/>
                <w:color w:val="auto"/>
              </w:rPr>
            </w:pPr>
            <w:r>
              <w:rPr>
                <w:rFonts w:ascii="Arial" w:cs="Arial" w:eastAsia="Arial" w:hAnsi="Arial"/>
                <w:sz w:val="18"/>
                <w:szCs w:val="18"/>
                <w:color w:val="auto"/>
              </w:rPr>
              <w:t>Weighted-average shares outstanding used in computing pro forma net loss per share, basic</w:t>
            </w:r>
          </w:p>
        </w:tc>
        <w:tc>
          <w:tcPr>
            <w:tcW w:w="3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25"/>
        </w:trPr>
        <w:tc>
          <w:tcPr>
            <w:tcW w:w="7760" w:type="dxa"/>
            <w:vAlign w:val="bottom"/>
          </w:tcPr>
          <w:p>
            <w:pPr>
              <w:ind w:left="180"/>
              <w:spacing w:after="0"/>
              <w:rPr>
                <w:sz w:val="20"/>
                <w:szCs w:val="20"/>
                <w:color w:val="auto"/>
              </w:rPr>
            </w:pPr>
            <w:r>
              <w:rPr>
                <w:rFonts w:ascii="Arial" w:cs="Arial" w:eastAsia="Arial" w:hAnsi="Arial"/>
                <w:sz w:val="18"/>
                <w:szCs w:val="18"/>
                <w:color w:val="auto"/>
              </w:rPr>
              <w:t>and diluted</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right"/>
              <w:ind w:right="740"/>
              <w:spacing w:after="0"/>
              <w:rPr>
                <w:sz w:val="20"/>
                <w:szCs w:val="20"/>
                <w:color w:val="auto"/>
              </w:rPr>
            </w:pPr>
            <w:r>
              <w:rPr>
                <w:rFonts w:ascii="Arial" w:cs="Arial" w:eastAsia="Arial" w:hAnsi="Arial"/>
                <w:sz w:val="18"/>
                <w:szCs w:val="18"/>
                <w:color w:val="auto"/>
                <w:w w:val="97"/>
              </w:rPr>
              <w:t>12,518,191</w:t>
            </w: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14,835,343</w:t>
            </w:r>
          </w:p>
        </w:tc>
      </w:tr>
      <w:tr>
        <w:trPr>
          <w:trHeight w:val="20"/>
        </w:trPr>
        <w:tc>
          <w:tcPr>
            <w:tcW w:w="7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 basic and diluted</w:t>
            </w:r>
          </w:p>
        </w:tc>
        <w:tc>
          <w:tcPr>
            <w:tcW w:w="4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80"/>
              <w:spacing w:after="0" w:line="196" w:lineRule="exact"/>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(2.44)</w:t>
            </w:r>
          </w:p>
        </w:tc>
      </w:tr>
      <w:tr>
        <w:trPr>
          <w:trHeight w:val="20"/>
        </w:trPr>
        <w:tc>
          <w:tcPr>
            <w:tcW w:w="7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15. Derivative Liability</w:t>
      </w:r>
    </w:p>
    <w:p>
      <w:pPr>
        <w:spacing w:after="0" w:line="104"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The Company identified an embedded derivative resulting from the change of control provision in the CFFT Agreement. Embedded derivatives that are required to be bifurcated from the underlying host instrument are accounted for and valued as separate financial instruments. At the inception of the derivative in 2017, the Company recognized this derivative as a liability and revenue was reduced by the initial fair value of the derivative liability. The Company remeasures the derivative liability to fair value at each reporting period and records the change in fair value of the derivative liability as other income (expense), net. The Company uses a present value analysis with multiple scenarios, which incorporates assumptions and estimates to value the derivative instrument. The Company assesses these assumptions and estimates on a periodic basis as additional information impacting the assumptions is obtained. Estimates and assumptions impacting the fair value measurement include the change of control payment to CFFT (range of $0 to $10.6 million (unaudited) at September 30, 2020),</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40"/>
          </w:cols>
          <w:pgMar w:left="320" w:top="455" w:right="439" w:bottom="1440" w:gutter="0" w:footer="0" w:header="0"/>
        </w:sectPr>
      </w:pPr>
    </w:p>
    <w:bookmarkStart w:id="290" w:name="page291"/>
    <w:bookmarkEnd w:id="2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5" w:lineRule="auto"/>
        <w:rPr>
          <w:sz w:val="20"/>
          <w:szCs w:val="20"/>
          <w:color w:val="auto"/>
        </w:rPr>
      </w:pPr>
      <w:r>
        <w:rPr>
          <w:rFonts w:ascii="Arial" w:cs="Arial" w:eastAsia="Arial" w:hAnsi="Arial"/>
          <w:sz w:val="18"/>
          <w:szCs w:val="18"/>
          <w:color w:val="auto"/>
        </w:rPr>
        <w:t>the probability of a change of control event, the probability of the product achieving development or commercial status at time of change of control (range of 3.4% to 12.3% (unaudited) at September 30, 2020) and the discount rate (20% (unaudited) at September 30, 2020). The Company determined the estimated fair value of this liability as of the inception date of the CFFT Agreement and concluded that the amount was immaterial. The Company determined the fair value of this derivative liability was $0.1 million as of December 31, 2018, December 31, 2019 and September 30, 2020 (unaudited).</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16. Related Party Transactions</w:t>
      </w:r>
    </w:p>
    <w:p>
      <w:pPr>
        <w:spacing w:after="0" w:line="104" w:lineRule="exact"/>
        <w:rPr>
          <w:sz w:val="20"/>
          <w:szCs w:val="20"/>
          <w:color w:val="auto"/>
        </w:rPr>
      </w:pPr>
    </w:p>
    <w:p>
      <w:pPr>
        <w:ind w:left="120" w:right="300" w:firstLine="551"/>
        <w:spacing w:after="0" w:line="255" w:lineRule="auto"/>
        <w:rPr>
          <w:sz w:val="20"/>
          <w:szCs w:val="20"/>
          <w:color w:val="auto"/>
        </w:rPr>
      </w:pPr>
      <w:r>
        <w:rPr>
          <w:rFonts w:ascii="Arial" w:cs="Arial" w:eastAsia="Arial" w:hAnsi="Arial"/>
          <w:sz w:val="18"/>
          <w:szCs w:val="18"/>
          <w:color w:val="auto"/>
        </w:rPr>
        <w:t>In January 2014, in connection with the performance obligations under the uniQure Agreement, the founders of the Company received equity options to purchase an aggregate of 609,744 of uniQure ordinary shares that vest over the initial three-year term of the agreement and one of the founders of the Company agreed to serve as a director of uniQure.</w:t>
      </w:r>
    </w:p>
    <w:p>
      <w:pPr>
        <w:spacing w:after="0" w:line="164" w:lineRule="exact"/>
        <w:rPr>
          <w:sz w:val="20"/>
          <w:szCs w:val="20"/>
          <w:color w:val="auto"/>
        </w:rPr>
      </w:pPr>
    </w:p>
    <w:p>
      <w:pPr>
        <w:ind w:left="120" w:right="60" w:firstLine="551"/>
        <w:spacing w:after="0" w:line="268" w:lineRule="auto"/>
        <w:rPr>
          <w:sz w:val="20"/>
          <w:szCs w:val="20"/>
          <w:color w:val="auto"/>
        </w:rPr>
      </w:pPr>
      <w:r>
        <w:rPr>
          <w:rFonts w:ascii="Arial" w:cs="Arial" w:eastAsia="Arial" w:hAnsi="Arial"/>
          <w:sz w:val="17"/>
          <w:szCs w:val="17"/>
          <w:color w:val="auto"/>
        </w:rPr>
        <w:t>In August 2019, the Company and uniQure entered into the amended uniQure Agreement and the Second uniQure Agreement. Under these agreements, the Company agreed to transfer incremental rights and services to uniQure in exchange for uniQure eliminating the exclusivity clause in the uniQure Agreement and transferring other rights back to the Company. Further details and the accounting for these agreements is discussed in Note 6. As of June 17, 2020, uniQure is no longer a related party of the Company (unaudited).</w:t>
      </w:r>
    </w:p>
    <w:p>
      <w:pPr>
        <w:spacing w:after="0" w:line="153"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color w:val="auto"/>
        </w:rPr>
        <w:t>In 2015, the Company signed a collaboration and license agreement with Pfizer and recorded deferred revenue of $5.0 million related to the upfront payment received from Pfizer under the arrangement. In 2018, Pfizer terminated this agreement for convenience. Upon the termination of the agreement, the Company recognized revenue on the $5.0 million upfront payment. As of December 31, 2018 and 2019, Pfizer owns 1,474,992 shares of the Company’s redeemable convertible preferred stock, and as of September 30, 2020, Pfizer owns 1,641,658 (unaudited) shares of the Company’s redeemable convertible preferred stock and has a representative director on the Company’s board of directors.</w:t>
      </w:r>
    </w:p>
    <w:p>
      <w:pPr>
        <w:spacing w:after="0" w:line="174"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In the years ended December 31, 2018 and 2019 and the nine months ended September 30, 2019 and 2020, the Company paid $50,000, $52,000, $37,500 (unaudited) and $37,500 (unaudited), respectively, to David Schaffer, PhD, the co-founder and Chief Scientific Advisor of the Company for consulting services. In April 2019, the Company entered into two sponsored research agreements (“SRAs”) with the UC Regents to conduct research in a research facility on the Berkeley campus, under the direction of Dr. Schaffer. The SRAs have a three year term ending in May 2022. Under the SRAs, the Company has an option to license (on a royalty-bearing basis) all intellectual property generated under the SRAs. The total amount the Company is committed to pay to the UC Regents under the SRAs is $1.5 million, of which $0.4 million was paid upon the execution of the SRAs. In the years ended December 31, 2018 and 2019 and the nine months ended September 30, 2019 and 2020, the Company recorded $0, $0.3 million, $0.2 million (unaudited) and $0.4 million (unaudited), respectively, of expense related to SRAs. Any patent prosecution costs incurred under the SRAs will also be borne by the Company. The Company can terminate the SRAs for convenience and without cause with 60 days’ notice.</w:t>
      </w:r>
    </w:p>
    <w:p>
      <w:pPr>
        <w:spacing w:after="0" w:line="180"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In 2016, the Company entered into a consulting agreement with one of its former directors, who resigned as a director in December 2018, to provide business development strategy services. In connection with this agreement, the former director was granted stock options. In the year ended December 31, 2018, the Company recorded $219,500 of stock-based compensation expense related to such stock options.</w:t>
      </w:r>
    </w:p>
    <w:p>
      <w:pPr>
        <w:spacing w:after="0" w:line="170" w:lineRule="exact"/>
        <w:rPr>
          <w:sz w:val="20"/>
          <w:szCs w:val="20"/>
          <w:color w:val="auto"/>
        </w:rPr>
      </w:pPr>
    </w:p>
    <w:p>
      <w:pPr>
        <w:ind w:left="120" w:right="180" w:firstLine="551"/>
        <w:spacing w:after="0" w:line="255" w:lineRule="auto"/>
        <w:rPr>
          <w:sz w:val="20"/>
          <w:szCs w:val="20"/>
          <w:color w:val="auto"/>
        </w:rPr>
      </w:pPr>
      <w:r>
        <w:rPr>
          <w:rFonts w:ascii="Arial" w:cs="Arial" w:eastAsia="Arial" w:hAnsi="Arial"/>
          <w:sz w:val="18"/>
          <w:szCs w:val="18"/>
          <w:color w:val="auto"/>
        </w:rPr>
        <w:t>In 2016, the Chief Executive Officer and several other employees of the Company founded Ignite Immunotherapy (“Ignite”). From 2016 through October 2019, the Company’s Chief Executive Officer served as the Chief Executive Officer and Executive Chairman of Ignite and certain executives of the</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00"/>
          </w:cols>
          <w:pgMar w:left="320" w:top="455" w:right="479" w:bottom="1440" w:gutter="0" w:footer="0" w:header="0"/>
        </w:sectPr>
      </w:pPr>
    </w:p>
    <w:bookmarkStart w:id="291" w:name="page292"/>
    <w:bookmarkEnd w:id="2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Company held ownership interests in Ignite and were members of the board of directors of Ignite. Additionally, during this time period, Pfizer, which is a related party of the Company, held a significant equity stake in Ignite. There were no transactions between the Company and Ignite from 2016 to October 2019. As of October 18, 2019, Ignite is no longer a related party of the Company.</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17. Subsequent Events</w:t>
      </w:r>
    </w:p>
    <w:p>
      <w:pPr>
        <w:spacing w:after="0" w:line="104" w:lineRule="exact"/>
        <w:rPr>
          <w:sz w:val="20"/>
          <w:szCs w:val="20"/>
          <w:color w:val="auto"/>
        </w:rPr>
      </w:pPr>
    </w:p>
    <w:p>
      <w:pPr>
        <w:ind w:left="120" w:right="180" w:firstLine="551"/>
        <w:spacing w:after="0" w:line="255" w:lineRule="auto"/>
        <w:rPr>
          <w:sz w:val="20"/>
          <w:szCs w:val="20"/>
          <w:color w:val="auto"/>
        </w:rPr>
      </w:pPr>
      <w:r>
        <w:rPr>
          <w:rFonts w:ascii="Arial" w:cs="Arial" w:eastAsia="Arial" w:hAnsi="Arial"/>
          <w:sz w:val="18"/>
          <w:szCs w:val="18"/>
          <w:color w:val="auto"/>
        </w:rPr>
        <w:t>The Company evaluated subsequent events through June 19, 2020, the date on which the financial statements were available for issuance. The Company also evaluated subsequent events through October 14, 2020, the date on which the financial statements were available for reissuance.</w:t>
      </w:r>
    </w:p>
    <w:p>
      <w:pPr>
        <w:spacing w:after="0" w:line="164" w:lineRule="exact"/>
        <w:rPr>
          <w:sz w:val="20"/>
          <w:szCs w:val="20"/>
          <w:color w:val="auto"/>
        </w:rPr>
      </w:pPr>
    </w:p>
    <w:p>
      <w:pPr>
        <w:jc w:val="both"/>
        <w:ind w:left="120" w:right="460" w:firstLine="551"/>
        <w:spacing w:after="0" w:line="255" w:lineRule="auto"/>
        <w:rPr>
          <w:sz w:val="20"/>
          <w:szCs w:val="20"/>
          <w:color w:val="auto"/>
        </w:rPr>
      </w:pPr>
      <w:r>
        <w:rPr>
          <w:rFonts w:ascii="Arial" w:cs="Arial" w:eastAsia="Arial" w:hAnsi="Arial"/>
          <w:sz w:val="18"/>
          <w:szCs w:val="18"/>
          <w:color w:val="auto"/>
        </w:rPr>
        <w:t>In April and June of 2020, the Company entered into a Series C Preferred Stock Purchase Agreement, pursuant to which the Company issued and sold 4,200,353 shares of its Series C redeemable convertible preferred stock at a purchase price of $18.00 per share for gross proceeds of $75.6 million (net proceeds of $72.5 million).</w:t>
      </w:r>
    </w:p>
    <w:p>
      <w:pPr>
        <w:spacing w:after="0" w:line="164" w:lineRule="exact"/>
        <w:rPr>
          <w:sz w:val="20"/>
          <w:szCs w:val="20"/>
          <w:color w:val="auto"/>
        </w:rPr>
      </w:pPr>
    </w:p>
    <w:p>
      <w:pPr>
        <w:ind w:left="120" w:firstLine="551"/>
        <w:spacing w:after="0" w:line="262" w:lineRule="auto"/>
        <w:rPr>
          <w:sz w:val="20"/>
          <w:szCs w:val="20"/>
          <w:color w:val="auto"/>
        </w:rPr>
      </w:pPr>
      <w:r>
        <w:rPr>
          <w:rFonts w:ascii="Arial" w:cs="Arial" w:eastAsia="Arial" w:hAnsi="Arial"/>
          <w:sz w:val="17"/>
          <w:szCs w:val="17"/>
          <w:color w:val="auto"/>
        </w:rPr>
        <w:t>In connection with the closing of this financing, the Company amended and restated its certificate of incorporation to, among other things, (i) decrease the number of shares of common stock that the Company is authorized to issue to an aggregate of 20,866,244 shares,</w:t>
      </w:r>
    </w:p>
    <w:p>
      <w:pPr>
        <w:ind w:left="120" w:right="20" w:hanging="4"/>
        <w:spacing w:after="0" w:line="234" w:lineRule="auto"/>
        <w:tabs>
          <w:tab w:leader="none" w:pos="37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increase the number of shares of preferred stock that the Company is authorized to issue to an aggregate of 11,575,984 shares, of which 4,200,353 shares shall be designated Series C redeemable convertible preferred stock (iii) establish that the holders of the Series C redeemable convertible preferred stock are entitled to receive dividends, if and when declared by the Board of Directors, at least equal to the dividend payable per share of common stock, (iv) establish that in the event of a liquidation event, the holders of the Series B and Series C redeemable convertible preferred stock are entitled to receive any distribution of any of the assets of the Company in preference to the holders of the Series A-1 redeemable convertible preferred stock, Series A redeemable convertible preferred stock or common stock, an amount per share equal to the greater of (i) the original issue price plus all declared but unpaid dividends and (ii) such amount per share payable had all shares of Series B and Series C redeemable convertible preferred stock been converted into common stock,</w:t>
      </w:r>
    </w:p>
    <w:p>
      <w:pPr>
        <w:spacing w:after="0" w:line="5" w:lineRule="exact"/>
        <w:rPr>
          <w:rFonts w:ascii="Arial" w:cs="Arial" w:eastAsia="Arial" w:hAnsi="Arial"/>
          <w:sz w:val="18"/>
          <w:szCs w:val="18"/>
          <w:color w:val="auto"/>
        </w:rPr>
      </w:pPr>
    </w:p>
    <w:p>
      <w:pPr>
        <w:ind w:left="120" w:right="20" w:hanging="4"/>
        <w:spacing w:after="0" w:line="236" w:lineRule="auto"/>
        <w:tabs>
          <w:tab w:leader="none" w:pos="3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provide that each share of Series A, Series A-1, Series B and Series C redeemable convertible preferred stock shall automatically be converted to shares of common stock at the then-effective conversion rate upon the closing of a firm-commitment underwritten public offering pursuant to an effective registration statement under the Securities Act of 1933, as amended, provided that the offering price per share is not less than $22.50 (subject to appropriate adjustment in the event of any stock dividend, stock split, combination or other similar recapitalization with respect to common stock) and the gross cash proceeds to the Company are at least $50.0 million, (vi) provide that each share of Series A, Series A-1, Series B and Series C redeemable convertible preferred stock shall be converted to shares of common stock at the then-effective conversion rate on the date and time, or the occurrence of an event, specified by vote or written consent of the holders of a majority of the preferred stock outstanding, voting together as a single class; provided, however, that any conversion of Series B and Series C redeemable convertible preferred stock shall require the consent of the majority of the Series B and Series C redeemable convertible preferred stock outstanding, voting together as a single class and (vii) establish other rights, preferences and privileges of the Series C redeemable convertible preferred stock.</w:t>
      </w:r>
    </w:p>
    <w:p>
      <w:pPr>
        <w:spacing w:after="0" w:line="183" w:lineRule="exact"/>
        <w:rPr>
          <w:sz w:val="20"/>
          <w:szCs w:val="20"/>
          <w:color w:val="auto"/>
        </w:rPr>
      </w:pPr>
    </w:p>
    <w:p>
      <w:pPr>
        <w:ind w:left="120" w:right="160" w:firstLine="551"/>
        <w:spacing w:after="0" w:line="245" w:lineRule="auto"/>
        <w:rPr>
          <w:sz w:val="20"/>
          <w:szCs w:val="20"/>
          <w:color w:val="auto"/>
        </w:rPr>
      </w:pPr>
      <w:r>
        <w:rPr>
          <w:rFonts w:ascii="Arial" w:cs="Arial" w:eastAsia="Arial" w:hAnsi="Arial"/>
          <w:sz w:val="18"/>
          <w:szCs w:val="18"/>
          <w:color w:val="auto"/>
        </w:rPr>
        <w:t>CFF purchased $10.0 million of Series C redeemable convertible preferred stock. Except in the event of a technical failure, the $10.0 million received from CFF will be used to advance the development program for 4D-710, the Company’s lead product in the lung therapeutic area, or any other therapeutic approved by the Program Advisory Group (PAG) to alleviate pulmonary complications of cystic fibrosis (the CF Product). CFF is committed to provide an additional $4.0 million of funding upon acceptance of Investigational New Drug (IND) application or its equivalent to allow for</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20"/>
          </w:cols>
          <w:pgMar w:left="320" w:top="455" w:right="459" w:bottom="1440" w:gutter="0" w:footer="0" w:header="0"/>
        </w:sectPr>
      </w:pPr>
    </w:p>
    <w:bookmarkStart w:id="292" w:name="page293"/>
    <w:bookmarkEnd w:id="2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43" w:lineRule="auto"/>
        <w:rPr>
          <w:sz w:val="20"/>
          <w:szCs w:val="20"/>
          <w:color w:val="auto"/>
        </w:rPr>
      </w:pPr>
      <w:r>
        <w:rPr>
          <w:rFonts w:ascii="Arial" w:cs="Arial" w:eastAsia="Arial" w:hAnsi="Arial"/>
          <w:sz w:val="18"/>
          <w:szCs w:val="18"/>
          <w:color w:val="auto"/>
        </w:rPr>
        <w:t>human testing of the CF Product, except in the event of a change of control transaction occurring prior to IND acceptance by a regulatory authority or IND acceptance occurring after April 29, 2026. Except in the event of a technical failure, the Company is committed to providing an amount equal to the funding provided by CFF to be used solely to advance the development program. A technical failure is defined as a determination by the Company, after consultation with and approval of the PAG that i) the CF Product has failed to reach its intended endpoints due to safety issues, lack of sufficient transgene expression and/or efficacy, each despite commercially reasonable efforts and ii) the exercise of further commercially reasonable efforts is unlikely to correct such failure.</w:t>
      </w:r>
    </w:p>
    <w:p>
      <w:pPr>
        <w:spacing w:after="0" w:line="174"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In April 2020, the Company achieved a $5.0 million milestone for the first filing of an IND with a good manufacturing practice lot with no clinical hold for the choroideremia program, pursuant to the 2017 Roche Agreement. The Company received the cash payment from Roche in June 2020.</w:t>
      </w:r>
    </w:p>
    <w:p>
      <w:pPr>
        <w:spacing w:after="0" w:line="272" w:lineRule="exact"/>
        <w:rPr>
          <w:sz w:val="20"/>
          <w:szCs w:val="20"/>
          <w:color w:val="auto"/>
        </w:rPr>
      </w:pPr>
    </w:p>
    <w:p>
      <w:pPr>
        <w:ind w:left="420" w:hanging="304"/>
        <w:spacing w:after="0"/>
        <w:tabs>
          <w:tab w:leader="none" w:pos="42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Subsequent Events (unaudited)</w:t>
      </w:r>
    </w:p>
    <w:p>
      <w:pPr>
        <w:spacing w:after="0" w:line="104" w:lineRule="exact"/>
        <w:rPr>
          <w:sz w:val="20"/>
          <w:szCs w:val="20"/>
          <w:color w:val="auto"/>
        </w:rPr>
      </w:pPr>
    </w:p>
    <w:p>
      <w:pPr>
        <w:ind w:left="120" w:right="80" w:firstLine="551"/>
        <w:spacing w:after="0" w:line="276" w:lineRule="auto"/>
        <w:rPr>
          <w:sz w:val="20"/>
          <w:szCs w:val="20"/>
          <w:color w:val="auto"/>
        </w:rPr>
      </w:pPr>
      <w:r>
        <w:rPr>
          <w:rFonts w:ascii="Arial" w:cs="Arial" w:eastAsia="Arial" w:hAnsi="Arial"/>
          <w:sz w:val="18"/>
          <w:szCs w:val="18"/>
          <w:color w:val="auto"/>
        </w:rPr>
        <w:t>The Company has evaluated subsequent events from October 1, 2020 through November 17, 2020, the date the unaudited interim financial statements were available for issuance.</w:t>
      </w:r>
    </w:p>
    <w:p>
      <w:pPr>
        <w:spacing w:after="0" w:line="145" w:lineRule="exact"/>
        <w:rPr>
          <w:sz w:val="20"/>
          <w:szCs w:val="20"/>
          <w:color w:val="auto"/>
        </w:rPr>
      </w:pPr>
    </w:p>
    <w:p>
      <w:pPr>
        <w:ind w:left="120" w:right="160" w:firstLine="551"/>
        <w:spacing w:after="0" w:line="276" w:lineRule="auto"/>
        <w:rPr>
          <w:sz w:val="20"/>
          <w:szCs w:val="20"/>
          <w:color w:val="auto"/>
        </w:rPr>
      </w:pPr>
      <w:r>
        <w:rPr>
          <w:rFonts w:ascii="Arial" w:cs="Arial" w:eastAsia="Arial" w:hAnsi="Arial"/>
          <w:sz w:val="18"/>
          <w:szCs w:val="18"/>
          <w:color w:val="auto"/>
        </w:rPr>
        <w:t>From October 1, 2020 through November 17, 2020, the Company granted options for the purchase of 499,000 shares of common stock at an exercise price of $18.66 per share. These options vest over a period of three to four years.</w:t>
      </w:r>
    </w:p>
    <w:p>
      <w:pPr>
        <w:spacing w:after="0" w:line="145" w:lineRule="exact"/>
        <w:rPr>
          <w:sz w:val="20"/>
          <w:szCs w:val="20"/>
          <w:color w:val="auto"/>
        </w:rPr>
      </w:pPr>
    </w:p>
    <w:p>
      <w:pPr>
        <w:ind w:left="120" w:right="260" w:firstLine="551"/>
        <w:spacing w:after="0" w:line="276" w:lineRule="auto"/>
        <w:rPr>
          <w:sz w:val="20"/>
          <w:szCs w:val="20"/>
          <w:color w:val="auto"/>
        </w:rPr>
      </w:pPr>
      <w:r>
        <w:rPr>
          <w:rFonts w:ascii="Arial" w:cs="Arial" w:eastAsia="Arial" w:hAnsi="Arial"/>
          <w:sz w:val="18"/>
          <w:szCs w:val="18"/>
          <w:color w:val="auto"/>
        </w:rPr>
        <w:t>In November 2020, the Company’s board of directors approved an amendment to the 2015 Equity Incentive Plan to increase the number of shares reserved for issuance by 1,000,000 shares.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Events Subsequent to Original Issuance of Unaudited Interim Financial Statements</w:t>
      </w:r>
    </w:p>
    <w:p>
      <w:pPr>
        <w:spacing w:after="0" w:line="104" w:lineRule="exact"/>
        <w:rPr>
          <w:sz w:val="20"/>
          <w:szCs w:val="20"/>
          <w:color w:val="auto"/>
        </w:rPr>
      </w:pPr>
    </w:p>
    <w:p>
      <w:pPr>
        <w:ind w:left="120" w:right="40" w:firstLine="551"/>
        <w:spacing w:after="0" w:line="276" w:lineRule="auto"/>
        <w:rPr>
          <w:sz w:val="20"/>
          <w:szCs w:val="20"/>
          <w:color w:val="auto"/>
        </w:rPr>
      </w:pPr>
      <w:r>
        <w:rPr>
          <w:rFonts w:ascii="Arial" w:cs="Arial" w:eastAsia="Arial" w:hAnsi="Arial"/>
          <w:sz w:val="18"/>
          <w:szCs w:val="18"/>
          <w:color w:val="auto"/>
        </w:rPr>
        <w:t>In December 2020, the Company issued a warrant for 30,000 shares of the Company’s common stock to a service provider with an exercise price of $18.00 per share. This warrant vests over a period of four years.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20"/>
          </w:cols>
          <w:pgMar w:left="320" w:top="455" w:right="459" w:bottom="1440" w:gutter="0" w:footer="0" w:header="0"/>
        </w:sectPr>
      </w:pPr>
    </w:p>
    <w:bookmarkStart w:id="293" w:name="page294"/>
    <w:bookmarkEnd w:id="2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285115</wp:posOffset>
            </wp:positionV>
            <wp:extent cx="699516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19"/>
        <w:spacing w:after="0"/>
        <w:rPr>
          <w:sz w:val="20"/>
          <w:szCs w:val="20"/>
          <w:color w:val="auto"/>
        </w:rPr>
      </w:pPr>
      <w:r>
        <w:rPr>
          <w:rFonts w:ascii="Arial" w:cs="Arial" w:eastAsia="Arial" w:hAnsi="Arial"/>
          <w:sz w:val="25"/>
          <w:szCs w:val="25"/>
          <w:color w:val="auto"/>
        </w:rPr>
        <w:t>8,400,000 Shares</w:t>
      </w:r>
    </w:p>
    <w:p>
      <w:pPr>
        <w:spacing w:after="0" w:line="200" w:lineRule="exact"/>
        <w:rPr>
          <w:sz w:val="20"/>
          <w:szCs w:val="20"/>
          <w:color w:val="auto"/>
        </w:rPr>
      </w:pP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4D Molecular Therapeutics, Inc.</w:t>
      </w:r>
    </w:p>
    <w:p>
      <w:pPr>
        <w:spacing w:after="0" w:line="200" w:lineRule="exact"/>
        <w:rPr>
          <w:sz w:val="20"/>
          <w:szCs w:val="20"/>
          <w:color w:val="auto"/>
        </w:rPr>
      </w:pP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728345</wp:posOffset>
            </wp:positionV>
            <wp:extent cx="111442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114425" cy="8890"/>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2048510</wp:posOffset>
            </wp:positionV>
            <wp:extent cx="111442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994410</wp:posOffset>
            </wp:positionV>
            <wp:extent cx="2486025" cy="75438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48602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0"/>
        <w:spacing w:after="0"/>
        <w:tabs>
          <w:tab w:leader="none" w:pos="5040" w:val="left"/>
          <w:tab w:leader="none" w:pos="9660" w:val="left"/>
        </w:tabs>
        <w:rPr>
          <w:sz w:val="20"/>
          <w:szCs w:val="20"/>
          <w:color w:val="auto"/>
        </w:rPr>
      </w:pP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5"/>
          <w:szCs w:val="25"/>
          <w:b w:val="1"/>
          <w:bCs w:val="1"/>
          <w:color w:val="auto"/>
        </w:rPr>
        <w:t>BofA Securities</w:t>
      </w:r>
      <w:r>
        <w:rPr>
          <w:sz w:val="20"/>
          <w:szCs w:val="20"/>
          <w:color w:val="auto"/>
        </w:rPr>
        <w:tab/>
      </w:r>
      <w:r>
        <w:rPr>
          <w:rFonts w:ascii="Arial" w:cs="Arial" w:eastAsia="Arial" w:hAnsi="Arial"/>
          <w:sz w:val="25"/>
          <w:szCs w:val="25"/>
          <w:b w:val="1"/>
          <w:bCs w:val="1"/>
          <w:color w:val="auto"/>
        </w:rPr>
        <w:t>Evercore 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328295</wp:posOffset>
            </wp:positionV>
            <wp:extent cx="111442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0" w:right="20" w:firstLine="551"/>
        <w:spacing w:after="0" w:line="252" w:lineRule="auto"/>
        <w:rPr>
          <w:sz w:val="20"/>
          <w:szCs w:val="20"/>
          <w:color w:val="auto"/>
        </w:rPr>
      </w:pPr>
      <w:r>
        <w:rPr>
          <w:rFonts w:ascii="Arial" w:cs="Arial" w:eastAsia="Arial" w:hAnsi="Arial"/>
          <w:sz w:val="18"/>
          <w:szCs w:val="18"/>
          <w:b w:val="1"/>
          <w:bCs w:val="1"/>
          <w:color w:val="auto"/>
        </w:rPr>
        <w:t>Through and including January 5, 2020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304165</wp:posOffset>
            </wp:positionV>
            <wp:extent cx="699516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363855</wp:posOffset>
            </wp:positionV>
            <wp:extent cx="6995160" cy="260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sectPr>
      <w:pgSz w:w="11900" w:h="16838" w:orient="portrait"/>
      <w:cols w:equalWidth="0" w:num="1">
        <w:col w:w="11140"/>
      </w:cols>
      <w:pgMar w:left="320" w:top="45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8EB2F63"/>
    <w:multiLevelType w:val="hybridMultilevel"/>
    <w:lvl w:ilvl="0">
      <w:lvlJc w:val="left"/>
      <w:lvlText w:val="(%1)"/>
      <w:numFmt w:val="decimal"/>
      <w:start w:val="1"/>
    </w:lvl>
  </w:abstractNum>
  <w:abstractNum w:abstractNumId="1">
    <w:nsid w:val="4962813B"/>
    <w:multiLevelType w:val="hybridMultilevel"/>
    <w:lvl w:ilvl="0">
      <w:lvlJc w:val="left"/>
      <w:lvlText w:val="•"/>
      <w:numFmt w:val="bullet"/>
      <w:start w:val="1"/>
    </w:lvl>
  </w:abstractNum>
  <w:abstractNum w:abstractNumId="2">
    <w:nsid w:val="60B6DF70"/>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6A5EE64"/>
    <w:multiLevelType w:val="hybridMultilevel"/>
    <w:lvl w:ilvl="0">
      <w:lvlJc w:val="left"/>
      <w:lvlText w:val="%1."/>
      <w:numFmt w:val="decimal"/>
      <w:start w:val="1"/>
    </w:lvl>
  </w:abstractNum>
  <w:abstractNum w:abstractNumId="4">
    <w:nsid w:val="14330624"/>
    <w:multiLevelType w:val="hybridMultilevel"/>
    <w:lvl w:ilvl="0">
      <w:lvlJc w:val="left"/>
      <w:lvlText w:val="%1."/>
      <w:numFmt w:val="decimal"/>
      <w:start w:val="2"/>
    </w:lvl>
  </w:abstractNum>
  <w:abstractNum w:abstractNumId="5">
    <w:nsid w:val="7FFFCA11"/>
    <w:multiLevelType w:val="hybridMultilevel"/>
    <w:lvl w:ilvl="0">
      <w:lvlJc w:val="left"/>
      <w:lvlText w:val="•"/>
      <w:numFmt w:val="bullet"/>
      <w:start w:val="1"/>
    </w:lvl>
  </w:abstractNum>
  <w:abstractNum w:abstractNumId="6">
    <w:nsid w:val="1A27709E"/>
    <w:multiLevelType w:val="hybridMultilevel"/>
    <w:lvl w:ilvl="0">
      <w:lvlJc w:val="left"/>
      <w:lvlText w:val="•"/>
      <w:numFmt w:val="bullet"/>
      <w:start w:val="1"/>
    </w:lvl>
  </w:abstractNum>
  <w:abstractNum w:abstractNumId="7">
    <w:nsid w:val="71EA1109"/>
    <w:multiLevelType w:val="hybridMultilevel"/>
    <w:lvl w:ilvl="0">
      <w:lvlJc w:val="left"/>
      <w:lvlText w:val="•"/>
      <w:numFmt w:val="bullet"/>
      <w:start w:val="1"/>
    </w:lvl>
  </w:abstractNum>
  <w:abstractNum w:abstractNumId="8">
    <w:nsid w:val="100F59DC"/>
    <w:multiLevelType w:val="hybridMultilevel"/>
    <w:lvl w:ilvl="0">
      <w:lvlJc w:val="left"/>
      <w:lvlText w:val="•"/>
      <w:numFmt w:val="bullet"/>
      <w:start w:val="1"/>
    </w:lvl>
  </w:abstractNum>
  <w:abstractNum w:abstractNumId="9">
    <w:nsid w:val="7FB7E0AA"/>
    <w:multiLevelType w:val="hybridMultilevel"/>
    <w:lvl w:ilvl="0">
      <w:lvlJc w:val="left"/>
      <w:lvlText w:val="•"/>
      <w:numFmt w:val="bullet"/>
      <w:start w:val="1"/>
    </w:lvl>
  </w:abstractNum>
  <w:abstractNum w:abstractNumId="10">
    <w:nsid w:val="6EB5BD4"/>
    <w:multiLevelType w:val="hybridMultilevel"/>
    <w:lvl w:ilvl="0">
      <w:lvlJc w:val="left"/>
      <w:lvlText w:val="•"/>
      <w:numFmt w:val="bullet"/>
      <w:start w:val="1"/>
    </w:lvl>
  </w:abstractNum>
  <w:abstractNum w:abstractNumId="11">
    <w:nsid w:val="6F6DD9AC"/>
    <w:multiLevelType w:val="hybridMultilevel"/>
    <w:lvl w:ilvl="0">
      <w:lvlJc w:val="left"/>
      <w:lvlText w:val="•"/>
      <w:numFmt w:val="bullet"/>
      <w:start w:val="1"/>
    </w:lvl>
  </w:abstractNum>
  <w:abstractNum w:abstractNumId="12">
    <w:nsid w:val="94211F2"/>
    <w:multiLevelType w:val="hybridMultilevel"/>
    <w:lvl w:ilvl="0">
      <w:lvlJc w:val="left"/>
      <w:lvlText w:val="•"/>
      <w:numFmt w:val="bullet"/>
      <w:start w:val="1"/>
    </w:lvl>
  </w:abstractNum>
  <w:abstractNum w:abstractNumId="13">
    <w:nsid w:val="885E1B"/>
    <w:multiLevelType w:val="hybridMultilevel"/>
    <w:lvl w:ilvl="0">
      <w:lvlJc w:val="left"/>
      <w:lvlText w:val="(%1)"/>
      <w:numFmt w:val="decimal"/>
      <w:start w:val="1"/>
    </w:lvl>
  </w:abstractNum>
  <w:abstractNum w:abstractNumId="14">
    <w:nsid w:val="76272110"/>
    <w:multiLevelType w:val="hybridMultilevel"/>
    <w:lvl w:ilvl="0">
      <w:lvlJc w:val="left"/>
      <w:lvlText w:val="(%1)"/>
      <w:numFmt w:val="decimal"/>
      <w:start w:val="1"/>
    </w:lvl>
  </w:abstractNum>
  <w:abstractNum w:abstractNumId="15">
    <w:nsid w:val="4C04A8AF"/>
    <w:multiLevelType w:val="hybridMultilevel"/>
    <w:lvl w:ilvl="0">
      <w:lvlJc w:val="left"/>
      <w:lvlText w:val="•"/>
      <w:numFmt w:val="bullet"/>
      <w:start w:val="1"/>
    </w:lvl>
  </w:abstractNum>
  <w:abstractNum w:abstractNumId="16">
    <w:nsid w:val="1716703B"/>
    <w:multiLevelType w:val="hybridMultilevel"/>
    <w:lvl w:ilvl="0">
      <w:lvlJc w:val="left"/>
      <w:lvlText w:val="•"/>
      <w:numFmt w:val="bullet"/>
      <w:start w:val="1"/>
    </w:lvl>
  </w:abstractNum>
  <w:abstractNum w:abstractNumId="17">
    <w:nsid w:val="14E17E33"/>
    <w:multiLevelType w:val="hybridMultilevel"/>
    <w:lvl w:ilvl="0">
      <w:lvlJc w:val="left"/>
      <w:lvlText w:val="•"/>
      <w:numFmt w:val="bullet"/>
      <w:start w:val="1"/>
    </w:lvl>
  </w:abstractNum>
  <w:abstractNum w:abstractNumId="18">
    <w:nsid w:val="3222E7CD"/>
    <w:multiLevelType w:val="hybridMultilevel"/>
    <w:lvl w:ilvl="0">
      <w:lvlJc w:val="left"/>
      <w:lvlText w:val="•"/>
      <w:numFmt w:val="bullet"/>
      <w:start w:val="1"/>
    </w:lvl>
  </w:abstractNum>
  <w:abstractNum w:abstractNumId="19">
    <w:nsid w:val="74DE0EE3"/>
    <w:multiLevelType w:val="hybridMultilevel"/>
    <w:lvl w:ilvl="0">
      <w:lvlJc w:val="left"/>
      <w:lvlText w:val="•"/>
      <w:numFmt w:val="bullet"/>
      <w:start w:val="1"/>
    </w:lvl>
  </w:abstractNum>
  <w:abstractNum w:abstractNumId="20">
    <w:nsid w:val="68EBC550"/>
    <w:multiLevelType w:val="hybridMultilevel"/>
    <w:lvl w:ilvl="0">
      <w:lvlJc w:val="left"/>
      <w:lvlText w:val="•"/>
      <w:numFmt w:val="bullet"/>
      <w:start w:val="1"/>
    </w:lvl>
  </w:abstractNum>
  <w:abstractNum w:abstractNumId="21">
    <w:nsid w:val="2DF6D648"/>
    <w:multiLevelType w:val="hybridMultilevel"/>
    <w:lvl w:ilvl="0">
      <w:lvlJc w:val="left"/>
      <w:lvlText w:val="•"/>
      <w:numFmt w:val="bullet"/>
      <w:start w:val="1"/>
    </w:lvl>
  </w:abstractNum>
  <w:abstractNum w:abstractNumId="22">
    <w:nsid w:val="46B7D447"/>
    <w:multiLevelType w:val="hybridMultilevel"/>
    <w:lvl w:ilvl="0">
      <w:lvlJc w:val="left"/>
      <w:lvlText w:val="•"/>
      <w:numFmt w:val="bullet"/>
      <w:start w:val="1"/>
    </w:lvl>
  </w:abstractNum>
  <w:abstractNum w:abstractNumId="23">
    <w:nsid w:val="4A2AC315"/>
    <w:multiLevelType w:val="hybridMultilevel"/>
    <w:lvl w:ilvl="0">
      <w:lvlJc w:val="left"/>
      <w:lvlText w:val="•"/>
      <w:numFmt w:val="bullet"/>
      <w:start w:val="1"/>
    </w:lvl>
  </w:abstractNum>
  <w:abstractNum w:abstractNumId="24">
    <w:nsid w:val="39EE015C"/>
    <w:multiLevelType w:val="hybridMultilevel"/>
    <w:lvl w:ilvl="0">
      <w:lvlJc w:val="left"/>
      <w:lvlText w:val="•"/>
      <w:numFmt w:val="bullet"/>
      <w:start w:val="1"/>
    </w:lvl>
  </w:abstractNum>
  <w:abstractNum w:abstractNumId="25">
    <w:nsid w:val="57FC4FBB"/>
    <w:multiLevelType w:val="hybridMultilevel"/>
    <w:lvl w:ilvl="0">
      <w:lvlJc w:val="left"/>
      <w:lvlText w:val="•"/>
      <w:numFmt w:val="bullet"/>
      <w:start w:val="1"/>
    </w:lvl>
  </w:abstractNum>
  <w:abstractNum w:abstractNumId="26">
    <w:nsid w:val="CC1016F"/>
    <w:multiLevelType w:val="hybridMultilevel"/>
    <w:lvl w:ilvl="0">
      <w:lvlJc w:val="left"/>
      <w:lvlText w:val="•"/>
      <w:numFmt w:val="bullet"/>
      <w:start w:val="1"/>
    </w:lvl>
  </w:abstractNum>
  <w:abstractNum w:abstractNumId="27">
    <w:nsid w:val="43F18422"/>
    <w:multiLevelType w:val="hybridMultilevel"/>
    <w:lvl w:ilvl="0">
      <w:lvlJc w:val="left"/>
      <w:lvlText w:val="•"/>
      <w:numFmt w:val="bullet"/>
      <w:start w:val="1"/>
    </w:lvl>
  </w:abstractNum>
  <w:abstractNum w:abstractNumId="28">
    <w:nsid w:val="60EF0119"/>
    <w:multiLevelType w:val="hybridMultilevel"/>
    <w:lvl w:ilvl="0">
      <w:lvlJc w:val="left"/>
      <w:lvlText w:val="•"/>
      <w:numFmt w:val="bullet"/>
      <w:start w:val="1"/>
    </w:lvl>
  </w:abstractNum>
  <w:abstractNum w:abstractNumId="29">
    <w:nsid w:val="26F324BA"/>
    <w:multiLevelType w:val="hybridMultilevel"/>
    <w:lvl w:ilvl="0">
      <w:lvlJc w:val="left"/>
      <w:lvlText w:val="•"/>
      <w:numFmt w:val="bullet"/>
      <w:start w:val="1"/>
    </w:lvl>
  </w:abstractNum>
  <w:abstractNum w:abstractNumId="30">
    <w:nsid w:val="7F01579B"/>
    <w:multiLevelType w:val="hybridMultilevel"/>
    <w:lvl w:ilvl="0">
      <w:lvlJc w:val="left"/>
      <w:lvlText w:val="•"/>
      <w:numFmt w:val="bullet"/>
      <w:start w:val="1"/>
    </w:lvl>
  </w:abstractNum>
  <w:abstractNum w:abstractNumId="31">
    <w:nsid w:val="49DA307D"/>
    <w:multiLevelType w:val="hybridMultilevel"/>
    <w:lvl w:ilvl="0">
      <w:lvlJc w:val="left"/>
      <w:lvlText w:val="•"/>
      <w:numFmt w:val="bullet"/>
      <w:start w:val="1"/>
    </w:lvl>
  </w:abstractNum>
  <w:abstractNum w:abstractNumId="32">
    <w:nsid w:val="7055A5F5"/>
    <w:multiLevelType w:val="hybridMultilevel"/>
    <w:lvl w:ilvl="0">
      <w:lvlJc w:val="left"/>
      <w:lvlText w:val="•"/>
      <w:numFmt w:val="bullet"/>
      <w:start w:val="1"/>
    </w:lvl>
  </w:abstractNum>
  <w:abstractNum w:abstractNumId="33">
    <w:nsid w:val="5FB8370B"/>
    <w:multiLevelType w:val="hybridMultilevel"/>
    <w:lvl w:ilvl="0">
      <w:lvlJc w:val="left"/>
      <w:lvlText w:val="•"/>
      <w:numFmt w:val="bullet"/>
      <w:start w:val="1"/>
    </w:lvl>
  </w:abstractNum>
  <w:abstractNum w:abstractNumId="34">
    <w:nsid w:val="50801EE1"/>
    <w:multiLevelType w:val="hybridMultilevel"/>
    <w:lvl w:ilvl="0">
      <w:lvlJc w:val="left"/>
      <w:lvlText w:val="•"/>
      <w:numFmt w:val="bullet"/>
      <w:start w:val="1"/>
    </w:lvl>
  </w:abstractNum>
  <w:abstractNum w:abstractNumId="35">
    <w:nsid w:val="488AC1A"/>
    <w:multiLevelType w:val="hybridMultilevel"/>
    <w:lvl w:ilvl="0">
      <w:lvlJc w:val="left"/>
      <w:lvlText w:val="•"/>
      <w:numFmt w:val="bullet"/>
      <w:start w:val="1"/>
    </w:lvl>
  </w:abstractNum>
  <w:abstractNum w:abstractNumId="36">
    <w:nsid w:val="5FB8011C"/>
    <w:multiLevelType w:val="hybridMultilevel"/>
    <w:lvl w:ilvl="0">
      <w:lvlJc w:val="left"/>
      <w:lvlText w:val="•"/>
      <w:numFmt w:val="bullet"/>
      <w:start w:val="1"/>
    </w:lvl>
  </w:abstractNum>
  <w:abstractNum w:abstractNumId="37">
    <w:nsid w:val="6AA78F7F"/>
    <w:multiLevelType w:val="hybridMultilevel"/>
    <w:lvl w:ilvl="0">
      <w:lvlJc w:val="left"/>
      <w:lvlText w:val="•"/>
      <w:numFmt w:val="bullet"/>
      <w:start w:val="1"/>
    </w:lvl>
  </w:abstractNum>
  <w:abstractNum w:abstractNumId="38">
    <w:nsid w:val="7672BD23"/>
    <w:multiLevelType w:val="hybridMultilevel"/>
    <w:lvl w:ilvl="0">
      <w:lvlJc w:val="left"/>
      <w:lvlText w:val="•"/>
      <w:numFmt w:val="bullet"/>
      <w:start w:val="1"/>
    </w:lvl>
  </w:abstractNum>
  <w:abstractNum w:abstractNumId="39">
    <w:nsid w:val="6FC75AF8"/>
    <w:multiLevelType w:val="hybridMultilevel"/>
    <w:lvl w:ilvl="0">
      <w:lvlJc w:val="left"/>
      <w:lvlText w:val="•"/>
      <w:numFmt w:val="bullet"/>
      <w:start w:val="1"/>
    </w:lvl>
  </w:abstractNum>
  <w:abstractNum w:abstractNumId="40">
    <w:nsid w:val="6A5F7029"/>
    <w:multiLevelType w:val="hybridMultilevel"/>
    <w:lvl w:ilvl="0">
      <w:lvlJc w:val="left"/>
      <w:lvlText w:val="•"/>
      <w:numFmt w:val="bullet"/>
      <w:start w:val="1"/>
    </w:lvl>
  </w:abstractNum>
  <w:abstractNum w:abstractNumId="41">
    <w:nsid w:val="7D5E18F8"/>
    <w:multiLevelType w:val="hybridMultilevel"/>
    <w:lvl w:ilvl="0">
      <w:lvlJc w:val="left"/>
      <w:lvlText w:val="•"/>
      <w:numFmt w:val="bullet"/>
      <w:start w:val="1"/>
    </w:lvl>
  </w:abstractNum>
  <w:abstractNum w:abstractNumId="42">
    <w:nsid w:val="5F3534A4"/>
    <w:multiLevelType w:val="hybridMultilevel"/>
    <w:lvl w:ilvl="0">
      <w:lvlJc w:val="left"/>
      <w:lvlText w:val="•"/>
      <w:numFmt w:val="bullet"/>
      <w:start w:val="1"/>
    </w:lvl>
  </w:abstractNum>
  <w:abstractNum w:abstractNumId="43">
    <w:nsid w:val="73A1821B"/>
    <w:multiLevelType w:val="hybridMultilevel"/>
    <w:lvl w:ilvl="0">
      <w:lvlJc w:val="left"/>
      <w:lvlText w:val="•"/>
      <w:numFmt w:val="bullet"/>
      <w:start w:val="1"/>
    </w:lvl>
  </w:abstractNum>
  <w:abstractNum w:abstractNumId="44">
    <w:nsid w:val="7DE67713"/>
    <w:multiLevelType w:val="hybridMultilevel"/>
    <w:lvl w:ilvl="0">
      <w:lvlJc w:val="left"/>
      <w:lvlText w:val="•"/>
      <w:numFmt w:val="bullet"/>
      <w:start w:val="1"/>
    </w:lvl>
  </w:abstractNum>
  <w:abstractNum w:abstractNumId="45">
    <w:nsid w:val="555C55B5"/>
    <w:multiLevelType w:val="hybridMultilevel"/>
    <w:lvl w:ilvl="0">
      <w:lvlJc w:val="left"/>
      <w:lvlText w:val="•"/>
      <w:numFmt w:val="bullet"/>
      <w:start w:val="1"/>
    </w:lvl>
  </w:abstractNum>
  <w:abstractNum w:abstractNumId="46">
    <w:nsid w:val="3FA62ACA"/>
    <w:multiLevelType w:val="hybridMultilevel"/>
    <w:lvl w:ilvl="0">
      <w:lvlJc w:val="left"/>
      <w:lvlText w:val="•"/>
      <w:numFmt w:val="bullet"/>
      <w:start w:val="1"/>
    </w:lvl>
  </w:abstractNum>
  <w:abstractNum w:abstractNumId="47">
    <w:nsid w:val="14FCE74E"/>
    <w:multiLevelType w:val="hybridMultilevel"/>
    <w:lvl w:ilvl="0">
      <w:lvlJc w:val="left"/>
      <w:lvlText w:val="•"/>
      <w:numFmt w:val="bullet"/>
      <w:start w:val="1"/>
    </w:lvl>
  </w:abstractNum>
  <w:abstractNum w:abstractNumId="48">
    <w:nsid w:val="6A3DD3E8"/>
    <w:multiLevelType w:val="hybridMultilevel"/>
    <w:lvl w:ilvl="0">
      <w:lvlJc w:val="left"/>
      <w:lvlText w:val="•"/>
      <w:numFmt w:val="bullet"/>
      <w:start w:val="1"/>
    </w:lvl>
  </w:abstractNum>
  <w:abstractNum w:abstractNumId="49">
    <w:nsid w:val="71C91298"/>
    <w:multiLevelType w:val="hybridMultilevel"/>
    <w:lvl w:ilvl="0">
      <w:lvlJc w:val="left"/>
      <w:lvlText w:val="•"/>
      <w:numFmt w:val="bullet"/>
      <w:start w:val="1"/>
    </w:lvl>
  </w:abstractNum>
  <w:abstractNum w:abstractNumId="50">
    <w:nsid w:val="9DAF632"/>
    <w:multiLevelType w:val="hybridMultilevel"/>
    <w:lvl w:ilvl="0">
      <w:lvlJc w:val="left"/>
      <w:lvlText w:val="•"/>
      <w:numFmt w:val="bullet"/>
      <w:start w:val="1"/>
    </w:lvl>
  </w:abstractNum>
  <w:abstractNum w:abstractNumId="51">
    <w:nsid w:val="53299938"/>
    <w:multiLevelType w:val="hybridMultilevel"/>
    <w:lvl w:ilvl="0">
      <w:lvlJc w:val="left"/>
      <w:lvlText w:val="•"/>
      <w:numFmt w:val="bullet"/>
      <w:start w:val="1"/>
    </w:lvl>
  </w:abstractNum>
  <w:abstractNum w:abstractNumId="52">
    <w:nsid w:val="1FBFE8E0"/>
    <w:multiLevelType w:val="hybridMultilevel"/>
    <w:lvl w:ilvl="0">
      <w:lvlJc w:val="left"/>
      <w:lvlText w:val="•"/>
      <w:numFmt w:val="bullet"/>
      <w:start w:val="1"/>
    </w:lvl>
  </w:abstractNum>
  <w:abstractNum w:abstractNumId="53">
    <w:nsid w:val="5092CA79"/>
    <w:multiLevelType w:val="hybridMultilevel"/>
    <w:lvl w:ilvl="0">
      <w:lvlJc w:val="left"/>
      <w:lvlText w:val="•"/>
      <w:numFmt w:val="bullet"/>
      <w:start w:val="1"/>
    </w:lvl>
  </w:abstractNum>
  <w:abstractNum w:abstractNumId="54">
    <w:nsid w:val="1D545C4D"/>
    <w:multiLevelType w:val="hybridMultilevel"/>
    <w:lvl w:ilvl="0">
      <w:lvlJc w:val="left"/>
      <w:lvlText w:val="•"/>
      <w:numFmt w:val="bullet"/>
      <w:start w:val="1"/>
    </w:lvl>
  </w:abstractNum>
  <w:abstractNum w:abstractNumId="55">
    <w:nsid w:val="59ADEA3D"/>
    <w:multiLevelType w:val="hybridMultilevel"/>
    <w:lvl w:ilvl="0">
      <w:lvlJc w:val="left"/>
      <w:lvlText w:val="•"/>
      <w:numFmt w:val="bullet"/>
      <w:start w:val="1"/>
    </w:lvl>
  </w:abstractNum>
  <w:abstractNum w:abstractNumId="56">
    <w:nsid w:val="288F1A34"/>
    <w:multiLevelType w:val="hybridMultilevel"/>
    <w:lvl w:ilvl="0">
      <w:lvlJc w:val="left"/>
      <w:lvlText w:val="•"/>
      <w:numFmt w:val="bullet"/>
      <w:start w:val="1"/>
    </w:lvl>
  </w:abstractNum>
  <w:abstractNum w:abstractNumId="57">
    <w:nsid w:val="2A155DBC"/>
    <w:multiLevelType w:val="hybridMultilevel"/>
    <w:lvl w:ilvl="0">
      <w:lvlJc w:val="left"/>
      <w:lvlText w:val="•"/>
      <w:numFmt w:val="bullet"/>
      <w:start w:val="1"/>
    </w:lvl>
  </w:abstractNum>
  <w:abstractNum w:abstractNumId="58">
    <w:nsid w:val="1D9F6E5F"/>
    <w:multiLevelType w:val="hybridMultilevel"/>
    <w:lvl w:ilvl="0">
      <w:lvlJc w:val="left"/>
      <w:lvlText w:val="•"/>
      <w:numFmt w:val="bullet"/>
      <w:start w:val="1"/>
    </w:lvl>
  </w:abstractNum>
  <w:abstractNum w:abstractNumId="59">
    <w:nsid w:val="97E1B4E"/>
    <w:multiLevelType w:val="hybridMultilevel"/>
    <w:lvl w:ilvl="0">
      <w:lvlJc w:val="left"/>
      <w:lvlText w:val="•"/>
      <w:numFmt w:val="bullet"/>
      <w:start w:val="1"/>
    </w:lvl>
  </w:abstractNum>
  <w:abstractNum w:abstractNumId="60">
    <w:nsid w:val="51088277"/>
    <w:multiLevelType w:val="hybridMultilevel"/>
    <w:lvl w:ilvl="0">
      <w:lvlJc w:val="left"/>
      <w:lvlText w:val="•"/>
      <w:numFmt w:val="bullet"/>
      <w:start w:val="1"/>
    </w:lvl>
  </w:abstractNum>
  <w:abstractNum w:abstractNumId="61">
    <w:nsid w:val="1CA0C5FA"/>
    <w:multiLevelType w:val="hybridMultilevel"/>
    <w:lvl w:ilvl="0">
      <w:lvlJc w:val="left"/>
      <w:lvlText w:val="•"/>
      <w:numFmt w:val="bullet"/>
      <w:start w:val="1"/>
    </w:lvl>
  </w:abstractNum>
  <w:abstractNum w:abstractNumId="62">
    <w:nsid w:val="53584BCB"/>
    <w:multiLevelType w:val="hybridMultilevel"/>
    <w:lvl w:ilvl="0">
      <w:lvlJc w:val="left"/>
      <w:lvlText w:val="•"/>
      <w:numFmt w:val="bullet"/>
      <w:start w:val="1"/>
    </w:lvl>
  </w:abstractNum>
  <w:abstractNum w:abstractNumId="63">
    <w:nsid w:val="415E286C"/>
    <w:multiLevelType w:val="hybridMultilevel"/>
    <w:lvl w:ilvl="0">
      <w:lvlJc w:val="left"/>
      <w:lvlText w:val="•"/>
      <w:numFmt w:val="bullet"/>
      <w:start w:val="1"/>
    </w:lvl>
  </w:abstractNum>
  <w:abstractNum w:abstractNumId="64">
    <w:nsid w:val="7C58FD05"/>
    <w:multiLevelType w:val="hybridMultilevel"/>
    <w:lvl w:ilvl="0">
      <w:lvlJc w:val="left"/>
      <w:lvlText w:val="•"/>
      <w:numFmt w:val="bullet"/>
      <w:start w:val="1"/>
    </w:lvl>
  </w:abstractNum>
  <w:abstractNum w:abstractNumId="65">
    <w:nsid w:val="23D86AAC"/>
    <w:multiLevelType w:val="hybridMultilevel"/>
    <w:lvl w:ilvl="0">
      <w:lvlJc w:val="left"/>
      <w:lvlText w:val="(%1)"/>
      <w:numFmt w:val="decimal"/>
      <w:start w:val="1"/>
    </w:lvl>
  </w:abstractNum>
  <w:abstractNum w:abstractNumId="66">
    <w:nsid w:val="45E6D486"/>
    <w:multiLevelType w:val="hybridMultilevel"/>
    <w:lvl w:ilvl="0">
      <w:lvlJc w:val="left"/>
      <w:lvlText w:val="(%1)"/>
      <w:numFmt w:val="decimal"/>
      <w:start w:val="1"/>
    </w:lvl>
  </w:abstractNum>
  <w:abstractNum w:abstractNumId="67">
    <w:nsid w:val="5C10FE21"/>
    <w:multiLevelType w:val="hybridMultilevel"/>
    <w:lvl w:ilvl="0">
      <w:lvlJc w:val="left"/>
      <w:lvlText w:val="•"/>
      <w:numFmt w:val="bullet"/>
      <w:start w:val="1"/>
    </w:lvl>
  </w:abstractNum>
  <w:abstractNum w:abstractNumId="68">
    <w:nsid w:val="E7FFA2B"/>
    <w:multiLevelType w:val="hybridMultilevel"/>
    <w:lvl w:ilvl="0">
      <w:lvlJc w:val="left"/>
      <w:lvlText w:val="•"/>
      <w:numFmt w:val="bullet"/>
      <w:start w:val="1"/>
    </w:lvl>
  </w:abstractNum>
  <w:abstractNum w:abstractNumId="69">
    <w:nsid w:val="3C5991AA"/>
    <w:multiLevelType w:val="hybridMultilevel"/>
    <w:lvl w:ilvl="0">
      <w:lvlJc w:val="left"/>
      <w:lvlText w:val="•"/>
      <w:numFmt w:val="bullet"/>
      <w:start w:val="1"/>
    </w:lvl>
  </w:abstractNum>
  <w:abstractNum w:abstractNumId="70">
    <w:nsid w:val="4BD8591A"/>
    <w:multiLevelType w:val="hybridMultilevel"/>
    <w:lvl w:ilvl="0">
      <w:lvlJc w:val="left"/>
      <w:lvlText w:val="•"/>
      <w:numFmt w:val="bullet"/>
      <w:start w:val="1"/>
    </w:lvl>
  </w:abstractNum>
  <w:abstractNum w:abstractNumId="71">
    <w:nsid w:val="78DF6A55"/>
    <w:multiLevelType w:val="hybridMultilevel"/>
    <w:lvl w:ilvl="0">
      <w:lvlJc w:val="left"/>
      <w:lvlText w:val="•"/>
      <w:numFmt w:val="bullet"/>
      <w:start w:val="1"/>
    </w:lvl>
  </w:abstractNum>
  <w:abstractNum w:abstractNumId="72">
    <w:nsid w:val="39B7AAA2"/>
    <w:multiLevelType w:val="hybridMultilevel"/>
    <w:lvl w:ilvl="0">
      <w:lvlJc w:val="left"/>
      <w:lvlText w:val="•"/>
      <w:numFmt w:val="bullet"/>
      <w:start w:val="1"/>
    </w:lvl>
  </w:abstractNum>
  <w:abstractNum w:abstractNumId="73">
    <w:nsid w:val="2B0D8DBE"/>
    <w:multiLevelType w:val="hybridMultilevel"/>
    <w:lvl w:ilvl="0">
      <w:lvlJc w:val="left"/>
      <w:lvlText w:val="•"/>
      <w:numFmt w:val="bullet"/>
      <w:start w:val="1"/>
    </w:lvl>
  </w:abstractNum>
  <w:abstractNum w:abstractNumId="74">
    <w:nsid w:val="6C80EC70"/>
    <w:multiLevelType w:val="hybridMultilevel"/>
    <w:lvl w:ilvl="0">
      <w:lvlJc w:val="left"/>
      <w:lvlText w:val="•"/>
      <w:numFmt w:val="bullet"/>
      <w:start w:val="1"/>
    </w:lvl>
  </w:abstractNum>
  <w:abstractNum w:abstractNumId="75">
    <w:nsid w:val="379E21B5"/>
    <w:multiLevelType w:val="hybridMultilevel"/>
    <w:lvl w:ilvl="0">
      <w:lvlJc w:val="left"/>
      <w:lvlText w:val="•"/>
      <w:numFmt w:val="bullet"/>
      <w:start w:val="1"/>
    </w:lvl>
  </w:abstractNum>
  <w:abstractNum w:abstractNumId="76">
    <w:nsid w:val="69E373"/>
    <w:multiLevelType w:val="hybridMultilevel"/>
    <w:lvl w:ilvl="0">
      <w:lvlJc w:val="left"/>
      <w:lvlText w:val="•"/>
      <w:numFmt w:val="bullet"/>
      <w:start w:val="1"/>
    </w:lvl>
  </w:abstractNum>
  <w:abstractNum w:abstractNumId="77">
    <w:nsid w:val="2C27173B"/>
    <w:multiLevelType w:val="hybridMultilevel"/>
    <w:lvl w:ilvl="0">
      <w:lvlJc w:val="left"/>
      <w:lvlText w:val="•"/>
      <w:numFmt w:val="bullet"/>
      <w:start w:val="1"/>
    </w:lvl>
  </w:abstractNum>
  <w:abstractNum w:abstractNumId="78">
    <w:nsid w:val="4C9B0904"/>
    <w:multiLevelType w:val="hybridMultilevel"/>
    <w:lvl w:ilvl="0">
      <w:lvlJc w:val="left"/>
      <w:lvlText w:val="•"/>
      <w:numFmt w:val="bullet"/>
      <w:start w:val="1"/>
    </w:lvl>
  </w:abstractNum>
  <w:abstractNum w:abstractNumId="79">
    <w:nsid w:val="6AA7B75C"/>
    <w:multiLevelType w:val="hybridMultilevel"/>
    <w:lvl w:ilvl="0">
      <w:lvlJc w:val="left"/>
      <w:lvlText w:val="•"/>
      <w:numFmt w:val="bullet"/>
      <w:start w:val="1"/>
    </w:lvl>
  </w:abstractNum>
  <w:abstractNum w:abstractNumId="80">
    <w:nsid w:val="1DF029D3"/>
    <w:multiLevelType w:val="hybridMultilevel"/>
    <w:lvl w:ilvl="0">
      <w:lvlJc w:val="left"/>
      <w:lvlText w:val="(%1)"/>
      <w:numFmt w:val="lowerRoman"/>
      <w:start w:val="1"/>
    </w:lvl>
  </w:abstractNum>
  <w:abstractNum w:abstractNumId="81">
    <w:nsid w:val="5675FF36"/>
    <w:multiLevelType w:val="hybridMultilevel"/>
    <w:lvl w:ilvl="0">
      <w:lvlJc w:val="left"/>
      <w:lvlText w:val="•"/>
      <w:numFmt w:val="bullet"/>
      <w:start w:val="1"/>
    </w:lvl>
  </w:abstractNum>
  <w:abstractNum w:abstractNumId="82">
    <w:nsid w:val="3DD15094"/>
    <w:multiLevelType w:val="hybridMultilevel"/>
    <w:lvl w:ilvl="0">
      <w:lvlJc w:val="left"/>
      <w:lvlText w:val="•"/>
      <w:numFmt w:val="bullet"/>
      <w:start w:val="1"/>
    </w:lvl>
  </w:abstractNum>
  <w:abstractNum w:abstractNumId="83">
    <w:nsid w:val="3DB012B3"/>
    <w:multiLevelType w:val="hybridMultilevel"/>
    <w:lvl w:ilvl="0">
      <w:lvlJc w:val="left"/>
      <w:lvlText w:val="•"/>
      <w:numFmt w:val="bullet"/>
      <w:start w:val="1"/>
    </w:lvl>
  </w:abstractNum>
  <w:abstractNum w:abstractNumId="84">
    <w:nsid w:val="2708C9AF"/>
    <w:multiLevelType w:val="hybridMultilevel"/>
    <w:lvl w:ilvl="0">
      <w:lvlJc w:val="left"/>
      <w:lvlText w:val="•"/>
      <w:numFmt w:val="bullet"/>
      <w:start w:val="1"/>
    </w:lvl>
  </w:abstractNum>
  <w:abstractNum w:abstractNumId="85">
    <w:nsid w:val="5B25ACE2"/>
    <w:multiLevelType w:val="hybridMultilevel"/>
    <w:lvl w:ilvl="0">
      <w:lvlJc w:val="left"/>
      <w:lvlText w:val="•"/>
      <w:numFmt w:val="bullet"/>
      <w:start w:val="1"/>
    </w:lvl>
  </w:abstractNum>
  <w:abstractNum w:abstractNumId="86">
    <w:nsid w:val="175DFCF0"/>
    <w:multiLevelType w:val="hybridMultilevel"/>
    <w:lvl w:ilvl="0">
      <w:lvlJc w:val="left"/>
      <w:lvlText w:val="•"/>
      <w:numFmt w:val="bullet"/>
      <w:start w:val="1"/>
    </w:lvl>
  </w:abstractNum>
  <w:abstractNum w:abstractNumId="87">
    <w:nsid w:val="4F97E3E4"/>
    <w:multiLevelType w:val="hybridMultilevel"/>
    <w:lvl w:ilvl="0">
      <w:lvlJc w:val="left"/>
      <w:lvlText w:val="•"/>
      <w:numFmt w:val="bullet"/>
      <w:start w:val="1"/>
    </w:lvl>
  </w:abstractNum>
  <w:abstractNum w:abstractNumId="88">
    <w:nsid w:val="53B0A9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9">
    <w:nsid w:val="34FD6B4F"/>
    <w:multiLevelType w:val="hybridMultilevel"/>
    <w:lvl w:ilvl="0">
      <w:lvlJc w:val="left"/>
      <w:lvlText w:val="%1."/>
      <w:numFmt w:val="decimal"/>
      <w:start w:val="1"/>
    </w:lvl>
  </w:abstractNum>
  <w:abstractNum w:abstractNumId="90">
    <w:nsid w:val="5915FF32"/>
    <w:multiLevelType w:val="hybridMultilevel"/>
    <w:lvl w:ilvl="0">
      <w:lvlJc w:val="left"/>
      <w:lvlText w:val="%1."/>
      <w:numFmt w:val="decimal"/>
      <w:start w:val="3"/>
    </w:lvl>
  </w:abstractNum>
  <w:abstractNum w:abstractNumId="91">
    <w:nsid w:val="56438D15"/>
    <w:multiLevelType w:val="hybridMultilevel"/>
    <w:lvl w:ilvl="0">
      <w:lvlJc w:val="left"/>
      <w:lvlText w:val="•"/>
      <w:numFmt w:val="bullet"/>
      <w:start w:val="1"/>
    </w:lvl>
  </w:abstractNum>
  <w:abstractNum w:abstractNumId="92">
    <w:nsid w:val="519E3149"/>
    <w:multiLevelType w:val="hybridMultilevel"/>
    <w:lvl w:ilvl="0">
      <w:lvlJc w:val="left"/>
      <w:lvlText w:val="%1."/>
      <w:numFmt w:val="decimal"/>
      <w:start w:val="1"/>
    </w:lvl>
  </w:abstractNum>
  <w:abstractNum w:abstractNumId="93">
    <w:nsid w:val="2C6E4AFD"/>
    <w:multiLevelType w:val="hybridMultilevel"/>
    <w:lvl w:ilvl="0">
      <w:lvlJc w:val="left"/>
      <w:lvlText w:val="%1."/>
      <w:numFmt w:val="decimal"/>
      <w:start w:val="2"/>
    </w:lvl>
  </w:abstractNum>
  <w:abstractNum w:abstractNumId="94">
    <w:nsid w:val="17A1B582"/>
    <w:multiLevelType w:val="hybridMultilevel"/>
    <w:lvl w:ilvl="0">
      <w:lvlJc w:val="left"/>
      <w:lvlText w:val="•"/>
      <w:numFmt w:val="bullet"/>
      <w:start w:val="1"/>
    </w:lvl>
  </w:abstractNum>
  <w:abstractNum w:abstractNumId="95">
    <w:nsid w:val="4DF72E4E"/>
    <w:multiLevelType w:val="hybridMultilevel"/>
    <w:lvl w:ilvl="0">
      <w:lvlJc w:val="left"/>
      <w:lvlText w:val="*"/>
      <w:numFmt w:val="bullet"/>
      <w:start w:val="1"/>
    </w:lvl>
  </w:abstractNum>
  <w:abstractNum w:abstractNumId="96">
    <w:nsid w:val="5046B5A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97">
    <w:nsid w:val="5D888A08"/>
    <w:multiLevelType w:val="hybridMultilevel"/>
    <w:lvl w:ilvl="0">
      <w:lvlJc w:val="left"/>
      <w:lvlText w:val="%1."/>
      <w:numFmt w:val="decimal"/>
      <w:start w:val="125"/>
    </w:lvl>
  </w:abstractNum>
  <w:abstractNum w:abstractNumId="98">
    <w:nsid w:val="2A082C70"/>
    <w:multiLevelType w:val="hybridMultilevel"/>
    <w:lvl w:ilvl="0">
      <w:lvlJc w:val="left"/>
      <w:lvlText w:val="%1."/>
      <w:numFmt w:val="decimal"/>
      <w:start w:val="1"/>
    </w:lvl>
  </w:abstractNum>
  <w:abstractNum w:abstractNumId="99">
    <w:nsid w:val="5EC6AFD4"/>
    <w:multiLevelType w:val="hybridMultilevel"/>
    <w:lvl w:ilvl="0">
      <w:lvlJc w:val="left"/>
      <w:lvlText w:val="%1."/>
      <w:numFmt w:val="decimal"/>
      <w:start w:val="1"/>
    </w:lvl>
  </w:abstractNum>
  <w:abstractNum w:abstractNumId="100">
    <w:nsid w:val="19E21BB2"/>
    <w:multiLevelType w:val="hybridMultilevel"/>
    <w:lvl w:ilvl="0">
      <w:lvlJc w:val="left"/>
      <w:lvlText w:val="%1."/>
      <w:numFmt w:val="decimal"/>
      <w:start w:val="1"/>
    </w:lvl>
  </w:abstractNum>
  <w:abstractNum w:abstractNumId="101">
    <w:nsid w:val="75E0858A"/>
    <w:multiLevelType w:val="hybridMultilevel"/>
    <w:lvl w:ilvl="0">
      <w:lvlJc w:val="left"/>
      <w:lvlText w:val="†"/>
      <w:numFmt w:val="bullet"/>
      <w:start w:val="1"/>
    </w:lvl>
  </w:abstractNum>
  <w:abstractNum w:abstractNumId="102">
    <w:nsid w:val="57A61A29"/>
    <w:multiLevelType w:val="hybridMultilevel"/>
    <w:lvl w:ilvl="0">
      <w:lvlJc w:val="left"/>
      <w:lvlText w:val="%1."/>
      <w:numFmt w:val="decimal"/>
      <w:start w:val="1"/>
    </w:lvl>
  </w:abstractNum>
  <w:abstractNum w:abstractNumId="103">
    <w:nsid w:val="5399C654"/>
    <w:multiLevelType w:val="hybridMultilevel"/>
    <w:lvl w:ilvl="0">
      <w:lvlJc w:val="left"/>
      <w:lvlText w:val="%1."/>
      <w:numFmt w:val="decimal"/>
      <w:start w:val="1"/>
    </w:lvl>
  </w:abstractNum>
  <w:abstractNum w:abstractNumId="104">
    <w:nsid w:val="20EE1348"/>
    <w:multiLevelType w:val="hybridMultilevel"/>
    <w:lvl w:ilvl="0">
      <w:lvlJc w:val="left"/>
      <w:lvlText w:val="*"/>
      <w:numFmt w:val="bullet"/>
      <w:start w:val="1"/>
    </w:lvl>
  </w:abstractNum>
  <w:abstractNum w:abstractNumId="105">
    <w:nsid w:val="4427069A"/>
    <w:multiLevelType w:val="hybridMultilevel"/>
    <w:lvl w:ilvl="0">
      <w:lvlJc w:val="left"/>
      <w:lvlText w:val="%1."/>
      <w:numFmt w:val="decimal"/>
      <w:start w:val="1"/>
    </w:lvl>
  </w:abstractNum>
  <w:abstractNum w:abstractNumId="106">
    <w:nsid w:val="B37E80A"/>
    <w:multiLevelType w:val="hybridMultilevel"/>
    <w:lvl w:ilvl="0">
      <w:lvlJc w:val="left"/>
      <w:lvlText w:val="•"/>
      <w:numFmt w:val="bullet"/>
      <w:start w:val="1"/>
    </w:lvl>
  </w:abstractNum>
  <w:abstractNum w:abstractNumId="107">
    <w:nsid w:val="2157F6BC"/>
    <w:multiLevelType w:val="hybridMultilevel"/>
    <w:lvl w:ilvl="0">
      <w:lvlJc w:val="left"/>
      <w:lvlText w:val="•"/>
      <w:numFmt w:val="bullet"/>
      <w:start w:val="1"/>
    </w:lvl>
  </w:abstractNum>
  <w:abstractNum w:abstractNumId="108">
    <w:nsid w:val="704E1DD5"/>
    <w:multiLevelType w:val="hybridMultilevel"/>
    <w:lvl w:ilvl="0">
      <w:lvlJc w:val="left"/>
      <w:lvlText w:val="•"/>
      <w:numFmt w:val="bullet"/>
      <w:start w:val="1"/>
    </w:lvl>
  </w:abstractNum>
  <w:abstractNum w:abstractNumId="109">
    <w:nsid w:val="57D2F10E"/>
    <w:multiLevelType w:val="hybridMultilevel"/>
    <w:lvl w:ilvl="0">
      <w:lvlJc w:val="left"/>
      <w:lvlText w:val="(%1)"/>
      <w:numFmt w:val="decimal"/>
      <w:start w:val="1"/>
    </w:lvl>
  </w:abstractNum>
  <w:abstractNum w:abstractNumId="110">
    <w:nsid w:val="BFFAE18"/>
    <w:multiLevelType w:val="hybridMultilevel"/>
    <w:lvl w:ilvl="0">
      <w:lvlJc w:val="left"/>
      <w:lvlText w:val="•"/>
      <w:numFmt w:val="bullet"/>
      <w:start w:val="1"/>
    </w:lvl>
  </w:abstractNum>
  <w:abstractNum w:abstractNumId="111">
    <w:nsid w:val="E3E47A8"/>
    <w:multiLevelType w:val="hybridMultilevel"/>
    <w:lvl w:ilvl="0">
      <w:lvlJc w:val="left"/>
      <w:lvlText w:val="•"/>
      <w:numFmt w:val="bullet"/>
      <w:start w:val="1"/>
    </w:lvl>
  </w:abstractNum>
  <w:abstractNum w:abstractNumId="112">
    <w:nsid w:val="2E48F044"/>
    <w:multiLevelType w:val="hybridMultilevel"/>
    <w:lvl w:ilvl="0">
      <w:lvlJc w:val="left"/>
      <w:lvlText w:val="•"/>
      <w:numFmt w:val="bullet"/>
      <w:start w:val="1"/>
    </w:lvl>
  </w:abstractNum>
  <w:abstractNum w:abstractNumId="113">
    <w:nsid w:val="49D0FEAC"/>
    <w:multiLevelType w:val="hybridMultilevel"/>
    <w:lvl w:ilvl="0">
      <w:lvlJc w:val="left"/>
      <w:lvlText w:val="•"/>
      <w:numFmt w:val="bullet"/>
      <w:start w:val="1"/>
    </w:lvl>
  </w:abstractNum>
  <w:abstractNum w:abstractNumId="114">
    <w:nsid w:val="4BEE5A5B"/>
    <w:multiLevelType w:val="hybridMultilevel"/>
    <w:lvl w:ilvl="0">
      <w:lvlJc w:val="left"/>
      <w:lvlText w:val="•"/>
      <w:numFmt w:val="bullet"/>
      <w:start w:val="1"/>
    </w:lvl>
  </w:abstractNum>
  <w:abstractNum w:abstractNumId="115">
    <w:nsid w:val="5551B9F3"/>
    <w:multiLevelType w:val="hybridMultilevel"/>
    <w:lvl w:ilvl="0">
      <w:lvlJc w:val="left"/>
      <w:lvlText w:val="•"/>
      <w:numFmt w:val="bullet"/>
      <w:start w:val="1"/>
    </w:lvl>
  </w:abstractNum>
  <w:abstractNum w:abstractNumId="116">
    <w:nsid w:val="24F6AB8E"/>
    <w:multiLevelType w:val="hybridMultilevel"/>
    <w:lvl w:ilvl="0">
      <w:lvlJc w:val="left"/>
      <w:lvlText w:val="•"/>
      <w:numFmt w:val="bullet"/>
      <w:start w:val="1"/>
    </w:lvl>
  </w:abstractNum>
  <w:abstractNum w:abstractNumId="117">
    <w:nsid w:val="634C574C"/>
    <w:multiLevelType w:val="hybridMultilevel"/>
    <w:lvl w:ilvl="0">
      <w:lvlJc w:val="left"/>
      <w:lvlText w:val="(%1)"/>
      <w:numFmt w:val="decimal"/>
      <w:start w:val="1"/>
    </w:lvl>
  </w:abstractNum>
  <w:abstractNum w:abstractNumId="118">
    <w:nsid w:val="24E99DD7"/>
    <w:multiLevelType w:val="hybridMultilevel"/>
    <w:lvl w:ilvl="0">
      <w:lvlJc w:val="left"/>
      <w:lvlText w:val="•"/>
      <w:numFmt w:val="bullet"/>
      <w:start w:val="1"/>
    </w:lvl>
  </w:abstractNum>
  <w:abstractNum w:abstractNumId="119">
    <w:nsid w:val="2A31B62D"/>
    <w:multiLevelType w:val="hybridMultilevel"/>
    <w:lvl w:ilvl="0">
      <w:lvlJc w:val="left"/>
      <w:lvlText w:val="(%1)"/>
      <w:numFmt w:val="decimal"/>
      <w:start w:val="1"/>
    </w:lvl>
  </w:abstractNum>
  <w:abstractNum w:abstractNumId="120">
    <w:nsid w:val="1849C29B"/>
    <w:multiLevelType w:val="hybridMultilevel"/>
    <w:lvl w:ilvl="0">
      <w:lvlJc w:val="left"/>
      <w:lvlText w:val="(%1)"/>
      <w:numFmt w:val="decimal"/>
      <w:start w:val="1"/>
    </w:lvl>
  </w:abstractNum>
  <w:abstractNum w:abstractNumId="121">
    <w:nsid w:val="7DFF9D09"/>
    <w:multiLevelType w:val="hybridMultilevel"/>
    <w:lvl w:ilvl="0">
      <w:lvlJc w:val="left"/>
      <w:lvlText w:val="(%1)"/>
      <w:numFmt w:val="lowerRoman"/>
      <w:start w:val="2"/>
    </w:lvl>
  </w:abstractNum>
  <w:abstractNum w:abstractNumId="122">
    <w:nsid w:val="754342"/>
    <w:multiLevelType w:val="hybridMultilevel"/>
    <w:lvl w:ilvl="0">
      <w:lvlJc w:val="left"/>
      <w:lvlText w:val="(%1)"/>
      <w:numFmt w:val="lowerRoman"/>
      <w:start w:val="2"/>
    </w:lvl>
  </w:abstractNum>
  <w:abstractNum w:abstractNumId="123">
    <w:nsid w:val="69E7F3E5"/>
    <w:multiLevelType w:val="hybridMultilevel"/>
    <w:lvl w:ilvl="0">
      <w:lvlJc w:val="left"/>
      <w:lvlText w:val="(%1)"/>
      <w:numFmt w:val="lowerRoman"/>
      <w:start w:val="2"/>
    </w:lvl>
  </w:abstractNum>
  <w:abstractNum w:abstractNumId="124">
    <w:nsid w:val="2A6DE806"/>
    <w:multiLevelType w:val="hybridMultilevel"/>
    <w:lvl w:ilvl="0">
      <w:lvlJc w:val="left"/>
      <w:lvlText w:val="•"/>
      <w:numFmt w:val="bullet"/>
      <w:start w:val="1"/>
    </w:lvl>
  </w:abstractNum>
  <w:abstractNum w:abstractNumId="125">
    <w:nsid w:val="1816F8C4"/>
    <w:multiLevelType w:val="hybridMultilevel"/>
    <w:lvl w:ilvl="0">
      <w:lvlJc w:val="left"/>
      <w:lvlText w:val="•"/>
      <w:numFmt w:val="bullet"/>
      <w:start w:val="1"/>
    </w:lvl>
  </w:abstractNum>
  <w:abstractNum w:abstractNumId="126">
    <w:nsid w:val="37DF2233"/>
    <w:multiLevelType w:val="hybridMultilevel"/>
    <w:lvl w:ilvl="0">
      <w:lvlJc w:val="left"/>
      <w:lvlText w:val="•"/>
      <w:numFmt w:val="bullet"/>
      <w:start w:val="1"/>
    </w:lvl>
  </w:abstractNum>
  <w:abstractNum w:abstractNumId="127">
    <w:nsid w:val="7AB49DAF"/>
    <w:multiLevelType w:val="hybridMultilevel"/>
    <w:lvl w:ilvl="0">
      <w:lvlJc w:val="left"/>
      <w:lvlText w:val="•"/>
      <w:numFmt w:val="bullet"/>
      <w:start w:val="1"/>
    </w:lvl>
  </w:abstractNum>
  <w:abstractNum w:abstractNumId="128">
    <w:nsid w:val="759F82CD"/>
    <w:multiLevelType w:val="hybridMultilevel"/>
    <w:lvl w:ilvl="0">
      <w:lvlJc w:val="left"/>
      <w:lvlText w:val="(%1)"/>
      <w:numFmt w:val="lowerRoman"/>
      <w:start w:val="4"/>
    </w:lvl>
  </w:abstractNum>
  <w:abstractNum w:abstractNumId="129">
    <w:nsid w:val="61E74EA3"/>
    <w:multiLevelType w:val="hybridMultilevel"/>
    <w:lvl w:ilvl="0">
      <w:lvlJc w:val="left"/>
      <w:lvlText w:val="(%1)"/>
      <w:numFmt w:val="decimal"/>
      <w:start w:val="1"/>
    </w:lvl>
  </w:abstractNum>
  <w:abstractNum w:abstractNumId="130">
    <w:nsid w:val="597B4D84"/>
    <w:multiLevelType w:val="hybridMultilevel"/>
    <w:lvl w:ilvl="0">
      <w:lvlJc w:val="left"/>
      <w:lvlText w:val="(%1)"/>
      <w:numFmt w:val="decimal"/>
      <w:start w:val="1"/>
    </w:lvl>
  </w:abstractNum>
  <w:abstractNum w:abstractNumId="131">
    <w:nsid w:val="F819E7F"/>
    <w:multiLevelType w:val="hybridMultilevel"/>
    <w:lvl w:ilvl="0">
      <w:lvlJc w:val="left"/>
      <w:lvlText w:val="•"/>
      <w:numFmt w:val="bullet"/>
      <w:start w:val="1"/>
    </w:lvl>
  </w:abstractNum>
  <w:abstractNum w:abstractNumId="132">
    <w:nsid w:val="57C7D42D"/>
    <w:multiLevelType w:val="hybridMultilevel"/>
    <w:lvl w:ilvl="0">
      <w:lvlJc w:val="left"/>
      <w:lvlText w:val="*"/>
      <w:numFmt w:val="bullet"/>
      <w:start w:val="1"/>
    </w:lvl>
  </w:abstractNum>
  <w:abstractNum w:abstractNumId="133">
    <w:nsid w:val="312167AD"/>
    <w:multiLevelType w:val="hybridMultilevel"/>
    <w:lvl w:ilvl="0">
      <w:lvlJc w:val="left"/>
      <w:lvlText w:val="(%1)"/>
      <w:numFmt w:val="decimal"/>
      <w:start w:val="1"/>
    </w:lvl>
  </w:abstractNum>
  <w:abstractNum w:abstractNumId="134">
    <w:nsid w:val="631B64D4"/>
    <w:multiLevelType w:val="hybridMultilevel"/>
    <w:lvl w:ilvl="0">
      <w:lvlJc w:val="left"/>
      <w:lvlText w:val="(%1)"/>
      <w:numFmt w:val="decimal"/>
      <w:start w:val="3"/>
    </w:lvl>
  </w:abstractNum>
  <w:abstractNum w:abstractNumId="135">
    <w:nsid w:val="78B5E776"/>
    <w:multiLevelType w:val="hybridMultilevel"/>
    <w:lvl w:ilvl="0">
      <w:lvlJc w:val="left"/>
      <w:lvlText w:val="(%1)"/>
      <w:numFmt w:val="decimal"/>
      <w:start w:val="9"/>
    </w:lvl>
  </w:abstractNum>
  <w:abstractNum w:abstractNumId="136">
    <w:nsid w:val="75486E47"/>
    <w:multiLevelType w:val="hybridMultilevel"/>
    <w:lvl w:ilvl="0">
      <w:lvlJc w:val="left"/>
      <w:lvlText w:val="•"/>
      <w:numFmt w:val="bullet"/>
      <w:start w:val="1"/>
    </w:lvl>
  </w:abstractNum>
  <w:abstractNum w:abstractNumId="137">
    <w:nsid w:val="6E534CDE"/>
    <w:multiLevelType w:val="hybridMultilevel"/>
    <w:lvl w:ilvl="0">
      <w:lvlJc w:val="left"/>
      <w:lvlText w:val="•"/>
      <w:numFmt w:val="bullet"/>
      <w:start w:val="1"/>
    </w:lvl>
  </w:abstractNum>
  <w:abstractNum w:abstractNumId="138">
    <w:nsid w:val="1A0DDE32"/>
    <w:multiLevelType w:val="hybridMultilevel"/>
    <w:lvl w:ilvl="0">
      <w:lvlJc w:val="left"/>
      <w:lvlText w:val="•"/>
      <w:numFmt w:val="bullet"/>
      <w:start w:val="1"/>
    </w:lvl>
  </w:abstractNum>
  <w:abstractNum w:abstractNumId="139">
    <w:nsid w:val="65968C1C"/>
    <w:multiLevelType w:val="hybridMultilevel"/>
    <w:lvl w:ilvl="0">
      <w:lvlJc w:val="left"/>
      <w:lvlText w:val="•"/>
      <w:numFmt w:val="bullet"/>
      <w:start w:val="1"/>
    </w:lvl>
  </w:abstractNum>
  <w:abstractNum w:abstractNumId="140">
    <w:nsid w:val="46263DEC"/>
    <w:multiLevelType w:val="hybridMultilevel"/>
    <w:lvl w:ilvl="0">
      <w:lvlJc w:val="left"/>
      <w:lvlText w:val="(%1)"/>
      <w:numFmt w:val="lowerLetter"/>
      <w:start w:val="1"/>
    </w:lvl>
  </w:abstractNum>
  <w:abstractNum w:abstractNumId="141">
    <w:nsid w:val="260D8C4A"/>
    <w:multiLevelType w:val="hybridMultilevel"/>
    <w:lvl w:ilvl="0">
      <w:lvlJc w:val="left"/>
      <w:lvlText w:val="(%1)"/>
      <w:numFmt w:val="lowerLetter"/>
      <w:start w:val="1"/>
    </w:lvl>
  </w:abstractNum>
  <w:abstractNum w:abstractNumId="142">
    <w:nsid w:val="73D4D3C4"/>
    <w:multiLevelType w:val="hybridMultilevel"/>
    <w:lvl w:ilvl="0">
      <w:lvlJc w:val="left"/>
      <w:lvlText w:val="(%1)"/>
      <w:numFmt w:val="lowerRoman"/>
      <w:start w:val="4"/>
    </w:lvl>
  </w:abstractNum>
  <w:abstractNum w:abstractNumId="143">
    <w:nsid w:val="746F2E30"/>
    <w:multiLevelType w:val="hybridMultilevel"/>
    <w:lvl w:ilvl="0">
      <w:lvlJc w:val="left"/>
      <w:lvlText w:val="%1."/>
      <w:numFmt w:val="decimal"/>
      <w:start w:val="1"/>
    </w:lvl>
  </w:abstractNum>
  <w:abstractNum w:abstractNumId="144">
    <w:nsid w:val="6FDE8AF6"/>
    <w:multiLevelType w:val="hybridMultilevel"/>
    <w:lvl w:ilvl="0">
      <w:lvlJc w:val="left"/>
      <w:lvlText w:val="%1."/>
      <w:numFmt w:val="decimal"/>
      <w:start w:val="2"/>
    </w:lvl>
  </w:abstractNum>
  <w:abstractNum w:abstractNumId="145">
    <w:nsid w:val="3FC32E20"/>
    <w:multiLevelType w:val="hybridMultilevel"/>
    <w:lvl w:ilvl="0">
      <w:lvlJc w:val="left"/>
      <w:lvlText w:val="*"/>
      <w:numFmt w:val="bullet"/>
      <w:start w:val="1"/>
    </w:lvl>
  </w:abstractNum>
  <w:abstractNum w:abstractNumId="146">
    <w:nsid w:val="49C0E823"/>
    <w:multiLevelType w:val="hybridMultilevel"/>
    <w:lvl w:ilvl="0">
      <w:lvlJc w:val="left"/>
      <w:lvlText w:val="•"/>
      <w:numFmt w:val="bullet"/>
      <w:start w:val="1"/>
    </w:lvl>
  </w:abstractNum>
  <w:abstractNum w:abstractNumId="147">
    <w:nsid w:val="14D53685"/>
    <w:multiLevelType w:val="hybridMultilevel"/>
    <w:lvl w:ilvl="0">
      <w:lvlJc w:val="left"/>
      <w:lvlText w:val="(%1)"/>
      <w:numFmt w:val="lowerRoman"/>
      <w:start w:val="3"/>
    </w:lvl>
  </w:abstractNum>
  <w:abstractNum w:abstractNumId="148">
    <w:nsid w:val="230F856C"/>
    <w:multiLevelType w:val="hybridMultilevel"/>
    <w:lvl w:ilvl="0">
      <w:lvlJc w:val="left"/>
      <w:lvlText w:val="(%1)"/>
      <w:numFmt w:val="lowerRoman"/>
      <w:start w:val="1"/>
    </w:lvl>
  </w:abstractNum>
  <w:abstractNum w:abstractNumId="149">
    <w:nsid w:val="6EAA85FB"/>
    <w:multiLevelType w:val="hybridMultilevel"/>
    <w:lvl w:ilvl="0">
      <w:lvlJc w:val="left"/>
      <w:lvlText w:val="(%1)"/>
      <w:numFmt w:val="lowerRoman"/>
      <w:start w:val="3"/>
    </w:lvl>
  </w:abstractNum>
  <w:abstractNum w:abstractNumId="150">
    <w:nsid w:val="3F06ECB2"/>
    <w:multiLevelType w:val="hybridMultilevel"/>
    <w:lvl w:ilvl="0">
      <w:lvlJc w:val="left"/>
      <w:lvlText w:val="(%1)"/>
      <w:numFmt w:val="lowerRoman"/>
      <w:start w:val="1"/>
    </w:lvl>
  </w:abstractNum>
  <w:abstractNum w:abstractNumId="151">
    <w:nsid w:val="3B594807"/>
    <w:multiLevelType w:val="hybridMultilevel"/>
    <w:lvl w:ilvl="0">
      <w:lvlJc w:val="left"/>
      <w:lvlText w:val="(%1)"/>
      <w:numFmt w:val="lowerRoman"/>
      <w:start w:val="2"/>
    </w:lvl>
  </w:abstractNum>
  <w:abstractNum w:abstractNumId="152">
    <w:nsid w:val="6CAA2304"/>
    <w:multiLevelType w:val="hybridMultilevel"/>
    <w:lvl w:ilvl="0">
      <w:lvlJc w:val="left"/>
      <w:lvlText w:val="%1."/>
      <w:numFmt w:val="decimal"/>
      <w:start w:val="8"/>
    </w:lvl>
  </w:abstractNum>
  <w:abstractNum w:abstractNumId="153">
    <w:nsid w:val="3F7C2FF4"/>
    <w:multiLevelType w:val="hybridMultilevel"/>
    <w:lvl w:ilvl="0">
      <w:lvlJc w:val="left"/>
      <w:lvlText w:val="(%1)"/>
      <w:numFmt w:val="lowerRoman"/>
      <w:start w:val="2"/>
    </w:lvl>
  </w:abstractNum>
  <w:abstractNum w:abstractNumId="154">
    <w:nsid w:val="25413BEC"/>
    <w:multiLevelType w:val="hybridMultilevel"/>
    <w:lvl w:ilvl="0">
      <w:lvlJc w:val="left"/>
      <w:lvlText w:val="(%1)"/>
      <w:numFmt w:val="lowerRoman"/>
      <w:start w:val="2"/>
    </w:lvl>
  </w:abstractNum>
  <w:abstractNum w:abstractNumId="155">
    <w:nsid w:val="17180B0B"/>
    <w:multiLevelType w:val="hybridMultilevel"/>
    <w:lvl w:ilvl="0">
      <w:lvlJc w:val="left"/>
      <w:lvlText w:val="%1."/>
      <w:numFmt w:val="decimal"/>
      <w:start w:val="12"/>
    </w:lvl>
  </w:abstractNum>
  <w:abstractNum w:abstractNumId="156">
    <w:nsid w:val="579328B9"/>
    <w:multiLevelType w:val="hybridMultilevel"/>
    <w:lvl w:ilvl="0">
      <w:lvlJc w:val="left"/>
      <w:lvlText w:val="(%1)"/>
      <w:numFmt w:val="lowerRoman"/>
      <w:start w:val="2"/>
    </w:lvl>
  </w:abstractNum>
  <w:abstractNum w:abstractNumId="157">
    <w:nsid w:val="5D205E20"/>
    <w:multiLevelType w:val="hybridMultilevel"/>
    <w:lvl w:ilvl="0">
      <w:lvlJc w:val="left"/>
      <w:lvlText w:val="(%1)"/>
      <w:numFmt w:val="lowerRoman"/>
      <w:start w:val="5"/>
    </w:lvl>
  </w:abstractNum>
  <w:abstractNum w:abstractNumId="158">
    <w:nsid w:val="11CCA8BA"/>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2020-12-14T05:10:24Z</dcterms:created>
  <dcterms:modified xsi:type="dcterms:W3CDTF">2020-12-14T05:10:24Z</dcterms:modified>
</cp:coreProperties>
</file>