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mt-20260630.htm"/>
      <w:bookmarkStart w:id="1" w:name="ksfdmt20260630"/>
      <w:bookmarkEnd w:id="0"/>
      <w:bookmarkEnd w:id="1"/>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8"/>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8"/>
              </w:rPr>
            </w:pPr>
            <w:r>
              <w:rPr>
                <w:rFonts w:ascii="Arial" w:hAnsi="Arial"/>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Arial" w:hAnsi="Arial"/>
          <w:b/>
          <w:color w:val="000000"/>
          <w:sz w:val="18"/>
        </w:rPr>
      </w:pPr>
      <w:r>
        <w:rPr>
          <w:rFonts w:ascii="Arial" w:hAnsi="Arial"/>
          <w:b/>
          <w:color w:val="000000"/>
          <w:sz w:val="18"/>
        </w:rPr>
        <w:t>For the quarterly period ended June 30, 2026</w:t>
      </w:r>
    </w:p>
    <w:p>
      <w:pPr>
        <w:pStyle w:val="TextBody"/>
        <w:bidi w:val="0"/>
        <w:spacing w:before="6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Arial" w:hAnsi="Arial"/>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Arial" w:hAnsi="Arial"/>
          <w:b/>
          <w:color w:val="000000"/>
          <w:sz w:val="18"/>
        </w:rPr>
        <w:t>Commission File Number 001-39782</w:t>
      </w:r>
      <w:r>
        <w:rPr>
          <w:rFonts w:ascii="Times New Roman" w:hAnsi="Times New Roman"/>
          <w:color w:val="000000"/>
          <w:sz w:val="20"/>
        </w:rPr>
        <w:t xml:space="preserve"> </w:t>
      </w:r>
    </w:p>
    <w:p>
      <w:pPr>
        <w:pStyle w:val="TextBody"/>
        <w:bidi w:val="0"/>
        <w:spacing w:before="60" w:after="283"/>
        <w:jc w:val="center"/>
        <w:rPr>
          <w:rFonts w:ascii="Arial" w:hAnsi="Arial"/>
          <w:b/>
          <w:color w:val="000000"/>
          <w:sz w:val="36"/>
        </w:rPr>
      </w:pPr>
      <w:r>
        <w:rPr>
          <w:rFonts w:ascii="Arial" w:hAnsi="Arial"/>
          <w:b/>
          <w:color w:val="000000"/>
          <w:sz w:val="36"/>
        </w:rPr>
        <w:t>4D Molecular Therapeutics, Inc.</w:t>
      </w:r>
    </w:p>
    <w:p>
      <w:pPr>
        <w:pStyle w:val="TextBody"/>
        <w:bidi w:val="0"/>
        <w:jc w:val="center"/>
        <w:rPr>
          <w:rFonts w:ascii="Times New Roman" w:hAnsi="Times New Roman"/>
          <w:sz w:val="20"/>
        </w:rPr>
      </w:pPr>
      <w:r>
        <w:rPr>
          <w:rFonts w:ascii="Arial" w:hAnsi="Arial"/>
          <w:b/>
          <w:color w:val="000000"/>
          <w:sz w:val="16"/>
        </w:rPr>
        <w:t>(Exact name of registrant as specified in its Charter)</w:t>
      </w:r>
      <w:r>
        <w:rPr>
          <w:rFonts w:ascii="Times New Roman" w:hAnsi="Times New Roman"/>
          <w:color w:val="000000"/>
          <w:sz w:val="20"/>
        </w:rPr>
        <w:t xml:space="preserve">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47-3506994</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18"/>
              </w:rPr>
            </w:pPr>
            <w:r>
              <w:rPr>
                <w:rFonts w:ascii="Arial" w:hAnsi="Arial"/>
                <w:b/>
                <w:color w:val="000000"/>
                <w:sz w:val="18"/>
              </w:rPr>
              <w:t>5858 Horton Street #455</w:t>
            </w:r>
          </w:p>
          <w:p>
            <w:pPr>
              <w:pStyle w:val="TableContents"/>
              <w:bidi w:val="0"/>
              <w:spacing w:before="0" w:after="15"/>
              <w:jc w:val="center"/>
              <w:rPr>
                <w:rFonts w:ascii="Arial" w:hAnsi="Arial"/>
                <w:b/>
                <w:color w:val="000000"/>
                <w:sz w:val="18"/>
              </w:rPr>
            </w:pPr>
            <w:r>
              <w:rPr>
                <w:rFonts w:ascii="Arial" w:hAnsi="Arial"/>
                <w:b/>
                <w:color w:val="000000"/>
                <w:sz w:val="18"/>
              </w:rPr>
              <w:t>Emeryville,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94608</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16"/>
        </w:rPr>
        <w:t>Registrant’s telephone number, including area code: (510)</w:t>
      </w:r>
      <w:r>
        <w:rPr>
          <w:rFonts w:ascii="Times New Roman" w:hAnsi="Times New Roman"/>
          <w:color w:val="000000"/>
          <w:sz w:val="20"/>
        </w:rPr>
        <w:t xml:space="preserve"> </w:t>
      </w:r>
      <w:r>
        <w:rPr>
          <w:rFonts w:ascii="Arial" w:hAnsi="Arial"/>
          <w:b/>
          <w:color w:val="000000"/>
          <w:sz w:val="16"/>
        </w:rPr>
        <w:t>505-2680</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391"/>
        <w:gridCol w:w="146"/>
        <w:gridCol w:w="916"/>
        <w:gridCol w:w="146"/>
        <w:gridCol w:w="36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FDMT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071"/>
        <w:gridCol w:w="146"/>
        <w:gridCol w:w="31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color w:val="000000"/>
          <w:sz w:val="16"/>
        </w:rPr>
        <w:t>As of August 10, 2026, there were 55,244,211</w:t>
      </w:r>
      <w:r>
        <w:rPr>
          <w:rFonts w:ascii="Times New Roman" w:hAnsi="Times New Roman"/>
          <w:color w:val="000000"/>
          <w:sz w:val="20"/>
        </w:rPr>
        <w:t xml:space="preserve"> </w:t>
      </w:r>
      <w:r>
        <w:rPr>
          <w:rFonts w:ascii="Arial" w:hAnsi="Arial"/>
          <w:color w:val="000000"/>
          <w:sz w:val="16"/>
        </w:rPr>
        <w:t>shares of 4D Molecular Therapeutics, Inc.</w:t>
      </w:r>
      <w:r>
        <w:rPr>
          <w:rFonts w:ascii="Times New Roman" w:hAnsi="Times New Roman"/>
          <w:color w:val="000000"/>
          <w:sz w:val="20"/>
        </w:rPr>
        <w:t>’</w:t>
      </w:r>
      <w:r>
        <w:rPr>
          <w:rFonts w:ascii="Arial" w:hAnsi="Arial"/>
          <w:color w:val="000000"/>
          <w:sz w:val="16"/>
        </w:rPr>
        <w:t>s common stock outstanding. This number does not include 16,935,665</w:t>
      </w:r>
      <w:r>
        <w:rPr>
          <w:rFonts w:ascii="Times New Roman" w:hAnsi="Times New Roman"/>
          <w:color w:val="000000"/>
          <w:sz w:val="20"/>
        </w:rPr>
        <w:t xml:space="preserve"> </w:t>
      </w:r>
      <w:r>
        <w:rPr>
          <w:rFonts w:ascii="Arial" w:hAnsi="Arial"/>
          <w:color w:val="000000"/>
          <w:sz w:val="16"/>
        </w:rPr>
        <w:t>shares of common stock issuable upon the exercise of pre-funded warrants outstanding as of August 10, 2026 (which are immediately exercisable at an exercise price of $0.0001 per share of common stock, subject to beneficial ownership limitations).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9"/>
        <w:gridCol w:w="8514"/>
        <w:gridCol w:w="602"/>
      </w:tblGrid>
      <w:tr>
        <w:trPr/>
        <w:tc>
          <w:tcPr>
            <w:tcW w:w="1089" w:type="dxa"/>
            <w:tcBorders/>
            <w:vAlign w:val="center"/>
          </w:tcPr>
          <w:p>
            <w:pPr>
              <w:pStyle w:val="TableContents"/>
              <w:bidi w:val="0"/>
              <w:spacing w:before="0" w:after="283"/>
              <w:jc w:val="left"/>
              <w:rPr>
                <w:sz w:val="4"/>
                <w:szCs w:val="4"/>
              </w:rPr>
            </w:pPr>
            <w:r>
              <w:rPr>
                <w:sz w:val="4"/>
                <w:szCs w:val="4"/>
              </w:rPr>
            </w:r>
          </w:p>
        </w:tc>
        <w:tc>
          <w:tcPr>
            <w:tcW w:w="85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5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unaudited_fs">
              <w:r>
                <w:rPr>
                  <w:rStyle w:val="InternetLink"/>
                  <w:rFonts w:ascii="Arial" w:hAnsi="Arial"/>
                  <w:color w:val="0000FF"/>
                  <w:sz w:val="20"/>
                  <w:u w:val="single"/>
                </w:rPr>
                <w:t>Condensed Financial Statements (Unaudited)</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
              <w:r>
                <w:rPr>
                  <w:rStyle w:val="InternetLink"/>
                  <w:rFonts w:ascii="Arial" w:hAnsi="Arial"/>
                  <w:color w:val="0000FF"/>
                  <w:sz w:val="20"/>
                  <w:u w:val="single"/>
                </w:rPr>
                <w:t>Condensed Balance Sheets as of June 30, 2026 and December 31, 2025</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income_stmt">
              <w:r>
                <w:rPr>
                  <w:rStyle w:val="InternetLink"/>
                  <w:rFonts w:ascii="Arial" w:hAnsi="Arial"/>
                  <w:color w:val="0000FF"/>
                  <w:sz w:val="20"/>
                  <w:u w:val="single"/>
                </w:rPr>
                <w:t>Condensed Statements of Operations for the Three and Six Months Ended June 30,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comprehensive_loss">
              <w:r>
                <w:rPr>
                  <w:rStyle w:val="InternetLink"/>
                  <w:rFonts w:ascii="Arial" w:hAnsi="Arial"/>
                  <w:color w:val="0000FF"/>
                  <w:sz w:val="20"/>
                  <w:u w:val="single"/>
                </w:rPr>
                <w:t>Condensed Statements of Comprehensive Loss for the Three and Six Months Ended June 30,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stockholders_equity">
              <w:r>
                <w:rPr>
                  <w:rStyle w:val="InternetLink"/>
                  <w:rFonts w:ascii="Arial" w:hAnsi="Arial"/>
                  <w:color w:val="0000FF"/>
                  <w:sz w:val="20"/>
                  <w:u w:val="single"/>
                </w:rPr>
                <w:t>Condensed Statements of Stockholders’ Equity for the Three and Six Months Ended June 30,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cash_flows">
              <w:r>
                <w:rPr>
                  <w:rStyle w:val="InternetLink"/>
                  <w:rFonts w:ascii="Arial" w:hAnsi="Arial"/>
                  <w:color w:val="0000FF"/>
                  <w:sz w:val="20"/>
                  <w:u w:val="single"/>
                </w:rPr>
                <w:t>Condensed Statements of Cash Flows for the Six Months Ended June 30, 2026 and 2025</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unaudited_fs">
              <w:r>
                <w:rPr>
                  <w:rStyle w:val="InternetLink"/>
                  <w:rFonts w:ascii="Arial" w:hAnsi="Arial"/>
                  <w:color w:val="0000FF"/>
                  <w:sz w:val="20"/>
                  <w:u w:val="single"/>
                </w:rPr>
                <w:t>Notes to Condensed Financial Statements (Unaudited)</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_disclosures">
              <w:r>
                <w:rPr>
                  <w:rStyle w:val="InternetLink"/>
                  <w:rFonts w:ascii="Arial" w:hAnsi="Arial"/>
                  <w:color w:val="0000FF"/>
                  <w:sz w:val="20"/>
                  <w:u w:val="single"/>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FF"/>
                  <w:sz w:val="20"/>
                  <w:u w:val="single"/>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securities">
              <w:r>
                <w:rPr>
                  <w:rStyle w:val="InternetLink"/>
                  <w:rFonts w:ascii="Arial" w:hAnsi="Arial"/>
                  <w:color w:val="0000FF"/>
                  <w:sz w:val="20"/>
                  <w:u w:val="single"/>
                </w:rPr>
                <w:t>Unregistered Sales of Equity Securities and Use of Proceeds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_upon_senior_securities">
              <w:r>
                <w:rPr>
                  <w:rStyle w:val="InternetLink"/>
                  <w:rFonts w:ascii="Arial" w:hAnsi="Arial"/>
                  <w:color w:val="0000FF"/>
                  <w:sz w:val="20"/>
                  <w:u w:val="single"/>
                </w:rPr>
                <w:t>Defaults Upon Senior Securities</w:t>
              </w:r>
            </w:hyperlink>
            <w:hyperlink w:anchor="default_upon_senior_securities">
              <w:r>
                <w:rPr>
                  <w:rStyle w:val="InternetLink"/>
                  <w:rFonts w:ascii="Times New Roman" w:hAnsi="Times New Roman"/>
                  <w:color w:val="0000FF"/>
                  <w:sz w:val="20"/>
                </w:rPr>
                <w:t xml:space="preserve"> </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Arial" w:hAnsi="Arial"/>
                  <w:color w:val="0000FF"/>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r>
              <w:rPr>
                <w:rFonts w:ascii="Times New Roman" w:hAnsi="Times New Roman"/>
                <w:color w:val="000000"/>
                <w:sz w:val="20"/>
              </w:rPr>
              <w:t xml:space="preserve"> </w:t>
            </w:r>
          </w:p>
        </w:tc>
        <w:tc>
          <w:tcPr>
            <w:tcW w:w="8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concern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preclinical studies and clinical trials, including our preclinical and clinical trials for 4D-150, 4D-175, 4D-710 and 4D-725;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size and design of our planned clinical trials, and what regulatory authorities may require to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Investigational New Drug Application (“IND”) enabling studies and results from such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success of lead optimization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translation of our preclinical results and data into future clinical trials in humans;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of any manufacturing runs for materials to be used in patient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obtain and maintain regulatory approval of our product candidates, and any related restrictions, limitations and/or warnings in the label of any approved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obtain funding for our operations, including funding necessary to develop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comply with restrictive covenants under our loan and security agreement (the "Loan and Security Agreement"), with Hercules Capital, Inc.;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satisfy interest and principal payments under the Loan and Security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competing products or platform technologies that are or may become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establish sales, marketing and distribution infrastructure to commercialize any product candidates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product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existing regulations and regulatory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expected potential benefits of strategic collaboration agreements, including our relationships with Otsuka Pharmaceutical Co., Ltd. and the Cystic Fibrosis Foundation, and our ability to attract collaborators with development, regulatory and commercialization expertise;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scope of protection we are able to establish and maintain for intellectual property rights covering our product candidates and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claims relating to our intellectual property and third-party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contract with third-party suppliers and manufacturers and their ability to perform adequately;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effects of public health emergencies on our preclinical and clinical programs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attract and retain key managerial, scientific and medical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accuracy of our estimates regarding expenses, capital requirements and needs for additional financing;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240" w:after="283"/>
        <w:jc w:val="both"/>
        <w:rPr>
          <w:rFonts w:ascii="Times New Roman" w:hAnsi="Times New Roman"/>
          <w:sz w:val="20"/>
        </w:rPr>
      </w:pPr>
      <w:r>
        <w:rPr>
          <w:rFonts w:ascii="Arial" w:hAnsi="Arial"/>
          <w:color w:val="000000"/>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Potential investors are urged to consider these factors carefully in evaluating the forward-looking statements. These forward-looking statements speak only as of the date of this Quarterly Report on Form 10-Q. Except as required by law, we assume no obligation to update or revise these forward-looking statements for any reason, even if new information becomes available in the future. You should, however, review the factors and risks we describe in the reports we file from time to time with the SEC after the date of this Quarterly Report on Form 10-Q.</w:t>
      </w:r>
      <w:r>
        <w:rPr>
          <w:rFonts w:ascii="Times New Roman" w:hAnsi="Times New Roman"/>
          <w:color w:val="000000"/>
          <w:sz w:val="20"/>
        </w:rPr>
        <w:t xml:space="preserve"> </w:t>
      </w:r>
    </w:p>
    <w:p>
      <w:pPr>
        <w:pStyle w:val="TextBody"/>
        <w:bidi w:val="0"/>
        <w:spacing w:before="240" w:after="240"/>
        <w:jc w:val="center"/>
        <w:rPr>
          <w:rFonts w:ascii="Arial" w:hAnsi="Arial"/>
          <w:b/>
          <w:color w:val="000000"/>
          <w:sz w:val="20"/>
        </w:rPr>
      </w:pPr>
      <w:r>
        <w:rPr>
          <w:rFonts w:ascii="Arial" w:hAnsi="Arial"/>
          <w:b/>
          <w:color w:val="000000"/>
          <w:sz w:val="20"/>
        </w:rPr>
        <w:t>Risk Factor Summary</w:t>
      </w:r>
    </w:p>
    <w:p>
      <w:pPr>
        <w:pStyle w:val="TextBody"/>
        <w:bidi w:val="0"/>
        <w:spacing w:before="0" w:after="240"/>
        <w:jc w:val="both"/>
        <w:rPr>
          <w:rFonts w:ascii="Arial" w:hAnsi="Arial"/>
          <w:color w:val="000000"/>
          <w:sz w:val="20"/>
        </w:rPr>
      </w:pPr>
      <w:r>
        <w:rPr>
          <w:rFonts w:ascii="Arial" w:hAnsi="Arial"/>
          <w:color w:val="000000"/>
          <w:sz w:val="20"/>
        </w:rPr>
        <w:t>Our ability to implement our business strategy is subject to numerous risks that you should be aware of before making an investment decision. The following is a summary of the principal risks that could seriously harm our business, all of which are more fully described in Part II. Item 1A. “Risk Factors” in this Quarterly Report on Form 10-Q. This summary should be read in conjunction with the discussion of risk factors in Part II, Item 1A of this Quarterly Report on Form 10-Q, and should not be relied upon as an exhaustive summary of the material risks facing our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We are in the late stages of drug development for our lead program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had recurring net losses, and we expect to continue to incur significant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public perception or regulatory scrutiny of genetic medicine technology may negatively impact the developmental progress or commercial success of product candidates that we develop alone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clinical trials may fail to demonstrate substantial evidence of the safety and efficacy of our product candidates, which would prevent, delay or limit the scope of regulatory approval and commercialization, which could seriously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regulatory approval processes of the U.S. Food and Drug Administration ("FDA"), European Medicines Agency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employees, independent contractors, consultants, research or commercial partners or collaborators and vendors may engage in misconduct or other improper activities, including noncompliance with regulatory standards and requirements.</w:t>
      </w:r>
    </w:p>
    <w:p>
      <w:pPr>
        <w:pStyle w:val="TextBody"/>
        <w:bidi w:val="0"/>
        <w:jc w:val="center"/>
        <w:rPr/>
      </w:pPr>
      <w:r>
        <w:rPr/>
        <w:t>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sz w:val="20"/>
        </w:rPr>
      </w:pPr>
      <w:bookmarkStart w:id="2" w:name="toc_page"/>
      <w:bookmarkEnd w:id="2"/>
      <w:r>
        <w:rPr>
          <w:rFonts w:ascii="Arial" w:hAnsi="Arial"/>
          <w:b/>
          <w:color w:val="000000"/>
          <w:sz w:val="20"/>
        </w:rPr>
        <w:t>PART I. FINANCIAL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 w:name="condensed_unaudited_fs"/>
      <w:bookmarkEnd w:id="3"/>
      <w:r>
        <w:rPr>
          <w:rFonts w:ascii="Arial" w:hAnsi="Arial"/>
          <w:b/>
          <w:color w:val="000000"/>
          <w:sz w:val="20"/>
        </w:rPr>
        <w:t>Item 1. Condensed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4" w:name="condensed_balance_sheet"/>
      <w:bookmarkEnd w:id="4"/>
      <w:r>
        <w:rPr>
          <w:rFonts w:ascii="Arial" w:hAnsi="Arial"/>
          <w:b/>
          <w:color w:val="000000"/>
          <w:sz w:val="20"/>
        </w:rPr>
        <w:t>Condensed Balance Sheets</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961"/>
        <w:gridCol w:w="166"/>
        <w:gridCol w:w="146"/>
        <w:gridCol w:w="211"/>
        <w:gridCol w:w="961"/>
        <w:gridCol w:w="75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60,241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342,414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413,134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111,379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18,143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566,711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grant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43,985</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15,821</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61,047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June 30, 2026 and December 31, 2025; no</w:t>
            </w:r>
            <w:r>
              <w:rPr>
                <w:rFonts w:ascii="Times New Roman" w:hAnsi="Times New Roman"/>
                <w:color w:val="000000"/>
                <w:sz w:val="20"/>
              </w:rPr>
              <w:t> </w:t>
            </w:r>
            <w:r>
              <w:rPr>
                <w:rFonts w:ascii="Arial" w:hAnsi="Arial"/>
                <w:color w:val="000000"/>
                <w:sz w:val="20"/>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300,000,000</w:t>
            </w:r>
            <w:r>
              <w:rPr>
                <w:rFonts w:ascii="Times New Roman" w:hAnsi="Times New Roman"/>
                <w:color w:val="000000"/>
                <w:sz w:val="20"/>
              </w:rPr>
              <w:t> </w:t>
            </w:r>
            <w:r>
              <w:rPr>
                <w:rFonts w:ascii="Arial" w:hAnsi="Arial"/>
                <w:color w:val="000000"/>
                <w:sz w:val="20"/>
              </w:rPr>
              <w:t>shares authorized at June 30, 2026 and December 31, 2025; 55,214,097</w:t>
            </w:r>
            <w:r>
              <w:rPr>
                <w:rFonts w:ascii="Times New Roman" w:hAnsi="Times New Roman"/>
                <w:color w:val="000000"/>
                <w:sz w:val="20"/>
              </w:rPr>
              <w:t> </w:t>
            </w:r>
            <w:r>
              <w:rPr>
                <w:rFonts w:ascii="Arial" w:hAnsi="Arial"/>
                <w:color w:val="000000"/>
                <w:sz w:val="20"/>
              </w:rPr>
              <w:t>and 57,607,874</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1,221,235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(716,304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566,711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income_stmt"/>
      <w:bookmarkEnd w:id="5"/>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113,106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(113,077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70,272,018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55,927,091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69,175,213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55,836,075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stmt_of_comprehensive_loss"/>
      <w:bookmarkEnd w:id="6"/>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185" w:type="dxa"/>
        <w:jc w:val="left"/>
        <w:tblInd w:w="0" w:type="dxa"/>
        <w:tblLayout w:type="fixed"/>
        <w:tblCellMar>
          <w:top w:w="28" w:type="dxa"/>
          <w:left w:w="28" w:type="dxa"/>
          <w:bottom w:w="28" w:type="dxa"/>
          <w:right w:w="28" w:type="dxa"/>
        </w:tblCellMar>
      </w:tblPr>
      <w:tblGrid>
        <w:gridCol w:w="4461"/>
        <w:gridCol w:w="146"/>
        <w:gridCol w:w="235"/>
        <w:gridCol w:w="821"/>
        <w:gridCol w:w="185"/>
        <w:gridCol w:w="162"/>
        <w:gridCol w:w="235"/>
        <w:gridCol w:w="821"/>
        <w:gridCol w:w="166"/>
        <w:gridCol w:w="146"/>
        <w:gridCol w:w="211"/>
        <w:gridCol w:w="841"/>
        <w:gridCol w:w="166"/>
        <w:gridCol w:w="146"/>
        <w:gridCol w:w="211"/>
        <w:gridCol w:w="84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(72,936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(73,202</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(102,522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7" w:name="condensed_stmt_of_stockholders_equity"/>
      <w:bookmarkEnd w:id="7"/>
      <w:r>
        <w:rPr/>
        <w:t> </w:t>
      </w:r>
    </w:p>
    <w:p>
      <w:pPr>
        <w:pStyle w:val="TextBody"/>
        <w:bidi w:val="0"/>
        <w:jc w:val="center"/>
        <w:rPr>
          <w:rFonts w:ascii="Arial" w:hAnsi="Arial"/>
          <w:b/>
          <w:color w:val="000000"/>
          <w:sz w:val="20"/>
        </w:rPr>
      </w:pPr>
      <w:r>
        <w:rPr>
          <w:rFonts w:ascii="Arial" w:hAnsi="Arial"/>
          <w:b/>
          <w:color w:val="000000"/>
          <w:sz w:val="20"/>
        </w:rPr>
        <w:t>4D Molecular Therapeutics, Inc.</w:t>
      </w:r>
    </w:p>
    <w:p>
      <w:pPr>
        <w:pStyle w:val="TextBody"/>
        <w:bidi w:val="0"/>
        <w:jc w:val="center"/>
        <w:rPr>
          <w:rFonts w:ascii="Times New Roman" w:hAnsi="Times New Roman"/>
          <w:sz w:val="20"/>
        </w:rPr>
      </w:pPr>
      <w:r>
        <w:rPr>
          <w:rFonts w:ascii="Arial" w:hAnsi="Arial"/>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46"/>
        <w:gridCol w:w="146"/>
        <w:gridCol w:w="146"/>
        <w:gridCol w:w="916"/>
        <w:gridCol w:w="151"/>
        <w:gridCol w:w="146"/>
        <w:gridCol w:w="239"/>
        <w:gridCol w:w="422"/>
        <w:gridCol w:w="151"/>
        <w:gridCol w:w="146"/>
        <w:gridCol w:w="196"/>
        <w:gridCol w:w="826"/>
        <w:gridCol w:w="146"/>
        <w:gridCol w:w="146"/>
        <w:gridCol w:w="456"/>
        <w:gridCol w:w="982"/>
        <w:gridCol w:w="151"/>
        <w:gridCol w:w="146"/>
        <w:gridCol w:w="224"/>
        <w:gridCol w:w="842"/>
        <w:gridCol w:w="151"/>
        <w:gridCol w:w="146"/>
        <w:gridCol w:w="239"/>
        <w:gridCol w:w="847"/>
        <w:gridCol w:w="398"/>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57,607,874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(716,304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505,664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251,629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1,674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ATM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1,012,145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9,712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Exchange of common stock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4,453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(907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(68,760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(68,760</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52,271,648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1,237,075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(785,064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451,836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368,482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1,125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ATM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2,506,327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21,905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5,884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(266</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(72,936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(72,936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55,214,097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1,266,099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(858,000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407,659</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Continued on next page.</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1"/>
        <w:gridCol w:w="146"/>
        <w:gridCol w:w="146"/>
        <w:gridCol w:w="916"/>
        <w:gridCol w:w="146"/>
        <w:gridCol w:w="146"/>
        <w:gridCol w:w="239"/>
        <w:gridCol w:w="422"/>
        <w:gridCol w:w="146"/>
        <w:gridCol w:w="146"/>
        <w:gridCol w:w="196"/>
        <w:gridCol w:w="826"/>
        <w:gridCol w:w="146"/>
        <w:gridCol w:w="146"/>
        <w:gridCol w:w="494"/>
        <w:gridCol w:w="949"/>
        <w:gridCol w:w="146"/>
        <w:gridCol w:w="146"/>
        <w:gridCol w:w="224"/>
        <w:gridCol w:w="842"/>
        <w:gridCol w:w="151"/>
        <w:gridCol w:w="146"/>
        <w:gridCol w:w="239"/>
        <w:gridCol w:w="847"/>
        <w:gridCol w:w="393"/>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45,793,942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1,086,567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(576,195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510,606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equity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508,465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6,986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(47,972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46,324,642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1,093,553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(624,167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469,723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stock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- 2020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323,290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860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 service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4,958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(54,658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(54,658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46,700,242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1,099,373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(678,825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420,890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condensed_stmt_of_cash_flows"/>
      <w:bookmarkEnd w:id="8"/>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2"/>
        <w:gridCol w:w="146"/>
        <w:gridCol w:w="211"/>
        <w:gridCol w:w="856"/>
        <w:gridCol w:w="166"/>
        <w:gridCol w:w="146"/>
        <w:gridCol w:w="211"/>
        <w:gridCol w:w="856"/>
        <w:gridCol w:w="771"/>
      </w:tblGrid>
      <w:tr>
        <w:trPr/>
        <w:tc>
          <w:tcPr>
            <w:tcW w:w="6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(102,630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Adjustments to reconcile net loss to net cash used in operating </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fair value of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accretion of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(2,433</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(91,135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(249,480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268,273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Issuance of common stock under the ATM offering program, </w:t>
              <w:br/>
              <w:t>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long-term debt, net of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(72,177</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149,336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77,159</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noncash investing and financing</w:t>
              <w:br/>
              <w:t>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and equipment in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Unpaid debt offering costs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Unpaid costs from ATM offering program in accrued and </w:t>
              <w:b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notes_to_condensed_unaudited_fs"/>
      <w:bookmarkEnd w:id="9"/>
      <w:r>
        <w:rPr>
          <w:rFonts w:ascii="Arial" w:hAnsi="Arial"/>
          <w:b/>
          <w:color w:val="000000"/>
          <w:sz w:val="20"/>
        </w:rPr>
        <w:t>4D Molecular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Financial Statements (Unaudited)</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1. The Company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late-stage biotechnology company advancing durable and disease-targeted therapeutics with potential to transform treatment paradigms and provide benefits to patients.</w:t>
      </w:r>
    </w:p>
    <w:p>
      <w:pPr>
        <w:pStyle w:val="TextBody"/>
        <w:bidi w:val="0"/>
        <w:spacing w:before="240" w:after="283"/>
        <w:jc w:val="both"/>
        <w:rPr>
          <w:rFonts w:ascii="Arial" w:hAnsi="Arial"/>
          <w:b/>
          <w:color w:val="000000"/>
          <w:sz w:val="20"/>
        </w:rPr>
      </w:pPr>
      <w:r>
        <w:rPr>
          <w:rFonts w:ascii="Arial" w:hAnsi="Arial"/>
          <w:b/>
          <w:color w:val="000000"/>
          <w:sz w:val="20"/>
        </w:rPr>
        <w:t>2025 Offering</w:t>
      </w:r>
    </w:p>
    <w:p>
      <w:pPr>
        <w:pStyle w:val="TextBody"/>
        <w:bidi w:val="0"/>
        <w:spacing w:before="240" w:after="283"/>
        <w:jc w:val="both"/>
        <w:rPr>
          <w:rFonts w:ascii="Times New Roman" w:hAnsi="Times New Roman"/>
          <w:sz w:val="20"/>
        </w:rPr>
      </w:pPr>
      <w:r>
        <w:rPr>
          <w:rFonts w:ascii="Arial" w:hAnsi="Arial"/>
          <w:color w:val="222222"/>
          <w:sz w:val="20"/>
        </w:rPr>
        <w:t>In November 2025, the Company completed an underwritten offering (the “2025 Offering”) in which 8,385,809</w:t>
      </w:r>
      <w:r>
        <w:rPr>
          <w:rFonts w:ascii="Times New Roman" w:hAnsi="Times New Roman"/>
          <w:color w:val="222222"/>
          <w:sz w:val="20"/>
        </w:rPr>
        <w:t xml:space="preserve"> </w:t>
      </w:r>
      <w:r>
        <w:rPr>
          <w:rFonts w:ascii="Arial" w:hAnsi="Arial"/>
          <w:color w:val="222222"/>
          <w:sz w:val="20"/>
        </w:rPr>
        <w:t>shares of the Company’s common stock were sold at an offering price of $10.51</w:t>
      </w:r>
      <w:r>
        <w:rPr>
          <w:rFonts w:ascii="Times New Roman" w:hAnsi="Times New Roman"/>
          <w:color w:val="222222"/>
          <w:sz w:val="20"/>
        </w:rPr>
        <w:t xml:space="preserve"> </w:t>
      </w:r>
      <w:r>
        <w:rPr>
          <w:rFonts w:ascii="Arial" w:hAnsi="Arial"/>
          <w:color w:val="222222"/>
          <w:sz w:val="20"/>
        </w:rPr>
        <w:t>per share, as well as pre-funded warrants to purchase 1,128,949</w:t>
      </w:r>
      <w:r>
        <w:rPr>
          <w:rFonts w:ascii="Times New Roman" w:hAnsi="Times New Roman"/>
          <w:color w:val="222222"/>
          <w:sz w:val="20"/>
        </w:rPr>
        <w:t xml:space="preserve"> </w:t>
      </w:r>
      <w:r>
        <w:rPr>
          <w:rFonts w:ascii="Arial" w:hAnsi="Arial"/>
          <w:color w:val="222222"/>
          <w:sz w:val="20"/>
        </w:rPr>
        <w:t>shares of the Company’s common stock at an offering price of $10.5099</w:t>
      </w:r>
      <w:r>
        <w:rPr>
          <w:rFonts w:ascii="Times New Roman" w:hAnsi="Times New Roman"/>
          <w:color w:val="222222"/>
          <w:sz w:val="20"/>
        </w:rPr>
        <w:t xml:space="preserve"> </w:t>
      </w:r>
      <w:r>
        <w:rPr>
          <w:rFonts w:ascii="Arial" w:hAnsi="Arial"/>
          <w:color w:val="222222"/>
          <w:sz w:val="20"/>
        </w:rPr>
        <w:t>per underlying share pursuant to an effective Registration Statement on Form S-3. The net proceeds from the 2025 Offering were approximately $93.3</w:t>
      </w:r>
      <w:r>
        <w:rPr>
          <w:rFonts w:ascii="Times New Roman" w:hAnsi="Times New Roman"/>
          <w:color w:val="222222"/>
          <w:sz w:val="20"/>
        </w:rPr>
        <w:t xml:space="preserve"> </w:t>
      </w:r>
      <w:r>
        <w:rPr>
          <w:rFonts w:ascii="Arial" w:hAnsi="Arial"/>
          <w:color w:val="222222"/>
          <w:sz w:val="20"/>
        </w:rPr>
        <w:t>million, after deducting the underwriting discounts and commissions and other offering expenses.</w:t>
      </w:r>
      <w:r>
        <w:rPr>
          <w:rFonts w:ascii="Times New Roman" w:hAnsi="Times New Roman"/>
          <w:color w:val="222222"/>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Liquidity</w:t>
      </w:r>
    </w:p>
    <w:p>
      <w:pPr>
        <w:pStyle w:val="TextBody"/>
        <w:bidi w:val="0"/>
        <w:spacing w:before="120" w:after="283"/>
        <w:jc w:val="both"/>
        <w:rPr>
          <w:rFonts w:ascii="Times New Roman" w:hAnsi="Times New Roman"/>
          <w:sz w:val="20"/>
        </w:rPr>
      </w:pPr>
      <w:r>
        <w:rPr>
          <w:rFonts w:ascii="Arial" w:hAnsi="Arial"/>
          <w:color w:val="000000"/>
          <w:sz w:val="20"/>
        </w:rPr>
        <w:t>The Company has incurred significant losses and negative cash flows from operations and had an accumulated deficit of $858.0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of June 30, 2026. The Company believes that its cash, cash equivalents and marketable securities as of June 30, 2026 are sufficient for the Company to fund planned operations for at least one year from the issuance date of these condensed financial statements. The Company has funded its operations primarily through the sale and issuance of equity securities, including primary follow-on offerings and use of the Company's "at-the-market" offering program, from borrowings under the Company’s $200.0</w:t>
      </w:r>
      <w:r>
        <w:rPr>
          <w:rFonts w:ascii="Times New Roman" w:hAnsi="Times New Roman"/>
          <w:color w:val="000000"/>
          <w:sz w:val="20"/>
        </w:rPr>
        <w:t xml:space="preserve"> </w:t>
      </w:r>
      <w:r>
        <w:rPr>
          <w:rFonts w:ascii="Arial" w:hAnsi="Arial"/>
          <w:color w:val="000000"/>
          <w:sz w:val="20"/>
        </w:rPr>
        <w:t>million loan facility (the “Loan and Security Agreement”) with Hercules Capital, Inc. (“Hercules”) (see Note 9, Long-Term Debt) and, to a lesser extent, from cash received pursuant to its collaboration and license agreements.</w:t>
      </w:r>
      <w:r>
        <w:rPr>
          <w:rFonts w:ascii="Times New Roman" w:hAnsi="Times New Roman"/>
          <w:color w:val="000000"/>
          <w:sz w:val="20"/>
        </w:rPr>
        <w:t xml:space="preserve"> </w:t>
      </w:r>
      <w:r>
        <w:rPr>
          <w:rFonts w:ascii="Arial" w:hAnsi="Arial"/>
          <w:color w:val="000000"/>
          <w:sz w:val="20"/>
        </w:rPr>
        <w:t>To date, none of the Company’s product candidates have been approved for sale, and therefore, the Company has not generated any revenue from product sales. Management expects operating losses and negative cash flows from operations to continue for the foreseeable future. The Company plans to raise additional funding as required based on the status of its clinical trials and projected cash flows. There can be no assurance that, in the event the Company requires additional financing, such financing will be available on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Basis of Presentation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accompanying condensed financial statements have been prepared in accordance with United States Generally Accepted Accounting Principles (“U.S. GAAP”) and the rules and regulations of the United States Securities and Exchange Commission (“SEC”) for interim reporting.</w:t>
      </w:r>
    </w:p>
    <w:p>
      <w:pPr>
        <w:pStyle w:val="TextBody"/>
        <w:bidi w:val="0"/>
        <w:spacing w:before="240" w:after="283"/>
        <w:jc w:val="both"/>
        <w:rPr>
          <w:rFonts w:ascii="Arial" w:hAnsi="Arial"/>
          <w:color w:val="000000"/>
          <w:sz w:val="20"/>
        </w:rPr>
      </w:pPr>
      <w:r>
        <w:rPr>
          <w:rFonts w:ascii="Arial" w:hAnsi="Arial"/>
          <w:color w:val="000000"/>
          <w:sz w:val="20"/>
        </w:rPr>
        <w:t>Certain information and note disclosures normally included in annual financial statements prepared in accordance with U.S. GAAP have been condensed or omitted. Accordingly, the condensed financial statements should be read in conjunction with the audited financial statements and the related notes thereto included in the Company’s Annual Report on Form 10-K for the year ended December 31, 2025, filed with the SEC.</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accompanying financial information for the three and six months ended June 30, 2026 and 2025 is unaudited. The condensed financial statements have been prepared on the same basis as the annual audited financial statements and, in the opinion of management, reflect all adjustments, consisting of only normal recurring adjustments, necessary for a fair statement of the Company’s financial position as of June 30, 2026, and its results of operations and cash flows for the three and six months ended June 30, 2026 and 2025. The condensed balance sheet at December 31, 2025 was derived from audited annual financial statements but does not contain all of the footnote disclosures from the annual financial statements. The results for interim periods are not necessarily indicative of the results expected for the full fiscal year or any other periods.</w:t>
      </w:r>
    </w:p>
    <w:p>
      <w:pPr>
        <w:pStyle w:val="TextBody"/>
        <w:bidi w:val="0"/>
        <w:spacing w:before="240" w:after="283"/>
        <w:jc w:val="both"/>
        <w:rPr>
          <w:rFonts w:ascii="Arial" w:hAnsi="Arial"/>
          <w:b/>
          <w:color w:val="000000"/>
          <w:sz w:val="20"/>
        </w:rPr>
      </w:pPr>
      <w:r>
        <w:rPr>
          <w:rFonts w:ascii="Arial" w:hAnsi="Arial"/>
          <w:b/>
          <w:color w:val="000000"/>
          <w:sz w:val="20"/>
        </w:rPr>
        <w:t>Use of Estimates and Judgments</w:t>
      </w:r>
    </w:p>
    <w:p>
      <w:pPr>
        <w:pStyle w:val="TextBody"/>
        <w:bidi w:val="0"/>
        <w:spacing w:before="240" w:after="283"/>
        <w:jc w:val="both"/>
        <w:rPr>
          <w:rFonts w:ascii="Times New Roman" w:hAnsi="Times New Roman"/>
          <w:sz w:val="20"/>
        </w:rPr>
      </w:pPr>
      <w:r>
        <w:rPr>
          <w:rFonts w:ascii="Arial" w:hAnsi="Arial"/>
          <w:color w:val="000000"/>
          <w:sz w:val="20"/>
        </w:rPr>
        <w:t>The preparation of financial statements in conformity with U.S. GAAP requires management to make estimates and judgments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stock options, the derivative instrument, long-term debt and income tax uncertainties. Actual results could differ from those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war in Ukraine, conflicts in the Middle East, any expansion of these conflicts, rising interest rates, tariffs and inflation, natural disasters and health crises, such as pandemics,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June 30, 2026. While there was not a material impact to the Company’s condensed financial statements as of June 30, 2026, these estimates may change, as new events occur and additional information is obtained, as well as other factors that could result in material impacts to the condensed financial statements in future reporting periods.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Long-Term Debt</w:t>
      </w:r>
    </w:p>
    <w:p>
      <w:pPr>
        <w:pStyle w:val="TextBody"/>
        <w:bidi w:val="0"/>
        <w:spacing w:before="240" w:after="283"/>
        <w:jc w:val="both"/>
        <w:rPr>
          <w:rFonts w:ascii="Arial" w:hAnsi="Arial"/>
          <w:color w:val="000000"/>
          <w:sz w:val="20"/>
        </w:rPr>
      </w:pPr>
      <w:r>
        <w:rPr>
          <w:rFonts w:ascii="Arial" w:hAnsi="Arial"/>
          <w:color w:val="000000"/>
          <w:sz w:val="20"/>
        </w:rPr>
        <w:t>Long-term debt is recognized at cost and presented net of the original issue discount or premium and debt issuance costs on the condensed balance sheets. Amortization of debt discount and debt issuance costs is recognized as interest expense over the period of the debt, using the effective interest rate method. See Note 9, Long-Term Debt, for further discussion on the long-term debt.</w:t>
      </w:r>
    </w:p>
    <w:p>
      <w:pPr>
        <w:pStyle w:val="TextBody"/>
        <w:bidi w:val="0"/>
        <w:spacing w:before="240" w:after="283"/>
        <w:jc w:val="both"/>
        <w:rPr>
          <w:rFonts w:ascii="Times New Roman" w:hAnsi="Times New Roman"/>
          <w:sz w:val="20"/>
        </w:rPr>
      </w:pPr>
      <w:r>
        <w:rPr>
          <w:rFonts w:ascii="Arial" w:hAnsi="Arial"/>
          <w:b/>
          <w:color w:val="000000"/>
          <w:sz w:val="20"/>
        </w:rPr>
        <w:t>Segment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manages its business as one</w:t>
      </w:r>
      <w:r>
        <w:rPr>
          <w:rFonts w:ascii="Times New Roman" w:hAnsi="Times New Roman"/>
          <w:color w:val="000000"/>
          <w:sz w:val="20"/>
        </w:rPr>
        <w:t xml:space="preserve"> </w:t>
      </w:r>
      <w:r>
        <w:rPr>
          <w:rFonts w:ascii="Arial" w:hAnsi="Arial"/>
          <w:color w:val="000000"/>
          <w:sz w:val="20"/>
        </w:rPr>
        <w:t>segment which includes all activities related to the discovery, development, and commercialization of medicines for specific diseases. See Note 20, Segment Information, for financial information related to the Company's one</w:t>
      </w:r>
      <w:r>
        <w:rPr>
          <w:rFonts w:ascii="Times New Roman" w:hAnsi="Times New Roman"/>
          <w:color w:val="000000"/>
          <w:sz w:val="20"/>
        </w:rPr>
        <w:t xml:space="preserve"> </w:t>
      </w:r>
      <w:r>
        <w:rPr>
          <w:rFonts w:ascii="Arial" w:hAnsi="Arial"/>
          <w:color w:val="000000"/>
          <w:sz w:val="20"/>
        </w:rPr>
        <w:t>segment.</w:t>
      </w:r>
    </w:p>
    <w:p>
      <w:pPr>
        <w:pStyle w:val="TextBody"/>
        <w:bidi w:val="0"/>
        <w:spacing w:before="240" w:after="283"/>
        <w:jc w:val="both"/>
        <w:rPr>
          <w:rFonts w:ascii="Times New Roman" w:hAnsi="Times New Roman"/>
          <w:sz w:val="20"/>
        </w:rPr>
      </w:pPr>
      <w:r>
        <w:rPr>
          <w:rFonts w:ascii="Arial" w:hAnsi="Arial"/>
          <w:b/>
          <w:color w:val="000000"/>
          <w:sz w:val="20"/>
        </w:rPr>
        <w:t>Concentration of Credit Risk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Financial instruments that potentially subject the Company to a concentration of credit risk consist of cash and cash equivalents, marketable securities and accounts receivable. The Company’s cash is held at two</w:t>
      </w:r>
      <w:r>
        <w:rPr>
          <w:rFonts w:ascii="Times New Roman" w:hAnsi="Times New Roman"/>
          <w:color w:val="000000"/>
          <w:sz w:val="20"/>
        </w:rPr>
        <w:t xml:space="preserve"> </w:t>
      </w:r>
      <w:r>
        <w:rPr>
          <w:rFonts w:ascii="Arial" w:hAnsi="Arial"/>
          <w:color w:val="000000"/>
          <w:sz w:val="20"/>
        </w:rPr>
        <w:t>financial institutions in the United States of America. The Company’s cash equivalents are invested in money market funds. The Company also invests in U.S. Treasuries, U.S. government sponsored agencies, commercial paper, corporate bonds and certificates of deposit. The Company has not experienced any losses on its deposits of cash and cash equivalents. Such deposits may, at times, exceed federally insured limits.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The Company’s partners in collaboration and license agreements who represent 10% or more of the Company’s total revenue are as follows:</w:t>
      </w:r>
    </w:p>
    <w:tbl>
      <w:tblPr>
        <w:tblW w:w="4853" w:type="dxa"/>
        <w:jc w:val="left"/>
        <w:tblInd w:w="0" w:type="dxa"/>
        <w:tblLayout w:type="fixed"/>
        <w:tblCellMar>
          <w:top w:w="28" w:type="dxa"/>
          <w:left w:w="28" w:type="dxa"/>
          <w:bottom w:w="28" w:type="dxa"/>
          <w:right w:w="28" w:type="dxa"/>
        </w:tblCellMar>
      </w:tblPr>
      <w:tblGrid>
        <w:gridCol w:w="1216"/>
        <w:gridCol w:w="146"/>
        <w:gridCol w:w="700"/>
        <w:gridCol w:w="206"/>
        <w:gridCol w:w="849"/>
        <w:gridCol w:w="146"/>
        <w:gridCol w:w="503"/>
        <w:gridCol w:w="148"/>
        <w:gridCol w:w="939"/>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rFonts w:ascii="Arial" w:hAnsi="Arial"/>
                <w:color w:val="000000"/>
                <w:sz w:val="20"/>
              </w:rPr>
            </w:pPr>
            <w:r>
              <w:rPr>
                <w:rFonts w:ascii="Arial" w:hAnsi="Arial"/>
                <w:color w:val="000000"/>
                <w:sz w:val="20"/>
              </w:rPr>
              <w:t>100%</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98%</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0"/>
        </w:rPr>
      </w:pPr>
      <w:r>
        <w:rPr>
          <w:rFonts w:ascii="Arial" w:hAnsi="Arial"/>
          <w:color w:val="000000"/>
          <w:sz w:val="20"/>
        </w:rPr>
        <w:t>______________</w:t>
      </w:r>
    </w:p>
    <w:p>
      <w:pPr>
        <w:pStyle w:val="TextBody"/>
        <w:bidi w:val="0"/>
        <w:jc w:val="left"/>
        <w:rPr>
          <w:rFonts w:ascii="Arial" w:hAnsi="Arial"/>
          <w:color w:val="000000"/>
          <w:sz w:val="20"/>
        </w:rPr>
      </w:pPr>
      <w:r>
        <w:rPr>
          <w:rFonts w:ascii="Arial" w:hAnsi="Arial"/>
          <w:color w:val="000000"/>
          <w:sz w:val="20"/>
        </w:rPr>
        <w:t>* Less than 10%</w:t>
      </w:r>
    </w:p>
    <w:p>
      <w:pPr>
        <w:pStyle w:val="TextBody"/>
        <w:bidi w:val="0"/>
        <w:spacing w:before="240" w:after="283"/>
        <w:jc w:val="both"/>
        <w:rPr>
          <w:rFonts w:ascii="Times New Roman" w:hAnsi="Times New Roman"/>
          <w:sz w:val="20"/>
        </w:rPr>
      </w:pPr>
      <w:r>
        <w:rPr>
          <w:rFonts w:ascii="Arial" w:hAnsi="Arial"/>
          <w:color w:val="000000"/>
          <w:sz w:val="20"/>
        </w:rPr>
        <w:t>As of June 30, 2026, the Company had $4.6</w:t>
      </w:r>
      <w:r>
        <w:rPr>
          <w:rFonts w:ascii="Times New Roman" w:hAnsi="Times New Roman"/>
          <w:color w:val="000000"/>
          <w:sz w:val="20"/>
        </w:rPr>
        <w:t xml:space="preserve"> </w:t>
      </w:r>
      <w:r>
        <w:rPr>
          <w:rFonts w:ascii="Arial" w:hAnsi="Arial"/>
          <w:color w:val="000000"/>
          <w:sz w:val="20"/>
        </w:rPr>
        <w:t>million due from Otsuka Pharmaceutical Co., Ltd. (“Otsuka”) related to the estimated cost sharing and reimbursement. The Company did not have accounts receivable from its other partner in collaboration and license agreements as of June 30, 2026 and December 31, 2025.</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The Company’s total revenues by geographic region, based on the location of the customer, are as follows (in thousands):</w:t>
      </w:r>
      <w:r>
        <w:rPr>
          <w:rFonts w:ascii="Times New Roman" w:hAnsi="Times New Roman"/>
          <w:color w:val="000000"/>
          <w:sz w:val="20"/>
        </w:rPr>
        <w:t xml:space="preserve"> </w:t>
      </w:r>
    </w:p>
    <w:tbl>
      <w:tblPr>
        <w:tblW w:w="5895" w:type="dxa"/>
        <w:jc w:val="left"/>
        <w:tblInd w:w="0" w:type="dxa"/>
        <w:tblLayout w:type="fixed"/>
        <w:tblCellMar>
          <w:top w:w="28" w:type="dxa"/>
          <w:left w:w="28" w:type="dxa"/>
          <w:bottom w:w="28" w:type="dxa"/>
          <w:right w:w="28" w:type="dxa"/>
        </w:tblCellMar>
      </w:tblPr>
      <w:tblGrid>
        <w:gridCol w:w="1586"/>
        <w:gridCol w:w="146"/>
        <w:gridCol w:w="225"/>
        <w:gridCol w:w="625"/>
        <w:gridCol w:w="155"/>
        <w:gridCol w:w="155"/>
        <w:gridCol w:w="225"/>
        <w:gridCol w:w="369"/>
        <w:gridCol w:w="146"/>
        <w:gridCol w:w="146"/>
        <w:gridCol w:w="211"/>
        <w:gridCol w:w="586"/>
        <w:gridCol w:w="146"/>
        <w:gridCol w:w="146"/>
        <w:gridCol w:w="211"/>
        <w:gridCol w:w="346"/>
        <w:gridCol w:w="47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3,781</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color w:val="000000"/>
          <w:sz w:val="20"/>
        </w:rPr>
        <w:t>Other Risks and Uncertainties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and uncertainties common to late clinical-stage companies in the biotechnology industry, including, but not limited to, development by competitors of new technological innovations, protection of proprietary technology, dependence on key personnel, suppliers for key raw materials, contract development and manufacturing organizations (“CDMOs”)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Recently Issued Accounting Pronouncements Not Yet Adopted</w:t>
      </w:r>
    </w:p>
    <w:p>
      <w:pPr>
        <w:pStyle w:val="TextBody"/>
        <w:bidi w:val="0"/>
        <w:spacing w:before="240" w:after="283"/>
        <w:jc w:val="both"/>
        <w:rPr>
          <w:rFonts w:ascii="Times New Roman" w:hAnsi="Times New Roman"/>
          <w:sz w:val="20"/>
        </w:rPr>
      </w:pPr>
      <w:r>
        <w:rPr>
          <w:rFonts w:ascii="Arial" w:hAnsi="Arial"/>
          <w:color w:val="222222"/>
          <w:sz w:val="20"/>
        </w:rPr>
        <w:t xml:space="preserve">In November 2024, the </w:t>
      </w:r>
      <w:r>
        <w:rPr>
          <w:rFonts w:ascii="Arial" w:hAnsi="Arial"/>
          <w:color w:val="000000"/>
          <w:sz w:val="20"/>
        </w:rPr>
        <w:t>Financial Accounting Standards Board</w:t>
      </w:r>
      <w:r>
        <w:rPr>
          <w:rFonts w:ascii="Times New Roman" w:hAnsi="Times New Roman"/>
          <w:color w:val="222222"/>
          <w:sz w:val="20"/>
        </w:rPr>
        <w:t xml:space="preserve"> </w:t>
      </w:r>
      <w:r>
        <w:rPr>
          <w:rFonts w:ascii="Arial" w:hAnsi="Arial"/>
          <w:color w:val="222222"/>
          <w:sz w:val="20"/>
        </w:rPr>
        <w:t xml:space="preserve">issued Accounting Standards Update ("ASU") No. 2024-03, </w:t>
      </w:r>
      <w:r>
        <w:rPr>
          <w:rFonts w:ascii="Arial" w:hAnsi="Arial"/>
          <w:i/>
          <w:color w:val="222222"/>
          <w:sz w:val="20"/>
        </w:rPr>
        <w:t>Income Statement - Reporting Comprehensive Income - Expense Disaggregation Disclosures (Topic 220) - Disaggregation of Income Statement Expenses</w:t>
      </w:r>
      <w:r>
        <w:rPr>
          <w:rFonts w:ascii="Arial" w:hAnsi="Arial"/>
          <w:color w:val="222222"/>
          <w:sz w:val="20"/>
        </w:rPr>
        <w:t>. ASU 2024-03 requires public business entities to disclose, on an annual and interim basis, disaggregated information about certain income statement expense line items in the notes to the financial statements. ASU 2024-03 is effective for fiscal years beginning after December 15, 2026 (fiscal 2027) and interim periods within fiscal years beginning after December 15, 2027 (fiscal 2028). The ASU must be applied prospectively and may be applied retrospectively if elected. The Company is currently evaluating the effect of adopting this new accounting guidance.</w:t>
      </w:r>
      <w:r>
        <w:rPr>
          <w:rFonts w:ascii="Times New Roman" w:hAnsi="Times New Roman"/>
          <w:color w:val="222222"/>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Recently Issued Accounting Pronouncements Adopted</w:t>
      </w:r>
    </w:p>
    <w:p>
      <w:pPr>
        <w:pStyle w:val="TextBody"/>
        <w:bidi w:val="0"/>
        <w:spacing w:before="240" w:after="283"/>
        <w:jc w:val="both"/>
        <w:rPr>
          <w:rFonts w:ascii="Times New Roman" w:hAnsi="Times New Roman"/>
          <w:sz w:val="20"/>
        </w:rPr>
      </w:pPr>
      <w:r>
        <w:rPr>
          <w:rFonts w:ascii="Arial" w:hAnsi="Arial"/>
          <w:color w:val="000000"/>
          <w:sz w:val="20"/>
        </w:rPr>
        <w:t xml:space="preserve">In December 2025, the FASB issued </w:t>
      </w:r>
      <w:r>
        <w:rPr>
          <w:rFonts w:ascii="Arial" w:hAnsi="Arial"/>
          <w:i/>
          <w:color w:val="000000"/>
          <w:sz w:val="20"/>
        </w:rPr>
        <w:t>ASU 2025-10, Government Grants</w:t>
      </w:r>
      <w:r>
        <w:rPr>
          <w:rFonts w:ascii="Times New Roman" w:hAnsi="Times New Roman"/>
          <w:color w:val="000000"/>
          <w:sz w:val="20"/>
        </w:rPr>
        <w:t xml:space="preserve"> </w:t>
      </w:r>
      <w:r>
        <w:rPr>
          <w:rFonts w:ascii="Arial" w:hAnsi="Arial"/>
          <w:color w:val="000000"/>
          <w:sz w:val="20"/>
        </w:rPr>
        <w:t xml:space="preserve">(Topic 832): </w:t>
      </w:r>
      <w:r>
        <w:rPr>
          <w:rFonts w:ascii="Arial" w:hAnsi="Arial"/>
          <w:i/>
          <w:color w:val="000000"/>
          <w:sz w:val="20"/>
        </w:rPr>
        <w:t>Accounting for Government Grants Received by Business Entities</w:t>
      </w:r>
      <w:r>
        <w:rPr>
          <w:rFonts w:ascii="Arial" w:hAnsi="Arial"/>
          <w:color w:val="000000"/>
          <w:sz w:val="20"/>
        </w:rPr>
        <w:t>, which establishes authoritative guidance on the recognition, measurement, presentation and disclosure of government grants received by business entities. The guidance applies to grants related to assets and grants related to income and requires recognition when it is probable that the Company will comply with the conditions attached to the grant and the grant will be received. The guidance also permits either modified prospective, modified retrospective or retrospective transition and is effective for annual and interim periods beginning after December 15, 2028, with early adoption permitted. The Company early adopted</w:t>
      </w:r>
      <w:r>
        <w:rPr>
          <w:rFonts w:ascii="Times New Roman" w:hAnsi="Times New Roman"/>
          <w:color w:val="000000"/>
          <w:sz w:val="20"/>
        </w:rPr>
        <w:t xml:space="preserve"> </w:t>
      </w:r>
      <w:r>
        <w:rPr>
          <w:rFonts w:ascii="Arial" w:hAnsi="Arial"/>
          <w:i/>
          <w:color w:val="000000"/>
          <w:sz w:val="20"/>
        </w:rPr>
        <w:t>ASU 2025-10</w:t>
      </w:r>
      <w:r>
        <w:rPr>
          <w:rFonts w:ascii="Times New Roman" w:hAnsi="Times New Roman"/>
          <w:color w:val="000000"/>
          <w:sz w:val="20"/>
        </w:rPr>
        <w:t xml:space="preserve"> </w:t>
      </w:r>
      <w:r>
        <w:rPr>
          <w:rFonts w:ascii="Arial" w:hAnsi="Arial"/>
          <w:color w:val="000000"/>
          <w:sz w:val="20"/>
        </w:rPr>
        <w:t>as of the beginning of the current fiscal year</w:t>
      </w:r>
      <w:r>
        <w:rPr>
          <w:rFonts w:ascii="Times New Roman" w:hAnsi="Times New Roman"/>
          <w:color w:val="000000"/>
          <w:sz w:val="20"/>
        </w:rPr>
        <w:t xml:space="preserve"> </w:t>
      </w:r>
      <w:r>
        <w:rPr>
          <w:rFonts w:ascii="Arial" w:hAnsi="Arial"/>
          <w:color w:val="000000"/>
          <w:sz w:val="20"/>
        </w:rPr>
        <w:t>using the modified prospective approach. The adoption</w:t>
      </w:r>
      <w:r>
        <w:rPr>
          <w:rFonts w:ascii="Times New Roman" w:hAnsi="Times New Roman"/>
          <w:color w:val="000000"/>
          <w:sz w:val="20"/>
        </w:rPr>
        <w:t xml:space="preserve"> </w:t>
      </w:r>
      <w:r>
        <w:rPr>
          <w:rFonts w:ascii="Arial" w:hAnsi="Arial"/>
          <w:color w:val="000000"/>
          <w:sz w:val="20"/>
        </w:rPr>
        <w:t>did not have an impact on the Company’s condensed financial statements or related disclosures.</w:t>
      </w:r>
    </w:p>
    <w:p>
      <w:pPr>
        <w:pStyle w:val="TextBody"/>
        <w:bidi w:val="0"/>
        <w:spacing w:before="240" w:after="240"/>
        <w:jc w:val="both"/>
        <w:rPr>
          <w:rFonts w:ascii="Arial" w:hAnsi="Arial"/>
          <w:b/>
          <w:i/>
          <w:color w:val="000000"/>
          <w:sz w:val="20"/>
        </w:rPr>
      </w:pPr>
      <w:r>
        <w:rPr>
          <w:rFonts w:ascii="Arial" w:hAnsi="Arial"/>
          <w:b/>
          <w:i/>
          <w:color w:val="000000"/>
          <w:sz w:val="20"/>
        </w:rPr>
        <w:t>3. Fair Value Measurements and Marketable Securities</w:t>
      </w:r>
    </w:p>
    <w:p>
      <w:pPr>
        <w:pStyle w:val="TextBody"/>
        <w:bidi w:val="0"/>
        <w:spacing w:before="0" w:after="240"/>
        <w:jc w:val="both"/>
        <w:rPr>
          <w:rFonts w:ascii="Times New Roman" w:hAnsi="Times New Roman"/>
          <w:sz w:val="20"/>
        </w:rPr>
      </w:pPr>
      <w:r>
        <w:rPr>
          <w:rFonts w:ascii="Arial" w:hAnsi="Arial"/>
          <w:color w:val="000000"/>
          <w:sz w:val="20"/>
        </w:rPr>
        <w:t>The following tables represent the Company’s fair value hierarchy for financial assets and financial liabilities measured at fair value on a recurring basis (in thousands):</w:t>
      </w:r>
      <w:r>
        <w:rPr>
          <w:rFonts w:ascii="Times New Roman" w:hAnsi="Times New Roman"/>
          <w:color w:val="000000"/>
          <w:sz w:val="20"/>
        </w:rPr>
        <w:t xml:space="preserve"> </w:t>
      </w:r>
    </w:p>
    <w:tbl>
      <w:tblPr>
        <w:tblW w:w="10573" w:type="dxa"/>
        <w:jc w:val="left"/>
        <w:tblInd w:w="0" w:type="dxa"/>
        <w:tblLayout w:type="fixed"/>
        <w:tblCellMar>
          <w:top w:w="28" w:type="dxa"/>
          <w:left w:w="28" w:type="dxa"/>
          <w:bottom w:w="28" w:type="dxa"/>
          <w:right w:w="28" w:type="dxa"/>
        </w:tblCellMar>
      </w:tblPr>
      <w:tblGrid>
        <w:gridCol w:w="1261"/>
        <w:gridCol w:w="146"/>
        <w:gridCol w:w="205"/>
        <w:gridCol w:w="726"/>
        <w:gridCol w:w="146"/>
        <w:gridCol w:w="146"/>
        <w:gridCol w:w="342"/>
        <w:gridCol w:w="604"/>
        <w:gridCol w:w="146"/>
        <w:gridCol w:w="146"/>
        <w:gridCol w:w="293"/>
        <w:gridCol w:w="653"/>
        <w:gridCol w:w="166"/>
        <w:gridCol w:w="146"/>
        <w:gridCol w:w="196"/>
        <w:gridCol w:w="691"/>
        <w:gridCol w:w="146"/>
        <w:gridCol w:w="146"/>
        <w:gridCol w:w="254"/>
        <w:gridCol w:w="782"/>
        <w:gridCol w:w="146"/>
        <w:gridCol w:w="146"/>
        <w:gridCol w:w="212"/>
        <w:gridCol w:w="749"/>
        <w:gridCol w:w="146"/>
        <w:gridCol w:w="146"/>
        <w:gridCol w:w="269"/>
        <w:gridCol w:w="827"/>
        <w:gridCol w:w="5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Current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Non-Current Marketable Securities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431,075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tbl>
      <w:tblPr>
        <w:tblW w:w="10587" w:type="dxa"/>
        <w:jc w:val="left"/>
        <w:tblInd w:w="0" w:type="dxa"/>
        <w:tblLayout w:type="fixed"/>
        <w:tblCellMar>
          <w:top w:w="28" w:type="dxa"/>
          <w:left w:w="28" w:type="dxa"/>
          <w:bottom w:w="28" w:type="dxa"/>
          <w:right w:w="28" w:type="dxa"/>
        </w:tblCellMar>
      </w:tblPr>
      <w:tblGrid>
        <w:gridCol w:w="1261"/>
        <w:gridCol w:w="146"/>
        <w:gridCol w:w="205"/>
        <w:gridCol w:w="726"/>
        <w:gridCol w:w="146"/>
        <w:gridCol w:w="146"/>
        <w:gridCol w:w="324"/>
        <w:gridCol w:w="622"/>
        <w:gridCol w:w="146"/>
        <w:gridCol w:w="146"/>
        <w:gridCol w:w="342"/>
        <w:gridCol w:w="604"/>
        <w:gridCol w:w="166"/>
        <w:gridCol w:w="146"/>
        <w:gridCol w:w="199"/>
        <w:gridCol w:w="702"/>
        <w:gridCol w:w="146"/>
        <w:gridCol w:w="146"/>
        <w:gridCol w:w="254"/>
        <w:gridCol w:w="782"/>
        <w:gridCol w:w="146"/>
        <w:gridCol w:w="146"/>
        <w:gridCol w:w="212"/>
        <w:gridCol w:w="749"/>
        <w:gridCol w:w="146"/>
        <w:gridCol w:w="146"/>
        <w:gridCol w:w="242"/>
        <w:gridCol w:w="854"/>
        <w:gridCol w:w="5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Current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Non-Current Marketable Securities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111,379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111,379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are no</w:t>
      </w:r>
      <w:r>
        <w:rPr>
          <w:rFonts w:ascii="Times New Roman" w:hAnsi="Times New Roman"/>
          <w:color w:val="000000"/>
          <w:sz w:val="20"/>
        </w:rPr>
        <w:t xml:space="preserve"> </w:t>
      </w:r>
      <w:r>
        <w:rPr>
          <w:rFonts w:ascii="Arial" w:hAnsi="Arial"/>
          <w:color w:val="000000"/>
          <w:sz w:val="20"/>
        </w:rPr>
        <w:t>Level 3 assets</w:t>
      </w:r>
      <w:r>
        <w:rPr>
          <w:rFonts w:ascii="Times New Roman" w:hAnsi="Times New Roman"/>
          <w:color w:val="000000"/>
          <w:sz w:val="20"/>
        </w:rPr>
        <w:t xml:space="preserve">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Level 1 or 2 liabilities.</w:t>
      </w:r>
    </w:p>
    <w:p>
      <w:pPr>
        <w:pStyle w:val="TextBody"/>
        <w:bidi w:val="0"/>
        <w:spacing w:before="240" w:after="283"/>
        <w:jc w:val="both"/>
        <w:rPr>
          <w:rFonts w:ascii="Times New Roman" w:hAnsi="Times New Roman"/>
          <w:sz w:val="20"/>
        </w:rPr>
      </w:pPr>
      <w:r>
        <w:rPr>
          <w:rFonts w:ascii="Arial" w:hAnsi="Arial"/>
          <w:b/>
          <w:color w:val="000000"/>
          <w:sz w:val="20"/>
        </w:rPr>
        <w:t>Level 3 Inputs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fair value of the derivative liability is based on significant inputs not observable in the market, which represent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the Cystic Fibrosis Foundation, the probability of a change of control event, the product status at time of a change of control event and the discount rate. See Note 6, Research and Collaboration Arrangements, and Note 16, Derivative Liability, for further discussion on the embedded derivative.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between Level 1, 2 and 3 for assets or liabilities during the periods presented.</w:t>
      </w:r>
      <w:r>
        <w:rPr>
          <w:rFonts w:ascii="Times New Roman" w:hAnsi="Times New Roman"/>
          <w:color w:val="000000"/>
          <w:sz w:val="20"/>
        </w:rPr>
        <w:t xml:space="preserve"> </w:t>
      </w:r>
    </w:p>
    <w:p>
      <w:pPr>
        <w:pStyle w:val="TextBody"/>
        <w:bidi w:val="0"/>
        <w:spacing w:before="240" w:after="240"/>
        <w:jc w:val="both"/>
        <w:rPr>
          <w:rFonts w:ascii="Arial" w:hAnsi="Arial"/>
          <w:color w:val="000000"/>
          <w:sz w:val="20"/>
        </w:rPr>
      </w:pPr>
      <w:r>
        <w:rPr>
          <w:rFonts w:ascii="Arial" w:hAnsi="Arial"/>
          <w:color w:val="000000"/>
          <w:sz w:val="20"/>
        </w:rPr>
        <w:t>The following table sets forth a summary of the changes in the fair value of the Company's Level 3 financial instrument (in thousands):</w:t>
      </w:r>
    </w:p>
    <w:tbl>
      <w:tblPr>
        <w:tblW w:w="4949" w:type="dxa"/>
        <w:jc w:val="left"/>
        <w:tblInd w:w="0" w:type="dxa"/>
        <w:tblLayout w:type="fixed"/>
        <w:tblCellMar>
          <w:top w:w="28" w:type="dxa"/>
          <w:left w:w="28" w:type="dxa"/>
          <w:bottom w:w="28" w:type="dxa"/>
          <w:right w:w="28" w:type="dxa"/>
        </w:tblCellMar>
      </w:tblPr>
      <w:tblGrid>
        <w:gridCol w:w="3166"/>
        <w:gridCol w:w="426"/>
        <w:gridCol w:w="295"/>
        <w:gridCol w:w="591"/>
        <w:gridCol w:w="471"/>
      </w:tblGrid>
      <w:tr>
        <w:trPr/>
        <w:tc>
          <w:tcPr>
            <w:tcW w:w="31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Derivative</w:t>
              <w:br/>
              <w:t>Liability</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fair value</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June 30,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change in fair value above is included in other income (expense), net, in the Company's condensed statements of operations.</w:t>
      </w:r>
    </w:p>
    <w:p>
      <w:pPr>
        <w:pStyle w:val="TextBody"/>
        <w:bidi w:val="0"/>
        <w:spacing w:before="240" w:after="283"/>
        <w:jc w:val="both"/>
        <w:rPr>
          <w:rFonts w:ascii="Times New Roman" w:hAnsi="Times New Roman"/>
          <w:sz w:val="20"/>
        </w:rPr>
      </w:pPr>
      <w:r>
        <w:rPr>
          <w:rFonts w:ascii="Arial" w:hAnsi="Arial"/>
          <w:color w:val="000000"/>
          <w:sz w:val="20"/>
        </w:rPr>
        <w:t>All marketable securities held as of June 30, 2026</w:t>
      </w:r>
      <w:r>
        <w:rPr>
          <w:rFonts w:ascii="Times New Roman" w:hAnsi="Times New Roman"/>
          <w:color w:val="000000"/>
          <w:sz w:val="20"/>
        </w:rPr>
        <w:t xml:space="preserve"> </w:t>
      </w:r>
      <w:r>
        <w:rPr>
          <w:rFonts w:ascii="Arial" w:hAnsi="Arial"/>
          <w:color w:val="000000"/>
          <w:sz w:val="20"/>
        </w:rPr>
        <w:t>had contractual maturities of less than two years. There have been no</w:t>
      </w:r>
      <w:r>
        <w:rPr>
          <w:rFonts w:ascii="Times New Roman" w:hAnsi="Times New Roman"/>
          <w:color w:val="000000"/>
          <w:sz w:val="20"/>
        </w:rPr>
        <w:t xml:space="preserve"> </w:t>
      </w:r>
      <w:r>
        <w:rPr>
          <w:rFonts w:ascii="Arial" w:hAnsi="Arial"/>
          <w:color w:val="000000"/>
          <w:sz w:val="20"/>
        </w:rPr>
        <w:t>material realized gains or losses on marketable securities for the periods presented.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Aggregate fair values of marketable securities with unrealized losses and gains were as follows as of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9"/>
        <w:gridCol w:w="146"/>
        <w:gridCol w:w="211"/>
        <w:gridCol w:w="796"/>
        <w:gridCol w:w="146"/>
        <w:gridCol w:w="146"/>
        <w:gridCol w:w="236"/>
        <w:gridCol w:w="892"/>
        <w:gridCol w:w="473"/>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a continuous loss position for less than twelve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15,449</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a continuous loss position for more than twelve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marketable securities in unrealized gain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446,368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463,768</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The Company manages credit risk associated with its investment portfolio through its investment policy, which limits purchases to high-quality issuers and also limits the amount of its portfolio that can be invested in a single issuer. The Company did not record an allowance for credit losses or other impairment charges related to its marketable securities for any period presented. The Company has determined that (i) it does not have the intent to sell any of these investments, and (ii) it is not more likely than not that it will be required to sell any of these investments before recovery of the entire amortized cost basis. The Company further considered the maximum unrealized loss amounts both at the individual instrument level,</w:t>
      </w:r>
      <w:r>
        <w:rPr>
          <w:rFonts w:ascii="Times New Roman" w:hAnsi="Times New Roman"/>
          <w:color w:val="000000"/>
          <w:sz w:val="20"/>
        </w:rPr>
        <w:t xml:space="preserve"> </w:t>
      </w:r>
      <w:r>
        <w:rPr>
          <w:rFonts w:ascii="Arial" w:hAnsi="Arial"/>
          <w:color w:val="000000"/>
          <w:sz w:val="20"/>
        </w:rPr>
        <w:t>$41</w:t>
      </w:r>
      <w:r>
        <w:rPr>
          <w:rFonts w:ascii="Times New Roman" w:hAnsi="Times New Roman"/>
          <w:color w:val="000000"/>
          <w:sz w:val="20"/>
        </w:rPr>
        <w:t xml:space="preserve"> </w:t>
      </w:r>
      <w:r>
        <w:rPr>
          <w:rFonts w:ascii="Arial" w:hAnsi="Arial"/>
          <w:color w:val="000000"/>
          <w:sz w:val="20"/>
        </w:rPr>
        <w:t>thousand, as well as in aggregate, $516</w:t>
      </w:r>
      <w:r>
        <w:rPr>
          <w:rFonts w:ascii="Times New Roman" w:hAnsi="Times New Roman"/>
          <w:color w:val="000000"/>
          <w:sz w:val="20"/>
        </w:rPr>
        <w:t xml:space="preserve"> </w:t>
      </w:r>
      <w:r>
        <w:rPr>
          <w:rFonts w:ascii="Arial" w:hAnsi="Arial"/>
          <w:color w:val="000000"/>
          <w:sz w:val="20"/>
        </w:rPr>
        <w:t>thousand, as of June 30, 2026, as immaterial. These unrealized losses were not attributed to credit risk and were associated with changes in market conditions. The Company periodically reviews its marketable securities for indications of credit losses.</w:t>
      </w:r>
      <w:r>
        <w:rPr>
          <w:rFonts w:ascii="Times New Roman" w:hAnsi="Times New Roman"/>
          <w:color w:val="000000"/>
          <w:sz w:val="20"/>
        </w:rPr>
        <w:t xml:space="preserve"> </w:t>
      </w:r>
      <w:r>
        <w:rPr>
          <w:rFonts w:ascii="Arial" w:hAnsi="Arial"/>
          <w:color w:val="000000"/>
          <w:sz w:val="20"/>
        </w:rPr>
        <w:t>The Company anticipates that it will recover the entire amortized cost basis of such securities, and therefore, no</w:t>
      </w:r>
      <w:r>
        <w:rPr>
          <w:rFonts w:ascii="Times New Roman" w:hAnsi="Times New Roman"/>
          <w:color w:val="000000"/>
          <w:sz w:val="20"/>
        </w:rPr>
        <w:t xml:space="preserve"> </w:t>
      </w:r>
      <w:r>
        <w:rPr>
          <w:rFonts w:ascii="Arial" w:hAnsi="Arial"/>
          <w:color w:val="000000"/>
          <w:sz w:val="20"/>
        </w:rPr>
        <w:t>credit loss existed as of June 30, 2026.</w:t>
      </w:r>
    </w:p>
    <w:p>
      <w:pPr>
        <w:pStyle w:val="TextBody"/>
        <w:bidi w:val="0"/>
        <w:spacing w:before="240" w:after="283"/>
        <w:jc w:val="both"/>
        <w:rPr>
          <w:rFonts w:ascii="Times New Roman" w:hAnsi="Times New Roman"/>
          <w:sz w:val="20"/>
        </w:rPr>
      </w:pPr>
      <w:r>
        <w:rPr>
          <w:rFonts w:ascii="Arial" w:hAnsi="Arial"/>
          <w:b/>
          <w:i/>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4691"/>
        <w:gridCol w:w="146"/>
        <w:gridCol w:w="211"/>
        <w:gridCol w:w="751"/>
        <w:gridCol w:w="166"/>
        <w:gridCol w:w="146"/>
        <w:gridCol w:w="256"/>
        <w:gridCol w:w="914"/>
        <w:gridCol w:w="77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18,467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Transportation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All property and equipment are maintained in the United States. Depreciation expense was $1.3</w:t>
      </w:r>
      <w:r>
        <w:rPr>
          <w:rFonts w:ascii="Times New Roman" w:hAnsi="Times New Roman"/>
          <w:color w:val="000000"/>
          <w:sz w:val="20"/>
        </w:rPr>
        <w:t xml:space="preserve"> </w:t>
      </w:r>
      <w:r>
        <w:rPr>
          <w:rFonts w:ascii="Arial" w:hAnsi="Arial"/>
          <w:color w:val="000000"/>
          <w:sz w:val="20"/>
        </w:rPr>
        <w:t>million for each of the three months ended June 30, 2026 and 2025, and $2.5</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5. Accrued and Other Current Liabilities</w:t>
      </w:r>
    </w:p>
    <w:p>
      <w:pPr>
        <w:pStyle w:val="TextBody"/>
        <w:bidi w:val="0"/>
        <w:spacing w:before="12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672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and preclinical study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i/>
          <w:color w:val="000000"/>
          <w:sz w:val="20"/>
        </w:rPr>
        <w:t>6. Research and Collaboration Arrangements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Arial" w:hAnsi="Arial"/>
          <w:color w:val="000000"/>
          <w:sz w:val="20"/>
        </w:rPr>
        <w:t>Collaboration and license revenue for each period was as follows (in thousands):</w:t>
      </w:r>
      <w:r>
        <w:rPr>
          <w:rFonts w:ascii="Times New Roman" w:hAnsi="Times New Roman"/>
          <w:color w:val="000000"/>
          <w:sz w:val="20"/>
        </w:rPr>
        <w:t xml:space="preserve"> </w:t>
      </w:r>
    </w:p>
    <w:tbl>
      <w:tblPr>
        <w:tblW w:w="8447" w:type="dxa"/>
        <w:jc w:val="left"/>
        <w:tblInd w:w="0" w:type="dxa"/>
        <w:tblLayout w:type="fixed"/>
        <w:tblCellMar>
          <w:top w:w="28" w:type="dxa"/>
          <w:left w:w="28" w:type="dxa"/>
          <w:bottom w:w="28" w:type="dxa"/>
          <w:right w:w="28" w:type="dxa"/>
        </w:tblCellMar>
      </w:tblPr>
      <w:tblGrid>
        <w:gridCol w:w="2971"/>
        <w:gridCol w:w="146"/>
        <w:gridCol w:w="315"/>
        <w:gridCol w:w="876"/>
        <w:gridCol w:w="218"/>
        <w:gridCol w:w="218"/>
        <w:gridCol w:w="315"/>
        <w:gridCol w:w="517"/>
        <w:gridCol w:w="146"/>
        <w:gridCol w:w="146"/>
        <w:gridCol w:w="288"/>
        <w:gridCol w:w="801"/>
        <w:gridCol w:w="199"/>
        <w:gridCol w:w="199"/>
        <w:gridCol w:w="288"/>
        <w:gridCol w:w="473"/>
        <w:gridCol w:w="33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Otsuka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Cystic Fibrosis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3,781</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Deferred revenue is summarized as follows (in thousands):</w:t>
      </w:r>
    </w:p>
    <w:tbl>
      <w:tblPr>
        <w:tblW w:w="5707" w:type="dxa"/>
        <w:jc w:val="left"/>
        <w:tblInd w:w="0" w:type="dxa"/>
        <w:tblLayout w:type="fixed"/>
        <w:tblCellMar>
          <w:top w:w="28" w:type="dxa"/>
          <w:left w:w="28" w:type="dxa"/>
          <w:bottom w:w="28" w:type="dxa"/>
          <w:right w:w="28" w:type="dxa"/>
        </w:tblCellMar>
      </w:tblPr>
      <w:tblGrid>
        <w:gridCol w:w="2971"/>
        <w:gridCol w:w="146"/>
        <w:gridCol w:w="211"/>
        <w:gridCol w:w="586"/>
        <w:gridCol w:w="146"/>
        <w:gridCol w:w="146"/>
        <w:gridCol w:w="309"/>
        <w:gridCol w:w="861"/>
        <w:gridCol w:w="33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Otsuka Pharmaceutical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Cystic Fibrosis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An immaterial amount of revenue was recorded during the six months ended June 30, 2026 and 2025 which was included in deferred revenue at January 1, 2026 and 2025, respectively, for Cystic Fibrosis Foundation.</w:t>
      </w:r>
    </w:p>
    <w:p>
      <w:pPr>
        <w:pStyle w:val="TextBody"/>
        <w:bidi w:val="0"/>
        <w:spacing w:before="240" w:after="283"/>
        <w:jc w:val="both"/>
        <w:rPr>
          <w:rFonts w:ascii="Times New Roman" w:hAnsi="Times New Roman"/>
          <w:sz w:val="20"/>
        </w:rPr>
      </w:pPr>
      <w:r>
        <w:rPr>
          <w:rFonts w:ascii="Arial" w:hAnsi="Arial"/>
          <w:b/>
          <w:color w:val="000000"/>
          <w:sz w:val="20"/>
        </w:rPr>
        <w:t>Cystic Fibrosis Foundation (“CFF”)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September 2016, the Company entered into an award agreement for the Optimized Adeno-Associated Virus for Lung Epithelia Gene Delivery Development Program with CFF, a non-profit organization dedicated to finding a cure for cystic fibrosis, an inherited disorder that causes disease in the pulmonary airways leading to morbidity and mortality. Under this agreement, CFF contributes funding to help advance the Company’s cystic fibrosis research program. The September 2016 grant award agreement was incorporated into a new grant award agreement with CFF in September 2017 with the same objectives, which was subsequently amended in August 2018 and February 2021. In August 2023, the Company executed a third amendment to the agreement (the “August 2023 Amendment”), which modified the research plan, increased the aggregate milestone payments from $3.5</w:t>
      </w:r>
      <w:r>
        <w:rPr>
          <w:rFonts w:ascii="Times New Roman" w:hAnsi="Times New Roman"/>
          <w:color w:val="000000"/>
          <w:sz w:val="20"/>
        </w:rPr>
        <w:t xml:space="preserve"> </w:t>
      </w:r>
      <w:r>
        <w:rPr>
          <w:rFonts w:ascii="Arial" w:hAnsi="Arial"/>
          <w:color w:val="000000"/>
          <w:sz w:val="20"/>
        </w:rPr>
        <w:t>million to $6.3</w:t>
      </w:r>
      <w:r>
        <w:rPr>
          <w:rFonts w:ascii="Times New Roman" w:hAnsi="Times New Roman"/>
          <w:color w:val="000000"/>
          <w:sz w:val="20"/>
        </w:rPr>
        <w:t xml:space="preserve"> </w:t>
      </w:r>
      <w:r>
        <w:rPr>
          <w:rFonts w:ascii="Arial" w:hAnsi="Arial"/>
          <w:color w:val="000000"/>
          <w:sz w:val="20"/>
        </w:rPr>
        <w:t>million and extended the estimated project completion date. The aforementioned September 2017 agreement and three amendments are collectively referred to as the “CFF Agreement”. The August 2023 Amendment represents a contract modification to an existing contract under ASC Topic 606, given the amendment did not include any additional goods or services, and the remaining research activities are not distinct from those previously provided. The August 2023 Amendment did not impact the transaction price, given the increased award amount relates to variable consideration for future milestones that are fully constrained. Accordingly, the contract modification did not result in a revenue adjustment. As of June 30, 2026 and December 31, 2025, the Company had achieved cumulative milestones totaling $1.8</w:t>
      </w:r>
      <w:r>
        <w:rPr>
          <w:rFonts w:ascii="Times New Roman" w:hAnsi="Times New Roman"/>
          <w:color w:val="000000"/>
          <w:sz w:val="20"/>
        </w:rPr>
        <w:t xml:space="preserve"> </w:t>
      </w:r>
      <w:r>
        <w:rPr>
          <w:rFonts w:ascii="Arial" w:hAnsi="Arial"/>
          <w:color w:val="000000"/>
          <w:sz w:val="20"/>
        </w:rPr>
        <w:t>million under the CFF Agreement. The remaining award amount will be paid by CFF based on achievement of certain development milestones by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expects to make payments to CFF equal to six</w:t>
      </w:r>
      <w:r>
        <w:rPr>
          <w:rFonts w:ascii="Times New Roman" w:hAnsi="Times New Roman"/>
          <w:color w:val="000000"/>
          <w:sz w:val="20"/>
        </w:rPr>
        <w:t xml:space="preserve"> </w:t>
      </w:r>
      <w:r>
        <w:rPr>
          <w:rFonts w:ascii="Arial" w:hAnsi="Arial"/>
          <w:color w:val="000000"/>
          <w:sz w:val="20"/>
        </w:rPr>
        <w:t>times the actual award received by the Company in three</w:t>
      </w:r>
      <w:r>
        <w:rPr>
          <w:rFonts w:ascii="Times New Roman" w:hAnsi="Times New Roman"/>
          <w:color w:val="000000"/>
          <w:sz w:val="20"/>
        </w:rPr>
        <w:t xml:space="preserve"> </w:t>
      </w:r>
      <w:r>
        <w:rPr>
          <w:rFonts w:ascii="Arial" w:hAnsi="Arial"/>
          <w:color w:val="000000"/>
          <w:sz w:val="20"/>
        </w:rPr>
        <w:t>installments within the first four years</w:t>
      </w:r>
      <w:r>
        <w:rPr>
          <w:rFonts w:ascii="Times New Roman" w:hAnsi="Times New Roman"/>
          <w:color w:val="000000"/>
          <w:sz w:val="20"/>
        </w:rPr>
        <w:t xml:space="preserve"> </w:t>
      </w:r>
      <w:r>
        <w:rPr>
          <w:rFonts w:ascii="Arial" w:hAnsi="Arial"/>
          <w:color w:val="000000"/>
          <w:sz w:val="20"/>
        </w:rPr>
        <w:t>of the first commercial sale of a product developed under this agreement. The Company also has agreed to make future sales-based milestone payments to CFF of up to three</w:t>
      </w:r>
      <w:r>
        <w:rPr>
          <w:rFonts w:ascii="Times New Roman" w:hAnsi="Times New Roman"/>
          <w:color w:val="000000"/>
          <w:sz w:val="20"/>
        </w:rPr>
        <w:t xml:space="preserve"> </w:t>
      </w:r>
      <w:r>
        <w:rPr>
          <w:rFonts w:ascii="Arial" w:hAnsi="Arial"/>
          <w:color w:val="000000"/>
          <w:sz w:val="20"/>
        </w:rPr>
        <w:t>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w:t>
      </w:r>
      <w:r>
        <w:rPr>
          <w:rFonts w:ascii="Times New Roman" w:hAnsi="Times New Roman"/>
          <w:color w:val="000000"/>
          <w:sz w:val="20"/>
        </w:rPr>
        <w:t xml:space="preserve"> </w:t>
      </w:r>
      <w:r>
        <w:rPr>
          <w:rFonts w:ascii="Arial" w:hAnsi="Arial"/>
          <w:color w:val="000000"/>
          <w:sz w:val="20"/>
        </w:rPr>
        <w:t>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date, the Company has not developed a commercial product in connection with the CFF Agreement, and it has not licensed, sold or otherwise transferred to another party the product developed under the CFF Agreement or the underlying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at any time prior to the first commercial sale of a product developed as a result of the CFF Agreement, the Company ceases to use commercially reasonable efforts to develop or commercialize any product under the CFF Agreement for a continuous period of 180 consecutive days and fails to present a reasonable plan to resume commercially reasonable efforts, the Company will grant to CFF an irrevocable, exclusive worldwide interruption license under all of the Company’s interest in the research plan technology to exploit such product. Any third-party license granted by the Company shall be subject to such interruption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identified one performance obligation within the CFF Agreement for research activities. The CFF Agreement does not include a significant financing component.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w:t>
      </w:r>
    </w:p>
    <w:p>
      <w:pPr>
        <w:pStyle w:val="TextBody"/>
        <w:bidi w:val="0"/>
        <w:spacing w:before="240" w:after="283"/>
        <w:jc w:val="both"/>
        <w:rPr>
          <w:rFonts w:ascii="Times New Roman" w:hAnsi="Times New Roman"/>
          <w:sz w:val="20"/>
        </w:rPr>
      </w:pPr>
      <w:r>
        <w:rPr>
          <w:rFonts w:ascii="Arial" w:hAnsi="Arial"/>
          <w:color w:val="000000"/>
          <w:sz w:val="20"/>
        </w:rPr>
        <w:t>Revenue recognized during the three and six months ended June 30, 2026 was $0.1</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while revenue recognized during the three and six months ended June 30, 2025 was immaterial. As of June 30, 2026 and December 31, 2025, deferred revenue relating to the CFF Agreement was $0.9</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There were no</w:t>
      </w:r>
      <w:r>
        <w:rPr>
          <w:rFonts w:ascii="Times New Roman" w:hAnsi="Times New Roman"/>
          <w:color w:val="000000"/>
          <w:sz w:val="20"/>
        </w:rPr>
        <w:t xml:space="preserve"> </w:t>
      </w:r>
      <w:r>
        <w:rPr>
          <w:rFonts w:ascii="Arial" w:hAnsi="Arial"/>
          <w:color w:val="000000"/>
          <w:sz w:val="20"/>
        </w:rPr>
        <w:t>accounts receivable from CFF under the CFF Agreement as of June 30, 2026 and December 31, 2025. As of June 30, 2026 and December 31, 2025, the aggregate amount of the transaction price allocated to the remaining performance obligation was $0.9</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Based on current timelines, the deferred revenue is expected to be recognized as revenue over the next four years</w:t>
      </w:r>
      <w:r>
        <w:rPr>
          <w:rFonts w:ascii="Times New Roman" w:hAnsi="Times New Roman"/>
          <w:color w:val="000000"/>
          <w:sz w:val="20"/>
        </w:rPr>
        <w:t xml:space="preserve"> </w:t>
      </w:r>
      <w:r>
        <w:rPr>
          <w:rFonts w:ascii="Arial" w:hAnsi="Arial"/>
          <w:color w:val="000000"/>
          <w:sz w:val="20"/>
        </w:rPr>
        <w:t>as the Company performs research services through the completion of IND-enabling studies.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obligation to make payments to CFF upon a change of control meets the definition of an embedded derivative that is required to be bifurcated and separately accounted for as a derivative liability. See Note 3, Fair Value Measurements and Marketable Securities, and Note 16, Derivative Liability, for further discussion of the embedded derivative.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222222"/>
          <w:sz w:val="20"/>
        </w:rPr>
      </w:pPr>
      <w:r>
        <w:rPr>
          <w:rFonts w:ascii="Arial" w:hAnsi="Arial"/>
          <w:b/>
          <w:color w:val="222222"/>
          <w:sz w:val="20"/>
        </w:rPr>
        <w:t>Otsuka Pharmaceutical Co., Ltd.</w:t>
      </w:r>
    </w:p>
    <w:p>
      <w:pPr>
        <w:pStyle w:val="TextBody"/>
        <w:bidi w:val="0"/>
        <w:spacing w:before="240" w:after="283"/>
        <w:jc w:val="both"/>
        <w:rPr>
          <w:rFonts w:ascii="Arial" w:hAnsi="Arial"/>
          <w:color w:val="000000"/>
          <w:sz w:val="20"/>
        </w:rPr>
      </w:pPr>
      <w:r>
        <w:rPr>
          <w:rFonts w:ascii="Arial" w:hAnsi="Arial"/>
          <w:color w:val="000000"/>
          <w:sz w:val="20"/>
        </w:rPr>
        <w:t>On October 31, 2025, the Company entered into a Collaboration and License Agreement (the "Otsuka Agreement") with Otsuka. Pursuant to the Otsuka Agreement, the Company granted Otsuka an exclusive royalty-bearing sublicensable license to its intellectual property to develop, manufacture and commercialize 4D-150, its lead product candidate for ophthalmological diseases, in Japan, Korea, China, Australia, and certain other Asia-Pacific markets ("Otsuka Territory"). The Company retains full development and commercialization rights for 4D-150 outside the Otsuka Territory, including the United States, Latin America, and Europe.</w:t>
      </w:r>
    </w:p>
    <w:p>
      <w:pPr>
        <w:pStyle w:val="TextBody"/>
        <w:bidi w:val="0"/>
        <w:spacing w:before="240" w:after="283"/>
        <w:jc w:val="both"/>
        <w:rPr>
          <w:rFonts w:ascii="Arial" w:hAnsi="Arial"/>
          <w:color w:val="000000"/>
          <w:sz w:val="20"/>
        </w:rPr>
      </w:pPr>
      <w:r>
        <w:rPr>
          <w:rFonts w:ascii="Arial" w:hAnsi="Arial"/>
          <w:color w:val="000000"/>
          <w:sz w:val="20"/>
        </w:rPr>
        <w:t>Otsuka will lead all regulatory and commercialization activities in the Otsuka Territory. The Company will lead all Phase 3 clinical activity globally, including within the Otsuka Territory. In aggregate, the Company is currently responsible for separate global phase 3 trials for wet age-related macular degeneration ("wet AMD") and diabetic macular edema (“DME”), local clinical trials in the Otsuka Territory as required by local regulatory authorities, and several other studies, including the related regulatory activities and long-term follow up studies. The Company and Otsuka will coordinate and review the development and other activities through a joint steering committee.</w:t>
      </w:r>
    </w:p>
    <w:p>
      <w:pPr>
        <w:pStyle w:val="TextBody"/>
        <w:bidi w:val="0"/>
        <w:spacing w:before="240" w:after="283"/>
        <w:jc w:val="both"/>
        <w:rPr>
          <w:rFonts w:ascii="Arial" w:hAnsi="Arial"/>
          <w:color w:val="000000"/>
          <w:sz w:val="20"/>
        </w:rPr>
      </w:pPr>
      <w:r>
        <w:rPr>
          <w:rFonts w:ascii="Arial" w:hAnsi="Arial"/>
          <w:color w:val="000000"/>
          <w:sz w:val="20"/>
        </w:rPr>
        <w:t>The Company also will manufacture and supply 4D-150 to Otsuka for clinical and commercial use at a supply price derived from the Company's manufacturing costs plus a margin.</w:t>
      </w:r>
    </w:p>
    <w:p>
      <w:pPr>
        <w:pStyle w:val="TextBody"/>
        <w:bidi w:val="0"/>
        <w:spacing w:before="240" w:after="283"/>
        <w:jc w:val="both"/>
        <w:rPr>
          <w:rFonts w:ascii="Times New Roman" w:hAnsi="Times New Roman"/>
          <w:sz w:val="20"/>
        </w:rPr>
      </w:pPr>
      <w:r>
        <w:rPr>
          <w:rFonts w:ascii="Arial" w:hAnsi="Arial"/>
          <w:color w:val="000000"/>
          <w:sz w:val="20"/>
        </w:rPr>
        <w:t>The Company has received a nonrefundable upfront cash payment of $85.0</w:t>
      </w:r>
      <w:r>
        <w:rPr>
          <w:rFonts w:ascii="Times New Roman" w:hAnsi="Times New Roman"/>
          <w:color w:val="000000"/>
          <w:sz w:val="20"/>
        </w:rPr>
        <w:t xml:space="preserve"> </w:t>
      </w:r>
      <w:r>
        <w:rPr>
          <w:rFonts w:ascii="Arial" w:hAnsi="Arial"/>
          <w:color w:val="000000"/>
          <w:sz w:val="20"/>
        </w:rPr>
        <w:t>million and is eligible to receive quarterly clinical trial cost sharing and reimbursement amounts. In addition, the Company is eligible for up to $335.5</w:t>
      </w:r>
      <w:r>
        <w:rPr>
          <w:rFonts w:ascii="Times New Roman" w:hAnsi="Times New Roman"/>
          <w:color w:val="000000"/>
          <w:sz w:val="20"/>
        </w:rPr>
        <w:t xml:space="preserve"> </w:t>
      </w:r>
      <w:r>
        <w:rPr>
          <w:rFonts w:ascii="Arial" w:hAnsi="Arial"/>
          <w:color w:val="000000"/>
          <w:sz w:val="20"/>
        </w:rPr>
        <w:t>million in potential regulatory and commercial milestone payments and tiered double-digit royalties on net sales in the Otsuka Territory, and subject to royalty reductions under certain circumstances.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Otsuka Agreement will remain in effect, unless earlier terminated, on a country-by-country basis, until the date that Otsuka is no longer developing or commercializing 4D-150 in such country within the Otsuka Territory. Otsuka may terminate the Otsuka Agreement for convenience, on a country-by-country basis, upon sufficient prior written notice as per the Otsuka Agreement, or due to safety reasons or the failure of certain of the Company’s related clinical trials to achieve their primary endpoints. The Company may terminate the Otsuka Agreement upon notice if Otsuka ceases all development activities and commercialization of 4D-150 in Japan for an agreed upon period as per the Otsuka Agreement and does not resume such activities or commercialization within a specified notice period. Upon termination, any license granted by the Company to Otsuka will terminate.</w:t>
      </w:r>
    </w:p>
    <w:p>
      <w:pPr>
        <w:pStyle w:val="TextBody"/>
        <w:bidi w:val="0"/>
        <w:spacing w:before="240" w:after="283"/>
        <w:jc w:val="both"/>
        <w:rPr>
          <w:rFonts w:ascii="Arial" w:hAnsi="Arial"/>
          <w:color w:val="000000"/>
          <w:sz w:val="20"/>
        </w:rPr>
      </w:pPr>
      <w:r>
        <w:rPr>
          <w:rFonts w:ascii="Arial" w:hAnsi="Arial"/>
          <w:color w:val="000000"/>
          <w:sz w:val="20"/>
        </w:rPr>
        <w:t>The Company concluded that Otsuka is a customer and that the arrangement represents a contract with a customer under the scope of ASC 606. The Company identified the following promised goods and services that represent performance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exclusive license to its intellectual property to develop, manufacture and commercialize 4D-150 in the Otsuka Territory,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performance of separate global phase 3 trials for wet AMD and DME, local clinical trials in the Otsuka Territory as required by the local regulatory authorities, and several other studies,</w:t>
      </w:r>
      <w:r>
        <w:rPr>
          <w:color w:val="000000"/>
        </w:rPr>
        <w:t xml:space="preserve"> </w:t>
      </w:r>
      <w:r>
        <w:rPr>
          <w:rFonts w:ascii="Arial" w:hAnsi="Arial"/>
          <w:color w:val="000000"/>
          <w:sz w:val="20"/>
        </w:rPr>
        <w:t>including the associated regulatory and joint steering committee activities. Separate performance obligations were identified for each individual trial or study.</w:t>
      </w:r>
    </w:p>
    <w:p>
      <w:pPr>
        <w:pStyle w:val="TextBody"/>
        <w:bidi w:val="0"/>
        <w:spacing w:before="240" w:after="283"/>
        <w:jc w:val="both"/>
        <w:rPr>
          <w:rFonts w:ascii="Arial" w:hAnsi="Arial"/>
          <w:color w:val="000000"/>
          <w:sz w:val="20"/>
        </w:rPr>
      </w:pPr>
      <w:r>
        <w:rPr>
          <w:rFonts w:ascii="Arial" w:hAnsi="Arial"/>
          <w:color w:val="000000"/>
          <w:sz w:val="20"/>
        </w:rPr>
        <w:t>The license was considered functional intellectual property as of the inception of the Otsuka Agreement and distinct from other promises under the contract, as Otsuka can benefit from the license on its own or together with other readily available resources. Each of the clinical trial and other study services were considered distinct as the customer can benefit from these services together with the license transferred at the inception of the Otsuka Agreement. The clinical trial and other study services will not modify or customize the initial intellectual property transferred at contract inception due to the late stage of development of the intellectual property.</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concluded manufacturing and supply of 4D-150 for clinical and commercial use does not represent a performance obligation, as these activities are at Otsuka’s option. Product supply is priced at standalone selling prices, and therefore does not provide Otsuka with material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the extent Otsuka requests the Company to supply 4D-150, such supply will be considered a separate contract with the customer.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initial transaction price includes the upfront cash payment and variable consideration for clinical trials and other studies performance obligations, some of which have started and others that have not yet started as of June 30, 2026. The upfront cash payment is $85</w:t>
      </w:r>
      <w:r>
        <w:rPr>
          <w:rFonts w:ascii="Times New Roman" w:hAnsi="Times New Roman"/>
          <w:color w:val="000000"/>
          <w:sz w:val="20"/>
        </w:rPr>
        <w:t xml:space="preserve"> </w:t>
      </w:r>
      <w:r>
        <w:rPr>
          <w:rFonts w:ascii="Arial" w:hAnsi="Arial"/>
          <w:color w:val="000000"/>
          <w:sz w:val="20"/>
        </w:rPr>
        <w:t>million and was received during the year ended December 31, 2025. The variable consideration in the form of the estimated cost sharing and reimbursement of approximately $33.4</w:t>
      </w:r>
      <w:r>
        <w:rPr>
          <w:rFonts w:ascii="Times New Roman" w:hAnsi="Times New Roman"/>
          <w:color w:val="000000"/>
          <w:sz w:val="20"/>
        </w:rPr>
        <w:t xml:space="preserve"> </w:t>
      </w:r>
      <w:r>
        <w:rPr>
          <w:rFonts w:ascii="Arial" w:hAnsi="Arial"/>
          <w:color w:val="000000"/>
          <w:sz w:val="20"/>
        </w:rPr>
        <w:t>million represents the amount allocated to unsatisfied or partially unsatisfied performance obligations, that have already started as of June 30, 2026, and was allocated entirely to the clinical trials and other studies performance obligations using the variable consideration allocation exception.</w:t>
      </w:r>
    </w:p>
    <w:p>
      <w:pPr>
        <w:pStyle w:val="TextBody"/>
        <w:bidi w:val="0"/>
        <w:spacing w:before="240" w:after="160"/>
        <w:jc w:val="both"/>
        <w:rPr>
          <w:rFonts w:ascii="Arial" w:hAnsi="Arial"/>
          <w:color w:val="000000"/>
          <w:sz w:val="20"/>
        </w:rPr>
      </w:pPr>
      <w:r>
        <w:rPr>
          <w:rFonts w:ascii="Arial" w:hAnsi="Arial"/>
          <w:color w:val="000000"/>
          <w:sz w:val="20"/>
        </w:rPr>
        <w:t>The regulatory milestone amounts are not currently probable and have not been included in the transaction price as the amounts are fully constrained. The sales-based commercial milestones and royalties relate to the granted intellectual property license and will be recognized when the related sales occur.</w:t>
      </w:r>
    </w:p>
    <w:p>
      <w:pPr>
        <w:pStyle w:val="TextBody"/>
        <w:bidi w:val="0"/>
        <w:spacing w:before="80" w:after="160"/>
        <w:jc w:val="both"/>
        <w:rPr>
          <w:rFonts w:ascii="Times New Roman" w:hAnsi="Times New Roman"/>
          <w:sz w:val="20"/>
        </w:rPr>
      </w:pPr>
      <w:r>
        <w:rPr>
          <w:rFonts w:ascii="Arial" w:hAnsi="Arial"/>
          <w:color w:val="000000"/>
          <w:sz w:val="20"/>
        </w:rPr>
        <w:t>At the end of each reporting period, the Company will re-evaluate the estimated variable consideration and if necessary, adjust the transaction price.</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To determine the standalone selling prices of each performance obligation, the Company used significant estimates and assumptions that include but are not limited to, expected market opportunity and pricing, expected future costs of clinical trials and other studies, and timelines and likelihood of success of clinical and regulatory activities. For the standalone selling price of the license, the Company used a discounted cash flow analysis of projected cash flows and potential revenues from the commercial sales of 4D-150 in the Otsuka Territory. To determine the standalone selling prices of the Company’s obligations to conduct clinical trials and other studies, the expected cost plus margin approach was used.</w:t>
      </w:r>
    </w:p>
    <w:p>
      <w:pPr>
        <w:pStyle w:val="TextBody"/>
        <w:bidi w:val="0"/>
        <w:spacing w:before="240" w:after="283"/>
        <w:jc w:val="both"/>
        <w:rPr>
          <w:rFonts w:ascii="Times New Roman" w:hAnsi="Times New Roman"/>
          <w:sz w:val="20"/>
        </w:rPr>
      </w:pPr>
      <w:r>
        <w:rPr>
          <w:rFonts w:ascii="Arial" w:hAnsi="Arial"/>
          <w:color w:val="000000"/>
          <w:sz w:val="20"/>
        </w:rPr>
        <w:t>Variable consideration to which the Company is entitled to is allocated directly to the associated performance obligations, as it is triggered by the Company’s performance or represents specific outcomes from such performance, and the resulting allocation meets the allocation objective.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upfront amount of $85.0</w:t>
      </w:r>
      <w:r>
        <w:rPr>
          <w:rFonts w:ascii="Times New Roman" w:hAnsi="Times New Roman"/>
          <w:color w:val="000000"/>
          <w:sz w:val="20"/>
        </w:rPr>
        <w:t xml:space="preserve"> </w:t>
      </w:r>
      <w:r>
        <w:rPr>
          <w:rFonts w:ascii="Arial" w:hAnsi="Arial"/>
          <w:color w:val="000000"/>
          <w:sz w:val="20"/>
        </w:rPr>
        <w:t>million was allocated entirely to the license performance obligation and was recognized at a point in time upon the transfer of control during the year ended December 31, 2025.</w:t>
      </w:r>
    </w:p>
    <w:p>
      <w:pPr>
        <w:pStyle w:val="TextBody"/>
        <w:bidi w:val="0"/>
        <w:spacing w:before="240" w:after="283"/>
        <w:jc w:val="both"/>
        <w:rPr>
          <w:rFonts w:ascii="Times New Roman" w:hAnsi="Times New Roman"/>
          <w:sz w:val="20"/>
        </w:rPr>
      </w:pPr>
      <w:r>
        <w:rPr>
          <w:rFonts w:ascii="Arial" w:hAnsi="Arial"/>
          <w:color w:val="000000"/>
          <w:sz w:val="20"/>
        </w:rPr>
        <w:t>Revenue attributable to the remaining performance obligations to conduct clinical trials and other studies will be recognized over time as the underlying services are performed, over the period through the completion of program development activities. Progress is measured using an input method based on cumulative cost incurred relative to the total estimated cost of the performance obligation. Estimated progress and the underlying costs will be reviewed and adjusted as necessary at every reporting date. Revenue from clinical trials and other studies performance obligations was approximately $3.7</w:t>
      </w:r>
      <w:r>
        <w:rPr>
          <w:rFonts w:ascii="Times New Roman" w:hAnsi="Times New Roman"/>
          <w:color w:val="000000"/>
          <w:sz w:val="20"/>
        </w:rPr>
        <w:t xml:space="preserve"> </w:t>
      </w:r>
      <w:r>
        <w:rPr>
          <w:rFonts w:ascii="Arial" w:hAnsi="Arial"/>
          <w:color w:val="000000"/>
          <w:sz w:val="20"/>
        </w:rPr>
        <w:t>million and $6.6</w:t>
      </w:r>
      <w:r>
        <w:rPr>
          <w:rFonts w:ascii="Times New Roman" w:hAnsi="Times New Roman"/>
          <w:color w:val="000000"/>
          <w:sz w:val="20"/>
        </w:rPr>
        <w:t xml:space="preserve"> </w:t>
      </w:r>
      <w:r>
        <w:rPr>
          <w:rFonts w:ascii="Arial" w:hAnsi="Arial"/>
          <w:color w:val="000000"/>
          <w:sz w:val="20"/>
        </w:rPr>
        <w:t>million during the three and six months ended June 30, 2026, respectively.</w:t>
      </w:r>
    </w:p>
    <w:p>
      <w:pPr>
        <w:pStyle w:val="TextBody"/>
        <w:bidi w:val="0"/>
        <w:spacing w:before="240" w:after="283"/>
        <w:jc w:val="both"/>
        <w:rPr>
          <w:rFonts w:ascii="Times New Roman" w:hAnsi="Times New Roman"/>
          <w:sz w:val="20"/>
        </w:rPr>
      </w:pPr>
      <w:r>
        <w:rPr>
          <w:rFonts w:ascii="Arial" w:hAnsi="Arial"/>
          <w:color w:val="000000"/>
          <w:sz w:val="20"/>
        </w:rPr>
        <w:t>The transaction price amount allocated to unsatisfied or partially unsatisfied performance obligations as of June 30, 2026 was approximately $33.4</w:t>
      </w:r>
      <w:r>
        <w:rPr>
          <w:rFonts w:ascii="Times New Roman" w:hAnsi="Times New Roman"/>
          <w:color w:val="000000"/>
          <w:sz w:val="20"/>
        </w:rPr>
        <w:t xml:space="preserve"> </w:t>
      </w:r>
      <w:r>
        <w:rPr>
          <w:rFonts w:ascii="Arial" w:hAnsi="Arial"/>
          <w:color w:val="000000"/>
          <w:sz w:val="20"/>
        </w:rPr>
        <w:t>million, expected to be recognized during 2026 through 2032 as clinical trials and other studies continue. Certain performance obligations have not started as of June 30, 2026 and the related amounts are not included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amount due from Otsuka was $4.6</w:t>
      </w:r>
      <w:r>
        <w:rPr>
          <w:rFonts w:ascii="Times New Roman" w:hAnsi="Times New Roman"/>
          <w:color w:val="000000"/>
          <w:sz w:val="20"/>
        </w:rPr>
        <w:t xml:space="preserve"> </w:t>
      </w:r>
      <w:r>
        <w:rPr>
          <w:rFonts w:ascii="Arial" w:hAnsi="Arial"/>
          <w:color w:val="000000"/>
          <w:sz w:val="20"/>
        </w:rPr>
        <w:t>million as of June 30, 2026, for the estimated cost sharing and reimbursement and is presented as collaboration receivable on the Company's 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7. License Arrangements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Aevitas Therapeutics, Inc. and The Trustees of the University of Pennsylvania</w:t>
      </w:r>
    </w:p>
    <w:p>
      <w:pPr>
        <w:pStyle w:val="TextBody"/>
        <w:bidi w:val="0"/>
        <w:spacing w:before="240" w:after="283"/>
        <w:jc w:val="both"/>
        <w:rPr>
          <w:rFonts w:ascii="Times New Roman" w:hAnsi="Times New Roman"/>
          <w:sz w:val="20"/>
        </w:rPr>
      </w:pPr>
      <w:r>
        <w:rPr>
          <w:rFonts w:ascii="Arial" w:hAnsi="Arial"/>
          <w:color w:val="000000"/>
          <w:sz w:val="20"/>
        </w:rPr>
        <w:t>On April 21, 2023, the Company entered into an agreement (the “Aevitas Agreement”) with Aevitas Therapeutics, Inc. (“Aevitas”), pursuant to which the Company acquired all of Aevitas’ worldwide rights to short-form human complement factor H (sCFH), which the Company plans to use for its 4D-175 product candidate research program. The asset purchase was accounted for as an asset acquisition. As consideration for the Aevitas Agreement, the Company shall pay Aevitas up to approximately $144.1</w:t>
      </w:r>
      <w:r>
        <w:rPr>
          <w:rFonts w:ascii="Times New Roman" w:hAnsi="Times New Roman"/>
          <w:color w:val="000000"/>
          <w:sz w:val="20"/>
        </w:rPr>
        <w:t xml:space="preserve"> </w:t>
      </w:r>
      <w:r>
        <w:rPr>
          <w:rFonts w:ascii="Arial" w:hAnsi="Arial"/>
          <w:color w:val="000000"/>
          <w:sz w:val="20"/>
        </w:rPr>
        <w:t>million in cash upon certain late-stage milestones being achieved, including $7.2</w:t>
      </w:r>
      <w:r>
        <w:rPr>
          <w:rFonts w:ascii="Times New Roman" w:hAnsi="Times New Roman"/>
          <w:color w:val="000000"/>
          <w:sz w:val="20"/>
        </w:rPr>
        <w:t xml:space="preserve"> </w:t>
      </w:r>
      <w:r>
        <w:rPr>
          <w:rFonts w:ascii="Arial" w:hAnsi="Arial"/>
          <w:color w:val="000000"/>
          <w:sz w:val="20"/>
        </w:rPr>
        <w:t>million for development milestones, $68.0</w:t>
      </w:r>
      <w:r>
        <w:rPr>
          <w:rFonts w:ascii="Times New Roman" w:hAnsi="Times New Roman"/>
          <w:color w:val="000000"/>
          <w:sz w:val="20"/>
        </w:rPr>
        <w:t xml:space="preserve"> </w:t>
      </w:r>
      <w:r>
        <w:rPr>
          <w:rFonts w:ascii="Arial" w:hAnsi="Arial"/>
          <w:color w:val="000000"/>
          <w:sz w:val="20"/>
        </w:rPr>
        <w:t>million for regulatory milestones and $68.9</w:t>
      </w:r>
      <w:r>
        <w:rPr>
          <w:rFonts w:ascii="Times New Roman" w:hAnsi="Times New Roman"/>
          <w:color w:val="000000"/>
          <w:sz w:val="20"/>
        </w:rPr>
        <w:t xml:space="preserve"> </w:t>
      </w:r>
      <w:r>
        <w:rPr>
          <w:rFonts w:ascii="Arial" w:hAnsi="Arial"/>
          <w:color w:val="000000"/>
          <w:sz w:val="20"/>
        </w:rPr>
        <w:t>million for sales milestones</w:t>
      </w:r>
      <w:r>
        <w:rPr>
          <w:rFonts w:ascii="Times New Roman" w:hAnsi="Times New Roman"/>
          <w:color w:val="000000"/>
          <w:sz w:val="20"/>
        </w:rPr>
        <w:t xml:space="preserve"> </w:t>
      </w:r>
      <w:r>
        <w:rPr>
          <w:rFonts w:ascii="Arial" w:hAnsi="Arial"/>
          <w:color w:val="000000"/>
          <w:sz w:val="20"/>
        </w:rPr>
        <w:t>plus royalties in the low single digits range on sales of 4D-175. In addition, as part of the Aevitas Agreement, the Company was assigned a License Agreement for sCFH with the Trustees of the University of Pennsylvania, under which the Company shall pay the University of Pennsylvania up to approximately $41.6</w:t>
      </w:r>
      <w:r>
        <w:rPr>
          <w:rFonts w:ascii="Times New Roman" w:hAnsi="Times New Roman"/>
          <w:color w:val="000000"/>
          <w:sz w:val="20"/>
        </w:rPr>
        <w:t xml:space="preserve"> </w:t>
      </w:r>
      <w:r>
        <w:rPr>
          <w:rFonts w:ascii="Arial" w:hAnsi="Arial"/>
          <w:color w:val="000000"/>
          <w:sz w:val="20"/>
        </w:rPr>
        <w:t>million in cash upon certain late-stage milestones being achieved, including $1.9</w:t>
      </w:r>
      <w:r>
        <w:rPr>
          <w:rFonts w:ascii="Times New Roman" w:hAnsi="Times New Roman"/>
          <w:color w:val="000000"/>
          <w:sz w:val="20"/>
        </w:rPr>
        <w:t xml:space="preserve"> </w:t>
      </w:r>
      <w:r>
        <w:rPr>
          <w:rFonts w:ascii="Arial" w:hAnsi="Arial"/>
          <w:color w:val="000000"/>
          <w:sz w:val="20"/>
        </w:rPr>
        <w:t>million development, $21.5</w:t>
      </w:r>
      <w:r>
        <w:rPr>
          <w:rFonts w:ascii="Times New Roman" w:hAnsi="Times New Roman"/>
          <w:color w:val="000000"/>
          <w:sz w:val="20"/>
        </w:rPr>
        <w:t xml:space="preserve"> </w:t>
      </w:r>
      <w:r>
        <w:rPr>
          <w:rFonts w:ascii="Arial" w:hAnsi="Arial"/>
          <w:color w:val="000000"/>
          <w:sz w:val="20"/>
        </w:rPr>
        <w:t>million regulatory and $18.2</w:t>
      </w:r>
      <w:r>
        <w:rPr>
          <w:rFonts w:ascii="Times New Roman" w:hAnsi="Times New Roman"/>
          <w:color w:val="000000"/>
          <w:sz w:val="20"/>
        </w:rPr>
        <w:t xml:space="preserve"> </w:t>
      </w:r>
      <w:r>
        <w:rPr>
          <w:rFonts w:ascii="Arial" w:hAnsi="Arial"/>
          <w:color w:val="000000"/>
          <w:sz w:val="20"/>
        </w:rPr>
        <w:t>million sales milestones plus royalties in the low single digits range on sales of 4D-175. No</w:t>
      </w:r>
      <w:r>
        <w:rPr>
          <w:rFonts w:ascii="Times New Roman" w:hAnsi="Times New Roman"/>
          <w:color w:val="000000"/>
          <w:sz w:val="20"/>
        </w:rPr>
        <w:t xml:space="preserve"> </w:t>
      </w:r>
      <w:r>
        <w:rPr>
          <w:rFonts w:ascii="Arial" w:hAnsi="Arial"/>
          <w:color w:val="000000"/>
          <w:sz w:val="20"/>
        </w:rPr>
        <w:t>upfront consideration was paid under the Aevitas Agreement.</w:t>
      </w:r>
    </w:p>
    <w:p>
      <w:pPr>
        <w:pStyle w:val="TextBody"/>
        <w:bidi w:val="0"/>
        <w:spacing w:before="240" w:after="283"/>
        <w:jc w:val="both"/>
        <w:rPr>
          <w:rFonts w:ascii="Arial" w:hAnsi="Arial"/>
          <w:color w:val="000000"/>
          <w:sz w:val="20"/>
        </w:rPr>
      </w:pPr>
      <w:r>
        <w:rPr>
          <w:rFonts w:ascii="Arial" w:hAnsi="Arial"/>
          <w:color w:val="000000"/>
          <w:sz w:val="20"/>
        </w:rPr>
        <w:t>As of June 30, 2026, the Company has not recorded a liability related to contingent consideration for future milestone and royalty payments to either Aevitas or the University of Pennsylvania, as the achievement of such milestones has not occurred and was not deemed probable and product sales have not commenced.</w:t>
      </w:r>
    </w:p>
    <w:p>
      <w:pPr>
        <w:pStyle w:val="TextBody"/>
        <w:bidi w:val="0"/>
        <w:spacing w:before="240" w:after="283"/>
        <w:jc w:val="both"/>
        <w:rPr>
          <w:rFonts w:ascii="Times New Roman" w:hAnsi="Times New Roman"/>
          <w:sz w:val="20"/>
        </w:rPr>
      </w:pPr>
      <w:r>
        <w:rPr>
          <w:rFonts w:ascii="Arial" w:hAnsi="Arial"/>
          <w:b/>
          <w:i/>
          <w:color w:val="000000"/>
          <w:sz w:val="20"/>
        </w:rPr>
        <w:t>Regents of the University of California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w:t>
      </w:r>
      <w:r>
        <w:rPr>
          <w:rFonts w:ascii="Times New Roman" w:hAnsi="Times New Roman"/>
          <w:color w:val="000000"/>
          <w:sz w:val="20"/>
        </w:rPr>
        <w:t xml:space="preserve"> </w:t>
      </w:r>
      <w:r>
        <w:rPr>
          <w:rFonts w:ascii="Arial" w:hAnsi="Arial"/>
          <w:color w:val="000000"/>
          <w:sz w:val="20"/>
        </w:rPr>
        <w:t>upon execution, (ii) a non-refundable license fee of $5,000</w:t>
      </w:r>
      <w:r>
        <w:rPr>
          <w:rFonts w:ascii="Times New Roman" w:hAnsi="Times New Roman"/>
          <w:color w:val="000000"/>
          <w:sz w:val="20"/>
        </w:rPr>
        <w:t xml:space="preserve"> </w:t>
      </w:r>
      <w:r>
        <w:rPr>
          <w:rFonts w:ascii="Arial" w:hAnsi="Arial"/>
          <w:color w:val="000000"/>
          <w:sz w:val="20"/>
        </w:rPr>
        <w:t>each year thereafter, until sales of a licensed product are made and royalties are paid to the UC Regents, (iii) reimbursement of domestic and foreign patent filing, prosecution and maintenance fees, and (iv) either $50,000</w:t>
      </w:r>
      <w:r>
        <w:rPr>
          <w:rFonts w:ascii="Times New Roman" w:hAnsi="Times New Roman"/>
          <w:color w:val="000000"/>
          <w:sz w:val="20"/>
        </w:rPr>
        <w:t xml:space="preserve"> </w:t>
      </w:r>
      <w:r>
        <w:rPr>
          <w:rFonts w:ascii="Arial" w:hAnsi="Arial"/>
          <w:color w:val="000000"/>
          <w:sz w:val="20"/>
        </w:rPr>
        <w:t>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pStyle w:val="TextBody"/>
        <w:bidi w:val="0"/>
        <w:spacing w:before="240" w:after="283"/>
        <w:jc w:val="both"/>
        <w:rPr>
          <w:rFonts w:ascii="Times New Roman" w:hAnsi="Times New Roman"/>
          <w:sz w:val="20"/>
        </w:rPr>
      </w:pPr>
      <w:r>
        <w:rPr>
          <w:rFonts w:ascii="Arial" w:hAnsi="Arial"/>
          <w:color w:val="000000"/>
          <w:sz w:val="20"/>
        </w:rPr>
        <w:t>Pursuant to an agreement with the UC Regents executed in January 2019 the Company paid a non-refundable license fee of $50,000</w:t>
      </w:r>
      <w:r>
        <w:rPr>
          <w:rFonts w:ascii="Times New Roman" w:hAnsi="Times New Roman"/>
          <w:color w:val="000000"/>
          <w:sz w:val="20"/>
        </w:rPr>
        <w:t xml:space="preserve"> </w:t>
      </w:r>
      <w:r>
        <w:rPr>
          <w:rFonts w:ascii="Arial" w:hAnsi="Arial"/>
          <w:color w:val="000000"/>
          <w:sz w:val="20"/>
        </w:rPr>
        <w:t>to the UC Regents upon execution of the agreement. The Company is obligated to pay a non-refundable license fee of $5,000</w:t>
      </w:r>
      <w:r>
        <w:rPr>
          <w:rFonts w:ascii="Times New Roman" w:hAnsi="Times New Roman"/>
          <w:color w:val="000000"/>
          <w:sz w:val="20"/>
        </w:rPr>
        <w:t xml:space="preserve"> </w:t>
      </w:r>
      <w:r>
        <w:rPr>
          <w:rFonts w:ascii="Arial" w:hAnsi="Arial"/>
          <w:color w:val="000000"/>
          <w:sz w:val="20"/>
        </w:rPr>
        <w:t>on the one-year anniversary of the contract effective date and each year thereafter, until sales of a licensed product are made and royalties are paid to the UC Regents.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Company is obligated to make certain contingent payments including (i) development milestones up to $3.1</w:t>
      </w:r>
      <w:r>
        <w:rPr>
          <w:rFonts w:ascii="Times New Roman" w:hAnsi="Times New Roman"/>
          <w:color w:val="000000"/>
          <w:sz w:val="20"/>
        </w:rPr>
        <w:t xml:space="preserve"> </w:t>
      </w:r>
      <w:r>
        <w:rPr>
          <w:rFonts w:ascii="Arial" w:hAnsi="Arial"/>
          <w:color w:val="000000"/>
          <w:sz w:val="20"/>
        </w:rPr>
        <w:t>million, (ii) low single digit royalties on the net sales of its developed products that consist of a minimum annual royalty of up to $0.1</w:t>
      </w:r>
      <w:r>
        <w:rPr>
          <w:rFonts w:ascii="Times New Roman" w:hAnsi="Times New Roman"/>
          <w:color w:val="000000"/>
          <w:sz w:val="20"/>
        </w:rPr>
        <w:t xml:space="preserve"> </w:t>
      </w:r>
      <w:r>
        <w:rPr>
          <w:rFonts w:ascii="Arial" w:hAnsi="Arial"/>
          <w:color w:val="000000"/>
          <w:sz w:val="20"/>
        </w:rPr>
        <w:t>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the Company has not recorded a liability related to contingent consideration for future milestone and royalty payments to UC Regents, as the achievement of such milestones has not occurred and was not deemed probable and product sales have not commenced.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8.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Operating Lease Commitments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5980 Horton Street Building Lease</w:t>
      </w:r>
    </w:p>
    <w:p>
      <w:pPr>
        <w:pStyle w:val="TextBody"/>
        <w:bidi w:val="0"/>
        <w:spacing w:before="120" w:after="283"/>
        <w:jc w:val="both"/>
        <w:rPr>
          <w:rFonts w:ascii="Times New Roman" w:hAnsi="Times New Roman"/>
          <w:sz w:val="20"/>
        </w:rPr>
      </w:pPr>
      <w:r>
        <w:rPr>
          <w:rFonts w:ascii="Arial" w:hAnsi="Arial"/>
          <w:color w:val="000000"/>
          <w:sz w:val="20"/>
        </w:rPr>
        <w:t>In May 2015, the Company executed a lease agreement (the “5980 Horton Lease”) for office and laboratory space in Emeryville, California. The 5980 Horton Lease, as amended, expires in August 2026. As of June 30, 2026, the right-of-use asset and lease liability related to the 5980 Horton Lease were each</w:t>
      </w:r>
      <w:r>
        <w:rPr>
          <w:rFonts w:ascii="Times New Roman" w:hAnsi="Times New Roman"/>
          <w:color w:val="000000"/>
          <w:sz w:val="20"/>
        </w:rPr>
        <w:t xml:space="preserve"> </w:t>
      </w:r>
      <w:r>
        <w:rPr>
          <w:rFonts w:ascii="Arial" w:hAnsi="Arial"/>
          <w:color w:val="000000"/>
          <w:sz w:val="20"/>
        </w:rPr>
        <w:t>$0.1</w:t>
      </w:r>
      <w:r>
        <w:rPr>
          <w:rFonts w:ascii="Times New Roman" w:hAnsi="Times New Roman"/>
          <w:color w:val="000000"/>
          <w:sz w:val="20"/>
        </w:rPr>
        <w:t xml:space="preserve"> </w:t>
      </w:r>
      <w:r>
        <w:rPr>
          <w:rFonts w:ascii="Arial" w:hAnsi="Arial"/>
          <w:color w:val="000000"/>
          <w:sz w:val="20"/>
        </w:rPr>
        <w:t>million. As of December 31, 2025, the right-of-use asset and lease liability related to the 5980 Horton Lease were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5858 Horton Street Lease and Expansion</w:t>
      </w:r>
    </w:p>
    <w:p>
      <w:pPr>
        <w:pStyle w:val="TextBody"/>
        <w:bidi w:val="0"/>
        <w:spacing w:before="240" w:after="283"/>
        <w:jc w:val="both"/>
        <w:rPr>
          <w:rFonts w:ascii="Times New Roman" w:hAnsi="Times New Roman"/>
          <w:sz w:val="20"/>
        </w:rPr>
      </w:pPr>
      <w:r>
        <w:rPr>
          <w:rFonts w:ascii="Arial" w:hAnsi="Arial"/>
          <w:color w:val="000000"/>
          <w:sz w:val="20"/>
        </w:rPr>
        <w:t>In October 2018, the Company executed a lease agreement (the “5858 Horton Lease”) for office and laboratory facilities in Emeryville, California. The 5858 Horton Lease, as amended in 2019, 2021 and 2022, consists of approximately 40,802</w:t>
      </w:r>
      <w:r>
        <w:rPr>
          <w:rFonts w:ascii="Times New Roman" w:hAnsi="Times New Roman"/>
          <w:color w:val="000000"/>
          <w:sz w:val="20"/>
        </w:rPr>
        <w:t xml:space="preserve"> </w:t>
      </w:r>
      <w:r>
        <w:rPr>
          <w:rFonts w:ascii="Arial" w:hAnsi="Arial"/>
          <w:color w:val="000000"/>
          <w:sz w:val="20"/>
        </w:rPr>
        <w:t>square feet of space and has a lease term through December 31, 2029. In July 2024, the Company extended the term of the 5858 Horton Lease for a period of twelve months</w:t>
      </w:r>
      <w:r>
        <w:rPr>
          <w:rFonts w:ascii="Times New Roman" w:hAnsi="Times New Roman"/>
          <w:color w:val="000000"/>
          <w:sz w:val="20"/>
        </w:rPr>
        <w:t xml:space="preserve"> </w:t>
      </w:r>
      <w:r>
        <w:rPr>
          <w:rFonts w:ascii="Arial" w:hAnsi="Arial"/>
          <w:color w:val="000000"/>
          <w:sz w:val="20"/>
        </w:rPr>
        <w:t xml:space="preserve">to December 31, 2030. In accordance with ASC Topic 842, </w:t>
      </w:r>
      <w:r>
        <w:rPr>
          <w:rFonts w:ascii="Arial" w:hAnsi="Arial"/>
          <w:i/>
          <w:color w:val="000000"/>
          <w:sz w:val="20"/>
        </w:rPr>
        <w:t>Leases</w:t>
      </w:r>
      <w:r>
        <w:rPr>
          <w:rFonts w:ascii="Arial" w:hAnsi="Arial"/>
          <w:color w:val="000000"/>
          <w:sz w:val="20"/>
        </w:rPr>
        <w:t>, the Company accounted for the extension as a modification and remeasured the lease liability based on the new lease term and an updated, estimated incremental borrowing rate of 10.75%. The modification resulted in an increase to the lease liability of $0.8</w:t>
      </w:r>
      <w:r>
        <w:rPr>
          <w:rFonts w:ascii="Times New Roman" w:hAnsi="Times New Roman"/>
          <w:color w:val="000000"/>
          <w:sz w:val="20"/>
        </w:rPr>
        <w:t xml:space="preserve"> </w:t>
      </w:r>
      <w:r>
        <w:rPr>
          <w:rFonts w:ascii="Arial" w:hAnsi="Arial"/>
          <w:color w:val="000000"/>
          <w:sz w:val="20"/>
        </w:rPr>
        <w:t>million and a corresponding increase to the carrying value of the right-of-use asset. No</w:t>
      </w:r>
      <w:r>
        <w:rPr>
          <w:rFonts w:ascii="Times New Roman" w:hAnsi="Times New Roman"/>
          <w:color w:val="000000"/>
          <w:sz w:val="20"/>
        </w:rPr>
        <w:t xml:space="preserve"> </w:t>
      </w:r>
      <w:r>
        <w:rPr>
          <w:rFonts w:ascii="Arial" w:hAnsi="Arial"/>
          <w:color w:val="000000"/>
          <w:sz w:val="20"/>
        </w:rPr>
        <w:t>gain or loss was recognized upon the modification. As of June 30, 2026, the right-of-use asset and lease liability related to the 5858 Horton Lease were $8.1</w:t>
      </w:r>
      <w:r>
        <w:rPr>
          <w:rFonts w:ascii="Times New Roman" w:hAnsi="Times New Roman"/>
          <w:color w:val="000000"/>
          <w:sz w:val="20"/>
        </w:rPr>
        <w:t xml:space="preserve"> </w:t>
      </w:r>
      <w:r>
        <w:rPr>
          <w:rFonts w:ascii="Arial" w:hAnsi="Arial"/>
          <w:color w:val="000000"/>
          <w:sz w:val="20"/>
        </w:rPr>
        <w:t>million and $10.4</w:t>
      </w:r>
      <w:r>
        <w:rPr>
          <w:rFonts w:ascii="Times New Roman" w:hAnsi="Times New Roman"/>
          <w:color w:val="000000"/>
          <w:sz w:val="20"/>
        </w:rPr>
        <w:t xml:space="preserve"> </w:t>
      </w:r>
      <w:r>
        <w:rPr>
          <w:rFonts w:ascii="Arial" w:hAnsi="Arial"/>
          <w:color w:val="000000"/>
          <w:sz w:val="20"/>
        </w:rPr>
        <w:t>million, respectively. As of December 31, 2025, the right-of-use asset and lease liability related to the 5858 Horton Lease were $8.8</w:t>
      </w:r>
      <w:r>
        <w:rPr>
          <w:rFonts w:ascii="Times New Roman" w:hAnsi="Times New Roman"/>
          <w:color w:val="000000"/>
          <w:sz w:val="20"/>
        </w:rPr>
        <w:t xml:space="preserve"> </w:t>
      </w:r>
      <w:r>
        <w:rPr>
          <w:rFonts w:ascii="Arial" w:hAnsi="Arial"/>
          <w:color w:val="000000"/>
          <w:sz w:val="20"/>
        </w:rPr>
        <w:t>million and $11.2</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July 2024, the Company also entered into a lease agreement for additional office and laboratory space in Emeryville, California (the “5858 Horton Expansion Lease”). The 5858 Horton Expansion Lease consists of approximately 32,038</w:t>
      </w:r>
      <w:r>
        <w:rPr>
          <w:rFonts w:ascii="Times New Roman" w:hAnsi="Times New Roman"/>
          <w:color w:val="000000"/>
          <w:sz w:val="20"/>
        </w:rPr>
        <w:t xml:space="preserve"> </w:t>
      </w:r>
      <w:r>
        <w:rPr>
          <w:rFonts w:ascii="Arial" w:hAnsi="Arial"/>
          <w:color w:val="000000"/>
          <w:sz w:val="20"/>
        </w:rPr>
        <w:t>square feet of space and commenced on September 1, 2024</w:t>
      </w:r>
      <w:r>
        <w:rPr>
          <w:rFonts w:ascii="Times New Roman" w:hAnsi="Times New Roman"/>
          <w:color w:val="000000"/>
          <w:sz w:val="20"/>
        </w:rPr>
        <w:t xml:space="preserve"> </w:t>
      </w:r>
      <w:r>
        <w:rPr>
          <w:rFonts w:ascii="Arial" w:hAnsi="Arial"/>
          <w:color w:val="000000"/>
          <w:sz w:val="20"/>
        </w:rPr>
        <w:t>and has a lease term through December 31, 2030. As of June 30, 2026, the right-of-use asset and lease liability related to the 5858 Horton Expansion Lease were $7.2</w:t>
      </w:r>
      <w:r>
        <w:rPr>
          <w:rFonts w:ascii="Times New Roman" w:hAnsi="Times New Roman"/>
          <w:color w:val="000000"/>
          <w:sz w:val="20"/>
        </w:rPr>
        <w:t xml:space="preserve"> </w:t>
      </w:r>
      <w:r>
        <w:rPr>
          <w:rFonts w:ascii="Arial" w:hAnsi="Arial"/>
          <w:color w:val="000000"/>
          <w:sz w:val="20"/>
        </w:rPr>
        <w:t>million and $8.0</w:t>
      </w:r>
      <w:r>
        <w:rPr>
          <w:rFonts w:ascii="Times New Roman" w:hAnsi="Times New Roman"/>
          <w:color w:val="000000"/>
          <w:sz w:val="20"/>
        </w:rPr>
        <w:t xml:space="preserve"> </w:t>
      </w:r>
      <w:r>
        <w:rPr>
          <w:rFonts w:ascii="Arial" w:hAnsi="Arial"/>
          <w:color w:val="000000"/>
          <w:sz w:val="20"/>
        </w:rPr>
        <w:t>million, respectively. As of December 31, 2025, the right-of-use asset and lease liability related to the 5858 Horton Expansion Lease were $7.8</w:t>
      </w:r>
      <w:r>
        <w:rPr>
          <w:rFonts w:ascii="Times New Roman" w:hAnsi="Times New Roman"/>
          <w:color w:val="000000"/>
          <w:sz w:val="20"/>
        </w:rPr>
        <w:t xml:space="preserve"> </w:t>
      </w:r>
      <w:r>
        <w:rPr>
          <w:rFonts w:ascii="Arial" w:hAnsi="Arial"/>
          <w:color w:val="000000"/>
          <w:sz w:val="20"/>
        </w:rPr>
        <w:t>million and $8.6</w:t>
      </w:r>
      <w:r>
        <w:rPr>
          <w:rFonts w:ascii="Times New Roman" w:hAnsi="Times New Roman"/>
          <w:color w:val="000000"/>
          <w:sz w:val="20"/>
        </w:rPr>
        <w:t xml:space="preserve"> </w:t>
      </w:r>
      <w:r>
        <w:rPr>
          <w:rFonts w:ascii="Arial" w:hAnsi="Arial"/>
          <w:color w:val="000000"/>
          <w:sz w:val="20"/>
        </w:rPr>
        <w:t>million, respectively. The discount rate used to measure the lease liability was 11.02%.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Emeryville Warehouse Lease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2024, the Company entered into a lease agreement for warehouse space in Emeryville, California (the “Warehouse Lease”). The Warehouse Lease commenced on August 1, 2024. The Warehouse Lease consists of approximately 7,800</w:t>
      </w:r>
      <w:r>
        <w:rPr>
          <w:rFonts w:ascii="Times New Roman" w:hAnsi="Times New Roman"/>
          <w:color w:val="000000"/>
          <w:sz w:val="20"/>
        </w:rPr>
        <w:t xml:space="preserve"> </w:t>
      </w:r>
      <w:r>
        <w:rPr>
          <w:rFonts w:ascii="Arial" w:hAnsi="Arial"/>
          <w:color w:val="000000"/>
          <w:sz w:val="20"/>
        </w:rPr>
        <w:t>square feet of warehouse space and has a lease term through December 31, 2029. As of June 30, 2026, the right-of-use asset and lease liability related to the Warehouse Lease were each $1.1</w:t>
      </w:r>
      <w:r>
        <w:rPr>
          <w:rFonts w:ascii="Times New Roman" w:hAnsi="Times New Roman"/>
          <w:color w:val="000000"/>
          <w:sz w:val="20"/>
        </w:rPr>
        <w:t xml:space="preserve"> </w:t>
      </w:r>
      <w:r>
        <w:rPr>
          <w:rFonts w:ascii="Arial" w:hAnsi="Arial"/>
          <w:color w:val="000000"/>
          <w:sz w:val="20"/>
        </w:rPr>
        <w:t>million. As of December 31, 2025, the right-of-use asset and lease liability related to the Warehouse Lease were each $1.2</w:t>
      </w:r>
      <w:r>
        <w:rPr>
          <w:rFonts w:ascii="Times New Roman" w:hAnsi="Times New Roman"/>
          <w:color w:val="000000"/>
          <w:sz w:val="20"/>
        </w:rPr>
        <w:t xml:space="preserve"> </w:t>
      </w:r>
      <w:r>
        <w:rPr>
          <w:rFonts w:ascii="Arial" w:hAnsi="Arial"/>
          <w:color w:val="000000"/>
          <w:sz w:val="20"/>
        </w:rPr>
        <w:t>million. The discount rate used to measure the lease liability related to the Warehouse Lease was 10.69%.</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the components of lease expense, which are included in operating expenses in the Company’s condensed statements of operations (in thousands):</w:t>
      </w:r>
      <w:r>
        <w:rPr>
          <w:rFonts w:ascii="Times New Roman" w:hAnsi="Times New Roman"/>
          <w:color w:val="000000"/>
          <w:sz w:val="20"/>
        </w:rPr>
        <w:t xml:space="preserve"> </w:t>
      </w:r>
    </w:p>
    <w:p>
      <w:pPr>
        <w:pStyle w:val="TextBody"/>
        <w:bidi w:val="0"/>
        <w:jc w:val="both"/>
        <w:rPr/>
      </w:pPr>
      <w:r>
        <w:rPr/>
        <w:t> </w:t>
      </w:r>
    </w:p>
    <w:tbl>
      <w:tblPr>
        <w:tblW w:w="7536" w:type="dxa"/>
        <w:jc w:val="left"/>
        <w:tblInd w:w="0" w:type="dxa"/>
        <w:tblLayout w:type="fixed"/>
        <w:tblCellMar>
          <w:top w:w="28" w:type="dxa"/>
          <w:left w:w="28" w:type="dxa"/>
          <w:bottom w:w="28" w:type="dxa"/>
          <w:right w:w="28" w:type="dxa"/>
        </w:tblCellMar>
      </w:tblPr>
      <w:tblGrid>
        <w:gridCol w:w="1921"/>
        <w:gridCol w:w="146"/>
        <w:gridCol w:w="275"/>
        <w:gridCol w:w="764"/>
        <w:gridCol w:w="190"/>
        <w:gridCol w:w="190"/>
        <w:gridCol w:w="275"/>
        <w:gridCol w:w="764"/>
        <w:gridCol w:w="146"/>
        <w:gridCol w:w="146"/>
        <w:gridCol w:w="251"/>
        <w:gridCol w:w="699"/>
        <w:gridCol w:w="174"/>
        <w:gridCol w:w="174"/>
        <w:gridCol w:w="251"/>
        <w:gridCol w:w="699"/>
        <w:gridCol w:w="47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Variable lease payments include amounts relating to common area maintenance and are recognized in the condensed statements of operations as incurred.</w:t>
      </w:r>
    </w:p>
    <w:p>
      <w:pPr>
        <w:pStyle w:val="TextBody"/>
        <w:bidi w:val="0"/>
        <w:spacing w:before="240" w:after="283"/>
        <w:jc w:val="both"/>
        <w:rPr>
          <w:rFonts w:ascii="Times New Roman" w:hAnsi="Times New Roman"/>
          <w:sz w:val="20"/>
        </w:rPr>
      </w:pPr>
      <w:r>
        <w:rPr>
          <w:rFonts w:ascii="Arial" w:hAnsi="Arial"/>
          <w:color w:val="000000"/>
          <w:sz w:val="20"/>
        </w:rPr>
        <w:t>Cash paid for amounts included in the measurement of the Company’s operating lease liabilities and presented within cash used in operating activities in the condensed statements of cash flows was $2.9</w:t>
      </w:r>
      <w:r>
        <w:rPr>
          <w:rFonts w:ascii="Times New Roman" w:hAnsi="Times New Roman"/>
          <w:color w:val="000000"/>
          <w:sz w:val="20"/>
        </w:rPr>
        <w:t xml:space="preserve"> </w:t>
      </w:r>
      <w:r>
        <w:rPr>
          <w:rFonts w:ascii="Arial" w:hAnsi="Arial"/>
          <w:color w:val="000000"/>
          <w:sz w:val="20"/>
        </w:rPr>
        <w:t>million and $2.8</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spacing w:before="240" w:after="283"/>
        <w:jc w:val="both"/>
        <w:rPr>
          <w:rFonts w:ascii="Arial" w:hAnsi="Arial"/>
          <w:color w:val="000000"/>
          <w:sz w:val="20"/>
        </w:rPr>
      </w:pPr>
      <w:r>
        <w:rPr>
          <w:rFonts w:ascii="Arial" w:hAnsi="Arial"/>
          <w:color w:val="000000"/>
          <w:sz w:val="20"/>
        </w:rPr>
        <w:t>The following table summarizes supplemental information related to operating leases:</w:t>
      </w:r>
    </w:p>
    <w:p>
      <w:pPr>
        <w:pStyle w:val="TextBody"/>
        <w:bidi w:val="0"/>
        <w:jc w:val="both"/>
        <w:rPr/>
      </w:pPr>
      <w:r>
        <w:rPr/>
        <w:t> </w:t>
      </w:r>
    </w:p>
    <w:tbl>
      <w:tblPr>
        <w:tblW w:w="8140" w:type="dxa"/>
        <w:jc w:val="left"/>
        <w:tblInd w:w="0" w:type="dxa"/>
        <w:tblLayout w:type="fixed"/>
        <w:tblCellMar>
          <w:top w:w="28" w:type="dxa"/>
          <w:left w:w="28" w:type="dxa"/>
          <w:bottom w:w="28" w:type="dxa"/>
          <w:right w:w="28" w:type="dxa"/>
        </w:tblCellMar>
      </w:tblPr>
      <w:tblGrid>
        <w:gridCol w:w="4486"/>
        <w:gridCol w:w="146"/>
        <w:gridCol w:w="272"/>
        <w:gridCol w:w="898"/>
        <w:gridCol w:w="286"/>
        <w:gridCol w:w="146"/>
        <w:gridCol w:w="365"/>
        <w:gridCol w:w="1210"/>
        <w:gridCol w:w="33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color w:val="000000"/>
          <w:sz w:val="20"/>
        </w:rPr>
      </w:pPr>
      <w:r>
        <w:rPr>
          <w:rFonts w:ascii="Arial" w:hAnsi="Arial"/>
          <w:color w:val="000000"/>
          <w:sz w:val="20"/>
        </w:rPr>
        <w:t>The following table summarizes the maturities of lease liabilities as of June 30, 2026 (in thousands):</w:t>
      </w:r>
    </w:p>
    <w:p>
      <w:pPr>
        <w:pStyle w:val="TextBody"/>
        <w:bidi w:val="0"/>
        <w:jc w:val="both"/>
        <w:rPr/>
      </w:pPr>
      <w:r>
        <w:rPr/>
        <w:t> </w:t>
      </w:r>
    </w:p>
    <w:tbl>
      <w:tblPr>
        <w:tblW w:w="5935" w:type="dxa"/>
        <w:jc w:val="left"/>
        <w:tblInd w:w="0" w:type="dxa"/>
        <w:tblLayout w:type="fixed"/>
        <w:tblCellMar>
          <w:top w:w="28" w:type="dxa"/>
          <w:left w:w="28" w:type="dxa"/>
          <w:bottom w:w="28" w:type="dxa"/>
          <w:right w:w="28" w:type="dxa"/>
        </w:tblCellMar>
      </w:tblPr>
      <w:tblGrid>
        <w:gridCol w:w="4536"/>
        <w:gridCol w:w="146"/>
        <w:gridCol w:w="211"/>
        <w:gridCol w:w="691"/>
        <w:gridCol w:w="35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2,725</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Present value of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(5,374</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14,256</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color w:val="000000"/>
          <w:sz w:val="20"/>
        </w:rPr>
        <w:t>Indemnification Agreements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pStyle w:val="TextBody"/>
        <w:bidi w:val="0"/>
        <w:spacing w:before="240" w:after="283"/>
        <w:jc w:val="both"/>
        <w:rPr>
          <w:rFonts w:ascii="Times New Roman" w:hAnsi="Times New Roman"/>
          <w:sz w:val="20"/>
        </w:rPr>
      </w:pPr>
      <w:r>
        <w:rPr>
          <w:rFonts w:ascii="Arial" w:hAnsi="Arial"/>
          <w:b/>
          <w:color w:val="000000"/>
          <w:sz w:val="20"/>
        </w:rPr>
        <w:t>Contractual Obligations and Commitments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enters into various agreements in the ordinary course of business, such as those with suppliers, CROs, CDMOs and clinical trial sites. These contracts generally provide for termination on notice or may have a potential termination fee if a purchase order is canceled within a specified time. The total value of non-cancellable obligations under contracts was $4.9</w:t>
      </w:r>
      <w:r>
        <w:rPr>
          <w:rFonts w:ascii="Times New Roman" w:hAnsi="Times New Roman"/>
          <w:color w:val="000000"/>
          <w:sz w:val="20"/>
        </w:rPr>
        <w:t xml:space="preserve"> </w:t>
      </w:r>
      <w:r>
        <w:rPr>
          <w:rFonts w:ascii="Arial" w:hAnsi="Arial"/>
          <w:color w:val="000000"/>
          <w:sz w:val="20"/>
        </w:rPr>
        <w:t>million and $4.0</w:t>
      </w:r>
      <w:r>
        <w:rPr>
          <w:rFonts w:ascii="Times New Roman" w:hAnsi="Times New Roman"/>
          <w:color w:val="000000"/>
          <w:sz w:val="20"/>
        </w:rPr>
        <w:t xml:space="preserve"> </w:t>
      </w:r>
      <w:r>
        <w:rPr>
          <w:rFonts w:ascii="Arial" w:hAnsi="Arial"/>
          <w:color w:val="000000"/>
          <w:sz w:val="20"/>
        </w:rPr>
        <w:t>million as of June 30, 2026 and December 31, 2025, respectively. This presentation of non-cancellable purchase obligations does not include any estimates of potential reduction of such liabilities related to mitigation obligations of the counter-parties in the event of cancellation under the terms of the Company's engagements.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the Company may become involved in legal proceedings arising from the ordinary course of its business. If applicable, the Company records a legal liability when it believes that it is probable that a liability has been incurred and the amount of the liability can be reasonably estimated. Significant judgment by the Company is required to determine both probability and the estimated amount. There are no material legal proceedings outstanding at June 30, 2026.</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9. Long-Term Debt</w:t>
      </w:r>
    </w:p>
    <w:p>
      <w:pPr>
        <w:pStyle w:val="TextBody"/>
        <w:bidi w:val="0"/>
        <w:spacing w:before="240" w:after="160"/>
        <w:jc w:val="both"/>
        <w:rPr>
          <w:rFonts w:ascii="Times New Roman" w:hAnsi="Times New Roman"/>
          <w:sz w:val="20"/>
        </w:rPr>
      </w:pPr>
      <w:r>
        <w:rPr>
          <w:rFonts w:ascii="Arial" w:hAnsi="Arial"/>
          <w:color w:val="000000"/>
          <w:sz w:val="20"/>
        </w:rPr>
        <w:t>In June 2026, the Company entered into a Loan and Security Agreement (the “Loan and Security Agreement”)</w:t>
      </w:r>
      <w:r>
        <w:rPr>
          <w:rFonts w:ascii="Times New Roman" w:hAnsi="Times New Roman"/>
          <w:color w:val="000000"/>
          <w:sz w:val="20"/>
        </w:rPr>
        <w:t xml:space="preserve"> </w:t>
      </w:r>
      <w:r>
        <w:rPr>
          <w:rFonts w:ascii="Arial" w:hAnsi="Arial"/>
          <w:color w:val="000000"/>
          <w:sz w:val="20"/>
        </w:rPr>
        <w:t>with Hercules Capital, Inc., providing for up to $200.0</w:t>
      </w:r>
      <w:r>
        <w:rPr>
          <w:rFonts w:ascii="Times New Roman" w:hAnsi="Times New Roman"/>
          <w:color w:val="000000"/>
          <w:sz w:val="20"/>
        </w:rPr>
        <w:t xml:space="preserve"> </w:t>
      </w:r>
      <w:r>
        <w:rPr>
          <w:rFonts w:ascii="Arial" w:hAnsi="Arial"/>
          <w:color w:val="000000"/>
          <w:sz w:val="20"/>
        </w:rPr>
        <w:t>million in term loan borrowings. At the closing on June 24, 2026, the Company had access to a $50.0</w:t>
      </w:r>
      <w:r>
        <w:rPr>
          <w:rFonts w:ascii="Times New Roman" w:hAnsi="Times New Roman"/>
          <w:color w:val="000000"/>
          <w:sz w:val="20"/>
        </w:rPr>
        <w:t xml:space="preserve"> </w:t>
      </w:r>
      <w:r>
        <w:rPr>
          <w:rFonts w:ascii="Arial" w:hAnsi="Arial"/>
          <w:color w:val="000000"/>
          <w:sz w:val="20"/>
        </w:rPr>
        <w:t>million tranche, of which it borrowed $20.0</w:t>
      </w:r>
      <w:r>
        <w:rPr>
          <w:rFonts w:ascii="Times New Roman" w:hAnsi="Times New Roman"/>
          <w:color w:val="000000"/>
          <w:sz w:val="20"/>
        </w:rPr>
        <w:t xml:space="preserve"> </w:t>
      </w:r>
      <w:r>
        <w:rPr>
          <w:rFonts w:ascii="Arial" w:hAnsi="Arial"/>
          <w:color w:val="000000"/>
          <w:sz w:val="20"/>
        </w:rPr>
        <w:t>million. The remaining $30.0</w:t>
      </w:r>
      <w:r>
        <w:rPr>
          <w:rFonts w:ascii="Times New Roman" w:hAnsi="Times New Roman"/>
          <w:color w:val="000000"/>
          <w:sz w:val="20"/>
        </w:rPr>
        <w:t xml:space="preserve"> </w:t>
      </w:r>
      <w:r>
        <w:rPr>
          <w:rFonts w:ascii="Arial" w:hAnsi="Arial"/>
          <w:color w:val="000000"/>
          <w:sz w:val="20"/>
        </w:rPr>
        <w:t>million is available, at the Company's option, through June 15, 2027. The Company may draw up to an additional $100.0</w:t>
      </w:r>
      <w:r>
        <w:rPr>
          <w:rFonts w:ascii="Times New Roman" w:hAnsi="Times New Roman"/>
          <w:color w:val="000000"/>
          <w:sz w:val="20"/>
        </w:rPr>
        <w:t xml:space="preserve"> </w:t>
      </w:r>
      <w:r>
        <w:rPr>
          <w:rFonts w:ascii="Arial" w:hAnsi="Arial"/>
          <w:color w:val="000000"/>
          <w:sz w:val="20"/>
        </w:rPr>
        <w:t>million in three separate tranches upon achievement of certain clinical, regulatory, financing and capitalization milestones. As of June 30, 2026, the Company had not met the requirements to access the funds under these tranches, as it had not achieved the related milestone. An additional fifth tranche of $50.0</w:t>
      </w:r>
      <w:r>
        <w:rPr>
          <w:rFonts w:ascii="Times New Roman" w:hAnsi="Times New Roman"/>
          <w:color w:val="000000"/>
          <w:sz w:val="20"/>
        </w:rPr>
        <w:t xml:space="preserve"> </w:t>
      </w:r>
      <w:r>
        <w:rPr>
          <w:rFonts w:ascii="Arial" w:hAnsi="Arial"/>
          <w:color w:val="000000"/>
          <w:sz w:val="20"/>
        </w:rPr>
        <w:t>million may be made available upon the Company's request and at Hercules’ sole discretion and is not contingent upon the Company’s achievement of the milestones applicable to the prior tranches. The Loan and Security Agreement</w:t>
      </w:r>
      <w:r>
        <w:rPr>
          <w:rFonts w:ascii="Times New Roman" w:hAnsi="Times New Roman"/>
          <w:color w:val="000000"/>
          <w:sz w:val="20"/>
        </w:rPr>
        <w:t xml:space="preserve"> </w:t>
      </w:r>
      <w:r>
        <w:rPr>
          <w:rFonts w:ascii="Arial" w:hAnsi="Arial"/>
          <w:color w:val="000000"/>
          <w:sz w:val="20"/>
        </w:rPr>
        <w:t>matures on June 1, 2031. The initial borrowing of $20.0</w:t>
      </w:r>
      <w:r>
        <w:rPr>
          <w:rFonts w:ascii="Times New Roman" w:hAnsi="Times New Roman"/>
          <w:color w:val="000000"/>
          <w:sz w:val="20"/>
        </w:rPr>
        <w:t xml:space="preserve"> </w:t>
      </w:r>
      <w:r>
        <w:rPr>
          <w:rFonts w:ascii="Arial" w:hAnsi="Arial"/>
          <w:color w:val="000000"/>
          <w:sz w:val="20"/>
        </w:rPr>
        <w:t>million bears interest at a floating rate equal to the greater of (i) the prime rate</w:t>
      </w:r>
      <w:r>
        <w:rPr>
          <w:rFonts w:ascii="Times New Roman" w:hAnsi="Times New Roman"/>
          <w:color w:val="000000"/>
          <w:sz w:val="20"/>
        </w:rPr>
        <w:t xml:space="preserve"> </w:t>
      </w:r>
      <w:r>
        <w:rPr>
          <w:rFonts w:ascii="Arial" w:hAnsi="Arial"/>
          <w:color w:val="000000"/>
          <w:sz w:val="20"/>
        </w:rPr>
        <w:t>plus 2.0% and (ii) 8.75%, and all future borrowings, including the available balance of $30.0</w:t>
      </w:r>
      <w:r>
        <w:rPr>
          <w:rFonts w:ascii="Times New Roman" w:hAnsi="Times New Roman"/>
          <w:color w:val="000000"/>
          <w:sz w:val="20"/>
        </w:rPr>
        <w:t xml:space="preserve"> </w:t>
      </w:r>
      <w:r>
        <w:rPr>
          <w:rFonts w:ascii="Arial" w:hAnsi="Arial"/>
          <w:color w:val="000000"/>
          <w:sz w:val="20"/>
        </w:rPr>
        <w:t>million of the $50.0</w:t>
      </w:r>
      <w:r>
        <w:rPr>
          <w:rFonts w:ascii="Times New Roman" w:hAnsi="Times New Roman"/>
          <w:color w:val="000000"/>
          <w:sz w:val="20"/>
        </w:rPr>
        <w:t xml:space="preserve"> </w:t>
      </w:r>
      <w:r>
        <w:rPr>
          <w:rFonts w:ascii="Arial" w:hAnsi="Arial"/>
          <w:color w:val="000000"/>
          <w:sz w:val="20"/>
        </w:rPr>
        <w:t>million tranche available as of June 24, 2026, bear interest at a floating rate equal to the greater of (i) the prime rate plus 2.5% and (ii) 9.25%. The floating interest rate is capped at 0.75% more than the interest rate at the time of the borrowing. The Company is required to make monthly interest-only payments for borrowings under the initial tranche of $50.0 million for a period of 29 months, which may be extended by up to an additional 30 months upon achievement of certain clinical, regulatory, financing and capitalization milestones.</w:t>
      </w:r>
    </w:p>
    <w:p>
      <w:pPr>
        <w:pStyle w:val="TextBody"/>
        <w:bidi w:val="0"/>
        <w:spacing w:before="80" w:after="160"/>
        <w:jc w:val="both"/>
        <w:rPr>
          <w:rFonts w:ascii="Times New Roman" w:hAnsi="Times New Roman"/>
          <w:sz w:val="20"/>
        </w:rPr>
      </w:pPr>
      <w:r>
        <w:rPr>
          <w:rFonts w:ascii="Arial" w:hAnsi="Arial"/>
          <w:color w:val="000000"/>
          <w:sz w:val="20"/>
        </w:rPr>
        <w:t>The Loan and Security Agreement</w:t>
      </w:r>
      <w:r>
        <w:rPr>
          <w:rFonts w:ascii="Times New Roman" w:hAnsi="Times New Roman"/>
          <w:color w:val="000000"/>
          <w:sz w:val="20"/>
        </w:rPr>
        <w:t xml:space="preserve"> </w:t>
      </w:r>
      <w:r>
        <w:rPr>
          <w:rFonts w:ascii="Arial" w:hAnsi="Arial"/>
          <w:color w:val="000000"/>
          <w:sz w:val="20"/>
        </w:rPr>
        <w:t>includes an end-of-term charge ranging from 3.70% to 6.50% of the aggregate principal amount, depending on the timing of the repayment. The recognition of the end-of-term charge is reflected as interest expense over the term of the borrowing using the effective interest rate method. The Company may voluntarily prepay outstanding borrowings, subject to prepayment premiums ranging from 1.0% to 3.0% of the principal amount prepaid, depending on the timing of repayment.</w:t>
      </w:r>
      <w:r>
        <w:rPr>
          <w:rFonts w:ascii="Times New Roman" w:hAnsi="Times New Roman"/>
          <w:color w:val="000000"/>
          <w:sz w:val="20"/>
        </w:rPr>
        <w:t xml:space="preserve"> </w:t>
      </w:r>
    </w:p>
    <w:p>
      <w:pPr>
        <w:pStyle w:val="TextBody"/>
        <w:bidi w:val="0"/>
        <w:spacing w:before="80" w:after="160"/>
        <w:jc w:val="both"/>
        <w:rPr>
          <w:rFonts w:ascii="Times New Roman" w:hAnsi="Times New Roman"/>
          <w:sz w:val="20"/>
        </w:rPr>
      </w:pPr>
      <w:r>
        <w:rPr>
          <w:rFonts w:ascii="Arial" w:hAnsi="Arial"/>
          <w:color w:val="000000"/>
          <w:sz w:val="20"/>
        </w:rPr>
        <w:t>In connection with the Loan and Security Agreement, the Company paid a $0.5</w:t>
      </w:r>
      <w:r>
        <w:rPr>
          <w:rFonts w:ascii="Times New Roman" w:hAnsi="Times New Roman"/>
          <w:color w:val="000000"/>
          <w:sz w:val="20"/>
        </w:rPr>
        <w:t xml:space="preserve"> </w:t>
      </w:r>
      <w:r>
        <w:rPr>
          <w:rFonts w:ascii="Arial" w:hAnsi="Arial"/>
          <w:color w:val="000000"/>
          <w:sz w:val="20"/>
        </w:rPr>
        <w:t>million facility fee for the $50.0</w:t>
      </w:r>
      <w:r>
        <w:rPr>
          <w:rFonts w:ascii="Times New Roman" w:hAnsi="Times New Roman"/>
          <w:color w:val="000000"/>
          <w:sz w:val="20"/>
        </w:rPr>
        <w:t xml:space="preserve"> </w:t>
      </w:r>
      <w:r>
        <w:rPr>
          <w:rFonts w:ascii="Arial" w:hAnsi="Arial"/>
          <w:color w:val="000000"/>
          <w:sz w:val="20"/>
        </w:rPr>
        <w:t>million tranche and is subject to a 1.00% facility fee for subsequent borrowings.</w:t>
      </w:r>
      <w:r>
        <w:rPr>
          <w:rFonts w:ascii="Times New Roman" w:hAnsi="Times New Roman"/>
          <w:color w:val="000000"/>
          <w:sz w:val="20"/>
        </w:rPr>
        <w:t xml:space="preserve"> </w:t>
      </w:r>
      <w:r>
        <w:rPr>
          <w:rFonts w:ascii="Arial" w:hAnsi="Arial"/>
          <w:color w:val="000000"/>
          <w:sz w:val="20"/>
        </w:rPr>
        <w:t>Because the facility fee relates to the total $50.0</w:t>
      </w:r>
      <w:r>
        <w:rPr>
          <w:rFonts w:ascii="Times New Roman" w:hAnsi="Times New Roman"/>
          <w:color w:val="000000"/>
          <w:sz w:val="20"/>
        </w:rPr>
        <w:t xml:space="preserve"> </w:t>
      </w:r>
      <w:r>
        <w:rPr>
          <w:rFonts w:ascii="Arial" w:hAnsi="Arial"/>
          <w:color w:val="000000"/>
          <w:sz w:val="20"/>
        </w:rPr>
        <w:t>million initial tranche, the Company allocated the costs among the two initial borrowing tranches based on the relative borrowing capacity available under each tranche. In addition to the initial facility fee, the Company incurred approximately $2.1</w:t>
      </w:r>
      <w:r>
        <w:rPr>
          <w:rFonts w:ascii="Times New Roman" w:hAnsi="Times New Roman"/>
          <w:color w:val="000000"/>
          <w:sz w:val="20"/>
        </w:rPr>
        <w:t xml:space="preserve"> </w:t>
      </w:r>
      <w:r>
        <w:rPr>
          <w:rFonts w:ascii="Arial" w:hAnsi="Arial"/>
          <w:color w:val="000000"/>
          <w:sz w:val="20"/>
        </w:rPr>
        <w:t>million of debt issuance costs, consisting primarily of lender fees and third-party legal and other transaction costs. Because the debt issuance costs relate to the $150.0</w:t>
      </w:r>
      <w:r>
        <w:rPr>
          <w:rFonts w:ascii="Times New Roman" w:hAnsi="Times New Roman"/>
          <w:color w:val="000000"/>
          <w:sz w:val="20"/>
        </w:rPr>
        <w:t xml:space="preserve"> </w:t>
      </w:r>
      <w:r>
        <w:rPr>
          <w:rFonts w:ascii="Arial" w:hAnsi="Arial"/>
          <w:color w:val="000000"/>
          <w:sz w:val="20"/>
        </w:rPr>
        <w:t>million for the first four tranches of the Loan and Security Agreement, the Company allocated the costs among the various borrowing tranches based on the relative borrowing capacity available under each tranche. Facility fees and debt issuance costs attributable to funded borrowings were recorded as a reduction to the carrying value of the debt and are being amortized to interest expense using the effective interest method over the expected term of the borrowing. Facility fees and debt issuance costs attributable to unfunded borrowing commitments were capitalized to prepaid and other current assets or other non-current assets according to the access period or classification of the underlying debt, as appropriate, and are being amortized to interest expense over the applicable commitment periods or will be reclassified as debt upon funding of the related borrowings.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sz w:val="20"/>
        </w:rPr>
      </w:pPr>
      <w:r>
        <w:rPr>
          <w:rFonts w:ascii="Arial" w:hAnsi="Arial"/>
          <w:color w:val="000000"/>
          <w:sz w:val="20"/>
        </w:rPr>
        <w:t>The Loan and Security Agreement contains financial covenants, including minimum cash and performance-based covenants, that are not yet subject to testing or effective as of June 30, 2026. Upon the occurrence of certain events and beginning no earlier than January 1, 2028, the Company may become subject to minimum cash and performance-based financial covenants. The Loan and Security Agreement contains customary events of default, including failure to make required payments or maintain compliance with covenants, breach, default, insolvency, attachment or judgment events and any circumstance which could reasonably be expected to have a material adverse effect on the Company. The Loan and Security Agreement also contains customary affirmative and restrictive covenants, representations and warranties associated with a secured loan facility, including certain limitations on indebtedness, liens, investments, distributions, mergers or acquisitions and corporate changes.</w:t>
      </w:r>
      <w:r>
        <w:rPr>
          <w:rFonts w:ascii="Times New Roman" w:hAnsi="Times New Roman"/>
          <w:color w:val="000000"/>
          <w:sz w:val="20"/>
        </w:rPr>
        <w:t xml:space="preserve"> </w:t>
      </w:r>
    </w:p>
    <w:p>
      <w:pPr>
        <w:pStyle w:val="TextBody"/>
        <w:bidi w:val="0"/>
        <w:spacing w:before="80" w:after="160"/>
        <w:jc w:val="both"/>
        <w:rPr>
          <w:rFonts w:ascii="Times New Roman" w:hAnsi="Times New Roman"/>
          <w:sz w:val="20"/>
        </w:rPr>
      </w:pPr>
      <w:r>
        <w:rPr>
          <w:rFonts w:ascii="Arial" w:hAnsi="Arial"/>
          <w:color w:val="000000"/>
          <w:sz w:val="20"/>
        </w:rPr>
        <w:t>As of June 30, 2026, the outstanding principal under the Loan and Security Agreement</w:t>
      </w:r>
      <w:r>
        <w:rPr>
          <w:rFonts w:ascii="Times New Roman" w:hAnsi="Times New Roman"/>
          <w:color w:val="000000"/>
          <w:sz w:val="20"/>
        </w:rPr>
        <w:t xml:space="preserve"> </w:t>
      </w:r>
      <w:r>
        <w:rPr>
          <w:rFonts w:ascii="Arial" w:hAnsi="Arial"/>
          <w:color w:val="000000"/>
          <w:sz w:val="20"/>
        </w:rPr>
        <w:t>was $20.0</w:t>
      </w:r>
      <w:r>
        <w:rPr>
          <w:rFonts w:ascii="Times New Roman" w:hAnsi="Times New Roman"/>
          <w:color w:val="000000"/>
          <w:sz w:val="20"/>
        </w:rPr>
        <w:t xml:space="preserve"> </w:t>
      </w:r>
      <w:r>
        <w:rPr>
          <w:rFonts w:ascii="Arial" w:hAnsi="Arial"/>
          <w:color w:val="000000"/>
          <w:sz w:val="20"/>
        </w:rPr>
        <w:t>million, bearing interest at a rate of 8.75% per annum, with an effective interest rate of 10.64%.</w:t>
      </w:r>
    </w:p>
    <w:p>
      <w:pPr>
        <w:pStyle w:val="TextBody"/>
        <w:bidi w:val="0"/>
        <w:spacing w:before="80" w:after="160"/>
        <w:jc w:val="left"/>
        <w:rPr>
          <w:rFonts w:ascii="Arial" w:hAnsi="Arial"/>
          <w:color w:val="000000"/>
          <w:sz w:val="20"/>
        </w:rPr>
      </w:pPr>
      <w:r>
        <w:rPr>
          <w:rFonts w:ascii="Arial" w:hAnsi="Arial"/>
          <w:color w:val="000000"/>
          <w:sz w:val="20"/>
        </w:rPr>
        <w:t>The future principal payments due under the Loan and Security Agreement as of June 30, 2026 were as follows (in thousands):</w:t>
      </w:r>
    </w:p>
    <w:tbl>
      <w:tblPr>
        <w:tblW w:w="2995" w:type="dxa"/>
        <w:jc w:val="left"/>
        <w:tblInd w:w="0" w:type="dxa"/>
        <w:tblLayout w:type="fixed"/>
        <w:tblCellMar>
          <w:top w:w="28" w:type="dxa"/>
          <w:left w:w="28" w:type="dxa"/>
          <w:bottom w:w="28" w:type="dxa"/>
          <w:right w:w="28" w:type="dxa"/>
        </w:tblCellMar>
      </w:tblPr>
      <w:tblGrid>
        <w:gridCol w:w="1756"/>
        <w:gridCol w:w="146"/>
        <w:gridCol w:w="211"/>
        <w:gridCol w:w="69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both"/>
        <w:rPr>
          <w:rFonts w:ascii="Times New Roman" w:hAnsi="Times New Roman"/>
          <w:sz w:val="20"/>
        </w:rPr>
      </w:pPr>
      <w:r>
        <w:rPr>
          <w:rFonts w:ascii="Arial" w:hAnsi="Arial"/>
          <w:color w:val="000000"/>
          <w:sz w:val="20"/>
        </w:rPr>
        <w:t>As of June 30, 2026, the carrying value of the Loan and Security Agreement was as follows (in thousands):</w:t>
      </w:r>
      <w:r>
        <w:rPr>
          <w:rFonts w:ascii="Times New Roman" w:hAnsi="Times New Roman"/>
          <w:color w:val="000000"/>
          <w:sz w:val="20"/>
        </w:rPr>
        <w:t xml:space="preserve"> </w:t>
      </w:r>
    </w:p>
    <w:tbl>
      <w:tblPr>
        <w:tblW w:w="5970" w:type="dxa"/>
        <w:jc w:val="left"/>
        <w:tblInd w:w="0" w:type="dxa"/>
        <w:tblLayout w:type="fixed"/>
        <w:tblCellMar>
          <w:top w:w="28" w:type="dxa"/>
          <w:left w:w="28" w:type="dxa"/>
          <w:bottom w:w="28" w:type="dxa"/>
          <w:right w:w="28" w:type="dxa"/>
        </w:tblCellMar>
      </w:tblPr>
      <w:tblGrid>
        <w:gridCol w:w="4711"/>
        <w:gridCol w:w="146"/>
        <w:gridCol w:w="211"/>
        <w:gridCol w:w="69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As of June 30, 2026, debt issuance costs and debt discount of approximately $2.2</w:t>
      </w:r>
      <w:r>
        <w:rPr>
          <w:rFonts w:ascii="Times New Roman" w:hAnsi="Times New Roman"/>
          <w:color w:val="000000"/>
          <w:sz w:val="20"/>
        </w:rPr>
        <w:t xml:space="preserve"> </w:t>
      </w:r>
      <w:r>
        <w:rPr>
          <w:rFonts w:ascii="Arial" w:hAnsi="Arial"/>
          <w:color w:val="000000"/>
          <w:sz w:val="20"/>
        </w:rPr>
        <w:t>million were included in prepaid expenses and other current assets and in other non-current assets on the condensed balance sheet, as appropriate. As of June 30, 2026, approximately $1.9</w:t>
      </w:r>
      <w:r>
        <w:rPr>
          <w:rFonts w:ascii="Times New Roman" w:hAnsi="Times New Roman"/>
          <w:color w:val="000000"/>
          <w:sz w:val="20"/>
        </w:rPr>
        <w:t xml:space="preserve"> </w:t>
      </w:r>
      <w:r>
        <w:rPr>
          <w:rFonts w:ascii="Arial" w:hAnsi="Arial"/>
          <w:color w:val="000000"/>
          <w:sz w:val="20"/>
        </w:rPr>
        <w:t>million of unpaid debt issuance costs were included in accounts payable on the condensed balance sheet. For the</w:t>
      </w:r>
      <w:r>
        <w:rPr>
          <w:rFonts w:ascii="Times New Roman" w:hAnsi="Times New Roman"/>
          <w:color w:val="000000"/>
          <w:sz w:val="20"/>
        </w:rPr>
        <w:t xml:space="preserve"> </w:t>
      </w:r>
      <w:r>
        <w:rPr>
          <w:rFonts w:ascii="Arial" w:hAnsi="Arial"/>
          <w:color w:val="000000"/>
          <w:sz w:val="20"/>
        </w:rPr>
        <w:t>three and six months ended June 30, 2026, the Company recognized an immaterial amount of interest expense for borrowings under the Loan and Security Agreement. The Loan and Security Agreement is secured by a first-priority security interest in substantially all of the Company’s assets, including intellectual property, subject to customary exclusions.</w:t>
      </w:r>
    </w:p>
    <w:p>
      <w:pPr>
        <w:pStyle w:val="TextBody"/>
        <w:bidi w:val="0"/>
        <w:spacing w:before="240" w:after="283"/>
        <w:jc w:val="left"/>
        <w:rPr>
          <w:rFonts w:ascii="Arial" w:hAnsi="Arial"/>
          <w:b/>
          <w:i/>
          <w:color w:val="000000"/>
          <w:sz w:val="20"/>
        </w:rPr>
      </w:pPr>
      <w:r>
        <w:rPr>
          <w:rFonts w:ascii="Arial" w:hAnsi="Arial"/>
          <w:b/>
          <w:i/>
          <w:color w:val="000000"/>
          <w:sz w:val="20"/>
        </w:rPr>
        <w:t>10. Income Taxes</w:t>
      </w:r>
    </w:p>
    <w:p>
      <w:pPr>
        <w:pStyle w:val="TextBody"/>
        <w:bidi w:val="0"/>
        <w:spacing w:before="240" w:after="283"/>
        <w:jc w:val="both"/>
        <w:rPr>
          <w:rFonts w:ascii="Arial" w:hAnsi="Arial"/>
          <w:color w:val="000000"/>
          <w:sz w:val="20"/>
        </w:rPr>
      </w:pPr>
      <w:r>
        <w:rPr>
          <w:rFonts w:ascii="Arial" w:hAnsi="Arial"/>
          <w:color w:val="000000"/>
          <w:sz w:val="20"/>
        </w:rPr>
        <w:t>For the three and six months ended June 30, 2026 and 2025, the Company did not record a federal or state income tax provision due to its recurring net losses. In addition, the Company has taken a full valuation allowance against its net deferred tax assets as the Company believes it is not more likely than not that the benefit will be realized.</w:t>
      </w:r>
    </w:p>
    <w:p>
      <w:pPr>
        <w:pStyle w:val="TextBody"/>
        <w:bidi w:val="0"/>
        <w:spacing w:before="240" w:after="283"/>
        <w:jc w:val="both"/>
        <w:rPr>
          <w:rFonts w:ascii="Times New Roman" w:hAnsi="Times New Roman"/>
          <w:sz w:val="20"/>
        </w:rPr>
      </w:pPr>
      <w:r>
        <w:rPr>
          <w:rFonts w:ascii="Arial" w:hAnsi="Arial"/>
          <w:b/>
          <w:i/>
          <w:color w:val="000000"/>
          <w:sz w:val="20"/>
        </w:rPr>
        <w:t>11.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June 30, 2026 and December 31, 2025, the Company’s certificate of incorporation authorized the Company to issue 300,000,000</w:t>
      </w:r>
      <w:r>
        <w:rPr>
          <w:rFonts w:ascii="Times New Roman" w:hAnsi="Times New Roman"/>
          <w:color w:val="000000"/>
          <w:sz w:val="20"/>
        </w:rPr>
        <w:t xml:space="preserve"> </w:t>
      </w:r>
      <w:r>
        <w:rPr>
          <w:rFonts w:ascii="Arial" w:hAnsi="Arial"/>
          <w:color w:val="000000"/>
          <w:sz w:val="20"/>
        </w:rPr>
        <w:t>shares of common stock, at the par value of $0.0001</w:t>
      </w:r>
      <w:r>
        <w:rPr>
          <w:rFonts w:ascii="Times New Roman" w:hAnsi="Times New Roman"/>
          <w:color w:val="000000"/>
          <w:sz w:val="20"/>
        </w:rPr>
        <w:t xml:space="preserve"> </w:t>
      </w:r>
      <w:r>
        <w:rPr>
          <w:rFonts w:ascii="Arial" w:hAnsi="Arial"/>
          <w:color w:val="000000"/>
          <w:sz w:val="20"/>
        </w:rPr>
        <w:t>per share. The holder of each share of common stock is entitled to one vote per share.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Common stockholders are entitled to dividends, if and when declared by the board of directors. To date, no</w:t>
      </w:r>
      <w:r>
        <w:rPr>
          <w:rFonts w:ascii="Times New Roman" w:hAnsi="Times New Roman"/>
          <w:color w:val="000000"/>
          <w:sz w:val="20"/>
        </w:rPr>
        <w:t xml:space="preserve"> </w:t>
      </w:r>
      <w:r>
        <w:rPr>
          <w:rFonts w:ascii="Arial" w:hAnsi="Arial"/>
          <w:color w:val="000000"/>
          <w:sz w:val="20"/>
        </w:rPr>
        <w:t>dividends on common stock have been declared by the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reserved common stock, on an as-converted basis, for future issuance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19"/>
        <w:gridCol w:w="146"/>
        <w:gridCol w:w="146"/>
        <w:gridCol w:w="1066"/>
        <w:gridCol w:w="146"/>
        <w:gridCol w:w="146"/>
        <w:gridCol w:w="187"/>
        <w:gridCol w:w="1376"/>
        <w:gridCol w:w="473"/>
      </w:tblGrid>
      <w:tr>
        <w:trPr/>
        <w:tc>
          <w:tcPr>
            <w:tcW w:w="6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under the 2020 Equity Incentive Award</w:t>
              <w:br/>
              <w:t>Plan and 2025 Employment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2,506,434</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182,775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Exercise of stock options issued and outstanding and future </w:t>
              <w:b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13,553,890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10,157,578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16,935,665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10,335,665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33,517,749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23,212,452</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i/>
          <w:color w:val="000000"/>
          <w:sz w:val="20"/>
        </w:rPr>
        <w:t xml:space="preserve">Funding Agreement with CFF </w:t>
      </w:r>
      <w:r>
        <w:rPr>
          <w:rFonts w:ascii="Times New Roman" w:hAnsi="Times New Roman"/>
          <w:color w:val="000000"/>
          <w:sz w:val="20"/>
        </w:rPr>
        <w:t xml:space="preserve">— </w:t>
      </w:r>
      <w:r>
        <w:rPr>
          <w:rFonts w:ascii="Arial" w:hAnsi="Arial"/>
          <w:color w:val="000000"/>
          <w:sz w:val="20"/>
        </w:rPr>
        <w:t>In April 2020, CFF made a $10.0</w:t>
      </w:r>
      <w:r>
        <w:rPr>
          <w:rFonts w:ascii="Times New Roman" w:hAnsi="Times New Roman"/>
          <w:color w:val="000000"/>
          <w:sz w:val="20"/>
        </w:rPr>
        <w:t xml:space="preserve"> </w:t>
      </w:r>
      <w:r>
        <w:rPr>
          <w:rFonts w:ascii="Arial" w:hAnsi="Arial"/>
          <w:color w:val="000000"/>
          <w:sz w:val="20"/>
        </w:rPr>
        <w:t>million investment in the Company’s Series C redeemable 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w:t>
      </w:r>
      <w:r>
        <w:rPr>
          <w:rFonts w:ascii="Times New Roman" w:hAnsi="Times New Roman"/>
          <w:color w:val="000000"/>
          <w:sz w:val="20"/>
        </w:rPr>
        <w:t xml:space="preserve"> </w:t>
      </w:r>
      <w:r>
        <w:rPr>
          <w:rFonts w:ascii="Arial" w:hAnsi="Arial"/>
          <w:color w:val="000000"/>
          <w:sz w:val="20"/>
        </w:rPr>
        <w:t>million received from CFF will be used to advance the development program for 4D-710, the Company’s lead product candidate in cystic fibrosis, or any other therapeutic approved by the Program Advisory Group (“PAG”) to alleviate pulmonary complications of cystic fibrosis (the “Funding Agreement Product”).</w:t>
      </w:r>
    </w:p>
    <w:p>
      <w:pPr>
        <w:pStyle w:val="TextBody"/>
        <w:bidi w:val="0"/>
        <w:spacing w:before="240" w:after="283"/>
        <w:jc w:val="both"/>
        <w:rPr>
          <w:rFonts w:ascii="Times New Roman" w:hAnsi="Times New Roman"/>
          <w:sz w:val="20"/>
        </w:rPr>
      </w:pPr>
      <w:r>
        <w:rPr>
          <w:rFonts w:ascii="Arial" w:hAnsi="Arial"/>
          <w:color w:val="000000"/>
          <w:sz w:val="20"/>
        </w:rPr>
        <w:t>CFF committed to provide an additional $4.0</w:t>
      </w:r>
      <w:r>
        <w:rPr>
          <w:rFonts w:ascii="Times New Roman" w:hAnsi="Times New Roman"/>
          <w:color w:val="000000"/>
          <w:sz w:val="20"/>
        </w:rPr>
        <w:t xml:space="preserve"> </w:t>
      </w:r>
      <w:r>
        <w:rPr>
          <w:rFonts w:ascii="Arial" w:hAnsi="Arial"/>
          <w:color w:val="000000"/>
          <w:sz w:val="20"/>
        </w:rPr>
        <w:t>million of funding upon acceptance of an IND application or its equivalent to allow for human testing of the Funding Agreement Product (“Acceptance”).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October 2021, the IND was cleared by the U.S. Food and Drug Administration and CFF made the additional investment of $4.0</w:t>
      </w:r>
      <w:r>
        <w:rPr>
          <w:rFonts w:ascii="Times New Roman" w:hAnsi="Times New Roman"/>
          <w:color w:val="000000"/>
          <w:sz w:val="20"/>
        </w:rPr>
        <w:t xml:space="preserve"> </w:t>
      </w:r>
      <w:r>
        <w:rPr>
          <w:rFonts w:ascii="Arial" w:hAnsi="Arial"/>
          <w:color w:val="000000"/>
          <w:sz w:val="20"/>
        </w:rPr>
        <w:t>million in cash for the issuance of 125,715</w:t>
      </w:r>
      <w:r>
        <w:rPr>
          <w:rFonts w:ascii="Times New Roman" w:hAnsi="Times New Roman"/>
          <w:color w:val="000000"/>
          <w:sz w:val="20"/>
        </w:rPr>
        <w:t xml:space="preserve"> </w:t>
      </w:r>
      <w:r>
        <w:rPr>
          <w:rFonts w:ascii="Arial" w:hAnsi="Arial"/>
          <w:color w:val="000000"/>
          <w:sz w:val="20"/>
        </w:rPr>
        <w:t>shares of the Company’s common stock to CFF.</w:t>
      </w:r>
    </w:p>
    <w:p>
      <w:pPr>
        <w:pStyle w:val="TextBody"/>
        <w:bidi w:val="0"/>
        <w:spacing w:before="240" w:after="283"/>
        <w:jc w:val="both"/>
        <w:rPr>
          <w:rFonts w:ascii="Times New Roman" w:hAnsi="Times New Roman"/>
          <w:sz w:val="20"/>
        </w:rPr>
      </w:pPr>
      <w:r>
        <w:rPr>
          <w:rFonts w:ascii="Arial" w:hAnsi="Arial"/>
          <w:color w:val="000000"/>
          <w:sz w:val="20"/>
        </w:rPr>
        <w:t>The Company was committed to providing an amount equal to the funding provided by CFF to be used solely to advance the Funding Agreement Product. As of June 30, 2026, the funding commitment has been fulfilled. Under the terms of the Funding Agreement, neither the $10.0</w:t>
      </w:r>
      <w:r>
        <w:rPr>
          <w:rFonts w:ascii="Times New Roman" w:hAnsi="Times New Roman"/>
          <w:color w:val="000000"/>
          <w:sz w:val="20"/>
        </w:rPr>
        <w:t xml:space="preserve"> </w:t>
      </w:r>
      <w:r>
        <w:rPr>
          <w:rFonts w:ascii="Arial" w:hAnsi="Arial"/>
          <w:color w:val="000000"/>
          <w:sz w:val="20"/>
        </w:rPr>
        <w:t>million investment in the Series C redeemable convertible preferred stock, which converted to common stock as of December 31, 2020, nor the $4.0</w:t>
      </w:r>
      <w:r>
        <w:rPr>
          <w:rFonts w:ascii="Times New Roman" w:hAnsi="Times New Roman"/>
          <w:color w:val="000000"/>
          <w:sz w:val="20"/>
        </w:rPr>
        <w:t xml:space="preserve"> </w:t>
      </w:r>
      <w:r>
        <w:rPr>
          <w:rFonts w:ascii="Arial" w:hAnsi="Arial"/>
          <w:color w:val="000000"/>
          <w:sz w:val="20"/>
        </w:rPr>
        <w:t>million of funding upon Acceptance are restricted as to withdrawal or usage.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CFF purchased 776,398</w:t>
      </w:r>
      <w:r>
        <w:rPr>
          <w:rFonts w:ascii="Times New Roman" w:hAnsi="Times New Roman"/>
          <w:color w:val="000000"/>
          <w:sz w:val="20"/>
        </w:rPr>
        <w:t xml:space="preserve"> </w:t>
      </w:r>
      <w:r>
        <w:rPr>
          <w:rFonts w:ascii="Arial" w:hAnsi="Arial"/>
          <w:color w:val="000000"/>
          <w:sz w:val="20"/>
        </w:rPr>
        <w:t>shares of the Company's common stock for $7.5</w:t>
      </w:r>
      <w:r>
        <w:rPr>
          <w:rFonts w:ascii="Times New Roman" w:hAnsi="Times New Roman"/>
          <w:color w:val="000000"/>
          <w:sz w:val="20"/>
        </w:rPr>
        <w:t xml:space="preserve"> </w:t>
      </w:r>
      <w:r>
        <w:rPr>
          <w:rFonts w:ascii="Arial" w:hAnsi="Arial"/>
          <w:color w:val="000000"/>
          <w:sz w:val="20"/>
        </w:rPr>
        <w:t>million in October 2025. The Company will use the proceeds of this investment to support continued development of 4D-710. The Company also agreed with CFF to form a Joint Steering Committee, with senior clinical development and regulatory expertise to enhance strategic planning, guidance, and coordination of 4D-710’s development. This agreement between CFF and the Company entered into in October 2025 also provides that CFF will invest an additional $3.6</w:t>
      </w:r>
      <w:r>
        <w:rPr>
          <w:rFonts w:ascii="Times New Roman" w:hAnsi="Times New Roman"/>
          <w:color w:val="000000"/>
          <w:sz w:val="20"/>
        </w:rPr>
        <w:t xml:space="preserve"> </w:t>
      </w:r>
      <w:r>
        <w:rPr>
          <w:rFonts w:ascii="Arial" w:hAnsi="Arial"/>
          <w:color w:val="000000"/>
          <w:sz w:val="20"/>
        </w:rPr>
        <w:t>million in exchange for shares of the Company’s common stock subject to achievement of specific clinical milestones and at the option of the Company. This agreement between the Company and CFF entered into in October 2025 does not modify the prior agreements with CFF.</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 xml:space="preserve">Sales Agreement with Leerink Partners LLC (“Leerink”) </w:t>
      </w:r>
      <w:r>
        <w:rPr>
          <w:rFonts w:ascii="Times New Roman" w:hAnsi="Times New Roman"/>
          <w:color w:val="000000"/>
          <w:sz w:val="20"/>
        </w:rPr>
        <w:t xml:space="preserve">— </w:t>
      </w:r>
      <w:r>
        <w:rPr>
          <w:rFonts w:ascii="Arial" w:hAnsi="Arial"/>
          <w:color w:val="000000"/>
          <w:sz w:val="20"/>
        </w:rPr>
        <w:t>In June 2024, the Company entered into a Sales Agreement (the “Leerink Sales Agreement”) with Leerink as sales agent to sell shares of the Company's common stock, from time to time, with aggregate gross sales proceeds of up to $250.0</w:t>
      </w:r>
      <w:r>
        <w:rPr>
          <w:rFonts w:ascii="Times New Roman" w:hAnsi="Times New Roman"/>
          <w:color w:val="000000"/>
          <w:sz w:val="20"/>
        </w:rPr>
        <w:t xml:space="preserve"> </w:t>
      </w:r>
      <w:r>
        <w:rPr>
          <w:rFonts w:ascii="Arial" w:hAnsi="Arial"/>
          <w:color w:val="000000"/>
          <w:sz w:val="20"/>
        </w:rPr>
        <w:t>million pursuant to a Registration Statement on Form S-3 that the Company filed with the SEC in February 2024, and subsequently amended in February 2025, as an “at-the-market” offering under the Securities Act. For the year ended December 31, 2025, 1,175,000</w:t>
      </w:r>
      <w:r>
        <w:rPr>
          <w:rFonts w:ascii="Times New Roman" w:hAnsi="Times New Roman"/>
          <w:color w:val="000000"/>
          <w:sz w:val="20"/>
        </w:rPr>
        <w:t xml:space="preserve"> </w:t>
      </w:r>
      <w:r>
        <w:rPr>
          <w:rFonts w:ascii="Arial" w:hAnsi="Arial"/>
          <w:color w:val="000000"/>
          <w:sz w:val="20"/>
        </w:rPr>
        <w:t>shares of the Company's common stock were sold pursuant to the Leerink Sales Agreement for net proceeds to the Company of $9.6</w:t>
      </w:r>
      <w:r>
        <w:rPr>
          <w:rFonts w:ascii="Times New Roman" w:hAnsi="Times New Roman"/>
          <w:color w:val="000000"/>
          <w:sz w:val="20"/>
        </w:rPr>
        <w:t xml:space="preserve"> </w:t>
      </w:r>
      <w:r>
        <w:rPr>
          <w:rFonts w:ascii="Arial" w:hAnsi="Arial"/>
          <w:color w:val="000000"/>
          <w:sz w:val="20"/>
        </w:rPr>
        <w:t>million, after deducting issuance costs. For the six months ended June 30, 2026, 3,518,472</w:t>
      </w:r>
      <w:r>
        <w:rPr>
          <w:rFonts w:ascii="Times New Roman" w:hAnsi="Times New Roman"/>
          <w:color w:val="000000"/>
          <w:sz w:val="20"/>
        </w:rPr>
        <w:t xml:space="preserve"> </w:t>
      </w:r>
      <w:r>
        <w:rPr>
          <w:rFonts w:ascii="Arial" w:hAnsi="Arial"/>
          <w:color w:val="000000"/>
          <w:sz w:val="20"/>
        </w:rPr>
        <w:t>shares were sold pursuant to the Leerink Sales Agreement for net proceeds to the Company of $31.6</w:t>
      </w:r>
      <w:r>
        <w:rPr>
          <w:rFonts w:ascii="Times New Roman" w:hAnsi="Times New Roman"/>
          <w:color w:val="000000"/>
          <w:sz w:val="20"/>
        </w:rPr>
        <w:t xml:space="preserve"> </w:t>
      </w:r>
      <w:r>
        <w:rPr>
          <w:rFonts w:ascii="Arial" w:hAnsi="Arial"/>
          <w:color w:val="000000"/>
          <w:sz w:val="20"/>
        </w:rPr>
        <w:t>million, after deducting issuance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12. Stock-based Compensation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2025 Employment Inducement Award Plan</w:t>
      </w:r>
    </w:p>
    <w:p>
      <w:pPr>
        <w:pStyle w:val="TextBody"/>
        <w:bidi w:val="0"/>
        <w:spacing w:before="240" w:after="283"/>
        <w:jc w:val="both"/>
        <w:rPr>
          <w:rFonts w:ascii="Times New Roman" w:hAnsi="Times New Roman"/>
          <w:sz w:val="20"/>
        </w:rPr>
      </w:pPr>
      <w:r>
        <w:rPr>
          <w:rFonts w:ascii="Arial" w:hAnsi="Arial"/>
          <w:color w:val="000000"/>
          <w:sz w:val="20"/>
        </w:rPr>
        <w:t>On February 3, 2025, the Company’s board of directors adopted the 2025 Employment Inducement Plan (the “Inducement Plan”) pursuant to which the Company reserved 500,000</w:t>
      </w:r>
      <w:r>
        <w:rPr>
          <w:rFonts w:ascii="Times New Roman" w:hAnsi="Times New Roman"/>
          <w:color w:val="000000"/>
          <w:sz w:val="20"/>
        </w:rPr>
        <w:t xml:space="preserve"> </w:t>
      </w:r>
      <w:r>
        <w:rPr>
          <w:rFonts w:ascii="Arial" w:hAnsi="Arial"/>
          <w:color w:val="000000"/>
          <w:sz w:val="20"/>
        </w:rPr>
        <w:t>shares of its common stock to be used exclusively for grants of awards to individuals who were not previously employees or directors, as an inducement material to the individual’s entry into employment with the Company within the meaning of Rule 5635(c)(4) of the Marketplace Rules of the Nasdaq Stock Market. The Inducement Plan provides for the grant of stock options, restricted stock units, and other stock-based awards. In January 2026, the Company's board of directors adopted an amendment to the Inducement Plan to reserve an additional 1,000,000</w:t>
      </w:r>
      <w:r>
        <w:rPr>
          <w:rFonts w:ascii="Times New Roman" w:hAnsi="Times New Roman"/>
          <w:color w:val="000000"/>
          <w:sz w:val="20"/>
        </w:rPr>
        <w:t xml:space="preserve"> </w:t>
      </w:r>
      <w:r>
        <w:rPr>
          <w:rFonts w:ascii="Arial" w:hAnsi="Arial"/>
          <w:color w:val="000000"/>
          <w:sz w:val="20"/>
        </w:rPr>
        <w:t>shares of common stock under the Inducement Plan. As of June 30, 2026, there were 872,350</w:t>
      </w:r>
      <w:r>
        <w:rPr>
          <w:rFonts w:ascii="Times New Roman" w:hAnsi="Times New Roman"/>
          <w:color w:val="000000"/>
          <w:sz w:val="20"/>
        </w:rPr>
        <w:t xml:space="preserve"> </w:t>
      </w:r>
      <w:r>
        <w:rPr>
          <w:rFonts w:ascii="Arial" w:hAnsi="Arial"/>
          <w:color w:val="000000"/>
          <w:sz w:val="20"/>
        </w:rPr>
        <w:t>shares available for future grants under the Inducement Plan.</w:t>
      </w:r>
    </w:p>
    <w:p>
      <w:pPr>
        <w:pStyle w:val="TextBody"/>
        <w:bidi w:val="0"/>
        <w:spacing w:before="240" w:after="283"/>
        <w:jc w:val="both"/>
        <w:rPr>
          <w:rFonts w:ascii="Times New Roman" w:hAnsi="Times New Roman"/>
          <w:sz w:val="20"/>
        </w:rPr>
      </w:pPr>
      <w:r>
        <w:rPr>
          <w:rFonts w:ascii="Arial" w:hAnsi="Arial"/>
          <w:b/>
          <w:color w:val="000000"/>
          <w:sz w:val="20"/>
        </w:rPr>
        <w:t>2020 Incentive Award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December 2020, the Company adopted the 2020 Incentive Award Plan (“2020 Plan”), which became effective on December 10, 2020. The 2020 Plan initially reserved 2,606,546</w:t>
      </w:r>
      <w:r>
        <w:rPr>
          <w:rFonts w:ascii="Times New Roman" w:hAnsi="Times New Roman"/>
          <w:color w:val="000000"/>
          <w:sz w:val="20"/>
        </w:rPr>
        <w:t xml:space="preserve"> </w:t>
      </w:r>
      <w:r>
        <w:rPr>
          <w:rFonts w:ascii="Arial" w:hAnsi="Arial"/>
          <w:color w:val="000000"/>
          <w:sz w:val="20"/>
        </w:rPr>
        <w:t>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The number of shares reserved for future issuance under the 2020 Plan will increase annually on the first day of each fiscal year beginning in 2021 and ending in 2030 by the lesser of (i) 5% of the shares of common stock outstanding (on an as converted basis) on the last day of the immediately preceding fiscal year and (ii) such number of shares of common stock as determined by the Company's board of directors, provided, however, no more than 18,000,000</w:t>
      </w:r>
      <w:r>
        <w:rPr>
          <w:rFonts w:ascii="Times New Roman" w:hAnsi="Times New Roman"/>
          <w:color w:val="000000"/>
          <w:sz w:val="20"/>
        </w:rPr>
        <w:t xml:space="preserve"> </w:t>
      </w:r>
      <w:r>
        <w:rPr>
          <w:rFonts w:ascii="Arial" w:hAnsi="Arial"/>
          <w:color w:val="000000"/>
          <w:sz w:val="20"/>
        </w:rPr>
        <w:t>shares of the Company’s common stock may be issued upon the exercise of incentive stock options. As a result of the operation of the automatic annual increase provision of the 2020 Plan, an additional 2,289,625</w:t>
      </w:r>
      <w:r>
        <w:rPr>
          <w:rFonts w:ascii="Times New Roman" w:hAnsi="Times New Roman"/>
          <w:color w:val="000000"/>
          <w:sz w:val="20"/>
        </w:rPr>
        <w:t xml:space="preserve"> </w:t>
      </w:r>
      <w:r>
        <w:rPr>
          <w:rFonts w:ascii="Arial" w:hAnsi="Arial"/>
          <w:color w:val="000000"/>
          <w:sz w:val="20"/>
        </w:rPr>
        <w:t>shares of common stock became available for issuance on February 28, 2025 and an additional 2,880,394</w:t>
      </w:r>
      <w:r>
        <w:rPr>
          <w:rFonts w:ascii="Times New Roman" w:hAnsi="Times New Roman"/>
          <w:color w:val="000000"/>
          <w:sz w:val="20"/>
        </w:rPr>
        <w:t xml:space="preserve"> </w:t>
      </w:r>
      <w:r>
        <w:rPr>
          <w:rFonts w:ascii="Arial" w:hAnsi="Arial"/>
          <w:color w:val="000000"/>
          <w:sz w:val="20"/>
        </w:rPr>
        <w:t>shares of common stock became available for issuance on March 18, 2026 under the 2020 Plan. All stock options are exercisable over a period not to exceed the contractual term of ten years</w:t>
      </w:r>
      <w:r>
        <w:rPr>
          <w:rFonts w:ascii="Times New Roman" w:hAnsi="Times New Roman"/>
          <w:color w:val="000000"/>
          <w:sz w:val="20"/>
        </w:rPr>
        <w:t xml:space="preserve"> </w:t>
      </w:r>
      <w:r>
        <w:rPr>
          <w:rFonts w:ascii="Arial" w:hAnsi="Arial"/>
          <w:color w:val="000000"/>
          <w:sz w:val="20"/>
        </w:rPr>
        <w:t>from the date the stock options were issued.</w:t>
      </w:r>
      <w:r>
        <w:rPr>
          <w:rFonts w:ascii="Times New Roman" w:hAnsi="Times New Roman"/>
          <w:color w:val="000000"/>
          <w:sz w:val="20"/>
        </w:rPr>
        <w:t xml:space="preserve"> </w:t>
      </w:r>
      <w:r>
        <w:rPr>
          <w:rFonts w:ascii="Arial" w:hAnsi="Arial"/>
          <w:color w:val="000000"/>
          <w:sz w:val="20"/>
        </w:rPr>
        <w:t>As of June 30, 2026,</w:t>
      </w:r>
      <w:r>
        <w:rPr>
          <w:rFonts w:ascii="Times New Roman" w:hAnsi="Times New Roman"/>
          <w:color w:val="000000"/>
          <w:sz w:val="20"/>
        </w:rPr>
        <w:t xml:space="preserve"> </w:t>
      </w:r>
      <w:r>
        <w:rPr>
          <w:rFonts w:ascii="Arial" w:hAnsi="Arial"/>
          <w:color w:val="000000"/>
          <w:sz w:val="20"/>
        </w:rPr>
        <w:t>there were 1,735,472</w:t>
      </w:r>
      <w:r>
        <w:rPr>
          <w:rFonts w:ascii="Times New Roman" w:hAnsi="Times New Roman"/>
          <w:color w:val="000000"/>
          <w:sz w:val="20"/>
        </w:rPr>
        <w:t xml:space="preserve"> </w:t>
      </w:r>
      <w:r>
        <w:rPr>
          <w:rFonts w:ascii="Arial" w:hAnsi="Arial"/>
          <w:color w:val="000000"/>
          <w:sz w:val="20"/>
        </w:rPr>
        <w:t>shares available for grant under the 2020 Plan.</w:t>
      </w:r>
    </w:p>
    <w:p>
      <w:pPr>
        <w:pStyle w:val="TextBody"/>
        <w:bidi w:val="0"/>
        <w:spacing w:before="240" w:after="283"/>
        <w:jc w:val="both"/>
        <w:rPr>
          <w:rFonts w:ascii="Times New Roman" w:hAnsi="Times New Roman"/>
          <w:sz w:val="20"/>
        </w:rPr>
      </w:pPr>
      <w:r>
        <w:rPr>
          <w:rFonts w:ascii="Arial" w:hAnsi="Arial"/>
          <w:color w:val="000000"/>
          <w:sz w:val="20"/>
        </w:rPr>
        <w:t>Following the effectiveness of the 2020 Plan, the Company will not make any further grants under the 2015 Equity Incentive Plan (the “2015 Plan”). However, the 2015 Plan continues to govern the terms of stock options that remain outstanding under the 2015 Plan.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2015 Equity Incentive Plan</w:t>
      </w:r>
    </w:p>
    <w:p>
      <w:pPr>
        <w:pStyle w:val="TextBody"/>
        <w:bidi w:val="0"/>
        <w:spacing w:before="240" w:after="283"/>
        <w:jc w:val="both"/>
        <w:rPr>
          <w:rFonts w:ascii="Times New Roman" w:hAnsi="Times New Roman"/>
          <w:sz w:val="20"/>
        </w:rPr>
      </w:pPr>
      <w:r>
        <w:rPr>
          <w:rFonts w:ascii="Arial" w:hAnsi="Arial"/>
          <w:color w:val="000000"/>
          <w:sz w:val="20"/>
        </w:rPr>
        <w:t>The 2015 Plan</w:t>
      </w:r>
      <w:r>
        <w:rPr>
          <w:rFonts w:ascii="Times New Roman" w:hAnsi="Times New Roman"/>
          <w:color w:val="000000"/>
          <w:sz w:val="20"/>
        </w:rPr>
        <w:t xml:space="preserve"> </w:t>
      </w:r>
      <w:r>
        <w:rPr>
          <w:rFonts w:ascii="Arial" w:hAnsi="Arial"/>
          <w:color w:val="000000"/>
          <w:sz w:val="20"/>
        </w:rPr>
        <w:t>provided for grants of stock options, stock appreciation rights, restricted stock and restricted stock unit awards to employees, directors and consultants of the Company. As of June 30, 2026, stock options to purchase 1,112,990</w:t>
      </w:r>
      <w:r>
        <w:rPr>
          <w:rFonts w:ascii="Times New Roman" w:hAnsi="Times New Roman"/>
          <w:color w:val="000000"/>
          <w:sz w:val="20"/>
        </w:rPr>
        <w:t xml:space="preserve"> </w:t>
      </w:r>
      <w:r>
        <w:rPr>
          <w:rFonts w:ascii="Arial" w:hAnsi="Arial"/>
          <w:color w:val="000000"/>
          <w:sz w:val="20"/>
        </w:rPr>
        <w:t>shares of common stock were outstanding under the 2015 Plan. All stock options are exercisable over a period not to exceed the contractual term of ten years</w:t>
      </w:r>
      <w:r>
        <w:rPr>
          <w:rFonts w:ascii="Times New Roman" w:hAnsi="Times New Roman"/>
          <w:color w:val="000000"/>
          <w:sz w:val="20"/>
        </w:rPr>
        <w:t xml:space="preserve"> </w:t>
      </w:r>
      <w:r>
        <w:rPr>
          <w:rFonts w:ascii="Arial" w:hAnsi="Arial"/>
          <w:color w:val="000000"/>
          <w:sz w:val="20"/>
        </w:rPr>
        <w:t>from the date the stock options were issued and are granted at prices not less than the estimated fair market value of the Company’s common stock on the grant date as determined by the board of directors.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additional grants will be made under the 2015 Plan, and all outstanding grants under the 2015 Plan that are repurchased, forfeited, expire or are cancelled are returned to the 2015 Plan and are not available for grant under the 2020 Plan.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Employee Stock Purchase Plan</w:t>
      </w:r>
    </w:p>
    <w:p>
      <w:pPr>
        <w:pStyle w:val="TextBody"/>
        <w:bidi w:val="0"/>
        <w:spacing w:before="240" w:after="283"/>
        <w:jc w:val="both"/>
        <w:rPr>
          <w:rFonts w:ascii="Times New Roman" w:hAnsi="Times New Roman"/>
          <w:sz w:val="20"/>
        </w:rPr>
      </w:pPr>
      <w:r>
        <w:rPr>
          <w:rFonts w:ascii="Arial" w:hAnsi="Arial"/>
          <w:color w:val="000000"/>
          <w:sz w:val="20"/>
        </w:rPr>
        <w:t>In December 2020, the Company adopted the 2020 Employee Stock Purchase Plan (the “2020 ESPP”). Under the 2020 ESPP, 252,337</w:t>
      </w:r>
      <w:r>
        <w:rPr>
          <w:rFonts w:ascii="Times New Roman" w:hAnsi="Times New Roman"/>
          <w:color w:val="000000"/>
          <w:sz w:val="20"/>
        </w:rPr>
        <w:t xml:space="preserve"> </w:t>
      </w:r>
      <w:r>
        <w:rPr>
          <w:rFonts w:ascii="Arial" w:hAnsi="Arial"/>
          <w:color w:val="000000"/>
          <w:sz w:val="20"/>
        </w:rPr>
        <w:t>shares of the Company’s common stock were initially reserved for employee purchases of the Company’s common stock under terms and provisions established by the Company’s board of directors and approved by the Company’s stockholders. The number of shares reserved for future issuance under the 2020 ESPP will increase annually on the first day of each fiscal year beginning in 2021 and ending in 2030 by the lesser of (i) 1% of the shares of common stock outstanding (on an as converted basis) on the last day of the immediately preceding fiscal year and (ii) such number of shares of common stock as determined by the Company’s board of directors, provided, however, no more than 15,000,000</w:t>
      </w:r>
      <w:r>
        <w:rPr>
          <w:rFonts w:ascii="Times New Roman" w:hAnsi="Times New Roman"/>
          <w:color w:val="000000"/>
          <w:sz w:val="20"/>
        </w:rPr>
        <w:t xml:space="preserve"> </w:t>
      </w:r>
      <w:r>
        <w:rPr>
          <w:rFonts w:ascii="Arial" w:hAnsi="Arial"/>
          <w:color w:val="000000"/>
          <w:sz w:val="20"/>
        </w:rPr>
        <w:t>shares of the Company’s common stock may be issued under the 2020 ESPP. As a result of the operation of this annual increase provision of the 2020 ESPP, an additional 150,000</w:t>
      </w:r>
      <w:r>
        <w:rPr>
          <w:rFonts w:ascii="Times New Roman" w:hAnsi="Times New Roman"/>
          <w:color w:val="000000"/>
          <w:sz w:val="20"/>
        </w:rPr>
        <w:t xml:space="preserve"> </w:t>
      </w:r>
      <w:r>
        <w:rPr>
          <w:rFonts w:ascii="Arial" w:hAnsi="Arial"/>
          <w:color w:val="000000"/>
          <w:sz w:val="20"/>
        </w:rPr>
        <w:t>shares of common stock became available on February 28, 2025 and an additional 576,079</w:t>
      </w:r>
      <w:r>
        <w:rPr>
          <w:rFonts w:ascii="Times New Roman" w:hAnsi="Times New Roman"/>
          <w:color w:val="000000"/>
          <w:sz w:val="20"/>
        </w:rPr>
        <w:t xml:space="preserve"> </w:t>
      </w:r>
      <w:r>
        <w:rPr>
          <w:rFonts w:ascii="Arial" w:hAnsi="Arial"/>
          <w:color w:val="000000"/>
          <w:sz w:val="20"/>
        </w:rPr>
        <w:t>shares of common stock became available for issuance on March 18, 2026 under the 2020 ESPP.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2020 ESPP, the Company’s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w:t>
      </w:r>
      <w:r>
        <w:rPr>
          <w:rFonts w:ascii="Times New Roman" w:hAnsi="Times New Roman"/>
          <w:color w:val="000000"/>
          <w:sz w:val="20"/>
        </w:rPr>
        <w:t xml:space="preserve"> </w:t>
      </w:r>
      <w:r>
        <w:rPr>
          <w:rFonts w:ascii="Arial" w:hAnsi="Arial"/>
          <w:color w:val="000000"/>
          <w:sz w:val="20"/>
        </w:rPr>
        <w:t>offering periods comprising four</w:t>
      </w:r>
      <w:r>
        <w:rPr>
          <w:rFonts w:ascii="Times New Roman" w:hAnsi="Times New Roman"/>
          <w:color w:val="000000"/>
          <w:sz w:val="20"/>
        </w:rPr>
        <w:t xml:space="preserve"> </w:t>
      </w:r>
      <w:r>
        <w:rPr>
          <w:rFonts w:ascii="Arial" w:hAnsi="Arial"/>
          <w:color w:val="000000"/>
          <w:sz w:val="20"/>
        </w:rPr>
        <w:t>six-month purchase periods. Contributions under the 2020 ESPP are limited to a maximum of 15% of an employee’s eligible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Restricted Stock Units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has granted restricted stock unit (RSU) awards under the 2020 Incentive Award Plan that vest over a period of four years. The following table summarizes the RSU activity:</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3661"/>
        <w:gridCol w:w="146"/>
        <w:gridCol w:w="201"/>
        <w:gridCol w:w="1329"/>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1,816,742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b/>
          <w:color w:val="000000"/>
          <w:sz w:val="20"/>
        </w:rPr>
        <w:t>Stock Options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options activity:</w:t>
      </w:r>
    </w:p>
    <w:p>
      <w:pPr>
        <w:pStyle w:val="TextBody"/>
        <w:bidi w:val="0"/>
        <w:jc w:val="both"/>
        <w:rPr/>
      </w:pPr>
      <w:r>
        <w:rPr/>
        <w:t> </w:t>
      </w:r>
    </w:p>
    <w:tbl>
      <w:tblPr>
        <w:tblW w:w="7648" w:type="dxa"/>
        <w:jc w:val="left"/>
        <w:tblInd w:w="0" w:type="dxa"/>
        <w:tblLayout w:type="fixed"/>
        <w:tblCellMar>
          <w:top w:w="28" w:type="dxa"/>
          <w:left w:w="28" w:type="dxa"/>
          <w:bottom w:w="28" w:type="dxa"/>
          <w:right w:w="28" w:type="dxa"/>
        </w:tblCellMar>
      </w:tblPr>
      <w:tblGrid>
        <w:gridCol w:w="4846"/>
        <w:gridCol w:w="146"/>
        <w:gridCol w:w="294"/>
        <w:gridCol w:w="215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 Underlying</w:t>
              <w:br/>
              <w:t>Outstanding 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9,412,808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3,176,795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(341,964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(293,098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11,737,148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6,081,392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11,737,148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estimates the fair value of stock options using the Black-Scholes option pricing model. The fair value of employee and nonemployee stock options is recognized on a straight-line basis over the requisite service period of the awards. The fair value of the Company</w:t>
      </w:r>
      <w:r>
        <w:rPr>
          <w:rFonts w:ascii="Times New Roman" w:hAnsi="Times New Roman"/>
          <w:color w:val="000000"/>
          <w:sz w:val="20"/>
        </w:rPr>
        <w:t>’</w:t>
      </w:r>
      <w:r>
        <w:rPr>
          <w:rFonts w:ascii="Arial" w:hAnsi="Arial"/>
          <w:color w:val="000000"/>
          <w:sz w:val="20"/>
        </w:rPr>
        <w:t>s stock options was estimated using the following assumptions:</w:t>
      </w:r>
    </w:p>
    <w:p>
      <w:pPr>
        <w:pStyle w:val="TextBody"/>
        <w:bidi w:val="0"/>
        <w:jc w:val="both"/>
        <w:rPr/>
      </w:pPr>
      <w:r>
        <w:rPr/>
        <w:t> </w:t>
      </w:r>
    </w:p>
    <w:tbl>
      <w:tblPr>
        <w:tblW w:w="8404" w:type="dxa"/>
        <w:jc w:val="left"/>
        <w:tblInd w:w="0" w:type="dxa"/>
        <w:tblLayout w:type="fixed"/>
        <w:tblCellMar>
          <w:top w:w="28" w:type="dxa"/>
          <w:left w:w="28" w:type="dxa"/>
          <w:bottom w:w="28" w:type="dxa"/>
          <w:right w:w="28" w:type="dxa"/>
        </w:tblCellMar>
      </w:tblPr>
      <w:tblGrid>
        <w:gridCol w:w="2191"/>
        <w:gridCol w:w="146"/>
        <w:gridCol w:w="1396"/>
        <w:gridCol w:w="146"/>
        <w:gridCol w:w="1396"/>
        <w:gridCol w:w="146"/>
        <w:gridCol w:w="1396"/>
        <w:gridCol w:w="146"/>
        <w:gridCol w:w="144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5.9</w:t>
            </w:r>
            <w:r>
              <w:rPr>
                <w:rFonts w:ascii="Times New Roman" w:hAnsi="Times New Roman"/>
                <w:color w:val="000000"/>
                <w:sz w:val="20"/>
              </w:rPr>
              <w:t> </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6.1</w:t>
            </w:r>
            <w:r>
              <w:rPr>
                <w:rFonts w:ascii="Times New Roman" w:hAnsi="Times New Roman"/>
                <w:color w:val="000000"/>
                <w:sz w:val="20"/>
              </w:rPr>
              <w:t> </w:t>
            </w:r>
            <w:r>
              <w:rPr>
                <w:rFonts w:ascii="Arial" w:hAnsi="Arial"/>
                <w:color w:val="000000"/>
                <w:sz w:val="20"/>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5.9</w:t>
            </w:r>
            <w:r>
              <w:rPr>
                <w:rFonts w:ascii="Times New Roman" w:hAnsi="Times New Roman"/>
                <w:color w:val="000000"/>
                <w:sz w:val="20"/>
              </w:rPr>
              <w:t> </w:t>
            </w:r>
            <w:r>
              <w:rPr>
                <w:rFonts w:ascii="Arial" w:hAnsi="Arial"/>
                <w:color w:val="000000"/>
                <w:sz w:val="20"/>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5.9 - 6.1</w:t>
            </w:r>
            <w:r>
              <w:rPr>
                <w:rFonts w:ascii="Times New Roman" w:hAnsi="Times New Roman"/>
                <w:color w:val="000000"/>
                <w:sz w:val="20"/>
              </w:rPr>
              <w:t> </w:t>
            </w:r>
            <w:r>
              <w:rPr>
                <w:rFonts w:ascii="Arial" w:hAnsi="Arial"/>
                <w:color w:val="000000"/>
                <w:sz w:val="20"/>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5.9</w:t>
            </w:r>
            <w:r>
              <w:rPr>
                <w:rFonts w:ascii="Times New Roman" w:hAnsi="Times New Roman"/>
                <w:color w:val="000000"/>
                <w:sz w:val="20"/>
              </w:rPr>
              <w:t> </w:t>
            </w:r>
            <w:r>
              <w:rPr>
                <w:rFonts w:ascii="Arial" w:hAnsi="Arial"/>
                <w:color w:val="000000"/>
                <w:sz w:val="20"/>
              </w:rPr>
              <w:t>- 6.1</w:t>
            </w:r>
            <w:r>
              <w:rPr>
                <w:rFonts w:ascii="Times New Roman" w:hAnsi="Times New Roman"/>
                <w:color w:val="000000"/>
                <w:sz w:val="20"/>
              </w:rPr>
              <w:t> </w:t>
            </w:r>
            <w:r>
              <w:rPr>
                <w:rFonts w:ascii="Arial" w:hAnsi="Arial"/>
                <w:color w:val="000000"/>
                <w:sz w:val="20"/>
              </w:rPr>
              <w:t>years</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85.9% - 87.3%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86.5% - 88.9%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85.9% - 89.0%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84.9% - 88.9%</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4.0%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 - 4.6%</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20"/>
              </w:rPr>
              <w:t>%</w:t>
            </w:r>
          </w:p>
        </w:tc>
      </w:tr>
    </w:tbl>
    <w:p>
      <w:pPr>
        <w:pStyle w:val="TextBody"/>
        <w:bidi w:val="0"/>
        <w:spacing w:before="240" w:after="283"/>
        <w:jc w:val="both"/>
        <w:rPr>
          <w:rFonts w:ascii="Times New Roman" w:hAnsi="Times New Roman"/>
          <w:sz w:val="20"/>
        </w:rPr>
      </w:pPr>
      <w:r>
        <w:rPr>
          <w:rFonts w:ascii="Arial" w:hAnsi="Arial"/>
          <w:i/>
          <w:color w:val="000000"/>
          <w:sz w:val="20"/>
        </w:rPr>
        <w:t>Expected Term</w:t>
      </w:r>
      <w:r>
        <w:rPr>
          <w:rFonts w:ascii="Arial" w:hAnsi="Arial"/>
          <w:color w:val="000000"/>
          <w:sz w:val="20"/>
        </w:rPr>
        <w:t>. The expected term for employee stock options is calculated using the simplified method as the Company does not have sufficient historical information to provide a basis for this estimate. The simplified method is based on the average of the vesting tranches and the contractual life of each grant. The expected term for nonemployee stock options is the contractual term of the stock options.</w:t>
      </w:r>
    </w:p>
    <w:p>
      <w:pPr>
        <w:pStyle w:val="TextBody"/>
        <w:bidi w:val="0"/>
        <w:spacing w:before="240" w:after="283"/>
        <w:jc w:val="both"/>
        <w:rPr>
          <w:rFonts w:ascii="Times New Roman" w:hAnsi="Times New Roman"/>
          <w:sz w:val="20"/>
        </w:rPr>
      </w:pPr>
      <w:r>
        <w:rPr>
          <w:rFonts w:ascii="Arial" w:hAnsi="Arial"/>
          <w:i/>
          <w:color w:val="000000"/>
          <w:sz w:val="20"/>
        </w:rPr>
        <w:t>Expected Volatility</w:t>
      </w:r>
      <w:r>
        <w:rPr>
          <w:rFonts w:ascii="Arial" w:hAnsi="Arial"/>
          <w:color w:val="000000"/>
          <w:sz w:val="20"/>
        </w:rPr>
        <w:t>. The expected volatility is based on a mix of the Company</w:t>
      </w:r>
      <w:r>
        <w:rPr>
          <w:rFonts w:ascii="Times New Roman" w:hAnsi="Times New Roman"/>
          <w:color w:val="000000"/>
          <w:sz w:val="20"/>
        </w:rPr>
        <w:t>’</w:t>
      </w:r>
      <w:r>
        <w:rPr>
          <w:rFonts w:ascii="Arial" w:hAnsi="Arial"/>
          <w:color w:val="000000"/>
          <w:sz w:val="20"/>
        </w:rPr>
        <w:t>s historical volatility and the historical volatility of comparable companies with similar attributes to the Company, including industry, stage of life cycle, size and financial leverage. For each grant, the Company measured historical volatility over a period equivalent to the expected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 xml:space="preserve">Risk-free Interest Rate. </w:t>
      </w:r>
      <w:r>
        <w:rPr>
          <w:rFonts w:ascii="Arial" w:hAnsi="Arial"/>
          <w:color w:val="000000"/>
          <w:sz w:val="20"/>
        </w:rPr>
        <w:t>The risk-free interest rate is based on the yield available on U.S. Treasury zero-coupon issues whose term is similar in duration to the expected term of the respective stock 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Expected Dividend Yield</w:t>
      </w:r>
      <w:r>
        <w:rPr>
          <w:rFonts w:ascii="Arial" w:hAnsi="Arial"/>
          <w:color w:val="000000"/>
          <w:sz w:val="20"/>
        </w:rPr>
        <w:t>. The Company has not paid and does not anticipate paying any dividends on its common stock in the future. Accordingly, the Company has estimated the dividend yield to be zero</w:t>
      </w:r>
      <w:r>
        <w:rPr>
          <w:rFonts w:ascii="Times New Roman" w:hAnsi="Times New Roman"/>
          <w:color w:val="000000"/>
          <w:sz w:val="20"/>
        </w:rPr>
        <w:t xml:space="preserve"> </w:t>
      </w:r>
      <w:r>
        <w:rPr>
          <w:rFonts w:ascii="Arial" w:hAnsi="Arial"/>
          <w:color w:val="000000"/>
          <w:sz w:val="20"/>
        </w:rPr>
        <w:t>percent.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Stock-Based Compensation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is a summary of stock-based compensation expense incurred for employees and nonemployees by function (in thousands):</w:t>
      </w:r>
      <w:r>
        <w:rPr>
          <w:rFonts w:ascii="Times New Roman" w:hAnsi="Times New Roman"/>
          <w:color w:val="000000"/>
          <w:sz w:val="20"/>
        </w:rPr>
        <w:t xml:space="preserve"> </w:t>
      </w:r>
    </w:p>
    <w:p>
      <w:pPr>
        <w:pStyle w:val="TextBody"/>
        <w:bidi w:val="0"/>
        <w:jc w:val="both"/>
        <w:rPr/>
      </w:pPr>
      <w:r>
        <w:rPr/>
        <w:t> </w:t>
      </w:r>
    </w:p>
    <w:tbl>
      <w:tblPr>
        <w:tblW w:w="9646" w:type="dxa"/>
        <w:jc w:val="left"/>
        <w:tblInd w:w="0" w:type="dxa"/>
        <w:tblLayout w:type="fixed"/>
        <w:tblCellMar>
          <w:top w:w="28" w:type="dxa"/>
          <w:left w:w="28" w:type="dxa"/>
          <w:bottom w:w="28" w:type="dxa"/>
          <w:right w:w="28" w:type="dxa"/>
        </w:tblCellMar>
      </w:tblPr>
      <w:tblGrid>
        <w:gridCol w:w="4031"/>
        <w:gridCol w:w="146"/>
        <w:gridCol w:w="275"/>
        <w:gridCol w:w="764"/>
        <w:gridCol w:w="190"/>
        <w:gridCol w:w="190"/>
        <w:gridCol w:w="275"/>
        <w:gridCol w:w="764"/>
        <w:gridCol w:w="146"/>
        <w:gridCol w:w="146"/>
        <w:gridCol w:w="226"/>
        <w:gridCol w:w="742"/>
        <w:gridCol w:w="156"/>
        <w:gridCol w:w="156"/>
        <w:gridCol w:w="226"/>
        <w:gridCol w:w="742"/>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10,337</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i/>
          <w:color w:val="000000"/>
          <w:sz w:val="20"/>
        </w:rPr>
        <w:t>13. Common Stock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May 2018, the Company issued a warrant for 23,669</w:t>
      </w:r>
      <w:r>
        <w:rPr>
          <w:rFonts w:ascii="Times New Roman" w:hAnsi="Times New Roman"/>
          <w:color w:val="000000"/>
          <w:sz w:val="20"/>
        </w:rPr>
        <w:t xml:space="preserve"> </w:t>
      </w:r>
      <w:r>
        <w:rPr>
          <w:rFonts w:ascii="Arial" w:hAnsi="Arial"/>
          <w:color w:val="000000"/>
          <w:sz w:val="20"/>
        </w:rPr>
        <w:t>shares of the Company’s common stock to a service provider with an exercise price of $3.19</w:t>
      </w:r>
      <w:r>
        <w:rPr>
          <w:rFonts w:ascii="Times New Roman" w:hAnsi="Times New Roman"/>
          <w:color w:val="000000"/>
          <w:sz w:val="20"/>
        </w:rPr>
        <w:t xml:space="preserve"> </w:t>
      </w:r>
      <w:r>
        <w:rPr>
          <w:rFonts w:ascii="Arial" w:hAnsi="Arial"/>
          <w:color w:val="000000"/>
          <w:sz w:val="20"/>
        </w:rPr>
        <w:t>per share. The fair value of the warrant was determined at the issuance date using the Black-Scholes option pricing model. The warrant was fully vested upon issuance and was exercised in May 2025 through a cashless exchange under the terms of the original agreement.</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December 2020, the Company issued a warrant for 30,000</w:t>
      </w:r>
      <w:r>
        <w:rPr>
          <w:rFonts w:ascii="Times New Roman" w:hAnsi="Times New Roman"/>
          <w:color w:val="000000"/>
          <w:sz w:val="20"/>
        </w:rPr>
        <w:t xml:space="preserve"> </w:t>
      </w:r>
      <w:r>
        <w:rPr>
          <w:rFonts w:ascii="Arial" w:hAnsi="Arial"/>
          <w:color w:val="000000"/>
          <w:sz w:val="20"/>
        </w:rPr>
        <w:t>shares of the Company</w:t>
      </w:r>
      <w:r>
        <w:rPr>
          <w:rFonts w:ascii="Times New Roman" w:hAnsi="Times New Roman"/>
          <w:color w:val="000000"/>
          <w:sz w:val="20"/>
        </w:rPr>
        <w:t>’</w:t>
      </w:r>
      <w:r>
        <w:rPr>
          <w:rFonts w:ascii="Arial" w:hAnsi="Arial"/>
          <w:color w:val="000000"/>
          <w:sz w:val="20"/>
        </w:rPr>
        <w:t>s common stock to a service provider with an exercise price of $18.00</w:t>
      </w:r>
      <w:r>
        <w:rPr>
          <w:rFonts w:ascii="Times New Roman" w:hAnsi="Times New Roman"/>
          <w:color w:val="000000"/>
          <w:sz w:val="20"/>
        </w:rPr>
        <w:t xml:space="preserve"> </w:t>
      </w:r>
      <w:r>
        <w:rPr>
          <w:rFonts w:ascii="Arial" w:hAnsi="Arial"/>
          <w:color w:val="000000"/>
          <w:sz w:val="20"/>
        </w:rPr>
        <w:t>per share. This warrant vests over a period of four years</w:t>
      </w:r>
      <w:r>
        <w:rPr>
          <w:rFonts w:ascii="Times New Roman" w:hAnsi="Times New Roman"/>
          <w:color w:val="000000"/>
          <w:sz w:val="20"/>
        </w:rPr>
        <w:t xml:space="preserve"> </w:t>
      </w:r>
      <w:r>
        <w:rPr>
          <w:rFonts w:ascii="Arial" w:hAnsi="Arial"/>
          <w:color w:val="000000"/>
          <w:sz w:val="20"/>
        </w:rPr>
        <w:t>and expires in 2027. The fair value of the warrant was determined at the issuance date using the Black-Scholes option pricing model.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 related to the above warrant shares during the three and six months ended June 30, 2026 and 2025.</w:t>
      </w:r>
    </w:p>
    <w:p>
      <w:pPr>
        <w:pStyle w:val="TextBody"/>
        <w:bidi w:val="0"/>
        <w:spacing w:before="240" w:after="283"/>
        <w:jc w:val="both"/>
        <w:rPr>
          <w:rFonts w:ascii="Times New Roman" w:hAnsi="Times New Roman"/>
          <w:sz w:val="20"/>
        </w:rPr>
      </w:pPr>
      <w:r>
        <w:rPr>
          <w:rFonts w:ascii="Arial" w:hAnsi="Arial"/>
          <w:b/>
          <w:i/>
          <w:color w:val="000000"/>
          <w:sz w:val="20"/>
        </w:rPr>
        <w:t>14. Pre-funded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Company completed an underwritten public follow-on offering which included the sale of pre-funded warrants to purchase 3,583,476</w:t>
      </w:r>
      <w:r>
        <w:rPr>
          <w:rFonts w:ascii="Times New Roman" w:hAnsi="Times New Roman"/>
          <w:color w:val="000000"/>
          <w:sz w:val="20"/>
        </w:rPr>
        <w:t xml:space="preserve"> </w:t>
      </w:r>
      <w:r>
        <w:rPr>
          <w:rFonts w:ascii="Arial" w:hAnsi="Arial"/>
          <w:color w:val="000000"/>
          <w:sz w:val="20"/>
        </w:rPr>
        <w:t>shares of the Company’s common stock at an offering price of $29.4999</w:t>
      </w:r>
      <w:r>
        <w:rPr>
          <w:rFonts w:ascii="Times New Roman" w:hAnsi="Times New Roman"/>
          <w:color w:val="000000"/>
          <w:sz w:val="20"/>
        </w:rPr>
        <w:t xml:space="preserve"> </w:t>
      </w:r>
      <w:r>
        <w:rPr>
          <w:rFonts w:ascii="Arial" w:hAnsi="Arial"/>
          <w:color w:val="000000"/>
          <w:sz w:val="20"/>
        </w:rPr>
        <w:t>(the "February 2024 Warrants"). The Company valued the February 2024 Warrants at issuance and recorded net proceeds of $99.4</w:t>
      </w:r>
      <w:r>
        <w:rPr>
          <w:rFonts w:ascii="Times New Roman" w:hAnsi="Times New Roman"/>
          <w:color w:val="000000"/>
          <w:sz w:val="20"/>
        </w:rPr>
        <w:t xml:space="preserve"> </w:t>
      </w:r>
      <w:r>
        <w:rPr>
          <w:rFonts w:ascii="Arial" w:hAnsi="Arial"/>
          <w:color w:val="000000"/>
          <w:sz w:val="20"/>
        </w:rPr>
        <w:t>million, after deducting underwriters' fees, during the year ended December 31, 2024 related to the sale of the February 2024 Warrants. In February 2025, two</w:t>
      </w:r>
      <w:r>
        <w:rPr>
          <w:rFonts w:ascii="Times New Roman" w:hAnsi="Times New Roman"/>
          <w:color w:val="000000"/>
          <w:sz w:val="20"/>
        </w:rPr>
        <w:t xml:space="preserve"> </w:t>
      </w:r>
      <w:r>
        <w:rPr>
          <w:rFonts w:ascii="Arial" w:hAnsi="Arial"/>
          <w:color w:val="000000"/>
          <w:sz w:val="20"/>
        </w:rPr>
        <w:t>holders of the February 2024 Warrants gave notice of exercise to purchase an aggregate of 508,476</w:t>
      </w:r>
      <w:r>
        <w:rPr>
          <w:rFonts w:ascii="Times New Roman" w:hAnsi="Times New Roman"/>
          <w:color w:val="000000"/>
          <w:sz w:val="20"/>
        </w:rPr>
        <w:t xml:space="preserve"> </w:t>
      </w:r>
      <w:r>
        <w:rPr>
          <w:rFonts w:ascii="Arial" w:hAnsi="Arial"/>
          <w:color w:val="000000"/>
          <w:sz w:val="20"/>
        </w:rPr>
        <w:t>shares of the Company’s common stock in a cashless exchange under the terms of the February 2024 Warrants.</w:t>
      </w:r>
    </w:p>
    <w:p>
      <w:pPr>
        <w:pStyle w:val="TextBody"/>
        <w:bidi w:val="0"/>
        <w:spacing w:before="240" w:after="283"/>
        <w:jc w:val="both"/>
        <w:rPr>
          <w:rFonts w:ascii="Times New Roman" w:hAnsi="Times New Roman"/>
          <w:sz w:val="20"/>
        </w:rPr>
      </w:pPr>
      <w:r>
        <w:rPr>
          <w:rFonts w:ascii="Arial" w:hAnsi="Arial"/>
          <w:color w:val="000000"/>
          <w:sz w:val="20"/>
        </w:rPr>
        <w:t>In November and December 2024, the Company entered into exchange agreements (the “2024 Exchange Agreements”) with each of Biotechnology Value Fund, L.P. and certain of its affiliates (collectively, “BVF”) and RA Capital Healthcare Fund, L.P. (“RA Capital”), respectively. Pursuant to the 2024 Exchange Agreements, BVF and RA Capital exchanged 5,775,000</w:t>
      </w:r>
      <w:r>
        <w:rPr>
          <w:rFonts w:ascii="Times New Roman" w:hAnsi="Times New Roman"/>
          <w:color w:val="000000"/>
          <w:sz w:val="20"/>
        </w:rPr>
        <w:t xml:space="preserve"> </w:t>
      </w:r>
      <w:r>
        <w:rPr>
          <w:rFonts w:ascii="Arial" w:hAnsi="Arial"/>
          <w:color w:val="000000"/>
          <w:sz w:val="20"/>
        </w:rPr>
        <w:t>and 535,000</w:t>
      </w:r>
      <w:r>
        <w:rPr>
          <w:rFonts w:ascii="Times New Roman" w:hAnsi="Times New Roman"/>
          <w:color w:val="000000"/>
          <w:sz w:val="20"/>
        </w:rPr>
        <w:t xml:space="preserve"> </w:t>
      </w:r>
      <w:r>
        <w:rPr>
          <w:rFonts w:ascii="Arial" w:hAnsi="Arial"/>
          <w:color w:val="000000"/>
          <w:sz w:val="20"/>
        </w:rPr>
        <w:t>shares, respectively, of the Company’s common stock for pre-funded warrants to acquire the same respective number of shares of the Company’s common stock (the "2024 Exchange Warrants"). The fair value of the common stock exchanged approximated the fair value of the pre-funded warrants issued as of the transaction dates and no net proceeds were recorded in connection with the transactions</w:t>
      </w:r>
      <w:r>
        <w:rPr>
          <w:rFonts w:ascii="Times New Roman" w:hAnsi="Times New Roman"/>
          <w:color w:val="000000"/>
          <w:sz w:val="22"/>
        </w:rPr>
        <w:t xml:space="preserve">. </w:t>
      </w:r>
      <w:r>
        <w:rPr>
          <w:rFonts w:ascii="Arial" w:hAnsi="Arial"/>
          <w:color w:val="000000"/>
          <w:sz w:val="20"/>
        </w:rPr>
        <w:t>On December 22, 2025, BVF gave notice of exercise to purchase an aggregate of 178,280</w:t>
      </w:r>
      <w:r>
        <w:rPr>
          <w:rFonts w:ascii="Times New Roman" w:hAnsi="Times New Roman"/>
          <w:color w:val="000000"/>
          <w:sz w:val="20"/>
        </w:rPr>
        <w:t xml:space="preserve"> </w:t>
      </w:r>
      <w:r>
        <w:rPr>
          <w:rFonts w:ascii="Arial" w:hAnsi="Arial"/>
          <w:color w:val="000000"/>
          <w:sz w:val="20"/>
        </w:rPr>
        <w:t>shares of the Company’s common stock in a cashless exchange under the terms of the 2024 Exchange Warrants.</w:t>
      </w:r>
    </w:p>
    <w:p>
      <w:pPr>
        <w:pStyle w:val="TextBody"/>
        <w:bidi w:val="0"/>
        <w:spacing w:before="240" w:after="283"/>
        <w:jc w:val="both"/>
        <w:rPr>
          <w:rFonts w:ascii="Times New Roman" w:hAnsi="Times New Roman"/>
          <w:sz w:val="20"/>
        </w:rPr>
      </w:pPr>
      <w:r>
        <w:rPr>
          <w:rFonts w:ascii="Arial" w:hAnsi="Arial"/>
          <w:color w:val="000000"/>
          <w:sz w:val="20"/>
        </w:rPr>
        <w:t xml:space="preserve">In November 2025, the Company completed the 2025 Offering which included the sale of </w:t>
      </w:r>
      <w:r>
        <w:rPr>
          <w:rFonts w:ascii="Arial" w:hAnsi="Arial"/>
          <w:color w:val="222222"/>
          <w:sz w:val="20"/>
        </w:rPr>
        <w:t>pre-funded warrants to purchase 1,128,949</w:t>
      </w:r>
      <w:r>
        <w:rPr>
          <w:rFonts w:ascii="Times New Roman" w:hAnsi="Times New Roman"/>
          <w:color w:val="222222"/>
          <w:sz w:val="20"/>
        </w:rPr>
        <w:t xml:space="preserve"> </w:t>
      </w:r>
      <w:r>
        <w:rPr>
          <w:rFonts w:ascii="Arial" w:hAnsi="Arial"/>
          <w:color w:val="222222"/>
          <w:sz w:val="20"/>
        </w:rPr>
        <w:t>shares of the Company's common stock at an offering price of $10.5099</w:t>
      </w:r>
      <w:r>
        <w:rPr>
          <w:rFonts w:ascii="Times New Roman" w:hAnsi="Times New Roman"/>
          <w:color w:val="222222"/>
          <w:sz w:val="20"/>
        </w:rPr>
        <w:t xml:space="preserve"> </w:t>
      </w:r>
      <w:r>
        <w:rPr>
          <w:rFonts w:ascii="Arial" w:hAnsi="Arial"/>
          <w:color w:val="222222"/>
          <w:sz w:val="20"/>
        </w:rPr>
        <w:t xml:space="preserve">per underlying share (the "November 2025 Warrants"). </w:t>
      </w:r>
      <w:r>
        <w:rPr>
          <w:rFonts w:ascii="Arial" w:hAnsi="Arial"/>
          <w:color w:val="000000"/>
          <w:sz w:val="20"/>
        </w:rPr>
        <w:t>The Company valued the November 2025 Warrants at issuance and recorded net proceeds of $11.2</w:t>
      </w:r>
      <w:r>
        <w:rPr>
          <w:rFonts w:ascii="Times New Roman" w:hAnsi="Times New Roman"/>
          <w:color w:val="000000"/>
          <w:sz w:val="20"/>
        </w:rPr>
        <w:t xml:space="preserve"> </w:t>
      </w:r>
      <w:r>
        <w:rPr>
          <w:rFonts w:ascii="Arial" w:hAnsi="Arial"/>
          <w:color w:val="000000"/>
          <w:sz w:val="20"/>
        </w:rPr>
        <w:t>million, after deducting underwriters fees, during the year ended December 31, 2025.</w:t>
      </w:r>
    </w:p>
    <w:p>
      <w:pPr>
        <w:pStyle w:val="TextBody"/>
        <w:bidi w:val="0"/>
        <w:spacing w:before="240" w:after="283"/>
        <w:jc w:val="both"/>
        <w:rPr>
          <w:rFonts w:ascii="Times New Roman" w:hAnsi="Times New Roman"/>
          <w:sz w:val="20"/>
        </w:rPr>
      </w:pPr>
      <w:r>
        <w:rPr>
          <w:rFonts w:ascii="Arial" w:hAnsi="Arial"/>
          <w:color w:val="000000"/>
          <w:sz w:val="20"/>
        </w:rPr>
        <w:t>On January 22, 2026, the Company entered into exchange agreements with RA Capital and BVF, pursuant to which RA Capital and BVF exchanged 4,850,000</w:t>
      </w:r>
      <w:r>
        <w:rPr>
          <w:rFonts w:ascii="Times New Roman" w:hAnsi="Times New Roman"/>
          <w:color w:val="000000"/>
          <w:sz w:val="20"/>
        </w:rPr>
        <w:t xml:space="preserve"> </w:t>
      </w:r>
      <w:r>
        <w:rPr>
          <w:rFonts w:ascii="Arial" w:hAnsi="Arial"/>
          <w:color w:val="000000"/>
          <w:sz w:val="20"/>
        </w:rPr>
        <w:t>and 1,750,000</w:t>
      </w:r>
      <w:r>
        <w:rPr>
          <w:rFonts w:ascii="Times New Roman" w:hAnsi="Times New Roman"/>
          <w:color w:val="000000"/>
          <w:sz w:val="20"/>
        </w:rPr>
        <w:t xml:space="preserve"> </w:t>
      </w:r>
      <w:r>
        <w:rPr>
          <w:rFonts w:ascii="Arial" w:hAnsi="Arial"/>
          <w:color w:val="000000"/>
          <w:sz w:val="20"/>
        </w:rPr>
        <w:t>shares, respectively, of the Company’s common stock for pre-funded warrants to acquire the same respective number of shares of the Company’s common stock (together with the February 2024 Warrants, the 2024 Exchange Warrants, the November 2025 Warrants, collectively, the "Pre-funded Warrants"). The fair value of the common stock exchanged approximated the fair value of the pre-funded warrants issued as of the transaction dates and no net proceeds were recorded in connection with the transactions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Arial" w:hAnsi="Arial"/>
          <w:color w:val="000000"/>
          <w:sz w:val="20"/>
        </w:rPr>
        <w:t>The Pre-funded Warrants each have an exercise price of $0.0001</w:t>
      </w:r>
      <w:r>
        <w:rPr>
          <w:rFonts w:ascii="Times New Roman" w:hAnsi="Times New Roman"/>
          <w:color w:val="000000"/>
          <w:sz w:val="20"/>
        </w:rPr>
        <w:t xml:space="preserve"> </w:t>
      </w:r>
      <w:r>
        <w:rPr>
          <w:rFonts w:ascii="Arial" w:hAnsi="Arial"/>
          <w:color w:val="000000"/>
          <w:sz w:val="20"/>
        </w:rPr>
        <w:t>per underlying share of common stock, are exercisable at any time until they are fully exercised and will not expire until they are fully exercised. The Pre-funded Warrants are classified as a component of stockholders’ equity within additional paid-in-capital. The number of shares of the Company’s common stock issuable upon exercise of each Pre-funded Warrant is subject to appropriate adjustment in the event of certain stock dividends and distributions, stock splits, stock combinations, reclassifications or similar events affecting shares of the Company’s common stock, as well as upon any distribution of assets, including cash, stock or other property, to the Company’s stockholders.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15. Net Loss Per Share, Basic and Diluted</w:t>
      </w:r>
    </w:p>
    <w:p>
      <w:pPr>
        <w:pStyle w:val="TextBody"/>
        <w:bidi w:val="0"/>
        <w:spacing w:before="240" w:after="240"/>
        <w:jc w:val="both"/>
        <w:rPr>
          <w:rFonts w:ascii="Times New Roman" w:hAnsi="Times New Roman"/>
          <w:sz w:val="20"/>
        </w:rPr>
      </w:pPr>
      <w:r>
        <w:rPr>
          <w:rFonts w:ascii="Arial" w:hAnsi="Arial"/>
          <w:color w:val="000000"/>
          <w:sz w:val="20"/>
        </w:rPr>
        <w:t>The following table sets forth the computation of basic and diluted net loss per share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Weighted-average shares outstanding used in </w:t>
              <w:br/>
              <w:t>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70,272,018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55,927,091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69,175,213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55,836,075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40" w:after="240"/>
        <w:jc w:val="both"/>
        <w:rPr>
          <w:rFonts w:ascii="Times New Roman" w:hAnsi="Times New Roman"/>
          <w:sz w:val="20"/>
        </w:rPr>
      </w:pPr>
      <w:r>
        <w:rPr>
          <w:rFonts w:ascii="Arial" w:hAnsi="Arial"/>
          <w:color w:val="000000"/>
          <w:sz w:val="20"/>
        </w:rPr>
        <w:t>The Company has issued and sold Pre-funded Warrants to purchase shares of common stock at a nominal exercise price of $0.0001</w:t>
      </w:r>
      <w:r>
        <w:rPr>
          <w:rFonts w:ascii="Times New Roman" w:hAnsi="Times New Roman"/>
          <w:color w:val="000000"/>
          <w:sz w:val="20"/>
        </w:rPr>
        <w:t xml:space="preserve"> </w:t>
      </w:r>
      <w:r>
        <w:rPr>
          <w:rFonts w:ascii="Arial" w:hAnsi="Arial"/>
          <w:color w:val="000000"/>
          <w:sz w:val="20"/>
        </w:rPr>
        <w:t>(see Note 14, Pre-funded Warrants). The Pre-funded Warrants have an exercise price of $0.0001</w:t>
      </w:r>
      <w:r>
        <w:rPr>
          <w:rFonts w:ascii="Times New Roman" w:hAnsi="Times New Roman"/>
          <w:color w:val="000000"/>
          <w:sz w:val="20"/>
        </w:rPr>
        <w:t xml:space="preserve"> </w:t>
      </w:r>
      <w:r>
        <w:rPr>
          <w:rFonts w:ascii="Arial" w:hAnsi="Arial"/>
          <w:color w:val="000000"/>
          <w:sz w:val="20"/>
        </w:rPr>
        <w:t>per underlying share of common stock of the Company. The shares of common stock into which the Pre-funded Warrants may be exercised are considered outstanding for the purposes of computing earnings per share, because the shares may be issued for little or no consideration, they are fully vested and the Pre-funded Warrants are immediately exercisable upon their issuance date.</w:t>
      </w:r>
    </w:p>
    <w:p>
      <w:pPr>
        <w:pStyle w:val="TextBody"/>
        <w:bidi w:val="0"/>
        <w:spacing w:before="0" w:after="240"/>
        <w:jc w:val="both"/>
        <w:rPr>
          <w:rFonts w:ascii="Times New Roman" w:hAnsi="Times New Roman"/>
          <w:sz w:val="20"/>
        </w:rPr>
      </w:pPr>
      <w:r>
        <w:rPr>
          <w:rFonts w:ascii="Arial" w:hAnsi="Arial"/>
          <w:color w:val="000000"/>
          <w:sz w:val="20"/>
        </w:rPr>
        <w:t>The following outstanding shares of potentially dilutive securities were excluded from the computation of diluted net loss per share for the periods presented because including them would have been antidilutive:</w:t>
      </w:r>
      <w:r>
        <w:rPr>
          <w:rFonts w:ascii="Times New Roman" w:hAnsi="Times New Roman"/>
          <w:color w:val="000000"/>
          <w:sz w:val="20"/>
        </w:rPr>
        <w:t xml:space="preserve"> </w:t>
      </w:r>
    </w:p>
    <w:tbl>
      <w:tblPr>
        <w:tblW w:w="7519" w:type="dxa"/>
        <w:jc w:val="left"/>
        <w:tblInd w:w="0" w:type="dxa"/>
        <w:tblLayout w:type="fixed"/>
        <w:tblCellMar>
          <w:top w:w="28" w:type="dxa"/>
          <w:left w:w="28" w:type="dxa"/>
          <w:bottom w:w="28" w:type="dxa"/>
          <w:right w:w="28" w:type="dxa"/>
        </w:tblCellMar>
      </w:tblPr>
      <w:tblGrid>
        <w:gridCol w:w="4186"/>
        <w:gridCol w:w="146"/>
        <w:gridCol w:w="146"/>
        <w:gridCol w:w="1066"/>
        <w:gridCol w:w="146"/>
        <w:gridCol w:w="146"/>
        <w:gridCol w:w="146"/>
        <w:gridCol w:w="1066"/>
        <w:gridCol w:w="47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11,737,148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10,445,483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725,101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549,661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13,887,079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11,750,245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16. Derivative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zero</w:t>
      </w:r>
      <w:r>
        <w:rPr>
          <w:rFonts w:ascii="Times New Roman" w:hAnsi="Times New Roman"/>
          <w:color w:val="000000"/>
          <w:sz w:val="20"/>
        </w:rPr>
        <w:t xml:space="preserve"> </w:t>
      </w:r>
      <w:r>
        <w:rPr>
          <w:rFonts w:ascii="Arial" w:hAnsi="Arial"/>
          <w:color w:val="000000"/>
          <w:sz w:val="20"/>
        </w:rPr>
        <w:t>to $18.9</w:t>
      </w:r>
      <w:r>
        <w:rPr>
          <w:rFonts w:ascii="Times New Roman" w:hAnsi="Times New Roman"/>
          <w:color w:val="000000"/>
          <w:sz w:val="20"/>
        </w:rPr>
        <w:t xml:space="preserve"> </w:t>
      </w:r>
      <w:r>
        <w:rPr>
          <w:rFonts w:ascii="Arial" w:hAnsi="Arial"/>
          <w:color w:val="000000"/>
          <w:sz w:val="20"/>
        </w:rPr>
        <w:t>million at June 30, 2026 and December 31, 2025), the probability of a change of control event (range of 5.0% to 50.0% at June 30, 2026 and December 31, 2025), the probability of the product achieving development or commercial status at time of change of control (range of 4.8% to 17.2% at June 30, 2026 and December 31, 2025) and the discount rate (15% at June 30, 2026 and December 31, 2025). The Company determined the estimated fair value of this liability as of the inception date of the CFF Agreement and concluded that the amount was immaterial. The Company determined the fair value of this derivative liability was $0.4</w:t>
      </w:r>
      <w:r>
        <w:rPr>
          <w:rFonts w:ascii="Times New Roman" w:hAnsi="Times New Roman"/>
          <w:color w:val="000000"/>
          <w:sz w:val="20"/>
        </w:rPr>
        <w:t xml:space="preserve"> </w:t>
      </w:r>
      <w:r>
        <w:rPr>
          <w:rFonts w:ascii="Arial" w:hAnsi="Arial"/>
          <w:color w:val="000000"/>
          <w:sz w:val="20"/>
        </w:rPr>
        <w:t>million as of each of June 30, 2026 and December 31, 2025. See Note 3, Fair Value Measurements and Marketable Securities, and Note 6, Research and Collaboration Arrangements</w:t>
      </w:r>
      <w:r>
        <w:rPr>
          <w:rFonts w:ascii="Times New Roman" w:hAnsi="Times New Roman"/>
          <w:color w:val="000000"/>
          <w:sz w:val="20"/>
        </w:rPr>
        <w:t xml:space="preserve"> </w:t>
      </w:r>
      <w:r>
        <w:rPr>
          <w:rFonts w:ascii="Arial" w:hAnsi="Arial"/>
          <w:color w:val="000000"/>
          <w:sz w:val="20"/>
        </w:rPr>
        <w:t>for further discussion of the fair value of the embedded derivative.</w:t>
      </w:r>
    </w:p>
    <w:p>
      <w:pPr>
        <w:pStyle w:val="TextBody"/>
        <w:bidi w:val="0"/>
        <w:spacing w:before="240" w:after="283"/>
        <w:jc w:val="left"/>
        <w:rPr>
          <w:rFonts w:ascii="Arial" w:hAnsi="Arial"/>
          <w:b/>
          <w:i/>
          <w:color w:val="000000"/>
          <w:sz w:val="20"/>
        </w:rPr>
      </w:pPr>
      <w:r>
        <w:rPr>
          <w:rFonts w:ascii="Arial" w:hAnsi="Arial"/>
          <w:b/>
          <w:i/>
          <w:color w:val="000000"/>
          <w:sz w:val="20"/>
        </w:rPr>
        <w:t>17. California Institute for Regenerative Medicine Award</w:t>
      </w:r>
    </w:p>
    <w:p>
      <w:pPr>
        <w:pStyle w:val="TextBody"/>
        <w:bidi w:val="0"/>
        <w:spacing w:before="240" w:after="283"/>
        <w:jc w:val="both"/>
        <w:rPr>
          <w:rFonts w:ascii="Times New Roman" w:hAnsi="Times New Roman"/>
          <w:sz w:val="20"/>
        </w:rPr>
      </w:pPr>
      <w:r>
        <w:rPr>
          <w:rFonts w:ascii="Arial" w:hAnsi="Arial"/>
          <w:color w:val="000000"/>
          <w:sz w:val="20"/>
        </w:rPr>
        <w:t>On April 12, 2026, the Company received a Notice of Award (the "Notice of Award") from the California Institute for Regenerative Medicine (“CIRM”) for a grant of approximately $5.9</w:t>
      </w:r>
      <w:r>
        <w:rPr>
          <w:rFonts w:ascii="Times New Roman" w:hAnsi="Times New Roman"/>
          <w:color w:val="000000"/>
          <w:sz w:val="20"/>
        </w:rPr>
        <w:t xml:space="preserve"> </w:t>
      </w:r>
      <w:r>
        <w:rPr>
          <w:rFonts w:ascii="Arial" w:hAnsi="Arial"/>
          <w:color w:val="000000"/>
          <w:sz w:val="20"/>
        </w:rPr>
        <w:t>million (the “CIRM Grant”), to support the early stage development of the proprietary adeno-associated virus (AAV) gene therapy candidate for the treatment of Alpha-1 Antitrypsin (AAT) Deficiency. The CIRM Grant is payable to the Company upon achievement of certain early stage developmental milestones. CIRM could permanently cease disbursements if milestones are not met within four months of the scheduled completion date. Additionally, if CIRM determines, in its sole discretion, that the Company has not complied with the terms and conditions of the CIRM Grant, CIRM may suspend or permanently cease disbursements. Funds received under the CIRM Grant may only be used for allowable project costs specifically identified with the CIRM-funded project. Project costs can include, but are not limited to, salary for personnel, supplies, consultants and clinical study costs. The Company will co-fund the research project in the amount of $1.4</w:t>
      </w:r>
      <w:r>
        <w:rPr>
          <w:rFonts w:ascii="Times New Roman" w:hAnsi="Times New Roman"/>
          <w:color w:val="000000"/>
          <w:sz w:val="20"/>
        </w:rPr>
        <w:t xml:space="preserve"> </w:t>
      </w:r>
      <w:r>
        <w:rPr>
          <w:rFonts w:ascii="Arial" w:hAnsi="Arial"/>
          <w:color w:val="000000"/>
          <w:sz w:val="20"/>
        </w:rPr>
        <w:t>million for such project costs under the terms of the CIRM Grant. Any unused funds must be returned to CIRM upon completion or termination of the project. The Company received an initial payment of $1.0</w:t>
      </w:r>
      <w:r>
        <w:rPr>
          <w:rFonts w:ascii="Times New Roman" w:hAnsi="Times New Roman"/>
          <w:color w:val="000000"/>
          <w:sz w:val="20"/>
        </w:rPr>
        <w:t xml:space="preserve"> </w:t>
      </w:r>
      <w:r>
        <w:rPr>
          <w:rFonts w:ascii="Arial" w:hAnsi="Arial"/>
          <w:color w:val="000000"/>
          <w:sz w:val="20"/>
        </w:rPr>
        <w:t>million from CIRM upon receipt of the Notice of Award.</w:t>
      </w:r>
    </w:p>
    <w:p>
      <w:pPr>
        <w:pStyle w:val="TextBody"/>
        <w:bidi w:val="0"/>
        <w:spacing w:before="240" w:after="283"/>
        <w:jc w:val="both"/>
        <w:rPr>
          <w:rFonts w:ascii="Arial" w:hAnsi="Arial"/>
          <w:color w:val="000000"/>
          <w:sz w:val="20"/>
        </w:rPr>
      </w:pPr>
      <w:r>
        <w:rPr>
          <w:rFonts w:ascii="Arial" w:hAnsi="Arial"/>
          <w:color w:val="000000"/>
          <w:sz w:val="20"/>
        </w:rPr>
        <w:t>Proceeds from the CIRM Grant are recognized over the period necessary to match the related research and development expense when it is probable that the Company has complied with the CIRM Grant conditions and will receive the proceeds pursuant to the milestones defined in the Notice of Award as reimbursement of those expenditures. The CIRM Grant proceeds, if any, received in advance of having incurred the related research and development expense are recorded in deferred grant reimbursements and recognized as an offset against research and development expense on the Company’s condensed statements of operations when the related research and development expenses are incurred.</w:t>
      </w:r>
    </w:p>
    <w:p>
      <w:pPr>
        <w:pStyle w:val="TextBody"/>
        <w:bidi w:val="0"/>
        <w:spacing w:before="240" w:after="283"/>
        <w:jc w:val="both"/>
        <w:rPr>
          <w:rFonts w:ascii="Times New Roman" w:hAnsi="Times New Roman"/>
          <w:sz w:val="20"/>
        </w:rPr>
      </w:pPr>
      <w:r>
        <w:rPr>
          <w:rFonts w:ascii="Arial" w:hAnsi="Arial"/>
          <w:color w:val="000000"/>
          <w:sz w:val="20"/>
        </w:rPr>
        <w:t>During the three months ended June 30, 2026, the Company achieved the first developmental milestone and became entitled to a reimbursement of $3.1</w:t>
      </w:r>
      <w:r>
        <w:rPr>
          <w:rFonts w:ascii="Times New Roman" w:hAnsi="Times New Roman"/>
          <w:color w:val="000000"/>
          <w:sz w:val="20"/>
        </w:rPr>
        <w:t xml:space="preserve"> </w:t>
      </w:r>
      <w:r>
        <w:rPr>
          <w:rFonts w:ascii="Arial" w:hAnsi="Arial"/>
          <w:color w:val="000000"/>
          <w:sz w:val="20"/>
        </w:rPr>
        <w:t>million and recognized a grant receivable in prepaid and other current assets on its condensed balance sheet as of June 30, 2026. As of June 30, 2026,</w:t>
      </w:r>
      <w:r>
        <w:rPr>
          <w:rFonts w:ascii="Times New Roman" w:hAnsi="Times New Roman"/>
          <w:color w:val="000000"/>
          <w:sz w:val="20"/>
        </w:rPr>
        <w:t xml:space="preserve"> </w:t>
      </w:r>
      <w:r>
        <w:rPr>
          <w:rFonts w:ascii="Arial" w:hAnsi="Arial"/>
          <w:color w:val="000000"/>
          <w:sz w:val="20"/>
        </w:rPr>
        <w:t>the Company recognized a deferred grant reimbursement of $4.0</w:t>
      </w:r>
      <w:r>
        <w:rPr>
          <w:rFonts w:ascii="Times New Roman" w:hAnsi="Times New Roman"/>
          <w:color w:val="000000"/>
          <w:sz w:val="20"/>
        </w:rPr>
        <w:t xml:space="preserve"> </w:t>
      </w:r>
      <w:r>
        <w:rPr>
          <w:rFonts w:ascii="Arial" w:hAnsi="Arial"/>
          <w:color w:val="000000"/>
          <w:sz w:val="20"/>
        </w:rPr>
        <w:t>million related to the CIRM grant on its condensed balance sheet, as the grant reimbursement exceeds the amount of grant reimbursement income recognized during the</w:t>
      </w:r>
      <w:r>
        <w:rPr>
          <w:rFonts w:ascii="Times New Roman" w:hAnsi="Times New Roman"/>
          <w:color w:val="000000"/>
          <w:sz w:val="20"/>
        </w:rPr>
        <w:t xml:space="preserve"> </w:t>
      </w:r>
      <w:r>
        <w:rPr>
          <w:rFonts w:ascii="Arial" w:hAnsi="Arial"/>
          <w:color w:val="000000"/>
          <w:sz w:val="20"/>
        </w:rPr>
        <w:t>three and six months ended June 30, 2026. During the three and six months ended June 30, 2026,</w:t>
      </w:r>
      <w:r>
        <w:rPr>
          <w:rFonts w:ascii="Times New Roman" w:hAnsi="Times New Roman"/>
          <w:color w:val="000000"/>
          <w:sz w:val="20"/>
        </w:rPr>
        <w:t xml:space="preserve"> </w:t>
      </w:r>
      <w:r>
        <w:rPr>
          <w:rFonts w:ascii="Arial" w:hAnsi="Arial"/>
          <w:color w:val="000000"/>
          <w:sz w:val="20"/>
        </w:rPr>
        <w:t>the Company recognized $0.1</w:t>
      </w:r>
      <w:r>
        <w:rPr>
          <w:rFonts w:ascii="Times New Roman" w:hAnsi="Times New Roman"/>
          <w:color w:val="000000"/>
          <w:sz w:val="20"/>
        </w:rPr>
        <w:t xml:space="preserve"> </w:t>
      </w:r>
      <w:r>
        <w:rPr>
          <w:rFonts w:ascii="Arial" w:hAnsi="Arial"/>
          <w:color w:val="000000"/>
          <w:sz w:val="20"/>
        </w:rPr>
        <w:t>million of grant reimbursements as a reduction of research and development expense related to the CIRM Grant on its condensed statement of operations.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18. Related Party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March 2024, the Company entered into a research and option agreement (the “Reignite Agreement”) with Reignite Therapeutics Inc. (“Reignite”), which was founded by David Kirn, M.D., Chief Executive Officer of the Company. Reignite has the expertise to develop high-capacity, helper-dependent adenovirus capsids which the Company plans to utilize as it expands its therapeutic capsid evolution platform. Reignite and the Company plan to collaborate on a program to develop these high capacity, helper-dependent adenovirus capsids. Under the Reignite Agreement, the Company shall have the final authority to amend and make updates to the plan and budget of the program. Further, the Company is responsible for the funding of the related research which includes the budgeted full-time employees and CRO costs, equipment costs not to exceed $60</w:t>
      </w:r>
      <w:r>
        <w:rPr>
          <w:rFonts w:ascii="Times New Roman" w:hAnsi="Times New Roman"/>
          <w:color w:val="000000"/>
          <w:sz w:val="20"/>
        </w:rPr>
        <w:t xml:space="preserve"> </w:t>
      </w:r>
      <w:r>
        <w:rPr>
          <w:rFonts w:ascii="Arial" w:hAnsi="Arial"/>
          <w:color w:val="000000"/>
          <w:sz w:val="20"/>
        </w:rPr>
        <w:t>thousand and all other costs, in total not to exceed $1.5</w:t>
      </w:r>
      <w:r>
        <w:rPr>
          <w:rFonts w:ascii="Times New Roman" w:hAnsi="Times New Roman"/>
          <w:color w:val="000000"/>
          <w:sz w:val="20"/>
        </w:rPr>
        <w:t xml:space="preserve"> </w:t>
      </w:r>
      <w:r>
        <w:rPr>
          <w:rFonts w:ascii="Arial" w:hAnsi="Arial"/>
          <w:color w:val="000000"/>
          <w:sz w:val="20"/>
        </w:rPr>
        <w:t>million in any year of the program. The Company will have an option to acquire up to three</w:t>
      </w:r>
      <w:r>
        <w:rPr>
          <w:rFonts w:ascii="Times New Roman" w:hAnsi="Times New Roman"/>
          <w:color w:val="000000"/>
          <w:sz w:val="20"/>
        </w:rPr>
        <w:t xml:space="preserve"> </w:t>
      </w:r>
      <w:r>
        <w:rPr>
          <w:rFonts w:ascii="Arial" w:hAnsi="Arial"/>
          <w:color w:val="000000"/>
          <w:sz w:val="20"/>
        </w:rPr>
        <w:t>capsids resulting from the program. The Company shall pay to Reignite an option exercise fee of $1.0</w:t>
      </w:r>
      <w:r>
        <w:rPr>
          <w:rFonts w:ascii="Times New Roman" w:hAnsi="Times New Roman"/>
          <w:color w:val="000000"/>
          <w:sz w:val="20"/>
        </w:rPr>
        <w:t xml:space="preserve"> </w:t>
      </w:r>
      <w:r>
        <w:rPr>
          <w:rFonts w:ascii="Arial" w:hAnsi="Arial"/>
          <w:color w:val="000000"/>
          <w:sz w:val="20"/>
        </w:rPr>
        <w:t>million per selected capsid for which the Company has exercised its option. The maximum total amount payable is $3.0</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both"/>
        <w:rPr>
          <w:rFonts w:ascii="Times New Roman" w:hAnsi="Times New Roman"/>
          <w:sz w:val="20"/>
        </w:rPr>
      </w:pPr>
      <w:r>
        <w:rPr>
          <w:rFonts w:ascii="Arial" w:hAnsi="Arial"/>
          <w:color w:val="000000"/>
          <w:sz w:val="20"/>
        </w:rPr>
        <w:t>During the three and six months ended June 30, 2026, the Company paid Reignite $0.3</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for research and development expenses. During the three and six months ended June 30, 2025, the Company paid Reignite $0.4</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respectively, for research and development expenses. As of June 30, 2026, the Company owes $0.1</w:t>
      </w:r>
      <w:r>
        <w:rPr>
          <w:rFonts w:ascii="Times New Roman" w:hAnsi="Times New Roman"/>
          <w:color w:val="000000"/>
          <w:sz w:val="20"/>
        </w:rPr>
        <w:t xml:space="preserve"> </w:t>
      </w:r>
      <w:r>
        <w:rPr>
          <w:rFonts w:ascii="Arial" w:hAnsi="Arial"/>
          <w:color w:val="000000"/>
          <w:sz w:val="20"/>
        </w:rPr>
        <w:t>million to Reignite for unpaid research and development expense. No</w:t>
      </w:r>
      <w:r>
        <w:rPr>
          <w:rFonts w:ascii="Times New Roman" w:hAnsi="Times New Roman"/>
          <w:color w:val="000000"/>
          <w:sz w:val="20"/>
        </w:rPr>
        <w:t xml:space="preserve"> </w:t>
      </w:r>
      <w:r>
        <w:rPr>
          <w:rFonts w:ascii="Arial" w:hAnsi="Arial"/>
          <w:color w:val="000000"/>
          <w:sz w:val="20"/>
        </w:rPr>
        <w:t>option exercise fees were incurred during the three and six months ended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19.</w:t>
      </w:r>
      <w:r>
        <w:rPr>
          <w:rFonts w:ascii="Times New Roman" w:hAnsi="Times New Roman"/>
          <w:color w:val="000000"/>
          <w:sz w:val="20"/>
        </w:rPr>
        <w:t xml:space="preserve"> </w:t>
      </w:r>
      <w:r>
        <w:rPr>
          <w:rFonts w:ascii="Arial" w:hAnsi="Arial"/>
          <w:b/>
          <w:i/>
          <w:color w:val="000000"/>
          <w:sz w:val="20"/>
        </w:rPr>
        <w:t>401(k) Plan</w:t>
      </w:r>
    </w:p>
    <w:p>
      <w:pPr>
        <w:pStyle w:val="TextBody"/>
        <w:bidi w:val="0"/>
        <w:spacing w:before="240" w:after="283"/>
        <w:jc w:val="both"/>
        <w:rPr>
          <w:rFonts w:ascii="Times New Roman" w:hAnsi="Times New Roman"/>
          <w:sz w:val="20"/>
        </w:rPr>
      </w:pPr>
      <w:r>
        <w:rPr>
          <w:rFonts w:ascii="Arial" w:hAnsi="Arial"/>
          <w:color w:val="000000"/>
          <w:sz w:val="20"/>
        </w:rPr>
        <w:t>In 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401(k) plan for all eligible participants and recorded contribution expenses of $0.6</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for the three and six months ended June 30, 2026, respectively, and $0.5</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for the three and six months ended June 30, 2025,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20.</w:t>
      </w:r>
      <w:r>
        <w:rPr>
          <w:rFonts w:ascii="Times New Roman" w:hAnsi="Times New Roman"/>
          <w:color w:val="000000"/>
          <w:sz w:val="20"/>
        </w:rPr>
        <w:t xml:space="preserve"> </w:t>
      </w:r>
      <w:r>
        <w:rPr>
          <w:rFonts w:ascii="Arial" w:hAnsi="Arial"/>
          <w:b/>
          <w:i/>
          <w:color w:val="000000"/>
          <w:sz w:val="20"/>
        </w:rPr>
        <w:t>Segment Information</w:t>
      </w:r>
    </w:p>
    <w:p>
      <w:pPr>
        <w:pStyle w:val="TextBody"/>
        <w:bidi w:val="0"/>
        <w:spacing w:before="240" w:after="283"/>
        <w:jc w:val="both"/>
        <w:rPr>
          <w:rFonts w:ascii="Times New Roman" w:hAnsi="Times New Roman"/>
          <w:sz w:val="20"/>
        </w:rPr>
      </w:pPr>
      <w:r>
        <w:rPr>
          <w:rFonts w:ascii="Arial" w:hAnsi="Arial"/>
          <w:color w:val="222222"/>
          <w:sz w:val="20"/>
        </w:rPr>
        <w:t xml:space="preserve">The Company operates in </w:t>
      </w:r>
      <w:r>
        <w:rPr>
          <w:rFonts w:ascii="Arial" w:hAnsi="Arial"/>
          <w:color w:val="333333"/>
          <w:sz w:val="20"/>
        </w:rPr>
        <w:t>a single</w:t>
      </w:r>
      <w:r>
        <w:rPr>
          <w:rFonts w:ascii="Times New Roman" w:hAnsi="Times New Roman"/>
          <w:color w:val="333333"/>
          <w:sz w:val="20"/>
        </w:rPr>
        <w:t xml:space="preserve"> </w:t>
      </w:r>
      <w:r>
        <w:rPr>
          <w:rFonts w:ascii="Arial" w:hAnsi="Arial"/>
          <w:color w:val="333333"/>
          <w:sz w:val="20"/>
        </w:rPr>
        <w:t>operating and reportable segment</w:t>
      </w:r>
      <w:r>
        <w:rPr>
          <w:rFonts w:ascii="Arial" w:hAnsi="Arial"/>
          <w:color w:val="222222"/>
          <w:sz w:val="20"/>
        </w:rPr>
        <w:t xml:space="preserve">, which includes all activities related to discovery, development and commercialization of durable and disease-targeted therapeutics. The determination of a single business segment is consistent with the financial information regularly provided to the Company's chief operating decision maker (the "CODM") who </w:t>
      </w:r>
      <w:r>
        <w:rPr>
          <w:rFonts w:ascii="Arial" w:hAnsi="Arial"/>
          <w:color w:val="000000"/>
          <w:sz w:val="20"/>
        </w:rPr>
        <w:t>manages the business activities on a consolidated basis. The Company's CODM is its Chief Executive Officer who assesses performance for the business and decides how to allocate resources based on net loss that also is reported on the statements of operations. In making this assessment, the CODM reviews and evaluates net loss to monitor budget versus actual results and to analyze cash flows for purposes of allocating resources and assessing financial performance.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222222"/>
          <w:sz w:val="20"/>
        </w:rPr>
      </w:pPr>
      <w:r>
        <w:rPr>
          <w:rFonts w:ascii="Arial" w:hAnsi="Arial"/>
          <w:color w:val="222222"/>
          <w:sz w:val="20"/>
        </w:rPr>
        <w:t xml:space="preserve">In addition to the significant expense categories included within net loss presented in the Company's condensed statements of operations, the following table provides disaggregated amounts that comprise research and development expenses (in thousands): </w:t>
      </w:r>
    </w:p>
    <w:p>
      <w:pPr>
        <w:pStyle w:val="TextBody"/>
        <w:bidi w:val="0"/>
        <w:jc w:val="both"/>
        <w:rPr/>
      </w:pPr>
      <w:r>
        <w:rPr/>
        <w:t> </w:t>
      </w:r>
    </w:p>
    <w:tbl>
      <w:tblPr>
        <w:tblW w:w="10181" w:type="dxa"/>
        <w:jc w:val="left"/>
        <w:tblInd w:w="0" w:type="dxa"/>
        <w:tblLayout w:type="fixed"/>
        <w:tblCellMar>
          <w:top w:w="28" w:type="dxa"/>
          <w:left w:w="28" w:type="dxa"/>
          <w:bottom w:w="28" w:type="dxa"/>
          <w:right w:w="28" w:type="dxa"/>
        </w:tblCellMar>
      </w:tblPr>
      <w:tblGrid>
        <w:gridCol w:w="4846"/>
        <w:gridCol w:w="146"/>
        <w:gridCol w:w="247"/>
        <w:gridCol w:w="811"/>
        <w:gridCol w:w="171"/>
        <w:gridCol w:w="171"/>
        <w:gridCol w:w="247"/>
        <w:gridCol w:w="811"/>
        <w:gridCol w:w="146"/>
        <w:gridCol w:w="146"/>
        <w:gridCol w:w="215"/>
        <w:gridCol w:w="814"/>
        <w:gridCol w:w="149"/>
        <w:gridCol w:w="149"/>
        <w:gridCol w:w="215"/>
        <w:gridCol w:w="706"/>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research and development expenses for 4D-150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86,280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Unallocated personnel costs (including </w:t>
              <w:b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16,456</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133,262</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Effective in the first quarter of 2026, the Company updated the presentation of segment operating expenses provided to the CODM. This change in the presentation reflects how segment information is currently reviewed by the CODM. Prior period segment information has been recast to conform to the current period presentation.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measure of segment assets is reported on the balance sheets as total assets. As of and for the six months ended June 30, 2026 and 2025, all of the Company’s long-lived assets were located in the United States. The Company's revenues by geographic region, based on the location of the customer, are disclosed in Note 2, Summary of Significant Accounting Policies.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mda"/>
      <w:bookmarkEnd w:id="10"/>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condensed financial statements and the related notes included elsewhere in this Quarterly Report on Form 10-Q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pStyle w:val="TextBody"/>
        <w:bidi w:val="0"/>
        <w:spacing w:before="240" w:after="283"/>
        <w:jc w:val="both"/>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 leading late-stage biotechnology company advancing durable and disease-targeted therapeutics with potential to transform treatment paradigms and provide unprecedented benefits to patients. Our primary focus is advancing 4D-150 for wet age-related macular degeneration (“wet AMD”) and diabetic macular edema (“DME”) through late-stage studies and potential commercialization. In addition, we are advancing our other pipeline programs, 4D-175 for geographic atrophy, 4D-710 for cystic fibrosis (“CF”) lung disease, and 4D-725 for alpha-1-antitrypsin deficiency (“AATD”) lung disease primarily through strategic funding alternatives. We believe we are well positioned to discover, develop, manufacture and if approved, commercialize targeted genetic medicines with the potential to transform the lives of patients suffering from debilitating diseases.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lead product candidate 4D-150 utilizes our proprietary R100 vector and a transgene encoding anti-VEGF biologics: aflibercept and an RNA interference (RNAi) approach targeting VEGF-C. The goal for our development and potential commercialization of 4D-150 is to transform the standard of care for large market retinal vascular diseases with a routine in-office lifelong backbone therapy that substantially reduces treatment burden to enable improved long-term vision outcomes. 4D-150 is initially being developed for the treatment of wet AMD and DME.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March 2025, we initiated 4FRONT-1, our first Phase 3 trial of 4D-150 in wet AMD. Subsequently in February 2026, we announced enrollment completion within an approximately 11-month period, ahead of initial projections, with the clinical trial overenrolled and 523 patients randomized, reflecting strong interest from investigators and patients. We anticipate topline data for 4FRONT-1 in the second quarter of 2027.</w:t>
      </w:r>
    </w:p>
    <w:p>
      <w:pPr>
        <w:pStyle w:val="TextBody"/>
        <w:bidi w:val="0"/>
        <w:spacing w:before="240" w:after="283"/>
        <w:jc w:val="both"/>
        <w:rPr>
          <w:rFonts w:ascii="Times New Roman" w:hAnsi="Times New Roman"/>
          <w:sz w:val="20"/>
        </w:rPr>
      </w:pPr>
      <w:r>
        <w:rPr>
          <w:rFonts w:ascii="Arial" w:hAnsi="Arial"/>
          <w:color w:val="000000"/>
          <w:sz w:val="20"/>
        </w:rPr>
        <w:t>Additionally, in June 2025, we initiated 4FRONT-2, our second Phase 3 trial of 4D-150 in wet AMD. 4FRONT-2 is a global clinical trial and enrolled both treatment-naïve and recently diagnosed, treatment-experienced patients. We completed enrollment for 4FRONT-2 in June 2026 ahead of schedule with &gt;500 patients expected to be randomized. We anticipate topline data for 4FRONT-2 in the second half of 2027.</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November 2025 and July 2026, we announced positive long-term results from the ongoing 4D-150 PRISM Phase 1/2 clinical trial in wet AMD. 4D-150 demonstrated consistent and durable benefit across all three patient cohorts as evidenced by maintenance of visual acuity, control of retinal anatomy and clinically meaningful reduction of treatment burden at all time points with 2 years of follow-up. In addition, a consistent dose response was observed between 3E10 vg/eye, the selected Phase 3 dose, and the lower dose of 1E10 vg/eye. The Phase 3 dose achieved clinically meaningful reductions in treatment burden. No new cases of intraocular inflammation were reported during this follow-up period with up to approximately 4 years of follow-up.</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July 2025, we presented positive 60-week results from the 4D-150 SPECTRA clinical trial in DME where 4D-150 continued to be well tolerated with no intraocular inflammation observed at any timepoint or dose level. In addition, 4D-150 demonstrated durable and dose-dependent clinical activity with sustained gains in visual acuity and anatomic control between 3E10 vg/eye, the selected Phase 3 dose, and lower doses. The Phase 3 dose achieved clinically meaningful 78% reduction in treatment burden vs. projected on-label aflibercept 2mg Q8W. The FDA and EMA are aligned on a proposed single Phase 3 clinical trial being acceptable for possible future licensure for 4D-150 in DME.</w:t>
      </w:r>
    </w:p>
    <w:p>
      <w:pPr>
        <w:pStyle w:val="TextBody"/>
        <w:bidi w:val="0"/>
        <w:spacing w:before="240" w:after="283"/>
        <w:jc w:val="both"/>
        <w:rPr>
          <w:rFonts w:ascii="Arial" w:hAnsi="Arial"/>
          <w:color w:val="000000"/>
          <w:sz w:val="20"/>
        </w:rPr>
      </w:pPr>
      <w:r>
        <w:rPr>
          <w:rFonts w:ascii="Arial" w:hAnsi="Arial"/>
          <w:color w:val="000000"/>
          <w:sz w:val="20"/>
        </w:rPr>
        <w:t>In October 2025, we entered into a Collaboration and License Agreement (the “Otsuka Agreement”) with Otsuka Pharmaceutical Co., Ltd., ("Otsuka") pursuant to which we granted Otsuka exclusive rights to develop and commercialize 4D-150 for retinal vascular diseases, including wet AMD and DME, in Japan, Korea, China, Australia, and other Asia-Pacific markets (the "Otsuka Territory"). Otsuka has agreed to lead all regulatory and commercialization activities in the Otsuka Territory. We have agreed to continue to lead all Phase 3 clinical activity globally, including within the Otsuka Territory. Otsuka made an upfront cash payment of $85.0 million and agreed to provide certain cost sharing for global development activities. In addition, we are eligible for up to $335.5 million in potential regulatory and commercial milestone payments and tiered double-digit royalties depending on net sales in the Otsuka Territory. We retain full development and commercialization rights for 4D-150 outside the Otsuka Territory, including the United States, Latin America, and Europe.</w:t>
      </w:r>
    </w:p>
    <w:p>
      <w:pPr>
        <w:pStyle w:val="TextBody"/>
        <w:bidi w:val="0"/>
        <w:spacing w:before="240" w:after="283"/>
        <w:jc w:val="both"/>
        <w:rPr>
          <w:rFonts w:ascii="Arial" w:hAnsi="Arial"/>
          <w:color w:val="000000"/>
          <w:sz w:val="20"/>
        </w:rPr>
      </w:pPr>
      <w:r>
        <w:rPr>
          <w:rFonts w:ascii="Arial" w:hAnsi="Arial"/>
          <w:color w:val="000000"/>
          <w:sz w:val="20"/>
        </w:rPr>
        <w:t>Our other retina pipeline program is 4D-175, which utilizes the intravitreal R100 AAV vector and a codon-optimized transgene encoding a highly functional shortened form of human complement factor H (sCFH) for treatment of geographic atrophy. The sCFH payload is designed to restore normal complement regulation, which has the potential to slow progression of disease. We currently maintain an active IND and continue to evaluate strategic funding alternatives to advance the program into the clinic.</w:t>
      </w:r>
    </w:p>
    <w:p>
      <w:pPr>
        <w:pStyle w:val="TextBody"/>
        <w:bidi w:val="0"/>
        <w:spacing w:before="240" w:after="283"/>
        <w:jc w:val="both"/>
        <w:rPr>
          <w:rFonts w:ascii="Arial" w:hAnsi="Arial"/>
          <w:color w:val="000000"/>
          <w:sz w:val="20"/>
        </w:rPr>
      </w:pPr>
      <w:r>
        <w:rPr>
          <w:rFonts w:ascii="Arial" w:hAnsi="Arial"/>
          <w:color w:val="000000"/>
          <w:sz w:val="20"/>
        </w:rPr>
        <w:t>Our most advanced pulmonary pipeline program is 4D-710, which we believe is the first known genetic medicine to demonstrate successful delivery and durable expression of the cystic fibrosis transmembrane conductance regulator (“CFTR”) transgene in the lungs of people with cystic fibrosis ("CF") and is currently in Phase 2 development. We believe these results will translate into durable clinical improvements in people with CF, including improved lung function and quality of life. In October 2025, we announced a funding agreement with the Cystic Fibrosis Foundation ("CFF") to provide up to $11.0 million in additional funding, including $7.5 million in an initial tranche, which was completed in October 2025. The proceeds of this funding agreement enabled the start of the Phase 2 stage of the AEROW clinical trial, redosing, and Phase 3 readiness activities.</w:t>
      </w:r>
    </w:p>
    <w:p>
      <w:pPr>
        <w:pStyle w:val="TextBody"/>
        <w:bidi w:val="0"/>
        <w:spacing w:before="240" w:after="283"/>
        <w:jc w:val="both"/>
        <w:rPr>
          <w:rFonts w:ascii="Arial" w:hAnsi="Arial"/>
          <w:color w:val="000000"/>
          <w:sz w:val="20"/>
        </w:rPr>
      </w:pPr>
      <w:r>
        <w:rPr>
          <w:rFonts w:ascii="Arial" w:hAnsi="Arial"/>
          <w:color w:val="000000"/>
          <w:sz w:val="20"/>
        </w:rPr>
        <w:t>We have funded our operations primarily through the sale and issuance of equity securities, from borrowings under our loan facility with Hercules Capital, Inc. and, to a lesser extent, from cash received pursuant to our collaboration and license agreements.</w:t>
      </w:r>
    </w:p>
    <w:p>
      <w:pPr>
        <w:pStyle w:val="TextBody"/>
        <w:bidi w:val="0"/>
        <w:spacing w:before="240" w:after="283"/>
        <w:jc w:val="both"/>
        <w:rPr>
          <w:rFonts w:ascii="Arial" w:hAnsi="Arial"/>
          <w:color w:val="000000"/>
          <w:sz w:val="20"/>
        </w:rPr>
      </w:pPr>
      <w:r>
        <w:rPr>
          <w:rFonts w:ascii="Arial" w:hAnsi="Arial"/>
          <w:color w:val="000000"/>
          <w:sz w:val="20"/>
        </w:rPr>
        <w:t>We have incurred significant operating losses. Our net losses were $72.9 million and $54.7 million for the three months ended June 30, 2026 and 2025, respectively, and $141.7 million and $102.6 million for the six months ended June 30, 2026 and 2025, respectively. As of June 30, 2026, we had an accumulated deficit of $858.0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p>
    <w:p>
      <w:pPr>
        <w:pStyle w:val="TextBody"/>
        <w:bidi w:val="0"/>
        <w:spacing w:before="240" w:after="283"/>
        <w:jc w:val="both"/>
        <w:rPr>
          <w:rFonts w:ascii="Times New Roman" w:hAnsi="Times New Roman"/>
          <w:sz w:val="20"/>
        </w:rPr>
      </w:pPr>
      <w:r>
        <w:rPr>
          <w:rFonts w:ascii="Arial" w:hAnsi="Arial"/>
          <w:color w:val="000000"/>
          <w:sz w:val="20"/>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conflicts in the Middle East, the war in Ukraine, rising interest rates, tariffs, inflation, government shutdowns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pStyle w:val="TextBody"/>
        <w:bidi w:val="0"/>
        <w:spacing w:before="240" w:after="283"/>
        <w:jc w:val="both"/>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revenue to date has been generated through payments from our collaboration and license agreements, primarily from upfront and milestone payments and clinical trial cost sharing and</w:t>
      </w:r>
      <w:r>
        <w:rPr>
          <w:rFonts w:ascii="Times New Roman" w:hAnsi="Times New Roman"/>
          <w:color w:val="0078D4"/>
          <w:sz w:val="20"/>
        </w:rPr>
        <w:t xml:space="preserve"> </w:t>
      </w:r>
      <w:r>
        <w:rPr>
          <w:rFonts w:ascii="Arial" w:hAnsi="Arial"/>
          <w:color w:val="000000"/>
          <w:sz w:val="20"/>
        </w:rPr>
        <w:t>expense reimbursement amounts. We have not generated any revenue from the sale of approved products and do not expect to do so for the foreseeable future.</w:t>
      </w:r>
    </w:p>
    <w:p>
      <w:pPr>
        <w:pStyle w:val="TextBody"/>
        <w:bidi w:val="0"/>
        <w:spacing w:before="240" w:after="283"/>
        <w:jc w:val="both"/>
        <w:rPr>
          <w:rFonts w:ascii="Times New Roman" w:hAnsi="Times New Roman"/>
          <w:sz w:val="20"/>
        </w:rPr>
      </w:pPr>
      <w:r>
        <w:rPr>
          <w:rFonts w:ascii="Arial" w:hAnsi="Arial"/>
          <w:color w:val="222222"/>
          <w:sz w:val="20"/>
        </w:rPr>
        <w:t xml:space="preserve">In October 2025, we entered into the Otsuka Agreement where we granted Otsuka exclusive rights to develop and commercialize 4D-150 for retinal vascular diseases, including wet AMD and DME, in the Otsuka Territory. Otsuka made an upfront cash payment of $85 million which we recognized as revenue during the fourth quarter of 2025, and </w:t>
      </w:r>
      <w:r>
        <w:rPr>
          <w:rFonts w:ascii="Arial" w:hAnsi="Arial"/>
          <w:color w:val="000000"/>
          <w:sz w:val="20"/>
        </w:rPr>
        <w:t xml:space="preserve">agreed to provide certain </w:t>
      </w:r>
      <w:r>
        <w:rPr>
          <w:rFonts w:ascii="Arial" w:hAnsi="Arial"/>
          <w:color w:val="222222"/>
          <w:sz w:val="20"/>
        </w:rPr>
        <w:t>cost sharing for global development activities.</w:t>
      </w:r>
    </w:p>
    <w:p>
      <w:pPr>
        <w:pStyle w:val="TextBody"/>
        <w:bidi w:val="0"/>
        <w:spacing w:before="240" w:after="283"/>
        <w:jc w:val="both"/>
        <w:rPr>
          <w:rFonts w:ascii="Arial" w:hAnsi="Arial"/>
          <w:color w:val="000000"/>
          <w:sz w:val="20"/>
        </w:rPr>
      </w:pPr>
      <w:r>
        <w:rPr>
          <w:rFonts w:ascii="Arial" w:hAnsi="Arial"/>
          <w:color w:val="000000"/>
          <w:sz w:val="20"/>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research and development expenses primarily consist of costs incurred for the discovery and preclinical and clinical development of our product candidates. These expenses include salaries and personnel-related costs, including stock-based compensation of our clinical, medical, chemistry, manufacturing and controls and scientific personnel performing research and development activities; laboratory supplies; research materials; fees paid to CROs to execute preclinical studies and clinical trials; fees paid to CDMOs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expense all research and development costs in the periods in which they are incurred. We have entered into various agreements with CROs and CDMOs.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pStyle w:val="TextBody"/>
        <w:bidi w:val="0"/>
        <w:spacing w:before="240" w:after="283"/>
        <w:jc w:val="both"/>
        <w:rPr>
          <w:rFonts w:ascii="Times New Roman" w:hAnsi="Times New Roman"/>
          <w:sz w:val="20"/>
        </w:rPr>
      </w:pPr>
      <w:r>
        <w:rPr>
          <w:rFonts w:ascii="Arial" w:hAnsi="Arial"/>
          <w:color w:val="000000"/>
          <w:sz w:val="20"/>
        </w:rPr>
        <w:t>We do not allocate our internal costs, such as salary and other personnel-related expenses, laboratory supplies and allocated overhead by product</w:t>
      </w:r>
      <w:r>
        <w:rPr>
          <w:rFonts w:ascii="Times New Roman" w:hAnsi="Times New Roman"/>
          <w:color w:val="D13438"/>
          <w:sz w:val="20"/>
        </w:rPr>
        <w:t xml:space="preserve"> </w:t>
      </w:r>
      <w:r>
        <w:rPr>
          <w:rFonts w:ascii="Arial" w:hAnsi="Arial"/>
          <w:color w:val="000000"/>
          <w:sz w:val="20"/>
        </w:rPr>
        <w:t>candidate. In particular, with respect to internal costs, several of our departments support multiple product candidate research and development programs and, therefore, the costs cannot be allocated to a particular product candidate or development program.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At this time, we cannot reasonably estimate or know the nature, timing or estimated costs of the efforts that will be necessary to complete the development of, and obtain regulatory approval for, any of our product candidates. The process of conducting the necessary clinical development to obtain regulatory approval is costly and time-consuming, and the successful development of our product candidates is highly uncertain. See the section titled “Risk Factors” for additional risks regarding regulatory development and approval.</w:t>
      </w:r>
    </w:p>
    <w:p>
      <w:pPr>
        <w:pStyle w:val="TextBody"/>
        <w:bidi w:val="0"/>
        <w:spacing w:before="240" w:after="283"/>
        <w:jc w:val="both"/>
        <w:rPr>
          <w:rFonts w:ascii="Times New Roman" w:hAnsi="Times New Roman"/>
          <w:sz w:val="20"/>
        </w:rPr>
      </w:pPr>
      <w:r>
        <w:rPr>
          <w:rFonts w:ascii="Arial" w:hAnsi="Arial"/>
          <w:i/>
          <w:color w:val="000000"/>
          <w:sz w:val="20"/>
        </w:rPr>
        <w:t>General and Administrative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general and administrative expenses consist primarily of personnel-related expenses, including salaries, employee benefit costs and stock-based compensation expense for our personnel in executive, finance and accounting, legal,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pStyle w:val="TextBody"/>
        <w:bidi w:val="0"/>
        <w:spacing w:before="240" w:after="283"/>
        <w:jc w:val="both"/>
        <w:rPr>
          <w:rFonts w:ascii="Times New Roman" w:hAnsi="Times New Roman"/>
          <w:sz w:val="20"/>
        </w:rPr>
      </w:pPr>
      <w:r>
        <w:rPr>
          <w:rFonts w:ascii="Arial" w:hAnsi="Arial"/>
          <w:b/>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other income, net primarily consists of interest income earned on our cash equivalents and marketable securities and adjustments for the change in the fair value of our derivative liability which must be remeasured at each reporting date.</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b/>
          <w:i/>
          <w:color w:val="000000"/>
          <w:sz w:val="20"/>
        </w:rPr>
      </w:pPr>
      <w:r>
        <w:rPr>
          <w:rFonts w:ascii="Arial" w:hAnsi="Arial"/>
          <w:b/>
          <w:i/>
          <w:color w:val="000000"/>
          <w:sz w:val="20"/>
        </w:rPr>
        <w:t>Comparison of the Three and Six Months Ended June 30, 2026 and 2025</w:t>
      </w:r>
    </w:p>
    <w:p>
      <w:pPr>
        <w:pStyle w:val="TextBody"/>
        <w:bidi w:val="0"/>
        <w:spacing w:before="240" w:after="283"/>
        <w:jc w:val="both"/>
        <w:rPr>
          <w:rFonts w:ascii="Times New Roman" w:hAnsi="Times New Roman"/>
          <w:sz w:val="20"/>
        </w:rPr>
      </w:pPr>
      <w:r>
        <w:rPr>
          <w:rFonts w:ascii="Arial" w:hAnsi="Arial"/>
          <w:color w:val="000000"/>
          <w:sz w:val="20"/>
        </w:rPr>
        <w:t>The following tables summarize our results of operations for the periods indicated (dollars in thousands):</w:t>
      </w:r>
      <w:r>
        <w:rPr>
          <w:rFonts w:ascii="Times New Roman" w:hAnsi="Times New Roman"/>
          <w:color w:val="000000"/>
          <w:sz w:val="20"/>
        </w:rPr>
        <w:t xml:space="preserve"> </w:t>
      </w:r>
    </w:p>
    <w:p>
      <w:pPr>
        <w:pStyle w:val="TextBody"/>
        <w:bidi w:val="0"/>
        <w:jc w:val="both"/>
        <w:rPr/>
      </w:pPr>
      <w:r>
        <w:rPr/>
        <w:t> </w:t>
      </w:r>
    </w:p>
    <w:tbl>
      <w:tblPr>
        <w:tblW w:w="9323" w:type="dxa"/>
        <w:jc w:val="left"/>
        <w:tblInd w:w="0" w:type="dxa"/>
        <w:tblLayout w:type="fixed"/>
        <w:tblCellMar>
          <w:top w:w="28" w:type="dxa"/>
          <w:left w:w="28" w:type="dxa"/>
          <w:bottom w:w="28" w:type="dxa"/>
          <w:right w:w="28" w:type="dxa"/>
        </w:tblCellMar>
      </w:tblPr>
      <w:tblGrid>
        <w:gridCol w:w="3326"/>
        <w:gridCol w:w="146"/>
        <w:gridCol w:w="232"/>
        <w:gridCol w:w="826"/>
        <w:gridCol w:w="182"/>
        <w:gridCol w:w="160"/>
        <w:gridCol w:w="232"/>
        <w:gridCol w:w="826"/>
        <w:gridCol w:w="166"/>
        <w:gridCol w:w="146"/>
        <w:gridCol w:w="211"/>
        <w:gridCol w:w="751"/>
        <w:gridCol w:w="166"/>
        <w:gridCol w:w="146"/>
        <w:gridCol w:w="256"/>
        <w:gridCol w:w="660"/>
        <w:gridCol w:w="89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80,806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(72,936</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pBdr>
          <w:bottom w:val="single" w:sz="8" w:space="1" w:color="000000"/>
        </w:pBdr>
        <w:bidi w:val="0"/>
        <w:jc w:val="left"/>
        <w:rPr/>
      </w:pPr>
      <w:r>
        <w:rPr/>
        <w:t> </w:t>
      </w:r>
    </w:p>
    <w:p>
      <w:pPr>
        <w:pStyle w:val="TextBody"/>
        <w:bidi w:val="0"/>
        <w:spacing w:before="40" w:after="283"/>
        <w:jc w:val="left"/>
        <w:rPr>
          <w:rFonts w:ascii="Arial" w:hAnsi="Arial"/>
          <w:color w:val="000000"/>
          <w:sz w:val="19"/>
        </w:rPr>
      </w:pPr>
      <w:r>
        <w:rPr>
          <w:rFonts w:ascii="Arial" w:hAnsi="Arial"/>
          <w:color w:val="000000"/>
          <w:sz w:val="19"/>
        </w:rPr>
        <w:t>* not meaningful</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71" w:type="dxa"/>
        <w:jc w:val="left"/>
        <w:tblInd w:w="0" w:type="dxa"/>
        <w:tblLayout w:type="fixed"/>
        <w:tblCellMar>
          <w:top w:w="28" w:type="dxa"/>
          <w:left w:w="28" w:type="dxa"/>
          <w:bottom w:w="28" w:type="dxa"/>
          <w:right w:w="28" w:type="dxa"/>
        </w:tblCellMar>
      </w:tblPr>
      <w:tblGrid>
        <w:gridCol w:w="3326"/>
        <w:gridCol w:w="146"/>
        <w:gridCol w:w="211"/>
        <w:gridCol w:w="856"/>
        <w:gridCol w:w="166"/>
        <w:gridCol w:w="146"/>
        <w:gridCol w:w="211"/>
        <w:gridCol w:w="856"/>
        <w:gridCol w:w="166"/>
        <w:gridCol w:w="146"/>
        <w:gridCol w:w="211"/>
        <w:gridCol w:w="751"/>
        <w:gridCol w:w="166"/>
        <w:gridCol w:w="146"/>
        <w:gridCol w:w="256"/>
        <w:gridCol w:w="660"/>
        <w:gridCol w:w="95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pBdr>
          <w:bottom w:val="single" w:sz="8" w:space="1" w:color="000000"/>
        </w:pBdr>
        <w:bidi w:val="0"/>
        <w:jc w:val="left"/>
        <w:rPr/>
      </w:pPr>
      <w:r>
        <w:rPr/>
        <w:t> </w:t>
      </w:r>
    </w:p>
    <w:p>
      <w:pPr>
        <w:pStyle w:val="TextBody"/>
        <w:bidi w:val="0"/>
        <w:spacing w:before="40" w:after="283"/>
        <w:jc w:val="left"/>
        <w:rPr>
          <w:rFonts w:ascii="Arial" w:hAnsi="Arial"/>
          <w:color w:val="000000"/>
          <w:sz w:val="19"/>
        </w:rPr>
      </w:pPr>
      <w:r>
        <w:rPr>
          <w:rFonts w:ascii="Arial" w:hAnsi="Arial"/>
          <w:color w:val="000000"/>
          <w:sz w:val="19"/>
        </w:rPr>
        <w:t>* not meaningful</w:t>
      </w:r>
    </w:p>
    <w:p>
      <w:pPr>
        <w:pStyle w:val="TextBody"/>
        <w:bidi w:val="0"/>
        <w:spacing w:before="240" w:after="283"/>
        <w:jc w:val="both"/>
        <w:rPr>
          <w:rFonts w:ascii="Times New Roman" w:hAnsi="Times New Roman"/>
          <w:sz w:val="20"/>
        </w:rPr>
      </w:pPr>
      <w:r>
        <w:rPr>
          <w:rFonts w:ascii="Arial" w:hAnsi="Arial"/>
          <w:i/>
          <w:color w:val="000000"/>
          <w:sz w:val="20"/>
        </w:rPr>
        <w:t>Revenue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Revenue increased by $3.8 million from the three months ended June 30, 2025 to the three months ended June 30, 2026, and increased by $6.8 million from the six months ended June 30, 2025 to the six months ended June 30, 2026. The increase in revenue was primarily due to the clinical trial cost sharing and reimbursement amounts from Otsuka.</w:t>
      </w:r>
    </w:p>
    <w:p>
      <w:pPr>
        <w:pStyle w:val="TextBody"/>
        <w:bidi w:val="0"/>
        <w:spacing w:before="24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provides a breakout of research and development expenses for the periods indicated (dollars in thousands):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94"/>
        <w:gridCol w:w="146"/>
        <w:gridCol w:w="246"/>
        <w:gridCol w:w="809"/>
        <w:gridCol w:w="170"/>
        <w:gridCol w:w="170"/>
        <w:gridCol w:w="246"/>
        <w:gridCol w:w="809"/>
        <w:gridCol w:w="146"/>
        <w:gridCol w:w="146"/>
        <w:gridCol w:w="211"/>
        <w:gridCol w:w="691"/>
        <w:gridCol w:w="166"/>
        <w:gridCol w:w="146"/>
        <w:gridCol w:w="235"/>
        <w:gridCol w:w="681"/>
        <w:gridCol w:w="393"/>
      </w:tblGrid>
      <w:tr>
        <w:trPr/>
        <w:tc>
          <w:tcPr>
            <w:tcW w:w="4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research and development expenses for 4D-150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Unallocated personnel costs (including </w:t>
              <w:b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tbl>
      <w:tblPr>
        <w:tblW w:w="10053" w:type="dxa"/>
        <w:jc w:val="left"/>
        <w:tblInd w:w="0" w:type="dxa"/>
        <w:tblLayout w:type="fixed"/>
        <w:tblCellMar>
          <w:top w:w="28" w:type="dxa"/>
          <w:left w:w="28" w:type="dxa"/>
          <w:bottom w:w="28" w:type="dxa"/>
          <w:right w:w="28" w:type="dxa"/>
        </w:tblCellMar>
      </w:tblPr>
      <w:tblGrid>
        <w:gridCol w:w="4846"/>
        <w:gridCol w:w="146"/>
        <w:gridCol w:w="215"/>
        <w:gridCol w:w="814"/>
        <w:gridCol w:w="149"/>
        <w:gridCol w:w="149"/>
        <w:gridCol w:w="215"/>
        <w:gridCol w:w="706"/>
        <w:gridCol w:w="146"/>
        <w:gridCol w:w="146"/>
        <w:gridCol w:w="211"/>
        <w:gridCol w:w="691"/>
        <w:gridCol w:w="166"/>
        <w:gridCol w:w="146"/>
        <w:gridCol w:w="235"/>
        <w:gridCol w:w="681"/>
        <w:gridCol w:w="3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research and development expenses for 4D-150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Unallocated personnel costs (including </w:t>
              <w:b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30,526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133,262</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by $20.3 million, or 42%, from the three months ended June 30, 2025 to the three months ended June 30, 2026. The increase of $20.3 million was primarily due to an increase in clinical trial activity for wet AMD.</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by $44.6 million, or 50%, from the six months ended June 30, 2025 to the six months ended June 30, 2026. The increase of $44.6 million was primarily due to an increase in clinical trial activity for wet AMD.</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General and administrative expenses increased by $1.0 million, or 9%, from the three months ended June 30, 2025 to the three months ended June 30, 2026. General and administrative expenses decreased by $0.2 million, or 1%, from the six months ended June 30, 2025 to the six months ended June 30, 2026. </w:t>
      </w:r>
      <w:r>
        <w:rPr>
          <w:rFonts w:ascii="Arial" w:hAnsi="Arial"/>
          <w:color w:val="00172E"/>
          <w:sz w:val="20"/>
        </w:rPr>
        <w:t xml:space="preserve">The fluctuations in general and administrative expenses were immaterial for the </w:t>
      </w:r>
      <w:r>
        <w:rPr>
          <w:rFonts w:ascii="Arial" w:hAnsi="Arial"/>
          <w:color w:val="000000"/>
          <w:sz w:val="20"/>
        </w:rPr>
        <w:t xml:space="preserve">three and six months ended June 30, 2026 </w:t>
      </w:r>
      <w:r>
        <w:rPr>
          <w:rFonts w:ascii="Arial" w:hAnsi="Arial"/>
          <w:color w:val="00172E"/>
          <w:sz w:val="20"/>
        </w:rPr>
        <w:t xml:space="preserve">compared to the </w:t>
      </w:r>
      <w:r>
        <w:rPr>
          <w:rFonts w:ascii="Arial" w:hAnsi="Arial"/>
          <w:color w:val="000000"/>
          <w:sz w:val="20"/>
        </w:rPr>
        <w:t>three and six months ended June 30, 2025</w:t>
      </w:r>
      <w:r>
        <w:rPr>
          <w:rFonts w:ascii="Arial" w:hAnsi="Arial"/>
          <w:color w:val="00172E"/>
          <w:sz w:val="20"/>
        </w:rPr>
        <w:t xml:space="preserve">, respectively. </w:t>
      </w:r>
    </w:p>
    <w:p>
      <w:pPr>
        <w:pStyle w:val="TextBody"/>
        <w:bidi w:val="0"/>
        <w:spacing w:before="240" w:after="283"/>
        <w:jc w:val="both"/>
        <w:rPr>
          <w:rFonts w:ascii="Times New Roman" w:hAnsi="Times New Roman"/>
          <w:sz w:val="20"/>
        </w:rPr>
      </w:pPr>
      <w:r>
        <w:rPr>
          <w:rFonts w:ascii="Arial" w:hAnsi="Arial"/>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income, net, decreased by $0.7 million, or 15%, from the three months ended June 30, 2025 to the three months ended June 30, 2026. Other income, net, decreased by $1.5 million, or 14%, from the six months ended June 30, 2025 to the six months ended June 30, 2026. The decreases were primarily because of lower yields on our cash equivalents and marketable securities due to lower balances.</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June 30, 2026, we had cash, cash equivalents and marketable securities of $430.6 million. We have funded our operations primarily through the sale and issuance of our equity securities, including Follow-on Offerings and our “at-the-market” offering program, from borrowings under our Loan and Security Agreement and, to a lesser extent, from cash received pursuant to our collaboration and license agreements. Our recent sources of liquidity include the following transactions: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Follow-on Offerings</w:t>
      </w:r>
    </w:p>
    <w:p>
      <w:pPr>
        <w:pStyle w:val="TextBody"/>
        <w:bidi w:val="0"/>
        <w:spacing w:before="240" w:after="283"/>
        <w:jc w:val="both"/>
        <w:rPr>
          <w:rFonts w:ascii="Times New Roman" w:hAnsi="Times New Roman"/>
          <w:sz w:val="20"/>
        </w:rPr>
      </w:pPr>
      <w:r>
        <w:rPr>
          <w:rFonts w:ascii="Arial" w:hAnsi="Arial"/>
          <w:color w:val="000000"/>
          <w:sz w:val="20"/>
        </w:rPr>
        <w:t>In November 2025, we completed an underwritten offering (the "2025 Offering") in which 8,385,809 shares of our common stock were sold at an offering price of $10.51 per share, as well as pre-funded warrants to purchase 1,128,949 shares of our common stock at an offering price of $10.5099 per underlying share. The net proceeds from the 2025 Offering were approximately $93.3 million, after deducting the underwriting discounts and commissions and other offering expenses.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u w:val="single"/>
        </w:rPr>
      </w:pPr>
      <w:r>
        <w:rPr>
          <w:rFonts w:ascii="Arial" w:hAnsi="Arial"/>
          <w:i/>
          <w:color w:val="000000"/>
          <w:sz w:val="20"/>
          <w:u w:val="single"/>
        </w:rPr>
        <w:t>At-the-Market Offering Program</w:t>
      </w:r>
    </w:p>
    <w:p>
      <w:pPr>
        <w:pStyle w:val="TextBody"/>
        <w:bidi w:val="0"/>
        <w:spacing w:before="240" w:after="283"/>
        <w:jc w:val="both"/>
        <w:rPr>
          <w:rFonts w:ascii="Times New Roman" w:hAnsi="Times New Roman"/>
          <w:sz w:val="20"/>
        </w:rPr>
      </w:pPr>
      <w:r>
        <w:rPr>
          <w:rFonts w:ascii="Arial" w:hAnsi="Arial"/>
          <w:color w:val="000000"/>
          <w:sz w:val="20"/>
        </w:rPr>
        <w:t>In June 2024, we entered into a Sales Agreement (the “Leerink Sales Agreement”) with Leerink Partners LLC (“Leerink”) as sales agent to sell shares of our common stock, from time to time, with aggregate gross sales proceeds of up to $250.0 million pursuant to a Registration Statement on Form S-3 that we filed with the SEC in February 2024, and subsequently amended in February 2025, as an “at-the-market” offering under the Securities Act. For the year ended December 31, 2025, 1,175,000 shares of our common stock were sold pursuant to the Leerink Sales Agreement for net proceeds to us of $9.6 million, after deducting issuance costs. For the six months ended June 30, 2026, 3,518,472 shares were sold pursuant to the Leerink Sales Agreement for net proceeds to the Company of $31.6 million, after deducting issuance costs.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Collaboration and License Agreements</w:t>
      </w:r>
    </w:p>
    <w:p>
      <w:pPr>
        <w:pStyle w:val="TextBody"/>
        <w:bidi w:val="0"/>
        <w:spacing w:before="240" w:after="283"/>
        <w:jc w:val="both"/>
        <w:rPr>
          <w:rFonts w:ascii="Times New Roman" w:hAnsi="Times New Roman"/>
          <w:sz w:val="20"/>
        </w:rPr>
      </w:pPr>
      <w:r>
        <w:rPr>
          <w:rFonts w:ascii="Arial" w:hAnsi="Arial"/>
          <w:color w:val="000000"/>
          <w:sz w:val="20"/>
        </w:rPr>
        <w:t xml:space="preserve">In October 2025, we entered into a Collaboration and License Agreement with Otsuka where we granted Otsuka exclusive rights to develop and commercialize 4D-150 for retinal vascular diseases, including wet AMD and DME, in the Otsuka Territory. Otsuka made an upfront cash payment of $85 million </w:t>
      </w:r>
      <w:r>
        <w:rPr>
          <w:rFonts w:ascii="Arial" w:hAnsi="Arial"/>
          <w:color w:val="222222"/>
          <w:sz w:val="20"/>
        </w:rPr>
        <w:t xml:space="preserve">which we recognized as revenue during the fourth quarter of 2025, </w:t>
      </w:r>
      <w:r>
        <w:rPr>
          <w:rFonts w:ascii="Arial" w:hAnsi="Arial"/>
          <w:color w:val="000000"/>
          <w:sz w:val="20"/>
        </w:rPr>
        <w:t>and agreed to provide certain cost sharing for global development activities.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Loan and Security Agreement</w:t>
      </w:r>
    </w:p>
    <w:p>
      <w:pPr>
        <w:pStyle w:val="TextBody"/>
        <w:bidi w:val="0"/>
        <w:spacing w:before="240" w:after="160"/>
        <w:jc w:val="both"/>
        <w:rPr>
          <w:rFonts w:ascii="Times New Roman" w:hAnsi="Times New Roman"/>
          <w:sz w:val="20"/>
        </w:rPr>
      </w:pPr>
      <w:r>
        <w:rPr>
          <w:rFonts w:ascii="Arial" w:hAnsi="Arial"/>
          <w:color w:val="000000"/>
          <w:sz w:val="20"/>
        </w:rPr>
        <w:t>In June 2026, we entered into a Loan and Security Agreement (the “Loan and Security Agreement”)</w:t>
      </w:r>
      <w:r>
        <w:rPr>
          <w:rFonts w:ascii="Times New Roman" w:hAnsi="Times New Roman"/>
          <w:color w:val="000000"/>
          <w:sz w:val="20"/>
        </w:rPr>
        <w:t xml:space="preserve"> </w:t>
      </w:r>
      <w:r>
        <w:rPr>
          <w:rFonts w:ascii="Arial" w:hAnsi="Arial"/>
          <w:color w:val="000000"/>
          <w:sz w:val="20"/>
        </w:rPr>
        <w:t>with with Hercules Capital, Inc., providing for up to $200.0 million in term loan borrowings. At the closing on June 24, 2026, the Company had access to a $50.0 million tranche, of which it borrowed $20.0 million. The remaining $30.0 million is available, at the Company's option, through June 15, 2027. The Company may draw up to an additional $100.0 million in three separate tranches upon achievement of certain clinical, regulatory, financing and capitalization milestones. As of June 30, 2026, the Company had not met the requirements to access the funds under these tranches, as it had not achieved the related milestone. An additional fifth tranche of $50.0 million may be made available upon the Company's request and at Hercules’ sole discretion and is not contingent upon the Company’s achievement of the milestones applicable to the prior tranches. The Loan and Security Agreement matures on June 1, 2031. The initial borrowing of $20.0 million bears interest at a floating rate equal to the greater of (i) the prime rate plus 2.0% and (ii) 8.75%, and all future borrowings, including the available balance of $30.0 million of the $50.0 million tranche available as of June 24, 2026, bear interest at a floating rate equal to the greater of (i) the prime rate plus 2.5% and (ii) 9.25%. The floating interest rate is capped at 0.75% more than the interest rate at the time of the borrowing. The Company is required to make monthly interest-only payments for borrowings under the initial tranche of $50.0 million for a period of 29 months, which may be extended by up to an additional 30 months upon achievement of certain clinical, regulatory, financing and capitalization milestones.</w:t>
      </w:r>
    </w:p>
    <w:p>
      <w:pPr>
        <w:pStyle w:val="TextBody"/>
        <w:bidi w:val="0"/>
        <w:spacing w:before="80" w:after="160"/>
        <w:jc w:val="both"/>
        <w:rPr>
          <w:rFonts w:ascii="Arial" w:hAnsi="Arial"/>
          <w:color w:val="000000"/>
          <w:sz w:val="20"/>
        </w:rPr>
      </w:pPr>
      <w:r>
        <w:rPr>
          <w:rFonts w:ascii="Arial" w:hAnsi="Arial"/>
          <w:color w:val="000000"/>
          <w:sz w:val="20"/>
        </w:rPr>
        <w:t>The Loan and Security Agreement includes an end-of-term charge ranging from 3.70% to 6.50% of the aggregate principal amount, depending on the timing of the repayment. We may voluntarily prepay outstanding borrowings, subject to prepayment premiums ranging from 1.0% to 3.0% of the principal amount prepaid, depending on the timing of repayment. In connection with the Loan and Security Agreement, we paid a $0.5 million initial facility fee and incurred approximately $2.1 million of debt issuance costs, consisting primarily of lender fees and third-party legal and other transaction costs.</w:t>
      </w:r>
    </w:p>
    <w:p>
      <w:pPr>
        <w:pStyle w:val="TextBody"/>
        <w:bidi w:val="0"/>
        <w:spacing w:before="80" w:after="160"/>
        <w:jc w:val="both"/>
        <w:rPr>
          <w:rFonts w:ascii="Times New Roman" w:hAnsi="Times New Roman"/>
          <w:sz w:val="20"/>
        </w:rPr>
      </w:pPr>
      <w:r>
        <w:rPr>
          <w:rFonts w:ascii="Arial" w:hAnsi="Arial"/>
          <w:color w:val="000000"/>
          <w:sz w:val="20"/>
        </w:rPr>
        <w:t>The Loan and Security Agreement contains financial covenants, including minimum cash and performance-based covenants, that are not yet subject to testing or effective as of June 30, 2026. Upon the occurrence of certain events and beginning no earlier than January 1, 2028, the Company may become subject to minimum cash and performance-based financial covenants. The Loan and Security Agreement contains customary events of default, including failure to make required payments or maintain compliance with covenants, breach, default, insolvency, attachment or judgment events and any circumstance which could reasonably be expected to have a material adverse effect on the Company. The Loan and Security Agreement also contains customary affirmative and restrictive covenants, representations and warranties associated with a secured loan facility, including certain limitations on indebtedness, liens, investments, distributions, mergers or acquisitions and corporate changes.</w:t>
      </w:r>
      <w:r>
        <w:rPr>
          <w:rFonts w:ascii="Times New Roman" w:hAnsi="Times New Roman"/>
          <w:color w:val="000000"/>
          <w:sz w:val="20"/>
        </w:rPr>
        <w:t xml:space="preserve"> </w:t>
      </w:r>
    </w:p>
    <w:p>
      <w:pPr>
        <w:pStyle w:val="TextBody"/>
        <w:bidi w:val="0"/>
        <w:spacing w:before="80" w:after="160"/>
        <w:jc w:val="both"/>
        <w:rPr>
          <w:rFonts w:ascii="Times New Roman" w:hAnsi="Times New Roman"/>
          <w:sz w:val="20"/>
        </w:rPr>
      </w:pPr>
      <w:r>
        <w:rPr>
          <w:rFonts w:ascii="Arial" w:hAnsi="Arial"/>
          <w:color w:val="000000"/>
          <w:sz w:val="20"/>
        </w:rPr>
        <w:t>As of June 30, 2026, the outstanding principal under the Loan and Security Agreement was $20.0 million, bearing interest at a rate of 8.75% per annum.</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Future Funding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experienced recurring net losses and had an accumulated deficit of $858.0 million as of June 30, 2026.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expect that our overall research and development and general and administrative expenses will increase. As a result, we will need significant additional capital to fund our operations, which we may obtain through one or more equity offerings, debt financings or other third-party funding, the Otsuka Agreement, and additional potential strategic alliances and licensing or collaboration arrangements.</w:t>
      </w:r>
    </w:p>
    <w:p>
      <w:pPr>
        <w:pStyle w:val="TextBody"/>
        <w:bidi w:val="0"/>
        <w:spacing w:before="240" w:after="283"/>
        <w:jc w:val="both"/>
        <w:rPr>
          <w:rFonts w:ascii="Times New Roman" w:hAnsi="Times New Roman"/>
          <w:sz w:val="20"/>
        </w:rPr>
      </w:pPr>
      <w:r>
        <w:rPr>
          <w:rFonts w:ascii="Arial" w:hAnsi="Arial"/>
          <w:color w:val="000000"/>
          <w:sz w:val="20"/>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of our current and future product candidates through preclinical and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delays in our preclinical studies and clinical trials, whether current or planned;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working with our contract manufacturers to scale up the manufacturing processes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continuing our research and discovery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continuing the development of our Therapeutic Vector Evolution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initiating and conducting additional preclinical, clinical or other studies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changing or adding additional contract manufacturers or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seeking regulatory approvals and marketing authorizations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establishing sales, marketing and distribution infrastructure to commercialize any products for which we obtain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acquiring or in-licensing product candidates, intellectual property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making milestone, royalty or other payments due under any current or future collaboration or license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receiving milestone, royalty or other payments under any current or future collaboration or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obtaining, maintaining, expanding, protecting and enforcing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potential delays or other issues related to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meeting the requirements and demands of being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defending against any product liability claims or other lawsuits related to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adverse macroeconomic conditions such as, but not limited to, higher inflation and increased interest rates, each of which may exacerbate the magnitude of the factors discussed above. </w:t>
      </w:r>
    </w:p>
    <w:p>
      <w:pPr>
        <w:pStyle w:val="TextBody"/>
        <w:bidi w:val="0"/>
        <w:spacing w:before="240" w:after="283"/>
        <w:jc w:val="both"/>
        <w:rPr>
          <w:rFonts w:ascii="Times New Roman" w:hAnsi="Times New Roman"/>
          <w:sz w:val="20"/>
        </w:rPr>
      </w:pPr>
      <w:r>
        <w:rPr>
          <w:rFonts w:ascii="Arial" w:hAnsi="Arial"/>
          <w:color w:val="000000"/>
          <w:sz w:val="20"/>
        </w:rPr>
        <w:t>We believe that our existing cash, cash equivalents and marketable securities will allow us to fund our planned operations for at least one year from the date of the issuance of the condensed financial statements included in this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pStyle w:val="TextBody"/>
        <w:bidi w:val="0"/>
        <w:spacing w:before="240" w:after="283"/>
        <w:jc w:val="both"/>
        <w:rPr>
          <w:rFonts w:ascii="Arial" w:hAnsi="Arial"/>
          <w:color w:val="000000"/>
          <w:sz w:val="20"/>
        </w:rPr>
      </w:pPr>
      <w:r>
        <w:rPr>
          <w:rFonts w:ascii="Arial" w:hAnsi="Arial"/>
          <w:color w:val="000000"/>
          <w:sz w:val="20"/>
        </w:rPr>
        <w:t>We have limited committed external sources of funds. Accordingly, we will be required to obtain further funding through public or private equity offerings, debt financings, collaborations and licensing arrangements or other sources to complete the clinical development for the product candidates for treatment of wet AMD, DME, geographic atrophy, cystic fibrosis lung disease, alpha-1 antitrypsin deficiency lung disease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war in Ukraine, conflicts in the Middle East, any expansion of these conflicts, rising interest rates and inflation, natural disasters and pandemics.</w:t>
      </w:r>
    </w:p>
    <w:p>
      <w:pPr>
        <w:pStyle w:val="TextBody"/>
        <w:bidi w:val="0"/>
        <w:spacing w:before="240" w:after="283"/>
        <w:jc w:val="both"/>
        <w:rPr>
          <w:rFonts w:ascii="Times New Roman" w:hAnsi="Times New Roman"/>
          <w:sz w:val="20"/>
        </w:rPr>
      </w:pPr>
      <w:r>
        <w:rPr>
          <w:rFonts w:ascii="Arial" w:hAnsi="Arial"/>
          <w:color w:val="000000"/>
          <w:sz w:val="20"/>
        </w:rPr>
        <w:t>If we are unable to obtain additional funding, we expect to delay, reduce or eliminate some or all of our research and development programs, product portfolio expansion or investment in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Summary Statement of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is a summary of cash flows for the periods indicated below (in thousands):</w:t>
      </w:r>
      <w:r>
        <w:rPr>
          <w:rFonts w:ascii="Times New Roman" w:hAnsi="Times New Roman"/>
          <w:color w:val="000000"/>
          <w:sz w:val="20"/>
        </w:rPr>
        <w:t xml:space="preserve"> </w:t>
      </w:r>
    </w:p>
    <w:p>
      <w:pPr>
        <w:pStyle w:val="TextBody"/>
        <w:bidi w:val="0"/>
        <w:jc w:val="both"/>
        <w:rPr/>
      </w:pPr>
      <w:r>
        <w:rPr/>
        <w:t> </w:t>
      </w:r>
    </w:p>
    <w:tbl>
      <w:tblPr>
        <w:tblW w:w="7484" w:type="dxa"/>
        <w:jc w:val="left"/>
        <w:tblInd w:w="0" w:type="dxa"/>
        <w:tblLayout w:type="fixed"/>
        <w:tblCellMar>
          <w:top w:w="28" w:type="dxa"/>
          <w:left w:w="28" w:type="dxa"/>
          <w:bottom w:w="28" w:type="dxa"/>
          <w:right w:w="28" w:type="dxa"/>
        </w:tblCellMar>
      </w:tblPr>
      <w:tblGrid>
        <w:gridCol w:w="4786"/>
        <w:gridCol w:w="146"/>
        <w:gridCol w:w="211"/>
        <w:gridCol w:w="856"/>
        <w:gridCol w:w="166"/>
        <w:gridCol w:w="146"/>
        <w:gridCol w:w="211"/>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was $138.1 million for the six months ended June 30, 2026. This was primarily due to the net loss of $141.7 million, adjusted for noncash charges of $12.4 million and net changes in operating assets and liabilities of $8.8 million. Noncash charges included $10.3 million of stock-based compensation expense, $2.5 million of depreciation and amortization, $1.6 million for the amortization of operating lease right-of-use assets and $0.1 million for the loss on disposal of property and equipment, partially offset by $2.1 million net accretion of discount on marketable securities. Net changes in operating assets and liabilities included decreases of $1.8 million in operating lease liabilities and $0.5 million in accounts payable and increases of $10.4 million in prepaid expenses and other current assets and $0.7 million in other non-current assets, partially offset by increases of $2.4 million in accrued and other liabilities and $2.2 million in deferred revenue.</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was $91.1 million for the six months ended June 30, 2025. This was primarily due to the net loss of $102.6 million, adjusted for noncash charges of $13.1 million and net changes in operating assets and liabilities of $1.6 million. Noncash charges included $11.9 million of stock-based compensation expense, $2.2 million of depreciation and amortization and $1.4 million for the amortization of operating lease right-of-use assets, offset by $2.4 million net accretion of discount on marketable securities. Net changes in operating assets and liabilities included a $1.5 million decrease in operating lease liabilities and a $5.1 million increase in other non-current assets, offset by a $4.3 million increase in accounts payable and a $0.7 million increase in accrued and other liabilities.</w:t>
      </w:r>
    </w:p>
    <w:p>
      <w:pPr>
        <w:pStyle w:val="TextBody"/>
        <w:bidi w:val="0"/>
        <w:spacing w:before="240" w:after="283"/>
        <w:jc w:val="both"/>
        <w:rPr>
          <w:rFonts w:ascii="Times New Roman" w:hAnsi="Times New Roman"/>
          <w:sz w:val="20"/>
        </w:rPr>
      </w:pPr>
      <w:r>
        <w:rPr>
          <w:rFonts w:ascii="Arial" w:hAnsi="Arial"/>
          <w:b/>
          <w:i/>
          <w:color w:val="000000"/>
          <w:sz w:val="20"/>
        </w:rPr>
        <w:t>Net Cash Provided by Investing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was $94.4 million for the six months ended June 30, 2026. This was due to $190.0 million in maturities of marketable securities, partially offset by purchases of marketable securities of $95.6 million</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was $18.1 million for the six months ended June 30, 2025. This was due to $268.3 million in maturities of marketable securities, offset by purchases of marketable securities of $249.5 million and purchases of property and equipment of $0.7 million.</w:t>
      </w:r>
    </w:p>
    <w:p>
      <w:pPr>
        <w:pStyle w:val="TextBody"/>
        <w:bidi w:val="0"/>
        <w:spacing w:before="240" w:after="283"/>
        <w:jc w:val="both"/>
        <w:rPr>
          <w:rFonts w:ascii="Times New Roman" w:hAnsi="Times New Roman"/>
          <w:sz w:val="20"/>
        </w:rPr>
      </w:pPr>
      <w:r>
        <w:rPr>
          <w:rFonts w:ascii="Arial" w:hAnsi="Arial"/>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was $53.8 million for the six months ended June 30, 2026 which was due to proceeds from the issuance of common stock pursuant to the Leerink Sales Agreement of $31.6 million proceeds from the Loan and Security Agreement of $19.3 million, proceeds from the issuance of common stock from the exercise of stock options of $1.8 million and proceeds from the issuance of common stock from ESPP purchases of $1.1 million.</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was $0.9 million for the six months ended June 30, 2025 which was due to proceeds from the issuance of common stock from ESPP purchases of $0.9 million.</w:t>
      </w:r>
    </w:p>
    <w:p>
      <w:pPr>
        <w:pStyle w:val="TextBody"/>
        <w:bidi w:val="0"/>
        <w:spacing w:before="240" w:after="283"/>
        <w:jc w:val="both"/>
        <w:rPr>
          <w:rFonts w:ascii="Times New Roman" w:hAnsi="Times New Roman"/>
          <w:sz w:val="20"/>
        </w:rPr>
      </w:pPr>
      <w:r>
        <w:rPr>
          <w:rFonts w:ascii="Arial" w:hAnsi="Arial"/>
          <w:b/>
          <w:color w:val="000000"/>
          <w:sz w:val="20"/>
        </w:rPr>
        <w:t>Contractual Obligations, Commitments and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enter into various agreements in the ordinary course of business, such as those with suppliers, CROs, CDMOs and clinical trial sites. These contracts generally provide for termination on notice or may have a potential termination fee if a purchase order is canceled within a specified time. The total value of non-cancellable obligations under contracts was $4.9 million and $4.0 million as of June 30, 2026 and December 31, 2025, respectively. This presentation of non-cancellable purchase obligations does not include any estimates of potential reduction of such liabilities related to mitigation obligations of the counter-parties in the event of cancellation under the terms of our engagements.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our principal commitments consisted of principal outstanding under the Loan and Security Agreement and obligations under our operating lease for our headquarters. Please see Note 8, Commitments and Contingencies and Note 9, Long-Term Debt, to our condensed financial statements included elsewhere in this report.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condensed financial statements have been prepared in accordance with generally accepted accounting principles in the United States. The preparation of our condensed financial statements requires us to make estimates and assumptions that affect the reported amounts of assets and liabilities and the disclosure of contingent assets and liabilities at the date of our condensed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six months ended June 30, 2026, there were no changes to our critical accounting policies and significant judgments and estimates as disclosed in our Annual Report on Form 10-K for the year ended December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See Note 2, Summary of Significant Accounting Policies, to our condensed financial statements included elsewhere in this report for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Since our inception, we have not engaged in any off-balance sheet arrangements as defined in the rules and regulations of the SEC.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1" w:name="market_risk_disclosures"/>
      <w:bookmarkEnd w:id="11"/>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Interest Rate Sensitivity and Effects of Inflation</w:t>
      </w:r>
    </w:p>
    <w:p>
      <w:pPr>
        <w:pStyle w:val="TextBody"/>
        <w:bidi w:val="0"/>
        <w:spacing w:before="240" w:after="283"/>
        <w:jc w:val="both"/>
        <w:rPr>
          <w:rFonts w:ascii="Times New Roman" w:hAnsi="Times New Roman"/>
          <w:sz w:val="20"/>
        </w:rPr>
      </w:pPr>
      <w:r>
        <w:rPr>
          <w:rFonts w:ascii="Arial" w:hAnsi="Arial"/>
          <w:color w:val="000000"/>
          <w:sz w:val="20"/>
        </w:rPr>
        <w:t>The market risk inherent in our financial instruments and in our financial position represents the potential loss arising from adverse changes in interest rates. As of June 30, 2026, we had cash, cash equivalents and marketable securities of $430.6 million, consisting of bank deposits, interest-bearing money market funds, and marketable securities, for which the fair value would be affected by changes in the general level of U.S. interest rates. However, due to the short to medium-term maturities of our cash equivalents and marketable securities, an immediate 10% change in interest rates would not have a material effect on the fair value of our cash equivalents or 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we had $20.0 million outstanding under our Loan and Security Agreement, which bears interest at a floating rate. A hypothetical 75 basis point increase in interest rates would increase our annual interest expense by approximately $0.2 million, assuming the outstanding principal balance remained constant for the full year. We currently believe this impact would not be material to our financial condition or results of operations.</w:t>
      </w:r>
    </w:p>
    <w:p>
      <w:pPr>
        <w:pStyle w:val="TextBody"/>
        <w:bidi w:val="0"/>
        <w:spacing w:before="240" w:after="283"/>
        <w:jc w:val="both"/>
        <w:rPr>
          <w:rFonts w:ascii="Arial" w:hAnsi="Arial"/>
          <w:color w:val="000000"/>
          <w:sz w:val="20"/>
        </w:rPr>
      </w:pPr>
      <w:r>
        <w:rPr>
          <w:rFonts w:ascii="Arial" w:hAnsi="Arial"/>
          <w:color w:val="000000"/>
          <w:sz w:val="20"/>
        </w:rPr>
        <w:t>We do not believe that inflation or interest rate changes have had a significant impact on our results of operations for any periods presented herein.</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2" w:name="controls_and_procedures"/>
      <w:bookmarkEnd w:id="12"/>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Evaluation of our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report.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has been no change in our internal control over financial reporting during the quarter ended June 30, 2026,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part_ii_other_information"/>
      <w:bookmarkEnd w:id="13"/>
      <w:r>
        <w:rPr>
          <w:rFonts w:ascii="Arial" w:hAnsi="Arial"/>
          <w:b/>
          <w:color w:val="000000"/>
          <w:sz w:val="20"/>
        </w:rPr>
        <w:t>PART II. OTHER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legal proceedings information set forth in Note 8, Commitments and Contingencies,</w:t>
      </w:r>
      <w:r>
        <w:rPr>
          <w:rFonts w:ascii="Times New Roman" w:hAnsi="Times New Roman"/>
          <w:color w:val="000000"/>
          <w:sz w:val="20"/>
        </w:rPr>
        <w:t xml:space="preserve"> </w:t>
      </w:r>
      <w:r>
        <w:rPr>
          <w:rFonts w:ascii="Arial" w:hAnsi="Arial"/>
          <w:color w:val="000000"/>
          <w:sz w:val="20"/>
        </w:rPr>
        <w:t>of the notes to our condensed financial statements in Part I, Item 1 of this report is incorporated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5" w:name="risk_factors"/>
      <w:bookmarkEnd w:id="1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Investing in our common stock involves a high degree of risk. You should carefully consider the risks described below, as well as the other information in this report, including our condensed financial statements and the related notes and the section of this report “Management’s Discussion and Analysis of Financial Condition and Results of Operations,” before deciding whether to invest in our common stock. If any of the following risks actually occur,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If our business is seriously harmed, the market price of our common stock could decline, and you could lose part or all of your investment.</w:t>
      </w:r>
    </w:p>
    <w:p>
      <w:pPr>
        <w:pStyle w:val="TextBody"/>
        <w:bidi w:val="0"/>
        <w:spacing w:before="240" w:after="283"/>
        <w:jc w:val="both"/>
        <w:rPr>
          <w:rFonts w:ascii="Times New Roman" w:hAnsi="Times New Roman"/>
          <w:sz w:val="20"/>
        </w:rPr>
      </w:pPr>
      <w:r>
        <w:rPr>
          <w:rFonts w:ascii="Arial" w:hAnsi="Arial"/>
          <w:b/>
          <w:color w:val="000000"/>
          <w:sz w:val="20"/>
        </w:rPr>
        <w:t>Risks Related to Our Limited Operating History, Financial Condition and Capital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in the late stages of drug development for our lead program and have a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 leading late-stage biotechnology company advancing durable and disease-targeted therapeutics with the potential to transform treatment paradigms and provide unprecedented benefits to patients.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product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had recurring net losses, and we expect to continue to incur significant net losses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incurred recurring net losses, including net losses of $72.9 million and $54.7 million for the three months ended June 30, 2026 and 2025, respectively, and $141.7 million and $102.6 million for the six months ended June 30, 2026 and 2025, respectively. As of June 30, 2026, we had an accumulated deficit of $858.0 million.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have devoted substantially all of our financial resources and efforts on research and development activities.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continue to incur significant expenses and operating losses for the foreseeable future. Our expenses may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 our manufacturing facilities and work with our contract manufacturers to scale up the manufacturing processes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the development of our Therapeutic Vector Evolution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initiate and conduct additional preclinical, clinical or other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meet the requirements and demands of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are adversely impacted by general economic conditions, such as rising inflation, tariffs and increased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defend against any product liability claims or other lawsuits related to our products;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 xml:space="preserve">experience </w:t>
      </w:r>
      <w:r>
        <w:rPr>
          <w:rFonts w:ascii="Arial" w:hAnsi="Arial"/>
          <w:color w:val="000000"/>
          <w:sz w:val="20"/>
        </w:rPr>
        <w:t xml:space="preserve">delays in our preclinical studies and clinical trials, whether current or planned, due to pandemics or public health emergencies. </w:t>
      </w:r>
    </w:p>
    <w:p>
      <w:pPr>
        <w:pStyle w:val="TextBody"/>
        <w:bidi w:val="0"/>
        <w:spacing w:before="240" w:after="283"/>
        <w:jc w:val="both"/>
        <w:rPr>
          <w:rFonts w:ascii="Times New Roman" w:hAnsi="Times New Roman"/>
          <w:sz w:val="20"/>
        </w:rPr>
      </w:pPr>
      <w:r>
        <w:rPr>
          <w:rFonts w:ascii="Arial" w:hAnsi="Arial"/>
          <w:color w:val="000000"/>
          <w:sz w:val="20"/>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additional product candidates in preclinical development that may enter clinical development. Developing our product candidates is expensive, and we expect to continue to spend substantial amounts as we fund our early-stage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As of June 30, 2026, we had $430.6 million in cash and cash equivalents and marketable securities.</w:t>
      </w:r>
    </w:p>
    <w:p>
      <w:pPr>
        <w:pStyle w:val="TextBody"/>
        <w:bidi w:val="0"/>
        <w:spacing w:before="240" w:after="283"/>
        <w:jc w:val="both"/>
        <w:rPr>
          <w:rFonts w:ascii="Arial" w:hAnsi="Arial"/>
          <w:color w:val="000000"/>
          <w:sz w:val="20"/>
        </w:rPr>
      </w:pPr>
      <w:r>
        <w:rPr>
          <w:rFonts w:ascii="Arial" w:hAnsi="Arial"/>
          <w:color w:val="000000"/>
          <w:sz w:val="20"/>
        </w:rPr>
        <w:t>Based on our current operating plan, we believe that our existing cash, cash equivalents and marketable securities will allow us to fund our planned operations for at least one year from the date of the issuance of the condensed financial statements included in this report.</w:t>
      </w:r>
    </w:p>
    <w:p>
      <w:pPr>
        <w:pStyle w:val="TextBody"/>
        <w:bidi w:val="0"/>
        <w:spacing w:before="240" w:after="283"/>
        <w:jc w:val="both"/>
        <w:rPr>
          <w:rFonts w:ascii="Times New Roman" w:hAnsi="Times New Roman"/>
          <w:sz w:val="20"/>
        </w:rPr>
      </w:pPr>
      <w:r>
        <w:rPr>
          <w:rFonts w:ascii="Arial" w:hAnsi="Arial"/>
          <w:color w:val="000000"/>
          <w:sz w:val="20"/>
        </w:rPr>
        <w:t>Additional funds may not be available when we need them, on terms that are acceptable to us, or at all. Our ability to raise additional capital may be adversely impacted by global economic conditions affecting credit and financial markets (including due to increased interest rates and high inflation rates) and product supply chains. If adequate funds are not available to us on a timely basis, we may be required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limit, reduce or terminate preclinical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limit, reduce or terminate our efforts to establish manufacturing and sales and marketing capabilities or other activities that may be necessary to commercialize our product candidates, or reduce our flexibility in developing or maintaining our sales and marketing strategy. </w:t>
      </w:r>
    </w:p>
    <w:p>
      <w:pPr>
        <w:pStyle w:val="TextBody"/>
        <w:bidi w:val="0"/>
        <w:spacing w:before="240" w:after="283"/>
        <w:jc w:val="both"/>
        <w:rPr>
          <w:rFonts w:ascii="Times New Roman" w:hAnsi="Times New Roman"/>
          <w:sz w:val="20"/>
        </w:rPr>
      </w:pPr>
      <w:r>
        <w:rPr>
          <w:rFonts w:ascii="Arial" w:hAnsi="Arial"/>
          <w:color w:val="000000"/>
          <w:sz w:val="20"/>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particularly in retina and pulmonology,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both"/>
        <w:rPr>
          <w:rFonts w:ascii="Times New Roman" w:hAnsi="Times New Roman"/>
          <w:sz w:val="20"/>
        </w:rPr>
      </w:pPr>
      <w:r>
        <w:rPr>
          <w:rFonts w:ascii="Arial" w:hAnsi="Arial"/>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quarterly and annual operating results may fluctuate significantly, making it difficult for us to predict our future operating results. These fluctuations may occur due to a variety of factors, many of which are outside our control and may be difficult to predict,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cost,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receipt of approvals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status of enrollment and safety and efficacy readouts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as well as building out our supply chain, which may vary depending on the quantity of production, the cost of continuing to establish and scale up our manufacturing capabilities,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amount of any option, milestone, royalty or other payments due under any current or future collaboration or license agreement;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coverage and reimbursement policies with respect to our genetic medicine product candidates and potential future drugs that compete with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demand for our genetic medicine products, if approved,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from general macroeconomic trends, such as higher inflation, tariffs and increased interest rates. </w:t>
      </w:r>
    </w:p>
    <w:p>
      <w:pPr>
        <w:pStyle w:val="TextBody"/>
        <w:bidi w:val="0"/>
        <w:spacing w:before="240" w:after="283"/>
        <w:jc w:val="both"/>
        <w:rPr>
          <w:rFonts w:ascii="Arial" w:hAnsi="Arial"/>
          <w:color w:val="000000"/>
          <w:sz w:val="20"/>
        </w:rPr>
      </w:pPr>
      <w:r>
        <w:rPr>
          <w:rFonts w:ascii="Arial" w:hAnsi="Arial"/>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240" w:after="283"/>
        <w:jc w:val="both"/>
        <w:rPr>
          <w:rFonts w:ascii="Times New Roman" w:hAnsi="Times New Roman"/>
          <w:sz w:val="20"/>
        </w:rPr>
      </w:pPr>
      <w:r>
        <w:rPr>
          <w:rFonts w:ascii="Arial" w:hAnsi="Arial"/>
          <w:color w:val="000000"/>
          <w:sz w:val="20"/>
        </w:rPr>
        <w:t>This variability and unpredictability could also result in our failing to meet the expectations of financial analysts or investors for any period. If our revenue or operating results fall below or if operating expenses or other costs are higher than the expectations of analysts or investors or below or above, as the case may be,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loan and security agreement with Hercules contains operating and financial covenants that may restrict our business and financing activities, is secured by substantially all of our assets, including our intellectual property, and we may be required to repay our outstanding indebtedness earlier than we expect, any of which could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2026, we entered into a loan and security agreement (the "Loan Agreement") with Hercules Capital, Inc. (“Hercules”), which provides for term loans in an aggregate principal amount of up to $200.0 million, of which $20.0 million was funded at closing. The term loans bear interest at floating rates based on the prime rate, subject to specified floors, payable monthly in arrears, and mature on June 1, 2031. Increases in the prime rate would increase our debt service obligations, and servicing our indebtedness will require a substantial amount of cash and will reduce the funds available for our operations. In addition, of the amounts not funded at closing, $30.0 million is available at our election only until June 15, 2027, $100.0 million is available only upon the achievement of specified milestones and $50.0 million is available only in Hercules' sole discretion. Accordingly, we may never have access to the full amount of the facility, and we cannot be certain that the milestones will be achieved or that Hercules will elect to make discretionary amounts available to us.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Loan Agreement contains customary affirmative and restrictive covenants</w:t>
      </w:r>
      <w:r>
        <w:rPr>
          <w:rFonts w:ascii="Times New Roman" w:hAnsi="Times New Roman"/>
          <w:color w:val="000000"/>
          <w:sz w:val="20"/>
        </w:rPr>
        <w:t xml:space="preserve"> </w:t>
      </w:r>
      <w:r>
        <w:rPr>
          <w:rFonts w:ascii="Arial" w:hAnsi="Arial"/>
          <w:color w:val="000000"/>
          <w:sz w:val="20"/>
        </w:rPr>
        <w:t>that, among other things, limit our ability to transfer or dispose of assets, merge with other companies or consummate certain changes of control, make investments, incur additional indebtedness and liens and enter into new businesses. We therefore may not be able to engage in any of the foregoing transactions unless we obtain the consent of Hercules or terminate the Loan Agreement, which may limit our operating flexibility. It also contains financial covenants, including a minimum cash covenant that, beginning on the earlier of specified dates or aggregate borrowing thresholds, will require us to maintain cash equal to a specified percentage of our outstanding obligations under the Loan Agreement, except on any day on which our market capitalization exceeds seven times such obligations, as well as a requirement to maintain cash equal to at least 125% of our outstanding obligations if we effect a cash redemption of any permitted convertible debt. The Loan Agreement also contains a performance covenant that, beginning nine months after both FDA approval of our lead product candidate and aggregate borrowings equaling or exceeding $75.0 million, will require us to satisfy at least one of (1) a combination of a market capitalization test and a minimum cash test, (2) a minimum cash test, or (3) a net product revenue test. Because the applicability of the minimum cash covenant, and our ability to satisfy the market capitalization prong of the performance covenant, depend in part on our market capitalization, a decline in the trading price of our common stock, which may occur for reasons unrelated to our business or results of operations, could cause the minimum cash covenant to apply, or make the performance covenant more difficult to satisfy, at times when they otherwise would not. These covenants could restrict our ability to operate our business and pursue our business strategies, and we may not be able to comply with these covenants in the future. If the minimum cash covenant becomes applicable, a portion of our cash will effectively be unavailable to fund our operations, and any failure to comply with the covenants in the Loan Agreement could result in an event of default.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obligations under the Loan Agreement are secured by a security interest in substantially all of our assets, including our intellectual property, and certain of our future subsidiaries may be required to guarantee our obligations and pledge substantially all of their assets, including intellectual property, to secure such guarantees. Upon the occurrence of an event of default, Hercules may accelerate all of our outstanding obligations, including principal, interest and any applicable prepayment charges and end of term charges, and our obligations will be automatically accelerated upon certain insolvency, liquidation, bankruptcy or similar events. If our obligations are accelerated, we may not have sufficient cash to repay them, and Hercules could foreclose on the collateral, including intellectual property that is critical to our business. Any voluntary prepayment of the term loans is also subject to prepayment and end of term fees, which could make it more costly for us to refinance the facility. In addition, because our assets, including our intellectual property, are pledged to Hercules, our ability to obtain additional debt or other secured financing may be limited, and any future financing may be more difficult or costly to obtain.</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Research, Discovery, Development and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All of our product candidates are based on genetic medicine technology, and our future success depends on the successful development of this novel therapeutic approach. We cannot assure you that any development problems we or other genetic medicine companies experience in the future related to genetic medicine technology will not cause significant delays or unanticipated costs in the development of our product candidates, or that such development problems can be solved. In addition, the clinical study requirements of the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EMA or comparable foreign regulatory bodies may not consider the clinical trial endpoints to provide clinically meaningful results, and the resulting clinical data and results may be more difficult to analyze. To date, few genetic medicine products have been approved by the FDA or comparable foreign regulatory authorities, which makes it difficult to determine how long it will take or how much it will cost to obtain regulatory approvals for our product candidates in the United States, the European Union (“EU”) or other jurisdictions. Further, approvals by one regulatory agency may not be indicative of what other regulatory agencies may require for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Regulatory requirements governing genetic medicine products have evolved and may continue to change in the future. For example, the FDA has established the Office of Therapeutic Products within its Center for Biologics Evaluation and Research (“CBER”) to consolidate the review of genetic medicine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National Institutes of Health (“NIH”) Guidelines for Research Involving Recombinant DNA Molecules (“NIH Guidelines”) require supervision of human gene transfer trials, including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subject to significant regulatory oversight by the FDA, and, in addition, the applicable IBC and Institutional Review Board (“IRB”), of each institution at which we or our collaborators conduct clinical trials of our product candidates, or a central IRB if appropriate, need to review and approve the proposed clinical trial.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Similar requirements apply in the EU. The EMA has a Committee for Advanced Therapies (“CAT”) that is responsible for assessing the quality, safety and efficacy of advanced therapy medicinal products, or ATMP(s). ATMPs include gene therapy medicines, somatic-cell therapy medicines and tissue-engineered medicines. The role of the CAT is to prepare a draft opinion on an application for marketing authorization for an ATMP candidate that is submitted to the EMA. In the EU, the development and evaluation of an ATMP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w:t>
      </w:r>
    </w:p>
    <w:p>
      <w:pPr>
        <w:pStyle w:val="TextBody"/>
        <w:bidi w:val="0"/>
        <w:spacing w:before="240" w:after="283"/>
        <w:jc w:val="both"/>
        <w:rPr>
          <w:rFonts w:ascii="Arial" w:hAnsi="Arial"/>
          <w:color w:val="000000"/>
          <w:sz w:val="20"/>
        </w:rPr>
      </w:pPr>
      <w:r>
        <w:rPr>
          <w:rFonts w:ascii="Arial" w:hAnsi="Arial"/>
          <w:color w:val="000000"/>
          <w:sz w:val="20"/>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pStyle w:val="TextBody"/>
        <w:bidi w:val="0"/>
        <w:spacing w:before="240" w:after="283"/>
        <w:jc w:val="both"/>
        <w:rPr>
          <w:rFonts w:ascii="Arial" w:hAnsi="Arial"/>
          <w:color w:val="000000"/>
          <w:sz w:val="20"/>
        </w:rPr>
      </w:pPr>
      <w:r>
        <w:rPr>
          <w:rFonts w:ascii="Arial" w:hAnsi="Arial"/>
          <w:color w:val="000000"/>
          <w:sz w:val="20"/>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and could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Adverse public perception or regulatory scrutiny of genetic medicine technology may negatively impact the developmental progress or commercial success of product candidates that we develop alone or with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developmental and commercial success of our current product candidates, or any that we develop alone or with collaborators in the future, will depend in part on public acceptance of the use of genetic medicine technology, including the use of AAVs, for the prevention or treatment of human diseases. Adverse public perception of gene therapies may negatively impact our ability to raise capital or enter into strategic agreements for the development of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Genetic medicine remains a novel technology. The commercial success of our genetic medicine product candidates, if successfully developed and approved, may be adversely affected by claims that genetic medicine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Less common adverse effects may not become evident until investigational products are tested in large-scale, Phase 3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Risk Evaluation and Mitigation Strategy (“REMS”),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product may become less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Drug development is a highly uncertain undertaking and involves a substantial degree of risk. We have no products approved for commercial sale, and we have never generated any revenue from product sales, and we may never generate product revenue or be profitable.</w:t>
      </w:r>
    </w:p>
    <w:p>
      <w:pPr>
        <w:pStyle w:val="TextBody"/>
        <w:bidi w:val="0"/>
        <w:spacing w:before="240" w:after="283"/>
        <w:jc w:val="both"/>
        <w:rPr>
          <w:rFonts w:ascii="Times New Roman" w:hAnsi="Times New Roman"/>
          <w:sz w:val="20"/>
        </w:rPr>
      </w:pPr>
      <w:r>
        <w:rPr>
          <w:rFonts w:ascii="Arial" w:hAnsi="Arial"/>
          <w:color w:val="000000"/>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duration and severity of potential side effects or other safety issues experienced with our product candidates or future approved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launching and successfully commercializing product candidates for which we obtain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and maintaining an adequate price for our product candidates, both in the United States and in foreign countries where our product candidates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adequate reimbursement for our product candidates or procedures using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convenience and durability of our treatment or dosing regimen;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payors and patients of the benefits, safety and efficacy of our product candidates, or any future product candidates, if approved, including relative to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 demand for any of our product candidates that may be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9"/>
        </w:rPr>
      </w:pPr>
      <w:r>
        <w:rPr>
          <w:rFonts w:ascii="Arial" w:hAnsi="Arial"/>
          <w:color w:val="000000"/>
          <w:sz w:val="19"/>
        </w:rPr>
        <w:t xml:space="preserve">the effects of any public health emergencies which may result in delays to patient enrollment, patients discontinuing their treatment or follow up visits or changes to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attracting, hiring and retaining qualified personnel.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w:t>
      </w:r>
      <w:r>
        <w:rPr>
          <w:rFonts w:ascii="Times New Roman" w:hAnsi="Times New Roman"/>
          <w:color w:val="000000"/>
          <w:sz w:val="20"/>
        </w:rPr>
        <w:t xml:space="preserve"> </w:t>
      </w:r>
      <w:r>
        <w:rPr>
          <w:rFonts w:ascii="Arial" w:hAnsi="Arial"/>
          <w:color w:val="000000"/>
          <w:sz w:val="20"/>
        </w:rPr>
        <w:t>Even if one or more of our product candidates are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large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 candidate,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Clinical testing is expensive, time consuming, and subject to uncertainty. We cannot guarantee that any clinical trials will be initiated, conducted as planned or completed on schedule, if at all.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delay, suspend or terminate such clinical trials. A failure of one or more clinical trials can occur at any stage of testing, and our future clinical trials may not be successful. In 2025, we initiated our wet AMD Phase 3 studies comparing a single dose of 4D-150 3E10 vg/eye to on-label aflibercept 2mg Q8 weeks. If we experience any delays in completing these trials, due to delays in enrollment or other factors, it could result in serious harm to our business.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inability to generate sufficient preclinical, toxicology, or other in vivo or in vitro 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 consensus with regulatory agencies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or failure in obtaining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agreement on acceptable terms with prospective contract research organizations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 of the FDA to accept data from clinical trials in geographies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enrolling patients who meet the requirements of our clinical trials;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obtaining required IRB approval or ethics committee opinion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by our CROs, other third parties, or us to adhere to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perform in accordance with the FDA’s or any other regulatory authority’s good clinical practice (“GCP”) requirements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regulatory requirements and guidance (including differing expectations across jurisdictions) that require amending or submitting new clinical protocols, expanding enrollment, modifying statistical assumptions (including non-inferiority margins), or submitting new or amended protocols, including for our Phase 3 trials of 4D-150;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transfer of manufacturing processes to larger-scale facilities operated by a CDMO or by us, and delays or failure by our CDMOs or us to make any necessary changes to such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 parties being unwilling or unable to satisfy their contractual obligations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public perception or regulatory scrutiny of genetic medicine technology may negatively impact the developmental progress or commercial success of products that we develop alone or with collaborators.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Patient enrollment, a determinative factor in the timing of clinical trials, is affected by many factors including the severity and difficulty of diagnosing the disease under investigation, knowledge of the disease in the medical community and availability of effective diagnostic methods, size and distribution of the patient population and process for identifying subjects. Enrollment is also affected by access of patients to medical professionals experienced in their disease, our ability to effectively disseminate information about our clinical trials to the patient population and access of patients to such information, eligibility and exclusion criteria for the trial in question, design of the trial protocol, availability, efficacy of, and our ability to compete with approved and standard of care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the time and financial commitments required of patients to enroll in our trials beyond the costs we cover, and the proximity and availability of and access to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inability to successfully initiate or complete clinical trials could result in additional costs to us or impair our ability to generate revenue. In addition, if we make manufacturing or formulation changes to our product candidates, we may be required,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and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limited number of patients who have the diseases for which many of our product candidates are being studied may make it more difficult for us to enroll or complete clinical trials or may result in findings in our clinical trials that do not reach levels of statistical significance sufficient for marketing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Many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many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Aside from 4D-150, our product candidates are at an early stage of development. Our future success is dependent on our ability to successfully develop, obtain regulatory approval for, and then successfully commercialize our product candidates, and we may fail to do so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may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product candidate may on further study be shown to have harmful side effects or other characteristics that indicate it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may develop platform technologies that render our Therapeutic Vector Evolution platform technology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product candidates and Therapeutic Vector Evolution platform technology that we develop may not be sufficiently covered by intellectual property for which we hold exclusive rights or may be covered by third-party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a product candidate obtains regulatory approval, we may be unable to establish sales and marketing capabilities, or successfully market such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9"/>
        </w:rPr>
        <w:t>delays in our clinical development plans due to public health emergencies;</w:t>
      </w:r>
      <w:r>
        <w:rPr>
          <w:color w:val="498205"/>
        </w:rPr>
        <w:t xml:space="preserve"> </w:t>
      </w:r>
      <w:r>
        <w:rPr>
          <w:rFonts w:ascii="Arial" w:hAnsi="Arial"/>
          <w:color w:val="000000"/>
          <w:sz w:val="20"/>
        </w:rPr>
        <w:t>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and effective by patients, the medical community or third-party payors.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most of our product candidates and our Therapeutic Vector Evolution platform technology are in an early stage of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Aside from 4D-150,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any of our product candidates successfully complete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which may impede our ability to secure approval and successfully launch our therapies.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assure you that we will obtain approval in any other jurisdictions. Failure to obtain approval for our product candidates in multiple jurisdictions will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assure you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Public health crises such as pandemics or similar outbreaks have affected and could continue to seriously and adversely affect our preclinical and clinical trials, business,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Public health crises, such as pandemics or similar outbreaks, could result in public health guidance measures, including in the locations of our offices, clinical trial sites, key vendors and partners. We expect that our clinical development program timelines could be negatively affected by such pandemics, any public health orders or measures implemented in response to such pandemics, or residual effects thereof, which could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ability of the FDA and foreign regulatory authorities to review and/or approve new products can be affected by a variety of factors, including government budget, personnel, and funding levels, statutory, regulatory, and policy changes, the FDA’s and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which have resulted in substantial personnel changes, and it remains unclear the degree to which these efforts may limit or otherwise adversely affect the FDA's ability to conduct routine activities.</w:t>
      </w:r>
    </w:p>
    <w:p>
      <w:pPr>
        <w:pStyle w:val="TextBody"/>
        <w:bidi w:val="0"/>
        <w:spacing w:before="240" w:after="283"/>
        <w:jc w:val="both"/>
        <w:rPr>
          <w:rFonts w:ascii="Times New Roman" w:hAnsi="Times New Roman"/>
          <w:sz w:val="20"/>
        </w:rPr>
      </w:pPr>
      <w:r>
        <w:rPr>
          <w:rFonts w:ascii="Arial" w:hAnsi="Arial"/>
          <w:color w:val="000000"/>
          <w:sz w:val="20"/>
        </w:rPr>
        <w:t>If a prolonged government shutdown occurs, or if funding shortages, staffing limitations, or policy changes prevent the FDA or other regulatory authorities from conducting their regular inspections, reviews, or other regulatory activities, such events could significantly impact the ability of the FDA or such other regulatory authorities to timely review and process our regulatory submissions,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clinical trials may fail to demonstrate substantial evidence of the safety and efficacy of our product candidates, which would prevent, delay or limit the scope of regulatory approval and commercialization,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limited experience in designing clinical trials and may be unable to design and execute a clinical trial to support marketing approval. We cannot be certain that our ongoing and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even if such clinical trials are successfully completed, we cannot assure you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additional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repealed the EU Clinical Trials Directive, became applicable on January 31, 2022, with a three-year transition period. The CTR provides for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As of February 1, 2025, all clinical trials (including those which are ongoing) in the EU are subject to the provisions of the CTR. Compliance with the CTR requirements by us and our third-party service providers, such as CROs, may impact our development plans in the EU.</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data from studies or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we publicly disclose top-line or preliminary data from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From time to time, we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we determine to be material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or interim data that we report differ from final results, or if others, including regulatory authorities, disagree with the conclusions reached, our ability to obtain approval for, and commercialize, product candidates may be harmed,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78D4"/>
          <w:sz w:val="20"/>
        </w:rPr>
        <w:t xml:space="preserve"> </w:t>
      </w:r>
      <w:r>
        <w:rPr>
          <w:rFonts w:ascii="Arial" w:hAnsi="Arial"/>
          <w:b/>
          <w:i/>
          <w:color w:val="000000"/>
          <w:sz w:val="20"/>
        </w:rPr>
        <w:t>which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 which could seriously harm our business.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are a number of large pharmaceutical and biotechnology companies that are currently pursuing the development of products for the treatment of the indications for which we have product candidates, including wet AMD, DME, GA and cystic fibrosis. Certain of our competitors have commercially approved products for the treatment of the diseases that we are pursuing or may pursue in the future, including Apellis Pharmaceuticals Inc., Astellas Pharma Inc., Regeneron Pharmaceuticals Inc., Roche and Vertex Pharmaceuticals Incorporated. These drugs are well established therapies and are widely accepted by physicians, patients and third-party payors, which may make it difficult to convince these parties to switch to our product candidates. Companies that we are aware are developing therapeutics in the retina and pulmonology disease areas include large companies with significant financial resources, such as AbbVie Inc., Astellas Pharma Inc., Eli Lilly and Company, Johnson &amp; Johnson, Merck &amp; Company Inc., Regeneron Pharmaceuticals Inc., Roche, Sanofi and Vertex Pharmaceuticals Incorporated, and biopharmaceutical companies such as Apellis Pharmaceuticals Inc., Arcturus Therapeutics Holdings Inc., EyePoint Inc., Kodiak Sciences Inc., Krystal Biotech Inc., Ocular Therapeutix Inc., Recode Therapeutics Inc., REGENXBIO Inc. and Sionna Therapeutics Inc. In addition to competition from other companies targeting retina and pulmonology,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against competitors any product candidates we may develop.</w:t>
      </w:r>
    </w:p>
    <w:p>
      <w:pPr>
        <w:pStyle w:val="TextBody"/>
        <w:bidi w:val="0"/>
        <w:spacing w:before="240" w:after="283"/>
        <w:jc w:val="both"/>
        <w:rPr>
          <w:rFonts w:ascii="Times New Roman" w:hAnsi="Times New Roman"/>
          <w:sz w:val="20"/>
        </w:rPr>
      </w:pPr>
      <w:r>
        <w:rPr>
          <w:rFonts w:ascii="Arial" w:hAnsi="Arial"/>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retain adequate numbers of effective sales, marketing, reimbursement, compliance,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build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sales personnel to obtain access to physicians or persuade adequate numbers of physicians to prescribe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unforeseen costs and expenses associated with creating an independent commercialization organization. </w:t>
      </w:r>
    </w:p>
    <w:p>
      <w:pPr>
        <w:pStyle w:val="TextBody"/>
        <w:bidi w:val="0"/>
        <w:spacing w:before="240" w:after="283"/>
        <w:jc w:val="both"/>
        <w:rPr>
          <w:rFonts w:ascii="Times New Roman" w:hAnsi="Times New Roman"/>
          <w:sz w:val="20"/>
        </w:rPr>
      </w:pPr>
      <w:r>
        <w:rPr>
          <w:rFonts w:ascii="Arial" w:hAnsi="Arial"/>
          <w:color w:val="00000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third-party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and perceived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offer our products for sale at competitive prices;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sufficient third-party coverage or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strength of marketing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and severity of any side effects. </w:t>
      </w:r>
    </w:p>
    <w:p>
      <w:pPr>
        <w:pStyle w:val="TextBody"/>
        <w:bidi w:val="0"/>
        <w:spacing w:before="240" w:after="283"/>
        <w:jc w:val="both"/>
        <w:rPr>
          <w:rFonts w:ascii="Times New Roman" w:hAnsi="Times New Roman"/>
          <w:sz w:val="20"/>
        </w:rPr>
      </w:pPr>
      <w:r>
        <w:rPr>
          <w:rFonts w:ascii="Arial" w:hAnsi="Arial"/>
          <w:color w:val="000000"/>
          <w:sz w:val="20"/>
        </w:rPr>
        <w:t>If any product candidates we develop do not achieve an adequate level of acceptance, we may not generate significant product revenue, and we may not become profitable and our business could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Manufacturing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Gene therapies are novel, complex and difficult to manufacture. We could experience production problems that result in delays in our development or commercialization programs, limit the supply of our products or otherwise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manufacture and test clinical trial material for our products both internally at our cGMP facility, and externally at our partner CDMOs.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manufacturing processes or facilities also could restrict our ability to meet market demand for our products. Additionally, should our supply needs exceed our internal capabilities and supply agreements with other parties with whom we have manufacturing agreements be terminated for any reason, there are a limited number of manufacturers who would be suitable replacements, and it would take a significant amount of time to transition the manufacturing to an alternative manufacturing organization.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Delays in obtaining regulatory approval of our manufacturing process or disruptions in our manufacturing process may delay or disrupt our commercialization efforts.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successfully complete a pre-approval inspection of our manufacturing facility by the FDA before any of our product candidates can obtain marketing approval, if ever. In order to obtain approval of a Biologics License Application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 Similar risks may exist in foreign jurisdictions.</w:t>
      </w:r>
    </w:p>
    <w:p>
      <w:pPr>
        <w:pStyle w:val="TextBody"/>
        <w:bidi w:val="0"/>
        <w:spacing w:before="240" w:after="283"/>
        <w:jc w:val="both"/>
        <w:rPr>
          <w:rFonts w:ascii="Times New Roman" w:hAnsi="Times New Roman"/>
          <w:sz w:val="20"/>
        </w:rPr>
      </w:pPr>
      <w:r>
        <w:rPr>
          <w:rFonts w:ascii="Arial" w:hAnsi="Arial"/>
          <w:b/>
          <w:i/>
          <w:color w:val="000000"/>
          <w:sz w:val="20"/>
        </w:rPr>
        <w:t>Delays in developing our manufacturing capabilities or failure to achieve operating efficiencies from it may require us to devote additional resources and management time to manufacturing operations and may delay our product development timelines.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approximately 17,000 square feet of laboratory and manufacturing space at our headquarters in Emeryville, California, a large portion of which we plan to devote to manufacturing activities for our clinical trials under cGMP.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currently rely and expect to continue to rely on third parties to conduct product manufacturing for certain of our product candidates, and these third parties may not perform satisfactorily.</w:t>
      </w:r>
    </w:p>
    <w:p>
      <w:pPr>
        <w:pStyle w:val="TextBody"/>
        <w:bidi w:val="0"/>
        <w:spacing w:before="240" w:after="283"/>
        <w:jc w:val="both"/>
        <w:rPr>
          <w:rFonts w:ascii="Times New Roman" w:hAnsi="Times New Roman"/>
          <w:sz w:val="20"/>
        </w:rPr>
      </w:pPr>
      <w:r>
        <w:rPr>
          <w:rFonts w:ascii="Arial" w:hAnsi="Arial"/>
          <w:color w:val="000000"/>
          <w:sz w:val="20"/>
        </w:rPr>
        <w:t>We currently rely, and expect to continue to rely, on third parties for the production of some of our planned clinical trial drugs and commercial drug materials and, therefore, we can control only certain aspects of their activities. The facilities used by our contract manufacturers to manufacture certain of our product candidates must be reviewed by the FDA pursuant to inspections that will be conducted after we submit a BLA to the FDA. We do not control the manufacturing process of, and are completely dependent on, our contract manufacturing partners for compliance with the cGMP or similar foreign requirements</w:t>
      </w:r>
      <w:r>
        <w:rPr>
          <w:rFonts w:ascii="Times New Roman" w:hAnsi="Times New Roman"/>
          <w:color w:val="D13438"/>
          <w:sz w:val="20"/>
        </w:rPr>
        <w:t xml:space="preserve"> </w:t>
      </w:r>
      <w:r>
        <w:rPr>
          <w:rFonts w:ascii="Arial" w:hAnsi="Arial"/>
          <w:color w:val="000000"/>
          <w:sz w:val="20"/>
        </w:rPr>
        <w:t>for manufacture of our products. If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Further, our CDMOs may use different facilities to manufacture our product candidate(s), and we and our CDMOs will be required to meet certain regulatory conditions, such as establishing comparability between the product candidates manufactured at each facility. Our failure, or failure by our CDMOs, to demonstrate sufficient comparability between a product candidate manufactured at different facilities may cause a delay in using a manufacturing facility for production, extend our clinical trial timelines and adversely impact our regulatory approval process.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we rely on additional third parties to manufacture plasmids used in the manufacture of our product candidates and to perform quality testing, and reliance on these third parties entails risks to which we would not be subject if we manufactured the plasmids ourselves,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control over certain aspects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termination or nonrenewal of manufacturing and service agreements with third parties in a manner or at a time that is costly or damaging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to the operations of our third-party manufacturers and service providers caused by conditions unrelated to our business or operations, including the bankruptcy of the manufacturer or service provider. </w:t>
      </w:r>
    </w:p>
    <w:p>
      <w:pPr>
        <w:pStyle w:val="TextBody"/>
        <w:bidi w:val="0"/>
        <w:spacing w:before="240" w:after="283"/>
        <w:jc w:val="both"/>
        <w:rPr>
          <w:rFonts w:ascii="Times New Roman" w:hAnsi="Times New Roman"/>
          <w:sz w:val="20"/>
        </w:rPr>
      </w:pPr>
      <w:r>
        <w:rPr>
          <w:rFonts w:ascii="Arial" w:hAnsi="Arial"/>
          <w:color w:val="000000"/>
          <w:sz w:val="20"/>
        </w:rPr>
        <w:t>Any of these events could lead to clinical trial delays or failure to obtain regulatory approval, or impact our ability to successfully commercialize future product candidates. Some of these events could be the basis for FDA or EU member state competent authority action, including injunction, recall, seizure or total or partial suspension of product manufacture.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Any contamination in our manufacturing process, shortages of raw materials or failure of any of our key suppliers to deliver necessary components could result in delays in our research studies, preclinical, and clinical development or marketing schedules.</w:t>
      </w:r>
    </w:p>
    <w:p>
      <w:pPr>
        <w:pStyle w:val="TextBody"/>
        <w:bidi w:val="0"/>
        <w:spacing w:before="240" w:after="283"/>
        <w:jc w:val="both"/>
        <w:rPr>
          <w:rFonts w:ascii="Times New Roman" w:hAnsi="Times New Roman"/>
          <w:sz w:val="20"/>
        </w:rPr>
      </w:pPr>
      <w:r>
        <w:rPr>
          <w:rFonts w:ascii="Arial" w:hAnsi="Arial"/>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depend on third-party suppliers for key raw materials used in our manufacturing processes, and the loss of these third-party suppliers or their inability to supply us with adequate raw materials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rely on third-party suppliers for the raw materials required for the production of our product candidates. Third-party suppliers could increase their prices or be unable to supply us with adequate raw materials, on a timely basis or at all, for a variety of reasons, including potential restrictions on trade or tariffs.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design, implementation or results of our or our collaborators’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collaborators may be unable to demonstrate to the FDA, or comparable foreign regulatory authorities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our or our collaborators’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or our collaborators’ clinical data insufficient for approval. </w:t>
      </w:r>
    </w:p>
    <w:p>
      <w:pPr>
        <w:pStyle w:val="TextBody"/>
        <w:bidi w:val="0"/>
        <w:spacing w:before="240" w:after="283"/>
        <w:jc w:val="both"/>
        <w:rPr>
          <w:rFonts w:ascii="Times New Roman" w:hAnsi="Times New Roman"/>
          <w:sz w:val="20"/>
        </w:rPr>
      </w:pPr>
      <w:r>
        <w:rPr>
          <w:rFonts w:ascii="Arial" w:hAnsi="Arial"/>
          <w:color w:val="000000"/>
          <w:sz w:val="20"/>
        </w:rPr>
        <w:t>This lengthy approval process, as well as the unpredictability of the results of clinical trials, may result in our failing to obtain regulatory approval to market any of our product candidates, which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or other authorities responsible for pricing negotiations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such confirmatory studies fail to confirm the drug’s clinical benefit, or if the sponsor fails to conduct required confirmatory studies in a timely manner, the FDA may withdraw its approval of the drug on an expedited basis. In addition, in December 2022, the Food and Drug Omnibus Reform Act of 2022 provided FDA additional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240" w:after="283"/>
        <w:jc w:val="both"/>
        <w:rPr>
          <w:rFonts w:ascii="Times New Roman" w:hAnsi="Times New Roman"/>
          <w:sz w:val="20"/>
        </w:rPr>
      </w:pPr>
      <w:r>
        <w:rPr>
          <w:rFonts w:ascii="Arial" w:hAnsi="Arial"/>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any of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or our collaborators obtain regulatory approval for a product candidate, our products will remain subject to regulatory scrutiny.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Manufacturers and manufacturers’ facilities are required to comply with extensive FDA and comparable foreign regulatory authority requirements, including ensuring that quality control and manufacturing procedures conform to cGMP regulations or similar foreign requirements. As such, we and our contract manufacturers will be subject to continual review and inspections to assess compliance with cGMP or similar foreign requirements and adherence to commitments made in any approved marketing application.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restrictions on our operations, including closing our manufacturing facility or our contract manufacturers’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seize or detain products, or require a product recall. </w:t>
      </w:r>
    </w:p>
    <w:p>
      <w:pPr>
        <w:pStyle w:val="TextBody"/>
        <w:bidi w:val="0"/>
        <w:spacing w:before="240" w:after="283"/>
        <w:jc w:val="both"/>
        <w:rPr>
          <w:rFonts w:ascii="Times New Roman" w:hAnsi="Times New Roman"/>
          <w:sz w:val="20"/>
        </w:rPr>
      </w:pPr>
      <w:r>
        <w:rPr>
          <w:rFonts w:ascii="Arial" w:hAnsi="Arial"/>
          <w:color w:val="000000"/>
          <w:sz w:val="20"/>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received orphan drug designation for 4D-710 for cystic fibrosis, and we may seek orphan drug designation for certain future product candidates. However, we may be unable to obtain such designations or to maintain the benefits associated with orphan drug designation, including market exclusivity, which may cause our revenue, if any, to be reduced.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received orphan drug designation in the United States for 4D-710 for the treatment of cystic fibrosis.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Orphan designation is granted by the European Commission (“EC”) based on a scientific opinion of the EMA’s Committee for Orphan Medicinal Products (“COMP”). A medicinal product may be designated as orphan if its sponsor can establish that (i) the product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if a product receives the first FDA approval for the disease or condition for which it has orphan designation, the product is entitled to orphan drug exclusivity, which means the FDA may not approve any other application to market the same drug for the same approved use or indication within such rare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(“PIP”).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uses or indications within the same rare disease or</w:t>
      </w:r>
      <w:r>
        <w:rPr>
          <w:rFonts w:ascii="Times New Roman" w:hAnsi="Times New Roman"/>
          <w:color w:val="0078D4"/>
          <w:sz w:val="20"/>
        </w:rPr>
        <w:t xml:space="preserve"> </w:t>
      </w:r>
      <w:r>
        <w:rPr>
          <w:rFonts w:ascii="Arial" w:hAnsi="Arial"/>
          <w:color w:val="000000"/>
          <w:sz w:val="20"/>
        </w:rPr>
        <w:t>condition. Even after an orphan drug is approved, the FDA and foreign regulatory authorities can subsequently approve the same drug for the same approved use or indication within the same rare disease or condition if the FDA or foreign regulatory authorities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pStyle w:val="TextBody"/>
        <w:bidi w:val="0"/>
        <w:spacing w:before="240" w:after="283"/>
        <w:jc w:val="both"/>
        <w:rPr>
          <w:rFonts w:ascii="Arial" w:hAnsi="Arial"/>
          <w:b/>
          <w:i/>
          <w:color w:val="000000"/>
          <w:sz w:val="20"/>
        </w:rPr>
      </w:pPr>
      <w:r>
        <w:rPr>
          <w:rFonts w:ascii="Arial" w:hAnsi="Arial"/>
          <w:b/>
          <w:i/>
          <w:color w:val="000000"/>
          <w:sz w:val="20"/>
        </w:rPr>
        <w:t>We have received Regenerative Medicine Advanced Therapy ("RMAT") and PRIority MEdicines ("PRIME") designation for 4D-150 for the treatment of wet AMD and RMAT designation for 4D-150 for treatment of DME. We may seek RMAT and PRIME designations for certain future product candidates, however we may not be able to obtain such designations, and there is no guarantee that 4D-150 will experience a faster regulatory review or obtain regulatory approval.</w:t>
      </w:r>
    </w:p>
    <w:p>
      <w:pPr>
        <w:pStyle w:val="TextBody"/>
        <w:bidi w:val="0"/>
        <w:spacing w:before="240" w:after="283"/>
        <w:jc w:val="both"/>
        <w:rPr>
          <w:rFonts w:ascii="Arial" w:hAnsi="Arial"/>
          <w:color w:val="000000"/>
          <w:sz w:val="20"/>
        </w:rPr>
      </w:pPr>
      <w:r>
        <w:rPr>
          <w:rFonts w:ascii="Arial" w:hAnsi="Arial"/>
          <w:color w:val="000000"/>
          <w:sz w:val="20"/>
        </w:rPr>
        <w:t>The FDA has granted RMAT designation for 4D-150 for the treatment of neovascular (wet) age-related macular degeneration and diabetic macular edema, and may seek additional RMAT designations for 4D-150 or for our other product candidates. A biological product candidate is eligible for RMAT designation if: (1) it meets the definition of a regenerative medicine therapy, which the FDA defines as a cell therapy, therapeutic tissue engineering product, human cell and tissue product, or any combination product using such therapies or products, with limited exceptions; (2) the candidate is intended to treat, modify, reverse, or cure a serious disease or condition; and (3) preliminary clinical evidence indicates that the candidate has the potential to address unmet medical needs for such disease or condition. RMAT designation provides potential benefits that include more frequent meetings with FDA to discuss the development plan for the product candidate, and eligibility for rolling review and priority review of BLAs. Product candidates granted RMAT designation may also be eligible for accelerated approval on the basis of a surrogate or intermediate endpoint reasonably likely to predict long-term clinical benefit, or through reliance upon data obtained from a meaningful number of sites, including through expansion of clinical trials to a sufficient number of sites, as appropriate. RMAT-designated product candidates that receive accelerated approval may, as appropriate, be able to fulfill their post-approval requirements through the submission of clinical evidence, clinical studies, patient registries, or other sources of real-world evidence (such as electronic health records), through the collection of larger confirmatory data sets, or via post-approval monitoring of patients treated with the therapy prior to approval.</w:t>
      </w:r>
    </w:p>
    <w:p>
      <w:pPr>
        <w:pStyle w:val="TextBody"/>
        <w:bidi w:val="0"/>
        <w:spacing w:before="240" w:after="283"/>
        <w:jc w:val="both"/>
        <w:rPr>
          <w:rFonts w:ascii="Times New Roman" w:hAnsi="Times New Roman"/>
          <w:sz w:val="20"/>
        </w:rPr>
      </w:pPr>
      <w:r>
        <w:rPr>
          <w:rFonts w:ascii="Arial" w:hAnsi="Arial"/>
          <w:color w:val="000000"/>
          <w:sz w:val="20"/>
        </w:rPr>
        <w:t>RMAT designation is within the sole discretion of the FDA. Accordingly, even if we believe one of our product candidates meets the criteria for RMAT designation, the FDA may disagree and instead determine not to make such designation. RMAT designation does not change the standards for product approval, and there is no assurance that such designation or eligibility for such designation will result in expedited review or approval, or that the approved indication will not be narrower than the indication covered by the RMAT designation.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EU, 4D-150 was accepted into the PRIME scheme by the EMA’s Committee for Medicinal Products for Human Use (“CHMP”) for the treatment of wet AMD. In the EU, innovative products that target an unmet medical need and are expected to be of major public health interest may be eligible for a number of expedited development and review programs, such as the PRIME scheme, which was launched by the EMA in 2016 and provides incentives similar to the Breakthrough Therapy designation in the United States. PRIME is a voluntary scheme aimed at enhancing the EMA’s support for the development of medicines that target an unmet medical need.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Receipt of these designations does not increase the likelihood that FDA or EC will approve 4D-150 for any indication. In addition, the FDA or foreign competent authorities may rescind the designations if they believe that the designation is no longer supported by data from our clinical development program.</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have obtained a rare pediatric disease designation for 4D-710, however, there is no guarantee that FDA approval of 4D-710 will result in issuance of a priority review voucher.</w:t>
      </w:r>
    </w:p>
    <w:p>
      <w:pPr>
        <w:pStyle w:val="TextBody"/>
        <w:bidi w:val="0"/>
        <w:spacing w:before="240" w:after="283"/>
        <w:jc w:val="both"/>
        <w:rPr>
          <w:rFonts w:ascii="Times New Roman" w:hAnsi="Times New Roman"/>
          <w:sz w:val="20"/>
        </w:rPr>
      </w:pPr>
      <w:r>
        <w:rPr>
          <w:rFonts w:ascii="Arial" w:hAnsi="Arial"/>
          <w:color w:val="000000"/>
          <w:sz w:val="20"/>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a rare pediatric disease designation for 4D-710 for the treatment of cystic fibrosis, however, there is no guarantee that we will be able to obtain a priority review voucher, even if 4D-710 is approved by the FDA for this indication. For example, the FDA may determine that a BLA, even if ultimately approved, does not meet the eligibility criteria for a priority review voucher, including for the following reasons: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product no longer meets the definition of a rare pediatric disease;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product contains an active ingredient (including any ester or salt of the active ingredient) that has been previously approved in another marketing application;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application does not rely on clinical data derived from studies examining a pediatric population and dosages of the drug intended for that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application is approved for a different adult indication than the rare pediatric disease for which the product is designated</w:t>
      </w:r>
    </w:p>
    <w:p>
      <w:pPr>
        <w:pStyle w:val="TextBody"/>
        <w:bidi w:val="0"/>
        <w:spacing w:before="240" w:after="283"/>
        <w:jc w:val="both"/>
        <w:rPr>
          <w:rFonts w:ascii="Arial" w:hAnsi="Arial"/>
          <w:color w:val="000000"/>
          <w:sz w:val="20"/>
        </w:rPr>
      </w:pPr>
      <w:r>
        <w:rPr>
          <w:rFonts w:ascii="Arial" w:hAnsi="Arial"/>
          <w:color w:val="000000"/>
          <w:sz w:val="20"/>
        </w:rPr>
        <w:t>Moreover, Congress included a sunset provision in the statute authorizing the rare pediatric disease priority review voucher program. Under the current statutory sunset provisions, FDA may only award a voucher for an approved rare pediatric disease product application if the sponsor has rare pediatric disease designation for the product candidate, and the product candidate is approved within the designated rare pediatric disease by September 30, 2029. After September 30, 2029, FDA may not award vouchers under the program, regardless of any designation.</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the product candidates that we or our collaborators may develop receive regulatory approval in the United States or another jurisdiction, they may never receive approval in other jurisdictions, which would limit market opportunities for such product candidates and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pStyle w:val="TextBody"/>
        <w:bidi w:val="0"/>
        <w:spacing w:before="240" w:after="283"/>
        <w:jc w:val="both"/>
        <w:rPr>
          <w:rFonts w:ascii="Times New Roman" w:hAnsi="Times New Roman"/>
          <w:sz w:val="20"/>
        </w:rPr>
      </w:pPr>
      <w:r>
        <w:rPr>
          <w:rFonts w:ascii="Arial" w:hAnsi="Arial"/>
          <w:b/>
          <w:i/>
          <w:color w:val="000000"/>
          <w:sz w:val="20"/>
        </w:rPr>
        <w:t>Enacted and future healthcare legislation or regulation may increase the difficulty and cost for us to obtain marketing approval of and to commercialize our product candidates and may affect the prices we may set.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United States, the EU and other jurisdictions, there have been, and we expect there will continue to be, a number of legislative and regulatory changes and proposed changes to the healthcare system that could, among other things, restrict our ability to profitably sell our product candidates and could affect our future results of operations. In particular, there have been and continue to be a number of initiatives at the U.S. federal and state levels that seek to reduce healthcare costs and improve the quality of healthcare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240" w:after="283"/>
        <w:jc w:val="both"/>
        <w:rPr>
          <w:rFonts w:ascii="Times New Roman" w:hAnsi="Times New Roman"/>
          <w:sz w:val="20"/>
        </w:rPr>
      </w:pPr>
      <w:r>
        <w:rPr>
          <w:rFonts w:ascii="Arial" w:hAnsi="Arial"/>
          <w:color w:val="000000"/>
          <w:sz w:val="20"/>
        </w:rPr>
        <w:t>For example, in 2010, the Patient Protection and Affordable Care Act (the “ACA”) was enacted, which substantially changed the way healthcare is financed by both governmental and private payors. Among the provisions of the ACA of importance to our business, including, without limitation, our ability to commercialize and to obtain adequate prices for any product candidates approved for sale, are the following: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establishment of a Center for Medicare &amp; Medicaid Innovation (“CMMI”) at the Centers for Medicare &amp; Medicaid Services (“CMS”) to test innovative payment and service delivery models to lower Medicare and Medicaid spending, potentially including prescription drug spending. </w:t>
      </w:r>
    </w:p>
    <w:p>
      <w:pPr>
        <w:pStyle w:val="TextBody"/>
        <w:bidi w:val="0"/>
        <w:spacing w:before="240" w:after="283"/>
        <w:jc w:val="both"/>
        <w:rPr>
          <w:rFonts w:ascii="Times New Roman" w:hAnsi="Times New Roman"/>
          <w:sz w:val="20"/>
        </w:rPr>
      </w:pPr>
      <w:r>
        <w:rPr>
          <w:rFonts w:ascii="Arial" w:hAnsi="Arial"/>
          <w:color w:val="000000"/>
          <w:sz w:val="20"/>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In August 2011, the Budget Control Act of 2011, among other things, led to aggregate reductions of Medicare payments to providers.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the American Rescue Plan Act of 2021 was signed into law, which eliminated the statutory cap on drug manufacturers’ Medicaid drug rebate program liability for single source and innovator multiple source drugs, beginning January 1, 2024. The rebate was previously capped at 100% of a drug’s average manufacturer price.</w:t>
      </w:r>
    </w:p>
    <w:p>
      <w:pPr>
        <w:pStyle w:val="TextBody"/>
        <w:bidi w:val="0"/>
        <w:spacing w:before="240" w:after="283"/>
        <w:jc w:val="both"/>
        <w:rPr>
          <w:rFonts w:ascii="Arial" w:hAnsi="Arial"/>
          <w:color w:val="000000"/>
          <w:sz w:val="20"/>
        </w:rPr>
      </w:pPr>
      <w:r>
        <w:rPr>
          <w:rFonts w:ascii="Arial" w:hAnsi="Arial"/>
          <w:color w:val="000000"/>
          <w:sz w:val="20"/>
        </w:rPr>
        <w:t>In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went into effect in 2026, and the subsequent 15 drugs, which will first be effective in 2027, as well as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240" w:after="283"/>
        <w:jc w:val="both"/>
        <w:rPr>
          <w:rFonts w:ascii="Arial" w:hAnsi="Arial"/>
          <w:color w:val="000000"/>
          <w:sz w:val="20"/>
        </w:rPr>
      </w:pPr>
      <w:r>
        <w:rPr>
          <w:rFonts w:ascii="Arial" w:hAnsi="Arial"/>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other product candidate that we commercialize.</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administration’s proposals will be implemented, the Trump administration’s policies are likely to have a negative impact on the pharmaceutical industry and on our ability to receive adequate revenues for our product candidates, if approved. On the one hand, the Trump administration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jc w:val="both"/>
        <w:rPr>
          <w:rFonts w:ascii="Times New Roman" w:hAnsi="Times New Roman"/>
          <w:sz w:val="20"/>
        </w:rPr>
      </w:pPr>
      <w:r>
        <w:rPr>
          <w:rFonts w:ascii="Arial" w:hAnsi="Arial"/>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assistance programs. We also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240" w:after="283"/>
        <w:jc w:val="both"/>
        <w:rPr>
          <w:rFonts w:ascii="Times New Roman" w:hAnsi="Times New Roman"/>
          <w:sz w:val="20"/>
        </w:rPr>
      </w:pPr>
      <w:r>
        <w:rPr>
          <w:rFonts w:ascii="Arial" w:hAnsi="Arial"/>
          <w:color w:val="000000"/>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cannot predict the likelihood, nature or extent of government regulation that may arise from future legislation or administrative or judicial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successful commercialization of any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our product candidates, if any and if approved, could limit our ability to market those products and decrease our ability to generate revenue.</w:t>
      </w:r>
    </w:p>
    <w:p>
      <w:pPr>
        <w:pStyle w:val="TextBody"/>
        <w:bidi w:val="0"/>
        <w:spacing w:before="240" w:after="283"/>
        <w:jc w:val="both"/>
        <w:rPr>
          <w:rFonts w:ascii="Times New Roman" w:hAnsi="Times New Roman"/>
          <w:sz w:val="20"/>
        </w:rPr>
      </w:pPr>
      <w:r>
        <w:rPr>
          <w:rFonts w:ascii="Arial" w:hAnsi="Arial"/>
          <w:color w:val="000000"/>
          <w:sz w:val="20"/>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genetic medicine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pStyle w:val="TextBody"/>
        <w:bidi w:val="0"/>
        <w:spacing w:before="240" w:after="283"/>
        <w:jc w:val="both"/>
        <w:rPr>
          <w:rFonts w:ascii="Times New Roman" w:hAnsi="Times New Roman"/>
          <w:sz w:val="20"/>
        </w:rPr>
      </w:pPr>
      <w:r>
        <w:rPr>
          <w:rFonts w:ascii="Arial" w:hAnsi="Arial"/>
          <w:color w:val="000000"/>
          <w:sz w:val="20"/>
        </w:rPr>
        <w:t>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Even if we obtain FDA approval for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 xml:space="preserve">the U.S. federal civil and criminal false claims and civil monetary penalties laws, including the civil federal False Claims Act, which can be enforced through civil whistleblower or </w:t>
      </w:r>
      <w:r>
        <w:rPr>
          <w:rFonts w:ascii="Arial" w:hAnsi="Arial"/>
          <w:i/>
          <w:color w:val="000000"/>
          <w:sz w:val="20"/>
        </w:rPr>
        <w:t xml:space="preserve">qui tam </w:t>
      </w:r>
      <w:r>
        <w:rPr>
          <w:rFonts w:ascii="Arial" w:hAnsi="Arial"/>
          <w:color w:val="000000"/>
          <w:sz w:val="20"/>
        </w:rPr>
        <w:t xml:space="preserve">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FDCA,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Public Health Service Act, which prohibits, among other things, the introduction into interstate commerce of a biological product unless a biologics license is in effect for that product;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(as defined by statute), certain other non-physician practitioners (including physician assistants, nurse practitioners, clinical nurse specialists, certified nurse anesthetists, anesthesiology assistants, and certified nurse midwives)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similar healthcare laws in the EU and other jurisdictions, including reporting requirements detailing interactions with and payments to healthcare providers. </w:t>
      </w:r>
    </w:p>
    <w:p>
      <w:pPr>
        <w:pStyle w:val="TextBody"/>
        <w:bidi w:val="0"/>
        <w:spacing w:before="240" w:after="283"/>
        <w:jc w:val="both"/>
        <w:rPr>
          <w:rFonts w:ascii="Times New Roman" w:hAnsi="Times New Roman"/>
          <w:sz w:val="20"/>
        </w:rPr>
      </w:pPr>
      <w:r>
        <w:rPr>
          <w:rFonts w:ascii="Arial" w:hAnsi="Arial"/>
          <w:color w:val="000000"/>
          <w:sz w:val="20"/>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use and generate materials that may expose us to material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Compliance with governmental regulations regarding the treatment of animals used in research could increase our operating costs, which would adversely affect the commercialization of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and/or obligations exist in many foreign jurisdictions. If we or our contractors fail to comply with regulations concerning the treatment of animals used in research, we may be subject to fines and penalties and adverse publicity, and our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rely and expect to continue to rely on third parties, such as CROs, CDMOs, clinical data management organizations, clinical data assessments and analysis organizations, medical institutions and clinical investigators, to conduct some aspects of our manufacturing,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Similar risks may exist in foreign jurisdictions.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manufacture, store and distribute drug supplies for our clinical trials. Any performance failure on the part of our manufacturers or distributors could delay clinical development, marketing approval or commercialization of any product candidates,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sought, and may in the future seek, third-party collaborators for the research, development and commercialization of certain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bankrupt, which may significantly delay our research or development programs, or may cause us to lose access to valuable technology, devices, materials, know-how or intellectual property of the collaborator relating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and, if terminated, may result in a need for additional capital to pursue further development or commercialization of the applicable product candidates or our Therapeutic Vector Evolution platform technology;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 agreements may not lead to development or commercialization of product candidates in the most efficient manner or at all. </w:t>
      </w:r>
    </w:p>
    <w:p>
      <w:pPr>
        <w:pStyle w:val="TextBody"/>
        <w:bidi w:val="0"/>
        <w:spacing w:before="240" w:after="283"/>
        <w:jc w:val="both"/>
        <w:rPr>
          <w:rFonts w:ascii="Arial" w:hAnsi="Arial"/>
          <w:color w:val="000000"/>
          <w:sz w:val="20"/>
        </w:rPr>
      </w:pPr>
      <w:r>
        <w:rPr>
          <w:rFonts w:ascii="Arial" w:hAnsi="Arial"/>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reliance on Chinese biotechnology companies may subject us to additional risks.</w:t>
      </w:r>
    </w:p>
    <w:p>
      <w:pPr>
        <w:pStyle w:val="TextBody"/>
        <w:bidi w:val="0"/>
        <w:spacing w:before="240" w:after="283"/>
        <w:jc w:val="both"/>
        <w:rPr>
          <w:rFonts w:ascii="Times New Roman" w:hAnsi="Times New Roman"/>
          <w:sz w:val="20"/>
        </w:rPr>
      </w:pPr>
      <w:r>
        <w:rPr>
          <w:rFonts w:ascii="Arial" w:hAnsi="Arial"/>
          <w:color w:val="000000"/>
          <w:sz w:val="20"/>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Chinese or other foreign CROs and CDMOs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product candidates.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our licensed patents and applications include six granted patents (U.S. patent nos. 12,630,805, 12,310,997, 12,180,254, 11,136,557, 11,634,691 and 10,988,519) and two pending patent applications (U.S. patent application nos. 19/652,446 and 18/924,426), that were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U.S. patent nos. 11,136,557 and 11,634,691 were made with the support of U.C. Berkeley and relate to our A101 vector of our 4D-710 and 4D-725 product candidates. U.S. patent nos. 10,988,519 and 12,180,254 were made with the support of University of Pennsylvania and relate to our short-form human complement factor H (sCFH) payload of our 4D-175 product candidate.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pStyle w:val="TextBody"/>
        <w:bidi w:val="0"/>
        <w:spacing w:before="240" w:after="283"/>
        <w:jc w:val="both"/>
        <w:rPr>
          <w:rFonts w:ascii="Times New Roman" w:hAnsi="Times New Roman"/>
          <w:sz w:val="20"/>
        </w:rPr>
      </w:pPr>
      <w:r>
        <w:rPr>
          <w:rFonts w:ascii="Arial" w:hAnsi="Arial"/>
          <w:color w:val="000000"/>
          <w:sz w:val="20"/>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patents that may be issued or in-licensed may be challenged, invalidated, modified, revoked, circumvented, found to be unenforceable or otherwise may not provide any competitive advantage;</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successful opposition to any patents owned by or licensed to us could deprive us of rights necessary for the practice of our technologies or the successful commercialization of any products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interference proceeding can be provoked by a third party or instituted by the USPTO to determine who was the first to invent any of the subject matter covered by the patent claims of our licensors’ patent applications for any patent application with an effective filing date before March 16, 2013;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countries other than the United States may have patent laws less favorable to patentees than those upheld by U.S. courts, allowing foreign competitors a better opportunity to create, develop and market competing product candidates. </w:t>
      </w:r>
    </w:p>
    <w:p>
      <w:pPr>
        <w:pStyle w:val="TextBody"/>
        <w:bidi w:val="0"/>
        <w:spacing w:before="240" w:after="283"/>
        <w:jc w:val="both"/>
        <w:rPr>
          <w:rFonts w:ascii="Times New Roman" w:hAnsi="Times New Roman"/>
          <w:sz w:val="20"/>
        </w:rPr>
      </w:pPr>
      <w:r>
        <w:rPr>
          <w:rFonts w:ascii="Arial" w:hAnsi="Arial"/>
          <w:color w:val="000000"/>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degree of future protection for our proprietary rights is uncertain, and we cannot ensure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our patents, or any of our pending patent applications, if issued, or those of our licensors, will include claims having a scope sufficient to protect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our pending patent applications or those of our licensors may issue as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will not or may not be able to make, use, offer to sell, or sell products that are the same as or similar to our own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be able to successfully commercialize our product candidates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were the first to make the inventions covered by each of the patents and pending patent applications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were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will not develop similar or alternative technologies that do not infringe the patents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of the patents we own or license will be found to ultimately be valid and 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patents issued to us or our licensors will provide a basis for an exclusive market for our commercially viable products or will provide us with any competitive advantages;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third party may not challenge the patents we own or license and, if challenged, a court would hold that such patents are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develop or in-license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will not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do not conduct research and development activities in countries where we do not have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develop additional proprietary technologies or product candidates that are separately patentable;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commercial activities or products will not infringe upon the patents of others. </w:t>
      </w:r>
    </w:p>
    <w:p>
      <w:pPr>
        <w:pStyle w:val="TextBody"/>
        <w:bidi w:val="0"/>
        <w:spacing w:before="240" w:after="283"/>
        <w:jc w:val="both"/>
        <w:rPr>
          <w:rFonts w:ascii="Times New Roman" w:hAnsi="Times New Roman"/>
          <w:sz w:val="20"/>
        </w:rPr>
      </w:pPr>
      <w:r>
        <w:rPr>
          <w:rFonts w:ascii="Arial" w:hAnsi="Arial"/>
          <w:color w:val="000000"/>
          <w:sz w:val="20"/>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lives of our patents may not be sufficient to effectively protect our product candidates and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Patents have a limited lifespan. In the United States, the natural expiration of a patent is generally 20 years after its first effective non-provisional filing date. Although various extensions may be available, the life of a patent, and the protection it affords, are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product candidates,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patent law in the United States or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patent rights may be affected by developments or uncertainty in the U.S. or foreign patent statutes, patent case laws, USPTO rules and regulations or in the rules and regulations of foreign patent offices.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September 16, 2011, the Leahy-Smith America Invents Act (“Leahy-Smith Act”) was signed into law. There remains many subsisting issued patents and some pending patent applications in the U.S. that were filed prior to its enactment and are therefore subject to the pre-Leahy-Smith Act U.S. patent laws and that may have relevance to our freedom-to-operate or ability to obtain patent issuances.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 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Our European patent applications, if issued, could be challenged in the UPC. During the first seven years of the UPC’s existence, the UPC legislation allows a patent owner to opt its European patents out of the jurisdiction of the UPC. Thus far, we have elected to opt all of our European patents out of jurisdiction of the UPC, and we may elect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product candidates and, resultantly, on our business, financial condition, prospects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with Ukraine may limit or prevent filing, prosecution, and maintenance of patent applications in Russia. Government actions may also prevent maintenance of issued patents in Russia. For example, a decree was adopted by the Russian government in March 2022, allowing Russian companies and individuals to exploit inventions owned by patentees from the U.S. without consent or compensation.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IP rights may not be effective or sufficient to prevent them from competing.</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There could also be delays at the USPTO caused by staffing cuts and other U.S. government actions as a result of the U.S. Department of Government Efficiency or other executive actions to reduce the size of the U.S. government.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would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or third party with authorized access. Our security measures may not prevent an employee, consultant, collaborator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(i) U.C. Berkeley for certain rights with respect to the intellectual property covering certain compositions of matter and methods of use of certain AAV variants related to our 4D-710 and 4D-725 product candidates, and (ii) University of Pennsylvania for certain rights with respect to the intellectual property covering certain compositions of matter and methods of use of the short-form human complement factor H (sCFH) payload related to our 4D-175 product candidate.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Licenses to additional third-party technology that may be required for our development programs may not be available in the future or may not be available on commercially reasonable terms,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whether registered in the future or unregistered now,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trademarks we may register in the future or any current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be able to make genetic medicine products that are similar to our product candidates or utilize similar genetic medicine technology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future collaborators might not have been the first to make the inventions covered by the issued patents or pending patent applications that we own or have exclusively licensed;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future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our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issued patents that we own or have exclusively licensed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develop additional proprietary technologies that are patentable;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may have an adverse effect on our business. </w:t>
      </w:r>
    </w:p>
    <w:p>
      <w:pPr>
        <w:pStyle w:val="TextBody"/>
        <w:bidi w:val="0"/>
        <w:spacing w:before="240" w:after="283"/>
        <w:jc w:val="both"/>
        <w:rPr>
          <w:rFonts w:ascii="Times New Roman" w:hAnsi="Times New Roman"/>
          <w:sz w:val="20"/>
        </w:rPr>
      </w:pPr>
      <w:r>
        <w:rPr>
          <w:rFonts w:ascii="Arial" w:hAnsi="Arial"/>
          <w:color w:val="000000"/>
          <w:sz w:val="20"/>
        </w:rPr>
        <w:t>Should any of these events occur, they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existing collaborations and 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existing collaborations, such as our collaboration with Otsuka Pharmaceutical Co., Ltd. and any future collaborations that we enter into may not be successful. The success of our collaboration arrangements will depend heavily on the efforts and activities of our collaborators. Collaborations are subject to numerous risks, which may include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have significant discretion in determining the efforts and resources that they will apply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and product candidates that compete directly or indirectly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 with marketing, manufacturing and distribution rights to one or more products and product candidates may not commit sufficient resources to or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us and a collaborator that causes the delay or termination of the research, development or commercialization of our current or future product candidates or that results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and, if terminated, may adversely affect the price of our common stock and may result in a need for additional capital to pursue further development or commercialization of the applicable current or future product candidates;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both"/>
        <w:rPr>
          <w:rFonts w:ascii="Arial" w:hAnsi="Arial"/>
          <w:b/>
          <w:i/>
          <w:color w:val="000000"/>
          <w:sz w:val="20"/>
        </w:rPr>
      </w:pPr>
      <w:r>
        <w:rPr>
          <w:rFonts w:ascii="Arial" w:hAnsi="Arial"/>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both"/>
        <w:rPr>
          <w:rFonts w:ascii="Times New Roman" w:hAnsi="Times New Roman"/>
          <w:sz w:val="20"/>
        </w:rPr>
      </w:pPr>
      <w:r>
        <w:rPr>
          <w:rFonts w:ascii="Arial" w:hAnsi="Arial"/>
          <w:color w:val="000000"/>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our proprietary technology and product candidates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sublicensing of patent and other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ownership of inventions and know-how resulting from the creation or use of intellectual property by us or our counterparties, alone or jointly;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duration of our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rights upon termination of such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duration of exclusivity obligations of each party to the agreement. </w:t>
      </w:r>
    </w:p>
    <w:p>
      <w:pPr>
        <w:pStyle w:val="TextBody"/>
        <w:bidi w:val="0"/>
        <w:spacing w:before="240" w:after="283"/>
        <w:jc w:val="both"/>
        <w:rPr>
          <w:rFonts w:ascii="Times New Roman" w:hAnsi="Times New Roman"/>
          <w:sz w:val="20"/>
        </w:rPr>
      </w:pPr>
      <w:r>
        <w:rPr>
          <w:rFonts w:ascii="Arial" w:hAnsi="Arial"/>
          <w:color w:val="000000"/>
          <w:sz w:val="20"/>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Litigation or other proceedings or third-party claims of intellectual property infringement could require us to spend significant time and money and could prevent us from selling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 in costly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prevent us from commercializing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pay damages to the party whose intellectual property rights we may be found to be infringing, which may include treble damages if we are found to have been willfully infringing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pay the attorney’s fees and costs of litigation to the party whose intellectual property rights we may be found to be infringing; and/or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us to enter into royalty or licensing agreements, which may not be available on commercially reasonable terms, or at all.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the patents of our licensors, which could be expensive, time consuming, and unsuccessful. Further, our issued patents could be found invalid or unenforceable if challenged.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product candidates through acquisitions and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collaborated with a U.S. academic institution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are unable to successfully obtain rights to required third-party intellectual property rights or maintain the existing intellectual property rights we have, we may have to abandon development of that program and our business could be seriously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induce valuable employees to remain at our company, in addition to salary and cash incentives, we have provided equity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our development plans and strategies evolve,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managing increasing operational and managerial complexity. </w:t>
      </w:r>
    </w:p>
    <w:p>
      <w:pPr>
        <w:pStyle w:val="TextBody"/>
        <w:bidi w:val="0"/>
        <w:spacing w:before="240" w:after="283"/>
        <w:jc w:val="both"/>
        <w:rPr>
          <w:rFonts w:ascii="Times New Roman" w:hAnsi="Times New Roman"/>
          <w:sz w:val="20"/>
        </w:rPr>
      </w:pPr>
      <w:r>
        <w:rPr>
          <w:rFonts w:ascii="Arial" w:hAnsi="Arial"/>
          <w:color w:val="000000"/>
          <w:sz w:val="20"/>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factors such as increased inflation or closure of or liquidity issues at financial institutions or other macro factors such as a pandemic or geopolitical tensions</w:t>
      </w:r>
      <w:r>
        <w:rPr>
          <w:rFonts w:ascii="Times New Roman" w:hAnsi="Times New Roman"/>
          <w:color w:val="FF0000"/>
          <w:sz w:val="20"/>
        </w:rPr>
        <w:t xml:space="preserve"> </w:t>
      </w:r>
      <w:r>
        <w:rPr>
          <w:rFonts w:ascii="Arial" w:hAnsi="Arial"/>
          <w:color w:val="000000"/>
          <w:sz w:val="20"/>
        </w:rPr>
        <w:t>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we engage in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information technology systems, or those used by our third-party research institution collaborators, CROs or other contractors or consultants, may fail or suffer security breaches and other disruptions.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clinical trial data, proprietary business information and personal information of our employees and contractors (collectively, “Confidential Information”). It is critical that we do so in a secure manner to maintain the confidentiality and integrity of such confidential information. Despite the implementation of security measures, our internal information technology systems and those of our collaborators, future CROs and other contractors and consultants may be vulnerable to attack, damage and interruption from computer viruses and malware (e.g. ransomware), malicious code, misconfigurations, “bugs” or other vulnerabilities, natural disasters, terrorism, war, telecommunication and electrical failures, hacking, cyberattacks, phishing attacks and other social engineering schemes, denial or degradation of service attacks, and sophisticated nation-state and nation-state supported actors.</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and our third party service providers and partners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Our third party service providers and partners are also subject to these heightened risks.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There can also be no assurance that our and our collaborators’, future CROs’ and other contractors’ and consultants’ cybersecurity risk management program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sz w:val="20"/>
        </w:rPr>
      </w:pPr>
      <w:r>
        <w:rPr>
          <w:rFonts w:ascii="Arial" w:hAnsi="Arial"/>
          <w:color w:val="000000"/>
          <w:sz w:val="20"/>
        </w:rPr>
        <w:t>We and certain of our service providers have experienced certain cyberattacks and security incidents from time to time. Although to our knowledge we have not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Confidential Information or other similar disruptions. 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Information, we could incur liability, our competitive position could be harmed, and the further development and commercialization of our product candidates could be delayed. Any losses, costs or liabilities may not be covered by, or may exceed the coverage limits of, any applicable insurance policies.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We may also be exposed to a risk of loss or litigation and potential liability, which could materially and adversely affect our business, results of operations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operations, and those of our CROs, CDMOs,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Actual or perceived failures to comply with applicable data protection, privacy and security laws, regulations, standards and other requirements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(collectively, “HIPAA”),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Furthermore, 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Europe, the European Union General Data Protection Regulation (the “EU GDPR”) and the United Kingdom General Data Protection Regulation and Data Protection Act 2018 (collectively, the “UK GDPR”) (the EU GDPR and UK GDPR together referred to as the “GDPR”) impose strict requirements for processing the personal data of individuals within the European Economic Area (“EEA”) and in the United Kingdom, respectively. Companies that must comply with the GDPR face increased compliance obligations and risk, including more robust regulatory enforcement of data protection requirements and potential fines for noncompliance of up to €20 million / £17.5 million or 4% of the annual global revenue of the noncompliant undertaking, whichever is greater. Since we are subject to the supervision of relevant data protection authorities under multiple legal regimes (including under both the EU GDPR and the UK GDPR), we could be fined under each of those regimes independently in respect of the same breach. In addition to fines, a breach of the GDPR may result in regulatory investigations, reputational damage, orders to cease or change our data processing activities, enforcement notices, assessment notices (for a compulsory audit) and/or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As the regulatory guidance and enforcement landscape in relation to data transfers continue to develop,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sz w:val="20"/>
        </w:rPr>
      </w:pPr>
      <w:r>
        <w:rPr>
          <w:rFonts w:ascii="Arial" w:hAnsi="Arial"/>
          <w:color w:val="000000"/>
          <w:sz w:val="20"/>
        </w:rPr>
        <w:t>Additionally, the Securities and Exchange Commission (the “SEC”) has adopted rules that enhance and standardize disclosures regarding cybersecurity risk management, strategy, and governance, as well as material cybersecurity incidents. Under these new rules, we are required to make annual disclosures describing our processes for assessing, identifying and managing material risks from cybersecurity threats, management’s role in assessing and managing such risks and our board of directors’ oversight of risks from cybersecurity threats. We are also required to disclose, in a Current Report on Form 8-K, the material aspects of the nature, scope and timing of any material cybersecurity incident and its material impact or reasonably likely material impact on us.</w:t>
      </w:r>
      <w:r>
        <w:rPr>
          <w:rFonts w:ascii="Times New Roman" w:hAnsi="Times New Roman"/>
          <w:color w:val="D13438"/>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we continue to expand into other foreign countries and jurisdictions, we may be subject to additional laws and regulations that may affect how we conduct business.</w:t>
      </w:r>
    </w:p>
    <w:p>
      <w:pPr>
        <w:pStyle w:val="TextBody"/>
        <w:bidi w:val="0"/>
        <w:spacing w:before="240" w:after="283"/>
        <w:jc w:val="both"/>
        <w:rPr>
          <w:rFonts w:ascii="Times New Roman" w:hAnsi="Times New Roman"/>
          <w:sz w:val="20"/>
        </w:rPr>
      </w:pPr>
      <w:r>
        <w:rPr>
          <w:rFonts w:ascii="Arial" w:hAnsi="Arial"/>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business may be affected by the evolving regulatory framework for AI Technologies.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use artificial intelligence (“AI”), machine learning, and automated decision-making technologies, (collectively, “AI Technologies”) in our business.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240" w:after="283"/>
        <w:jc w:val="both"/>
        <w:rPr>
          <w:rFonts w:ascii="Times New Roman" w:hAnsi="Times New Roman"/>
          <w:sz w:val="20"/>
        </w:rPr>
      </w:pPr>
      <w:r>
        <w:rPr>
          <w:rFonts w:ascii="Arial" w:hAnsi="Arial"/>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both"/>
        <w:rPr>
          <w:rFonts w:ascii="Times New Roman" w:hAnsi="Times New Roman"/>
          <w:sz w:val="20"/>
        </w:rPr>
      </w:pPr>
      <w:r>
        <w:rPr>
          <w:rFonts w:ascii="Arial" w:hAnsi="Arial"/>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tax laws or regulations that are applied adversely to us or our customers may seriously harm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pStyle w:val="TextBody"/>
        <w:bidi w:val="0"/>
        <w:spacing w:before="240" w:after="283"/>
        <w:jc w:val="both"/>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may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from, and any delays in, our clinical trials for our clinical-stage product candidates or any other future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develop our Therapeutic Vector Evolution platform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 including sanctions imposed by either the U.S. or foreign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expenses related to any of the research programs or product candidates that we may develop;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political instability, natural disasters, war and/or events of terrorism, such as the war between Ukraine and Russia, and the corresponding tensions created from such conflict between Russia, the United States and countries in Europe as well as other countries such as China, and the ongoing war in the Middle East;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macroeconomic factors such as higher inflation and increased interest rates and political uncertainty in the United States. Broad market and industry factors may seriously affect the market price of our common stock, regardless of our actual operating performance. Since the completion of our initial public offering in December 2020, the price of our common stock has been volatile, and we expect such volatility to continue.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trading market for our common stock relies in part on the research and reports that industry or financial analysts publish about us or our business.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Sales of a substantial number of shares of our common stock in the public market could occur at any time,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Further, 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seek additional capital through one or a combination of public and private equity offerings, debt financings, strategic partnerships and alliances, licensing arrangements, and the term loans under our Loan Agreement with Hercules.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Additionally, as of June 30, 2026, there are Pre-funded Warrants outstanding to purchase 16,935,665 shares of common stock, which are exercisable at a nominal exercise price. If holders of these Pre-funded Warrants exercise these securities, existing shareholders will suffer dilution to their voting power and we may experience dilution in our earnings per share, as well as a negative impact on our share price.</w:t>
      </w:r>
    </w:p>
    <w:p>
      <w:pPr>
        <w:pStyle w:val="TextBody"/>
        <w:bidi w:val="0"/>
        <w:spacing w:before="240" w:after="283"/>
        <w:jc w:val="both"/>
        <w:rPr>
          <w:rFonts w:ascii="Times New Roman" w:hAnsi="Times New Roman"/>
          <w:sz w:val="20"/>
        </w:rPr>
      </w:pPr>
      <w:r>
        <w:rPr>
          <w:rFonts w:ascii="Arial" w:hAnsi="Arial"/>
          <w:b/>
          <w:i/>
          <w:color w:val="000000"/>
          <w:sz w:val="20"/>
        </w:rPr>
        <w:t>Insiders have substantial influence over us,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directors, executive officers, holders of more than 5% of our outstanding stock and their respective affiliates beneficially own shares representing approximately 62% of our outstanding common stock as of June 30, 2026.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incur significant costs as a result of operating as a public company, and our management devotes substantial time to public company compliance initiatives. We may fail to comply with the rules that apply to public companies, including Section 404 of the Sarbanes-Oxley Act of 2002, which could result in sanctions or other penalties that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Section 404 of the Sarbanes-Oxley Act of 2002 (“Section 404”) requires an annual management assessment of the effectiveness of our internal control over financial reporting. While Section 404 also requires, among other things, that we assess the effectiveness of our internal control structure and procedures for financial reporting on an annual basis, for as long as we are a non-accelerated filer or a smaller reporting company, the registered public accounting firm that issues an audit report on our financial statements will not be required to attest to or report on the effectiveness of our internal control over financial reporting pursuant to Section 404. Our compliance with Section 404 requires that we incur substantial expense and expend significant management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provide our board of directors with the exclusive right to elect a director to fill a vacancy or newly created directorship;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for a staggered board, which will result in only a few directors being up for re-election in each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by a majority vote, to amend the bylaws;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the affirmative vote of at least 66 2/3% or more of the outstanding shares of our common stock to amend many of the provisions described above;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 the liability of, and provide indemnification to, our directors and officers.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240" w:after="283"/>
        <w:jc w:val="both"/>
        <w:rPr>
          <w:rFonts w:ascii="Times New Roman" w:hAnsi="Times New Roman"/>
          <w:sz w:val="20"/>
        </w:rPr>
      </w:pPr>
      <w:r>
        <w:rPr>
          <w:rFonts w:ascii="Arial" w:hAnsi="Arial"/>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retroactively amend our amended and restated bylaw provisions to reduce our indemnification obligations to directors, officers, employees and agents.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amended and restated certificate of incorporation and amended and restated bylaws provide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shall, to the fullest extent permitted by law, be the sole and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arising under the Securities Act, including all causes of action asserted against any defendant to such complaint. Nothing in our amended and restated certificate of incorporation and amended and restated bylaws precludes stockholders that assert claims under the Exchange Act from bringing such claims in state or federal court, subject to applicable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do not currently intend to pay dividends on our common stock, and, consequently,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do not currently intend to pay any cash dividends on our common stock for the foreseeable future. We currently intend to invest our future earnings, if any, to fund our growth. In addition, the terms of our Loan Agreement with Hercules may preclude us from paying dividends without the lender's consent or at all.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Unfavorable conditions in the global economy caused by global political unrest or conflicts, including the ongoing conflict between Russia and Ukraine and in the Middle East, may exacerbate certain risks we face.</w:t>
      </w:r>
    </w:p>
    <w:p>
      <w:pPr>
        <w:pStyle w:val="TextBody"/>
        <w:bidi w:val="0"/>
        <w:spacing w:before="240" w:after="283"/>
        <w:jc w:val="both"/>
        <w:rPr>
          <w:rFonts w:ascii="Arial" w:hAnsi="Arial"/>
          <w:color w:val="000000"/>
          <w:sz w:val="20"/>
        </w:rPr>
      </w:pPr>
      <w:r>
        <w:rPr>
          <w:rFonts w:ascii="Arial" w:hAnsi="Arial"/>
          <w:color w:val="000000"/>
          <w:sz w:val="20"/>
        </w:rPr>
        <w:t>Political unrest, international conflict, terrorism or war, such as Russia’s invasion of Ukraine and the armed conflict in the Middle East, and the global response to these conflicts, including the imposition of sanctions by the United States and other countries, could create or exacerbate risks facing our business. We have evaluated our operations and partner contracts, and we currently do not expect existing conflicts to directly have a significant effect on our financial condition or results of operations. However, if hostilities persist, escalate or expand, risks that we have identified in this Quarterly Report on Form 10-Q may be materially increased. For example, if our supply arrangements or clinical operations are disrupted due to expanded sanctions or involvement of countries where we have operations or relationships, our business could be materially disrupted. Further, the use of cyberattacks could expand as part of the ongoing conflicts, which could adversely affect our ability to maintain or enhance our cyber security measures. These and other risks are described more fully in this “Risk Factors” section.</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legal proceedings or claims against us could be costly and time-consuming to defend and could harm our reputation regardless of the outcome.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become subject to legal proceedings and claims that arise in the ordinary course of business, such as disputes or employment claims made by our current or former employees. Any litigation, whether meritorious or not, could harm our reputation,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decline in our share price. </w:t>
      </w:r>
    </w:p>
    <w:p>
      <w:pPr>
        <w:pStyle w:val="TextBody"/>
        <w:bidi w:val="0"/>
        <w:spacing w:before="240" w:after="283"/>
        <w:jc w:val="both"/>
        <w:rPr>
          <w:rFonts w:ascii="Times New Roman" w:hAnsi="Times New Roman"/>
          <w:sz w:val="20"/>
        </w:rPr>
      </w:pPr>
      <w:r>
        <w:rPr>
          <w:rFonts w:ascii="Arial" w:hAnsi="Arial"/>
          <w:color w:val="000000"/>
          <w:sz w:val="20"/>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research or commercial partners or collaborators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any contract manufacturers and suppliers we engage fail to comply with environmental, health, and safety laws and regulations, we could become subject to fines or penalties or incur costs that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could be negatively impacted by corporate citizenship and ESG matters and/or our reporting of such matters.</w:t>
      </w:r>
    </w:p>
    <w:p>
      <w:pPr>
        <w:pStyle w:val="TextBody"/>
        <w:bidi w:val="0"/>
        <w:spacing w:before="240" w:after="283"/>
        <w:jc w:val="both"/>
        <w:rPr>
          <w:rFonts w:ascii="Arial" w:hAnsi="Arial"/>
          <w:color w:val="000000"/>
          <w:sz w:val="20"/>
        </w:rPr>
      </w:pPr>
      <w:r>
        <w:rPr>
          <w:rFonts w:ascii="Arial" w:hAnsi="Arial"/>
          <w:color w:val="000000"/>
          <w:sz w:val="20"/>
        </w:rPr>
        <w:t>Institutional, individual, and other investors, proxy advisory services, regulatory authorities, consumers and other stakeholders have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6" w:name="unregistered_sales_of_securities"/>
      <w:bookmarkEnd w:id="16"/>
      <w:r>
        <w:rPr>
          <w:rFonts w:ascii="Arial" w:hAnsi="Arial"/>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Times New Roman" w:hAnsi="Times New Roman"/>
          <w:sz w:val="20"/>
        </w:rPr>
      </w:pPr>
      <w:r>
        <w:rPr>
          <w:rFonts w:ascii="Arial" w:hAnsi="Arial"/>
          <w:b/>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7" w:name="default_upon_senior_securities"/>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8" w:name="mine_safety_disclosures"/>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Times New Roman" w:hAnsi="Times New Roman"/>
          <w:sz w:val="20"/>
        </w:rPr>
      </w:pPr>
      <w:bookmarkStart w:id="19" w:name="other_information"/>
      <w:bookmarkEnd w:id="19"/>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Insider Trading Arrangements</w:t>
      </w:r>
    </w:p>
    <w:p>
      <w:pPr>
        <w:pStyle w:val="TextBody"/>
        <w:bidi w:val="0"/>
        <w:spacing w:before="240" w:after="283"/>
        <w:jc w:val="both"/>
        <w:rPr>
          <w:rFonts w:ascii="Arial" w:hAnsi="Arial"/>
          <w:color w:val="000000"/>
          <w:sz w:val="20"/>
        </w:rPr>
      </w:pPr>
      <w:r>
        <w:rPr>
          <w:rFonts w:ascii="Arial" w:hAnsi="Arial"/>
          <w:color w:val="000000"/>
          <w:sz w:val="20"/>
        </w:rPr>
        <w:t>During the fiscal quarter ended June 30, 2026,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jc w:val="left"/>
        <w:rPr/>
      </w:pPr>
      <w:r>
        <w:rPr/>
        <w:t>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20" w:name="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
        <w:gridCol w:w="146"/>
        <w:gridCol w:w="5903"/>
        <w:gridCol w:w="146"/>
        <w:gridCol w:w="546"/>
        <w:gridCol w:w="146"/>
        <w:gridCol w:w="642"/>
        <w:gridCol w:w="146"/>
        <w:gridCol w:w="736"/>
        <w:gridCol w:w="146"/>
        <w:gridCol w:w="857"/>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7"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12/15/20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10/02/25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Description of Securities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3/18/2026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12/7/20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Form of Pre-Funded Warrant issued in conjunction with February 2024 Offering.</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2/9/24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Form of Pre-Funded Warrant issued in conjunction with November 2024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11/13/24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Form of Pre-Funded Warrant issued in conjunction with December 2024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12/11/24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Form of Pre-Funded Warrant issued in conjunction with November 2025 Offering.</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11/7/25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Form of Pre-Funded Warrant issued in conjunction with January 2026 Exchange.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1/26/26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10_1.htm">
              <w:r>
                <w:rPr>
                  <w:rStyle w:val="InternetLink"/>
                  <w:rFonts w:ascii="Arial" w:hAnsi="Arial"/>
                  <w:color w:val="0000FF"/>
                  <w:sz w:val="20"/>
                  <w:u w:val="single"/>
                </w:rPr>
                <w:t>Loan and Security Agreement, dated June 24, 2026, between the Registrant, the several banks and other financial institutions or entities from time to time party thereto, and Hercules Capital,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X</w:t>
            </w:r>
          </w:p>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1_1.htm">
              <w:r>
                <w:rPr>
                  <w:rStyle w:val="InternetLink"/>
                  <w:rFonts w:ascii="Arial" w:hAnsi="Arial"/>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1_2.htm">
              <w:r>
                <w:rPr>
                  <w:rStyle w:val="InternetLink"/>
                  <w:rFonts w:ascii="Arial" w:hAnsi="Arial"/>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hyperlink w:anchor="fdmt-ex32_1.htm">
              <w:r>
                <w:rPr>
                  <w:rStyle w:val="InternetLink"/>
                  <w:rFonts w:ascii="Arial" w:hAnsi="Arial"/>
                  <w:color w:val="0000FF"/>
                  <w:sz w:val="20"/>
                  <w:u w:val="single"/>
                </w:rPr>
                <w:t>Certifications of the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Inline XBRL Taxonomy Extension Schema With Embedded</w:t>
            </w:r>
            <w:r>
              <w:rPr>
                <w:rFonts w:ascii="Times New Roman" w:hAnsi="Times New Roman"/>
                <w:color w:val="545454"/>
                <w:sz w:val="20"/>
              </w:rPr>
              <w:t xml:space="preserve"> </w:t>
            </w:r>
            <w:r>
              <w:rPr>
                <w:rFonts w:ascii="Arial" w:hAnsi="Arial"/>
                <w:color w:val="000000"/>
                <w:sz w:val="20"/>
              </w:rPr>
              <w:t>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cover page from the Company’s Quarterly Report on Form 10-Q for the three months ended June 30, 2026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 Certain confidential portions (indicated by brackets and asterisks) have been omitted from this exhibit pursuant to Item 601(b)(10) of Regulation S-K because they are both (i) not material and (ii) the type of information that the Company treats as private or confidential.</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 The certifications attached as Exhibit 32.1 that accompany this Quarterly Report on Form 10-Q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left"/>
        <w:rPr>
          <w:rFonts w:ascii="Times New Roman" w:hAnsi="Times New Roman"/>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r>
        <w:rPr>
          <w:rFonts w:ascii="Arial" w:hAnsi="Arial"/>
          <w:b/>
          <w:color w:val="000000"/>
          <w:sz w:val="20"/>
        </w:rPr>
        <w:t>.</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2071"/>
        <w:gridCol w:w="146"/>
        <w:gridCol w:w="406"/>
        <w:gridCol w:w="447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4D Molecular Therapeutics,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Kirn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Kirn,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Chief Executive Officer and Director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Date: August 13, 2026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Kristian Humer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Kristian Humer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22" w:name="fdmt-ex10_1.htm"/>
      <w:bookmarkStart w:id="23" w:name="ksfdmtex10_1"/>
      <w:bookmarkEnd w:id="22"/>
      <w:bookmarkEnd w:id="23"/>
      <w:r>
        <w:rPr>
          <w:rFonts w:ascii="Times New Roman" w:hAnsi="Times New Roman"/>
          <w:b/>
          <w:color w:val="000000"/>
          <w:sz w:val="24"/>
        </w:rPr>
        <w:t>Exhibit 10.1</w:t>
      </w:r>
      <w:r>
        <w:br w:type="page"/>
      </w:r>
    </w:p>
    <w:p>
      <w:pPr>
        <w:pStyle w:val="TextBody"/>
        <w:bidi w:val="0"/>
        <w:spacing w:before="240" w:after="120"/>
        <w:jc w:val="center"/>
        <w:rPr>
          <w:rFonts w:ascii="Times New Roman" w:hAnsi="Times New Roman"/>
          <w:b/>
          <w:caps/>
          <w:color w:val="000000"/>
          <w:sz w:val="22"/>
        </w:rPr>
      </w:pPr>
      <w:r>
        <w:rPr>
          <w:rFonts w:ascii="Times New Roman" w:hAnsi="Times New Roman"/>
          <w:b/>
          <w:caps/>
          <w:color w:val="000000"/>
          <w:sz w:val="22"/>
        </w:rPr>
        <w:t>CERTAIN IDENTIFIED INFORMATION HAS BEEN EXCLUDED FROM THE EXHIBIT BECAUSE IT IS BOTH (I) NOT MATERIAL AND (II) IS THE TYPE THAT THE COMPANY TREATS AS PRIVATE OR CONFIDENTIAL.</w:t>
      </w:r>
    </w:p>
    <w:p>
      <w:pPr>
        <w:pStyle w:val="TextBody"/>
        <w:bidi w:val="0"/>
        <w:spacing w:before="120" w:after="120"/>
        <w:jc w:val="center"/>
        <w:rPr>
          <w:rFonts w:ascii="Times New Roman" w:hAnsi="Times New Roman"/>
          <w:sz w:val="20"/>
        </w:rPr>
      </w:pPr>
      <w:r>
        <w:rPr>
          <w:rFonts w:ascii="Times New Roman" w:hAnsi="Times New Roman"/>
          <w:caps/>
          <w:color w:val="000000"/>
          <w:sz w:val="22"/>
        </w:rPr>
        <w:t>LOAN AND SECURITY AGREEMENT</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LOAN AND SECURITY AGREEMENT is made and dated as of June 24, 2026 and is entered into by and among </w:t>
      </w:r>
      <w:r>
        <w:rPr>
          <w:rFonts w:ascii="Times New Roman" w:hAnsi="Times New Roman"/>
          <w:b/>
          <w:color w:val="000000"/>
          <w:sz w:val="22"/>
        </w:rPr>
        <w:t>4D MOLECULAR THERAPEUTICS, INC.</w:t>
      </w:r>
      <w:r>
        <w:rPr>
          <w:rFonts w:ascii="Times New Roman" w:hAnsi="Times New Roman"/>
          <w:color w:val="000000"/>
          <w:sz w:val="22"/>
        </w:rPr>
        <w:t>,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each other Person that has delivered a Joinder Agreement pursuant to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from time to time party hereto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hereto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Lenders (in such capacity, including any successors or assigns,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Borrower has requested Lenders make available to Borrower up to seven (7) tranches of term loans in an aggregate principal amount of up to Two Hundred Million Dollars ($200,000,000) (the “</w:t>
      </w:r>
      <w:r>
        <w:rPr>
          <w:rFonts w:ascii="Times New Roman" w:hAnsi="Times New Roman"/>
          <w:color w:val="000000"/>
          <w:sz w:val="22"/>
          <w:u w:val="single"/>
        </w:rPr>
        <w:t>Term Loans</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Lenders are willing to make the Term Loans on the terms and conditions set forth in this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Borrower, Agent and Lenders agree as follows: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 </w:t>
      </w:r>
      <w:r>
        <w:rPr>
          <w:rFonts w:ascii="Times New Roman" w:hAnsi="Times New Roman"/>
          <w:b/>
          <w:caps/>
          <w:color w:val="000000"/>
          <w:sz w:val="22"/>
          <w:u w:val="single"/>
        </w:rPr>
        <w:t>DEFINITIONS AND RULES OF CONSTRUCTION</w:t>
      </w:r>
    </w:p>
    <w:p>
      <w:pPr>
        <w:pStyle w:val="TextBody"/>
        <w:bidi w:val="0"/>
        <w:spacing w:before="0" w:after="240"/>
        <w:jc w:val="both"/>
        <w:rPr>
          <w:rFonts w:ascii="Times New Roman" w:hAnsi="Times New Roman"/>
          <w:sz w:val="20"/>
        </w:rPr>
      </w:pPr>
      <w:r>
        <w:rPr>
          <w:rFonts w:ascii="Times New Roman" w:hAnsi="Times New Roman"/>
          <w:color w:val="000000"/>
          <w:sz w:val="22"/>
        </w:rPr>
        <w:t>1.1</w:t>
      </w:r>
      <w:r>
        <w:rPr>
          <w:rFonts w:ascii="Times New Roman" w:hAnsi="Times New Roman"/>
          <w:color w:val="000000"/>
          <w:sz w:val="20"/>
        </w:rPr>
        <w:t xml:space="preserve"> </w:t>
      </w:r>
      <w:r>
        <w:rPr>
          <w:rFonts w:ascii="Times New Roman" w:hAnsi="Times New Roman"/>
          <w:color w:val="000000"/>
          <w:sz w:val="22"/>
        </w:rPr>
        <w:t>Unless otherwise defined herein, the following capitalized terms shall have the following meanings:</w:t>
      </w:r>
    </w:p>
    <w:p>
      <w:pPr>
        <w:pStyle w:val="TextBody"/>
        <w:bidi w:val="0"/>
        <w:spacing w:before="0" w:after="240"/>
        <w:jc w:val="both"/>
        <w:rPr/>
      </w:pPr>
      <w:r>
        <w:rPr>
          <w:color w:val="000000"/>
        </w:rPr>
        <w:t>“</w:t>
      </w:r>
      <w:r>
        <w:rPr>
          <w:rFonts w:ascii="Times New Roman" w:hAnsi="Times New Roman"/>
          <w:color w:val="000000"/>
          <w:sz w:val="22"/>
          <w:u w:val="single"/>
        </w:rPr>
        <w:t>4D-150</w:t>
      </w:r>
      <w:r>
        <w:rPr>
          <w:rFonts w:ascii="Times New Roman" w:hAnsi="Times New Roman"/>
          <w:color w:val="000000"/>
          <w:sz w:val="20"/>
        </w:rPr>
        <w:t xml:space="preserve">” </w:t>
      </w:r>
      <w:r>
        <w:rPr>
          <w:rFonts w:ascii="Times New Roman" w:hAnsi="Times New Roman"/>
          <w:color w:val="000000"/>
          <w:sz w:val="22"/>
        </w:rPr>
        <w:t>means the Company’s gene therapy product candidate known as 4D-150 (including any product containing the same or substantially similar transgene and viral vector construct), in any dosage form, formulation, strength, mode of administration, delivery mechanism, presentation, or package configuration, including any improvement, modification, enhancement, reformulation, next-generation version, or line extension thereof.</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Agent, Borrower and a third-party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 xml:space="preserve">means the ACH Debit Authorization Agreement in substantially the form of </w:t>
      </w:r>
      <w:r>
        <w:rPr>
          <w:rFonts w:ascii="Times New Roman" w:hAnsi="Times New Roman"/>
          <w:color w:val="000000"/>
          <w:sz w:val="22"/>
          <w:u w:val="single"/>
        </w:rPr>
        <w:t>Exhibit H</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4903-2991-9916v.14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any Permitted Licenses), any product, product line or intellectual property of or from any other Person.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Advance(s)</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any Person (a) that directly or indirectly controls, is controlled by, or is under common control with the Person in question, (b) directly or indirectly owning, controlling or holding with power to vote fifteen percent (15%) or more of the outstanding voting securities of another Person, or (c) fifteen percent (15%)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Loan and Security Agreement,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controlled Affiliates from time to time concerning or relating to bribery or corruption, including without limitation the United States Foreign Corrupt Practices Act of 1977, as amended, the UK Bribery Act 2010 and other similar legislation in any other jurisdictions.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Anti</w:t>
        <w:noBreakHyphen/>
        <w:t>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Biologics License Application</w:t>
      </w:r>
      <w:r>
        <w:rPr>
          <w:rFonts w:ascii="Times New Roman" w:hAnsi="Times New Roman"/>
          <w:color w:val="000000"/>
          <w:sz w:val="20"/>
        </w:rPr>
        <w:t xml:space="preserve">” </w:t>
      </w:r>
      <w:r>
        <w:rPr>
          <w:rFonts w:ascii="Times New Roman" w:hAnsi="Times New Roman"/>
          <w:color w:val="000000"/>
          <w:sz w:val="22"/>
        </w:rPr>
        <w:t>means an application for licensure of a biological product submitted to the FDA under 42 U.S.C. § 262(a) for permission to introduce, or deliver for introduction, a biologic product into interstate commerce.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Order No. 13224, or (e)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Board Approved Forecast</w:t>
      </w:r>
      <w:r>
        <w:rPr>
          <w:rFonts w:ascii="Times New Roman" w:hAnsi="Times New Roman"/>
          <w:color w:val="000000"/>
          <w:sz w:val="20"/>
        </w:rPr>
        <w:t xml:space="preserve">” </w:t>
      </w:r>
      <w:r>
        <w:rPr>
          <w:rFonts w:ascii="Times New Roman" w:hAnsi="Times New Roman"/>
          <w:color w:val="000000"/>
          <w:sz w:val="22"/>
        </w:rPr>
        <w:t xml:space="preserve">means the Net Product Revenue projections approved by Company’s Board of Directors and delivered after satisfaction of the Approval Milestone in accordance with </w:t>
      </w:r>
      <w:r>
        <w:rPr>
          <w:rFonts w:ascii="Times New Roman" w:hAnsi="Times New Roman"/>
          <w:color w:val="000000"/>
          <w:sz w:val="22"/>
          <w:u w:val="single"/>
        </w:rPr>
        <w:t>Section 7.1(i)</w:t>
      </w:r>
      <w:r>
        <w:rPr>
          <w:rFonts w:ascii="Times New Roman" w:hAnsi="Times New Roman"/>
          <w:color w:val="000000"/>
          <w:sz w:val="22"/>
        </w:rPr>
        <w:t>, which projections must be acceptable to Agent in its reasonable discretion.</w:t>
      </w:r>
    </w:p>
    <w:p>
      <w:pPr>
        <w:pStyle w:val="TextBody"/>
        <w:bidi w:val="0"/>
        <w:spacing w:before="0" w:after="240"/>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0"/>
        </w:rPr>
        <w:t xml:space="preserve">” </w:t>
      </w:r>
      <w:r>
        <w:rPr>
          <w:rFonts w:ascii="Times New Roman" w:hAnsi="Times New Roman"/>
          <w:color w:val="000000"/>
          <w:sz w:val="22"/>
        </w:rPr>
        <w:t>means, with respect to any Person that is a corporation, its board of directors, with respect to any Person that is a limited liability company, its board of managers, board of members or similar governing body, and with respect to any other Person that is another form of a legal entity, such Person’s governing body in accordance with its Organizational Documents.</w:t>
      </w:r>
    </w:p>
    <w:p>
      <w:pPr>
        <w:pStyle w:val="TextBody"/>
        <w:bidi w:val="0"/>
        <w:spacing w:before="0" w:after="240"/>
        <w:jc w:val="both"/>
        <w:rPr/>
      </w:pPr>
      <w:r>
        <w:rPr>
          <w:color w:val="000000"/>
        </w:rPr>
        <w:t>“</w:t>
      </w:r>
      <w:r>
        <w:rPr>
          <w:rFonts w:ascii="Times New Roman" w:hAnsi="Times New Roman"/>
          <w:color w:val="000000"/>
          <w:sz w:val="22"/>
          <w:u w:val="single"/>
        </w:rPr>
        <w:t>Borrower Product Activities</w:t>
      </w:r>
      <w:r>
        <w:rPr>
          <w:rFonts w:ascii="Times New Roman" w:hAnsi="Times New Roman"/>
          <w:color w:val="000000"/>
          <w:sz w:val="20"/>
        </w:rPr>
        <w:t xml:space="preserve">” </w:t>
      </w:r>
      <w:r>
        <w:rPr>
          <w:rFonts w:ascii="Times New Roman" w:hAnsi="Times New Roman"/>
          <w:color w:val="000000"/>
          <w:sz w:val="22"/>
        </w:rPr>
        <w:t>means the research, design, development, manufacture, production, use, commercialization, marketing, importing, storage, transport, offer for sale, distribution or sale of the Borrower Products.</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or that are under clinical investigation or development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or any of its Subsidiaries (if any) since its incorporation.</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New York are closed for business.</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 in each case, excluding Digital Assets.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 at any time, any “person” or “group” (as such terms are used in Sections 13(d) and 14(d) of Securities Exchange Act of 1934, as amended), shall become, or obtain rights (whether by means of warrants, options or otherwise) to become, the “beneficial owner” (as defined in Rules 13(d)-3 and 13(d)</w:t>
        <w:noBreakHyphen/>
        <w:t>5 under Securities Exchange Act of 1934, as amended), directly or indirectly, of fifty percent (50.0%) or more of the ordinary voting power for the election of directors, partners, managers and members, as applicable, of Company (determined on a fully diluted basis); (b) [reserved]; (c) at any time, Company shall cease to own and control, of record and beneficially, directly or indirectly, one hundred percent (100.0%) of each class of outstanding stock, partnership, membership, or other ownership interest or other equity securities of each Subsidiary of Company free and clear of all Liens (other than Permitted Liens); or (d) any “change of control”, “fundamental change” or any comparable term under and as defined in any indenture governing any Permitted Convertible Debt Financing has occurred.</w:t>
      </w:r>
    </w:p>
    <w:p>
      <w:pPr>
        <w:pStyle w:val="TextBody"/>
        <w:bidi w:val="0"/>
        <w:spacing w:before="0" w:after="240"/>
        <w:jc w:val="both"/>
        <w:rPr/>
      </w:pPr>
      <w:r>
        <w:rPr>
          <w:color w:val="000000"/>
        </w:rPr>
        <w:t>“</w:t>
      </w:r>
      <w:r>
        <w:rPr>
          <w:rFonts w:ascii="Times New Roman" w:hAnsi="Times New Roman"/>
          <w:color w:val="000000"/>
          <w:sz w:val="22"/>
          <w:u w:val="single"/>
        </w:rPr>
        <w:t>Charter</w:t>
      </w:r>
      <w:r>
        <w:rPr>
          <w:rFonts w:ascii="Times New Roman" w:hAnsi="Times New Roman"/>
          <w:color w:val="000000"/>
          <w:sz w:val="20"/>
        </w:rPr>
        <w:t xml:space="preserve">” </w:t>
      </w:r>
      <w:r>
        <w:rPr>
          <w:rFonts w:ascii="Times New Roman" w:hAnsi="Times New Roman"/>
          <w:color w:val="000000"/>
          <w:sz w:val="22"/>
        </w:rPr>
        <w:t>means, with respect to any Person, such Person’s incorporation, formation or equivalent documents,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Collateral Claim</w:t>
      </w:r>
      <w:r>
        <w:rPr>
          <w:rFonts w:ascii="Times New Roman" w:hAnsi="Times New Roman"/>
          <w:color w:val="000000"/>
          <w:sz w:val="20"/>
        </w:rPr>
        <w:t xml:space="preserve">” </w:t>
      </w:r>
      <w:r>
        <w:rPr>
          <w:rFonts w:ascii="Times New Roman" w:hAnsi="Times New Roman"/>
          <w:color w:val="000000"/>
          <w:sz w:val="22"/>
        </w:rPr>
        <w:t>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premiums.</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$0.0001 par value per share, of Company.</w:t>
      </w:r>
    </w:p>
    <w:p>
      <w:pPr>
        <w:pStyle w:val="TextBody"/>
        <w:bidi w:val="0"/>
        <w:spacing w:before="0" w:after="240"/>
        <w:jc w:val="left"/>
        <w:rPr/>
      </w:pPr>
      <w:r>
        <w:rPr>
          <w:color w:val="000000"/>
        </w:rPr>
        <w:t>“</w:t>
      </w:r>
      <w:r>
        <w:rPr>
          <w:rFonts w:ascii="Times New Roman" w:hAnsi="Times New Roman"/>
          <w:color w:val="000000"/>
          <w:sz w:val="22"/>
          <w:u w:val="single"/>
        </w:rPr>
        <w:t>Company IP</w:t>
      </w:r>
      <w:r>
        <w:rPr>
          <w:rFonts w:ascii="Times New Roman" w:hAnsi="Times New Roman"/>
          <w:color w:val="000000"/>
          <w:sz w:val="20"/>
        </w:rPr>
        <w:t xml:space="preserve">” </w:t>
      </w:r>
      <w:r>
        <w:rPr>
          <w:rFonts w:ascii="Times New Roman" w:hAnsi="Times New Roman"/>
          <w:color w:val="000000"/>
          <w:sz w:val="22"/>
        </w:rPr>
        <w:t>means any and all of the following, as they exist in and throughout the United States of America: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Current Company IP;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trade secrets and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results of experimentation and testing, including samples, in each case as specifically related to the Borrower Product Activities;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and all IP Ancillary Rights specifically relating to any of the foregoing; and</w:t>
      </w:r>
    </w:p>
    <w:p>
      <w:pPr>
        <w:pStyle w:val="TextBody"/>
        <w:bidi w:val="0"/>
        <w:spacing w:before="0" w:after="240"/>
        <w:jc w:val="both"/>
        <w:rPr>
          <w:rFonts w:ascii="Times New Roman" w:hAnsi="Times New Roman"/>
          <w:sz w:val="20"/>
        </w:rPr>
      </w:pPr>
      <w:r>
        <w:rPr>
          <w:rFonts w:ascii="Times New Roman" w:hAnsi="Times New Roman"/>
          <w:color w:val="000000"/>
          <w:sz w:val="22"/>
        </w:rPr>
        <w:t>(e) regulatory filings, submissions and approvals, and all data provided in any of the foregoing, related to the Borrower Product Activities.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in the form attached hereto as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lease (excluding operating leases of real property), dividend, letter of credit or other obligation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Company.</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Core Product Assets</w:t>
      </w:r>
      <w:r>
        <w:rPr>
          <w:rFonts w:ascii="Times New Roman" w:hAnsi="Times New Roman"/>
          <w:color w:val="000000"/>
          <w:sz w:val="20"/>
        </w:rPr>
        <w:t xml:space="preserve">” </w:t>
      </w:r>
      <w:r>
        <w:rPr>
          <w:rFonts w:ascii="Times New Roman" w:hAnsi="Times New Roman"/>
          <w:color w:val="000000"/>
          <w:sz w:val="22"/>
        </w:rPr>
        <w:t>means [* * *].</w:t>
      </w:r>
    </w:p>
    <w:p>
      <w:pPr>
        <w:pStyle w:val="TextBody"/>
        <w:bidi w:val="0"/>
        <w:spacing w:before="0" w:after="240"/>
        <w:jc w:val="both"/>
        <w:rPr/>
      </w:pPr>
      <w:r>
        <w:rPr>
          <w:color w:val="000000"/>
        </w:rPr>
        <w:t>“</w:t>
      </w:r>
      <w:r>
        <w:rPr>
          <w:rFonts w:ascii="Times New Roman" w:hAnsi="Times New Roman"/>
          <w:color w:val="000000"/>
          <w:sz w:val="22"/>
          <w:u w:val="single"/>
        </w:rPr>
        <w:t>Current Company IP</w:t>
      </w:r>
      <w:r>
        <w:rPr>
          <w:rFonts w:ascii="Times New Roman" w:hAnsi="Times New Roman"/>
          <w:color w:val="000000"/>
          <w:sz w:val="20"/>
        </w:rPr>
        <w:t xml:space="preserve">” </w:t>
      </w:r>
      <w:r>
        <w:rPr>
          <w:rFonts w:ascii="Times New Roman" w:hAnsi="Times New Roman"/>
          <w:color w:val="000000"/>
          <w:sz w:val="22"/>
        </w:rPr>
        <w:t xml:space="preserve">means any pending, registered or in-licensed Intellectual Property that, individually or taken together with any other such Intellectual Property, is material to the business of Borrower and its Subsidiaries, taken as a whole, relating to the Borrower Product Activities, and is owned or co-owned by or exclusively licensed to Borrower or any of its Subsidiaries, as set forth on </w:t>
      </w:r>
      <w:r>
        <w:rPr>
          <w:rFonts w:ascii="Times New Roman" w:hAnsi="Times New Roman"/>
          <w:color w:val="000000"/>
          <w:sz w:val="22"/>
          <w:u w:val="single"/>
        </w:rPr>
        <w:t>Schedule 5.10(a)</w:t>
      </w:r>
      <w:r>
        <w:rPr>
          <w:rFonts w:ascii="Times New Roman" w:hAnsi="Times New Roman"/>
          <w:color w:val="000000"/>
          <w:sz w:val="20"/>
        </w:rPr>
        <w:t xml:space="preserve"> </w:t>
      </w:r>
      <w:r>
        <w:rPr>
          <w:rFonts w:ascii="Times New Roman" w:hAnsi="Times New Roman"/>
          <w:color w:val="000000"/>
          <w:sz w:val="22"/>
        </w:rPr>
        <w:t>or in the most recently delivered Compliance Certificate.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circumstance or condition that has occurred or exists, that would, with the passage of time or the requirement that notice be given or both, become an Event of Default.</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pPr>
      <w:r>
        <w:rPr>
          <w:color w:val="000000"/>
        </w:rPr>
        <w:t>“</w:t>
      </w:r>
      <w:r>
        <w:rPr>
          <w:rFonts w:ascii="Times New Roman" w:hAnsi="Times New Roman"/>
          <w:color w:val="000000"/>
          <w:sz w:val="22"/>
          <w:u w:val="single"/>
        </w:rPr>
        <w:t>Digital Assets</w:t>
      </w:r>
      <w:r>
        <w:rPr>
          <w:rFonts w:ascii="Times New Roman" w:hAnsi="Times New Roman"/>
          <w:color w:val="000000"/>
          <w:sz w:val="20"/>
        </w:rPr>
        <w:t xml:space="preserve">” </w:t>
      </w:r>
      <w:r>
        <w:rPr>
          <w:rFonts w:ascii="Times New Roman" w:hAnsi="Times New Roman"/>
          <w:color w:val="000000"/>
          <w:sz w:val="22"/>
        </w:rPr>
        <w:t>means all cryptocurrencies, virtual currencies, coins, tokens and other digital assets.</w:t>
      </w:r>
    </w:p>
    <w:p>
      <w:pPr>
        <w:pStyle w:val="TextBody"/>
        <w:bidi w:val="0"/>
        <w:spacing w:before="0" w:after="240"/>
        <w:jc w:val="both"/>
        <w:rPr/>
      </w:pPr>
      <w:r>
        <w:rPr>
          <w:color w:val="000000"/>
        </w:rPr>
        <w:t>“</w:t>
      </w:r>
      <w:r>
        <w:rPr>
          <w:rFonts w:ascii="Times New Roman" w:hAnsi="Times New Roman"/>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 xml:space="preserve">means any Equity Interests that, by their terms (or by the terms of any security or other Equity Interests into which they are convertible or for which they are exchangeable), or upon the happening of any event or condition (a) mature (excluding any maturity as the result of optional redemption by the issuer thereof, so long as financed by a source other than the balance sheet of Borrower or any of its Subsidiaries, which such financing shall mature no earlier than the day after the Term Loan Maturity Date)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Secured Obligations), (b) are redeemable at the option (except as a result of a change of control or asset sale so long as any rights of the holders thereof upon the occurrence of a change of control or asset sale event shall be subject to the prior repayment in full of the Secured Obligations) of the holder thereof (other than solely for Qualified Equity Interests), in whole or in part, (c) provide for scheduled payments of dividends in Cash, or (d) are or become convertible into or exchangeable for Indebtedness or any other Equity Interests that would constitute Disqualified Equity Interests, in each case, prior to the date that is one hundred fifty (150) days after the Term Loan Maturity Date (other than (i) following repayment in full of the Secured Obligations or (ii) upon a “change in control”;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any payment required pursuant to this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is subject to the prior repayment</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full of the Secured Obligations);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such Equity Interests are issued to any employee or to any plan for the benefit of employees of the Borrower or the Subsidiaries or by any such plan to such employees, such Equity Interests shall not constitute Disqualified Equity Interests solely because they may be required to be repurchased by the Borrower or its Subsidiaries in order to satisfy applicable statutory or regulatory obligations or as a result of such employee’s termination, death or disability.</w:t>
      </w:r>
    </w:p>
    <w:p>
      <w:pPr>
        <w:pStyle w:val="TextBody"/>
        <w:bidi w:val="0"/>
        <w:spacing w:before="0" w:after="240"/>
        <w:jc w:val="both"/>
        <w:rPr/>
      </w:pPr>
      <w:r>
        <w:rPr>
          <w:color w:val="000000"/>
        </w:rPr>
        <w:t>“</w:t>
      </w:r>
      <w:r>
        <w:rPr>
          <w:rFonts w:ascii="Times New Roman" w:hAnsi="Times New Roman"/>
          <w:color w:val="000000"/>
          <w:sz w:val="22"/>
          <w:u w:val="single"/>
        </w:rPr>
        <w:t>Division</w:t>
      </w:r>
      <w:r>
        <w:rPr>
          <w:rFonts w:ascii="Times New Roman" w:hAnsi="Times New Roman"/>
          <w:color w:val="000000"/>
          <w:sz w:val="20"/>
        </w:rPr>
        <w:t xml:space="preserve">” </w:t>
      </w:r>
      <w:r>
        <w:rPr>
          <w:rFonts w:ascii="Times New Roman" w:hAnsi="Times New Roman"/>
          <w:color w:val="000000"/>
          <w:sz w:val="22"/>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Enforcement Action</w:t>
      </w:r>
      <w:r>
        <w:rPr>
          <w:rFonts w:ascii="Times New Roman" w:hAnsi="Times New Roman"/>
          <w:color w:val="000000"/>
          <w:sz w:val="20"/>
        </w:rPr>
        <w:t xml:space="preserve">” </w:t>
      </w:r>
      <w:r>
        <w:rPr>
          <w:rFonts w:ascii="Times New Roman" w:hAnsi="Times New Roman"/>
          <w:color w:val="000000"/>
          <w:sz w:val="22"/>
        </w:rPr>
        <w:t>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 provided that “Equity Interests” shall not include at any time (i) Permitted Convertible Debt until such Permitted Convertible Debt has been converted pursuant to the terms thereof or (ii) any Permitted Bond Hedge Transaction or Permitted Warrant Transaction until any Equity Interests have been issued pursuant to the terms thereof.</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means any of the following Deposit Accounts which are designated as such in writing to Agent as of the Closing Date or, with respect to any Deposit Account opened after the Closing Date, in the next Compliance Certificate delivered after such Deposit Account is opened: (a) Deposit Accounts exclusively used for payroll, payroll taxes, and other employee wage and benefit payments to or for the benefit of Borrower’s employees holding an aggregate amount across all such accounts of not more than amounts needed for the then-next two (2) payroll cycles, (b) any Deposit Account which is a zero-balance disbursement account, (c) any Deposit Account which is solely used for disbursements and payments of withheld income taxes, payroll taxes and/or federal, state or local employee taxes, or (d) accounts used exclusively to maintain cash collateral subject to a Permitted Lien, (e) any Deposit Account which is solely used as a trust account, escrow account, or other fiduciary account.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FDA</w:t>
      </w:r>
      <w:r>
        <w:rPr>
          <w:color w:val="000000"/>
        </w:rPr>
        <w:t xml:space="preserve">” </w:t>
      </w:r>
      <w:r>
        <w:rPr>
          <w:rFonts w:ascii="Times New Roman" w:hAnsi="Times New Roman"/>
          <w:color w:val="000000"/>
          <w:sz w:val="22"/>
        </w:rPr>
        <w:t>means the U.S. Food and Drug Administration or any successor thereto.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FDA Laws</w:t>
      </w:r>
      <w:r>
        <w:rPr>
          <w:color w:val="000000"/>
        </w:rPr>
        <w:t xml:space="preserve">” </w:t>
      </w:r>
      <w:r>
        <w:rPr>
          <w:rFonts w:ascii="Times New Roman" w:hAnsi="Times New Roman"/>
          <w:color w:val="000000"/>
          <w:sz w:val="22"/>
        </w:rPr>
        <w:t xml:space="preserve">means all applicable guidelines, policies and requirements of law administered, implemented, enforced or issued by FDA or any comparable governmental authority. </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 Subsidiary other than any Domestic Subsidiary.</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Governmental Approval</w:t>
      </w:r>
      <w:r>
        <w:rPr>
          <w:rFonts w:ascii="Times New Roman" w:hAnsi="Times New Roman"/>
          <w:color w:val="000000"/>
          <w:sz w:val="20"/>
        </w:rPr>
        <w:t xml:space="preserve">” </w:t>
      </w:r>
      <w:r>
        <w:rPr>
          <w:rFonts w:ascii="Times New Roman" w:hAnsi="Times New Roman"/>
          <w:color w:val="000000"/>
          <w:sz w:val="22"/>
        </w:rPr>
        <w:t>means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applicable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means any Subsidiary of Borrower that enters into a Guaranty.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a guaranty with respect to the Secured Obligations, in form and substance satisfactory to Agent that may be entered into from time to time,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without duplication,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(d) all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in each case to the extent treated as liabilities on the balance sheet in accordance with GAAP,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 Notwithstanding the foregoing, “Indebtedness” shall not include any obligations arising under or in connection with any Permitted Bond Hedge Transaction or any Permitted Warrant Transaction.</w:t>
      </w:r>
    </w:p>
    <w:p>
      <w:pPr>
        <w:pStyle w:val="TextBody"/>
        <w:bidi w:val="0"/>
        <w:spacing w:before="0" w:after="240"/>
        <w:jc w:val="both"/>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by or against any Person under the United States Bankruptcy Code, or any other bankruptcy, liquidation, moratorium, receivership, or insolvency law (including without limitation such laws of other countries), including assignments for the benefit of creditors, compositions, extensions generally with its creditors, or proceedings seeking reorganization, administration, winding-up, arrangement, receivership or other similar relief proceedings in the applicable jurisdiction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Borrower’s applications therefor and reissues, extensions, or renewals thereof; and Borrower’s goodwill associated with any of the foregoing, together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Borrower’s rights to sue for past, present and future infringement of Intellectual Property and the goodwill associated therewith.</w:t>
      </w:r>
    </w:p>
    <w:p>
      <w:pPr>
        <w:pStyle w:val="TextBody"/>
        <w:bidi w:val="0"/>
        <w:spacing w:before="0" w:after="240"/>
        <w:jc w:val="both"/>
        <w:rPr/>
      </w:pPr>
      <w:r>
        <w:rPr>
          <w:color w:val="000000"/>
        </w:rPr>
        <w:t>“</w:t>
      </w:r>
      <w:r>
        <w:rPr>
          <w:rFonts w:ascii="Times New Roman" w:hAnsi="Times New Roman"/>
          <w:color w:val="000000"/>
          <w:sz w:val="22"/>
          <w:u w:val="single"/>
        </w:rPr>
        <w:t>Intellectual Property Security Agreement</w:t>
      </w:r>
      <w:r>
        <w:rPr>
          <w:rFonts w:ascii="Times New Roman" w:hAnsi="Times New Roman"/>
          <w:color w:val="000000"/>
          <w:sz w:val="20"/>
        </w:rPr>
        <w:t xml:space="preserve">” </w:t>
      </w:r>
      <w:r>
        <w:rPr>
          <w:rFonts w:ascii="Times New Roman" w:hAnsi="Times New Roman"/>
          <w:color w:val="000000"/>
          <w:sz w:val="22"/>
        </w:rPr>
        <w:t>means the Intellectual Property Security Agreement dated as of the Closing Date between Loan Parties and Agent,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 any beneficial ownership (including stock, partnership interests, limited liability company interests, or other equity securities or ownership interests) of or in any Person, (b) any loan, advance or capital contribution to any Person or (c) any Acquisition.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IP Ancillary Rights</w:t>
      </w:r>
      <w:r>
        <w:rPr>
          <w:rFonts w:ascii="Times New Roman" w:hAnsi="Times New Roman"/>
          <w:color w:val="000000"/>
          <w:sz w:val="20"/>
        </w:rPr>
        <w:t xml:space="preserve">” </w:t>
      </w:r>
      <w:r>
        <w:rPr>
          <w:rFonts w:ascii="Times New Roman" w:hAnsi="Times New Roman"/>
          <w:color w:val="000000"/>
          <w:sz w:val="22"/>
        </w:rPr>
        <w:t>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U.S. Internal Revenue Service.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required to join as a Borrower or as a Guarantor pursuant to </w:t>
      </w:r>
      <w:r>
        <w:rPr>
          <w:rFonts w:ascii="Times New Roman" w:hAnsi="Times New Roman"/>
          <w:color w:val="000000"/>
          <w:sz w:val="22"/>
          <w:u w:val="single"/>
        </w:rPr>
        <w:t>Section 7.13</w:t>
      </w:r>
      <w:r>
        <w:rPr>
          <w:rFonts w:ascii="Times New Roman" w:hAnsi="Times New Roman"/>
          <w:color w:val="000000"/>
          <w:sz w:val="22"/>
        </w:rPr>
        <w:t xml:space="preserve">, a completed and executed Joinder Agreement in substantially the form attached hereto as </w:t>
      </w:r>
      <w:r>
        <w:rPr>
          <w:rFonts w:ascii="Times New Roman" w:hAnsi="Times New Roman"/>
          <w:color w:val="000000"/>
          <w:sz w:val="22"/>
          <w:u w:val="single"/>
        </w:rPr>
        <w:t>Exhibit 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Intellectual Property license of rights or interests.</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the promissory notes (if any), the ACH Authorization, the Account Control Agreements, any Joinder Agreement, all UCC financing statements, any Guaranty, the Intellectual Property Security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Loan Party</w:t>
      </w:r>
      <w:r>
        <w:rPr>
          <w:rFonts w:ascii="Times New Roman" w:hAnsi="Times New Roman"/>
          <w:color w:val="000000"/>
          <w:sz w:val="20"/>
        </w:rPr>
        <w:t xml:space="preserve">” </w:t>
      </w:r>
      <w:r>
        <w:rPr>
          <w:rFonts w:ascii="Times New Roman" w:hAnsi="Times New Roman"/>
          <w:color w:val="000000"/>
          <w:sz w:val="22"/>
        </w:rPr>
        <w:t>means Borrower or any Guarantor.</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 xml:space="preserve">means, for any given date of determination, an amount equal to (a) [* * *] of Company’s common Equity Interests as reported for each of the [* * *] ([* * *]) [* * *] preceding such date of determination </w:t>
      </w:r>
      <w:r>
        <w:rPr>
          <w:rFonts w:ascii="Times New Roman" w:hAnsi="Times New Roman"/>
          <w:i/>
          <w:color w:val="000000"/>
          <w:sz w:val="22"/>
        </w:rPr>
        <w:t xml:space="preserve">multiplied by </w:t>
      </w:r>
      <w:r>
        <w:rPr>
          <w:rFonts w:ascii="Times New Roman" w:hAnsi="Times New Roman"/>
          <w:color w:val="000000"/>
          <w:sz w:val="22"/>
        </w:rPr>
        <w:t>(b) the total number of issued and outstanding shares of Company’s common Equity Interests (including pre-funded warrants)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Market Disruption Event</w:t>
      </w:r>
      <w:r>
        <w:rPr>
          <w:rFonts w:ascii="Times New Roman" w:hAnsi="Times New Roman"/>
          <w:color w:val="000000"/>
          <w:sz w:val="20"/>
        </w:rPr>
        <w:t xml:space="preserve">” </w:t>
      </w:r>
      <w:r>
        <w:rPr>
          <w:rFonts w:ascii="Times New Roman" w:hAnsi="Times New Roman"/>
          <w:color w:val="000000"/>
          <w:sz w:val="22"/>
        </w:rPr>
        <w:t>means any of the following events: (a) any suspension of, or limitation imposed on, trading by the Principal Stock Exchange in shares of common Equity Interests during any period or periods aggregating one hour or longer and whether by reason of movements in price exceeding limits permitted by the Principal Stock Exchange or otherwise relating to the common Equity Interests; or (b) the failure to open of the exchange or quotation system on which the common Equity Interests are traded or the closure of such exchange or quotation system prior to its respective scheduled closing time for the regular trading session on such day (without regard to after hours or other trading outside the regular trading session hours).</w:t>
      </w:r>
    </w:p>
    <w:p>
      <w:pPr>
        <w:pStyle w:val="TextBody"/>
        <w:bidi w:val="0"/>
        <w:spacing w:before="0" w:after="240"/>
        <w:jc w:val="both"/>
        <w:rPr/>
      </w:pPr>
      <w:r>
        <w:rPr>
          <w:color w:val="000000"/>
        </w:rPr>
        <w:t>“</w:t>
      </w:r>
      <w:r>
        <w:rPr>
          <w:rFonts w:ascii="Times New Roman" w:hAnsi="Times New Roman"/>
          <w:color w:val="000000"/>
          <w:sz w:val="22"/>
          <w:u w:val="single"/>
        </w:rPr>
        <w:t>Material Acquisition</w:t>
      </w:r>
      <w:r>
        <w:rPr>
          <w:rFonts w:ascii="Times New Roman" w:hAnsi="Times New Roman"/>
          <w:color w:val="000000"/>
          <w:sz w:val="20"/>
        </w:rPr>
        <w:t xml:space="preserve">” </w:t>
      </w:r>
      <w:r>
        <w:rPr>
          <w:rFonts w:ascii="Times New Roman" w:hAnsi="Times New Roman"/>
          <w:color w:val="000000"/>
          <w:sz w:val="22"/>
        </w:rPr>
        <w:t>means any Acquisition for which the total acquisition consideration paid or incurred, or to be paid or incurred, with respect thereto, including any earn-outs with respect thereto and the amount of Permitted Indebtedness assumed, is greater than or equal to [* * *] Dollars ($[* * *]).</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the Loan Parties and their respective Subsidiaries taken as a whole; or (ii) 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Material Agreement</w:t>
      </w:r>
      <w:r>
        <w:rPr>
          <w:rFonts w:ascii="Times New Roman" w:hAnsi="Times New Roman"/>
          <w:color w:val="000000"/>
          <w:sz w:val="20"/>
        </w:rPr>
        <w:t xml:space="preserve">” </w:t>
      </w:r>
      <w:r>
        <w:rPr>
          <w:rFonts w:ascii="Times New Roman" w:hAnsi="Times New Roman"/>
          <w:color w:val="000000"/>
          <w:sz w:val="22"/>
        </w:rPr>
        <w:t>means (a) any Material License, and (b) any license, agreement or other contractual arrangement the termination of which before the end of its stated term could reasonably be expected to result in a Material Adverse Effect individually or in the aggregate.</w:t>
      </w:r>
    </w:p>
    <w:p>
      <w:pPr>
        <w:pStyle w:val="TextBody"/>
        <w:bidi w:val="0"/>
        <w:spacing w:before="0" w:after="240"/>
        <w:jc w:val="both"/>
        <w:rPr/>
      </w:pPr>
      <w:r>
        <w:rPr>
          <w:color w:val="000000"/>
        </w:rPr>
        <w:t>“</w:t>
      </w:r>
      <w:r>
        <w:rPr>
          <w:rFonts w:ascii="Times New Roman" w:hAnsi="Times New Roman"/>
          <w:color w:val="000000"/>
          <w:sz w:val="22"/>
          <w:u w:val="single"/>
        </w:rPr>
        <w:t>Material License</w:t>
      </w:r>
      <w:r>
        <w:rPr>
          <w:rFonts w:ascii="Times New Roman" w:hAnsi="Times New Roman"/>
          <w:color w:val="000000"/>
          <w:sz w:val="20"/>
        </w:rPr>
        <w:t xml:space="preserve">” </w:t>
      </w:r>
      <w:r>
        <w:rPr>
          <w:rFonts w:ascii="Times New Roman" w:hAnsi="Times New Roman"/>
          <w:color w:val="000000"/>
          <w:sz w:val="22"/>
        </w:rPr>
        <w:t>means that certain Collaboration and License Agreement, dated as of October 31, 2025, among the Company and Otsuka Pharmaceutical Co. Ltd., as may be amended, restated, supplemented or otherwise modified from time to time in accordance with the terms hereof and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Milestone Obligations</w:t>
      </w:r>
      <w:r>
        <w:rPr>
          <w:rFonts w:ascii="Times New Roman" w:hAnsi="Times New Roman"/>
          <w:color w:val="000000"/>
          <w:sz w:val="20"/>
        </w:rPr>
        <w:t xml:space="preserve">” </w:t>
      </w:r>
      <w:r>
        <w:rPr>
          <w:rFonts w:ascii="Times New Roman" w:hAnsi="Times New Roman"/>
          <w:color w:val="000000"/>
          <w:sz w:val="22"/>
        </w:rPr>
        <w:t>means, with respect to any Acquisition, the aggregate milestone payments reasonably expected to be owing by the Borrower and its Subsidiaries (a) after the Term Loan Maturity Date and (b) prior to the Term Loan Maturity Date, only to the extent Borrower reasonably expects based on its good faith projections that Borrower’s Qualified Cash shall be no less than [* * *]% of the Secured Obligations (inclusive of any Prepayment Charge and End of Term Charge that would be due and owing if the outstanding Term Loan Advances were prepaid at the time of measurement), immediately before and at all times after incurring the obligation to make such milestone payment.</w:t>
      </w:r>
    </w:p>
    <w:p>
      <w:pPr>
        <w:pStyle w:val="TextBody"/>
        <w:bidi w:val="0"/>
        <w:spacing w:before="0" w:after="240"/>
        <w:jc w:val="both"/>
        <w:rPr/>
      </w:pPr>
      <w:r>
        <w:rPr>
          <w:color w:val="000000"/>
        </w:rPr>
        <w:t>“</w:t>
      </w:r>
      <w:r>
        <w:rPr>
          <w:rFonts w:ascii="Times New Roman" w:hAnsi="Times New Roman"/>
          <w:color w:val="000000"/>
          <w:sz w:val="22"/>
          <w:u w:val="single"/>
        </w:rPr>
        <w:t>Net Product Revenue</w:t>
      </w:r>
      <w:r>
        <w:rPr>
          <w:rFonts w:ascii="Times New Roman" w:hAnsi="Times New Roman"/>
          <w:color w:val="000000"/>
          <w:sz w:val="20"/>
        </w:rPr>
        <w:t xml:space="preserve">” </w:t>
      </w:r>
      <w:r>
        <w:rPr>
          <w:rFonts w:ascii="Times New Roman" w:hAnsi="Times New Roman"/>
          <w:color w:val="000000"/>
          <w:sz w:val="22"/>
        </w:rPr>
        <w:t xml:space="preserve">means, as of the last date of any period, Borrower’s net product revenue (as determined in accordance with GAAP) solely from the sale of 4D-150 (which may include royalty, profit sharing, co-promotion and co-commercialization revenues or sales-based milestone revenue recognized in accordance with GAAP, but which shall not include any upfront or non-sales-based milestone payments under business development or licensing transactions), measured on as of the date of the most recently delivered monthly or quarterly financial statements in accordance with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7.1(b)</w:t>
      </w:r>
      <w:r>
        <w:rPr>
          <w:rFonts w:ascii="Times New Roman" w:hAnsi="Times New Roman"/>
          <w:color w:val="000000"/>
          <w:sz w:val="22"/>
        </w:rPr>
        <w:t>.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Non-Core Product Assets</w:t>
      </w:r>
      <w:r>
        <w:rPr>
          <w:rFonts w:ascii="Times New Roman" w:hAnsi="Times New Roman"/>
          <w:color w:val="000000"/>
          <w:sz w:val="20"/>
        </w:rPr>
        <w:t xml:space="preserve">” </w:t>
      </w:r>
      <w:r>
        <w:rPr>
          <w:rFonts w:ascii="Times New Roman" w:hAnsi="Times New Roman"/>
          <w:color w:val="000000"/>
          <w:sz w:val="22"/>
        </w:rPr>
        <w:t>means any products, Intellectual Property and regulatory filings, submissions and approvals, including marketing approvals and pricing and reimbursement approvals, in each case, that do not constitute Core Product Assets, together with all Proceeds of each of the foregoing.</w:t>
      </w:r>
    </w:p>
    <w:p>
      <w:pPr>
        <w:pStyle w:val="TextBody"/>
        <w:bidi w:val="0"/>
        <w:spacing w:before="0" w:after="240"/>
        <w:jc w:val="both"/>
        <w:rPr/>
      </w:pPr>
      <w:r>
        <w:rPr>
          <w:color w:val="000000"/>
        </w:rPr>
        <w:t>“</w:t>
      </w:r>
      <w:r>
        <w:rPr>
          <w:rFonts w:ascii="Times New Roman" w:hAnsi="Times New Roman"/>
          <w:color w:val="000000"/>
          <w:sz w:val="22"/>
          <w:u w:val="single"/>
        </w:rPr>
        <w:t>Non-Disclosure Agreement</w:t>
      </w:r>
      <w:r>
        <w:rPr>
          <w:rFonts w:ascii="Times New Roman" w:hAnsi="Times New Roman"/>
          <w:color w:val="000000"/>
          <w:sz w:val="20"/>
        </w:rPr>
        <w:t xml:space="preserve">” </w:t>
      </w:r>
      <w:r>
        <w:rPr>
          <w:rFonts w:ascii="Times New Roman" w:hAnsi="Times New Roman"/>
          <w:color w:val="000000"/>
          <w:sz w:val="22"/>
        </w:rPr>
        <w:t>means that certain Mutual Confidential Disclosure Agreement dated March 25, 2026 by and between Company and Agent.</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U.S. Department of Treasury.</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such Person’s Charter, and (a) if such Person is a corporation, its bylaws,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entitled “Perfection Certificate and Diligence Request”, dated as of the Closing Date, delivered by Company to Agent and Lenders, signed by Company (as amended pursuant to the terms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Acquisitions</w:t>
      </w:r>
      <w:r>
        <w:rPr>
          <w:rFonts w:ascii="Times New Roman" w:hAnsi="Times New Roman"/>
          <w:color w:val="000000"/>
          <w:sz w:val="20"/>
        </w:rPr>
        <w:t xml:space="preserve">” </w:t>
      </w:r>
      <w:r>
        <w:rPr>
          <w:rFonts w:ascii="Times New Roman" w:hAnsi="Times New Roman"/>
          <w:color w:val="000000"/>
          <w:sz w:val="22"/>
        </w:rPr>
        <w:t>means any Acquisition which is conducted in accordance with the following requirements: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such Acquisition is of a business or Person or product engaged in a line of business reasonably related to that of Borrower or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such Acquisition is structured as a stock acquisition, then the Person so acquired shall either (i) become a wholly-owned Subsidiary of Borrower or of a Subsidiary and Borrower shall comply, or cause such Subsidiary (other than directors’ qualifying shares and investments by foreign nationals mandated by applicable Requirements of Law) to comply, with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or (ii) such Person shall be merged with and into a Loan Party (with such Loan Party being the surviving entity);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if such Acquisition is structured as the acquisition or in-licensing of assets, such assets shall be acquired or in-licensed by a Loan Party or a newly-organized wholly-owned Subsidiary (in which event such Subsidiary shall comply with </w:t>
      </w:r>
      <w:r>
        <w:rPr>
          <w:rFonts w:ascii="Times New Roman" w:hAnsi="Times New Roman"/>
          <w:color w:val="000000"/>
          <w:sz w:val="22"/>
          <w:u w:val="single"/>
        </w:rPr>
        <w:t>Section 7.13</w:t>
      </w:r>
      <w:r>
        <w:rPr>
          <w:rFonts w:ascii="Times New Roman" w:hAnsi="Times New Roman"/>
          <w:color w:val="000000"/>
          <w:sz w:val="22"/>
        </w:rPr>
        <w:t>), and shall be free and clear of Liens other than Permitted Liens;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Borrower shall have delivered to Agent (i) with respect to any Material Acquisition, not less than ten (10) nor more than forty five (45) days prior to the date of such Material Acquisition (or such different period as to which Agent may agree in its sole discretion), notice of such Material Acquisition together with pro forma projected financial information, copies of all </w:t>
      </w:r>
      <w:r>
        <w:rPr>
          <w:rFonts w:ascii="Times New Roman" w:hAnsi="Times New Roman"/>
          <w:color w:val="000000"/>
          <w:sz w:val="24"/>
        </w:rPr>
        <w:t>draft</w:t>
      </w:r>
      <w:r>
        <w:rPr>
          <w:rFonts w:ascii="Times New Roman" w:hAnsi="Times New Roman"/>
          <w:color w:val="000000"/>
          <w:sz w:val="20"/>
        </w:rPr>
        <w:t xml:space="preserve"> </w:t>
      </w:r>
      <w:r>
        <w:rPr>
          <w:rFonts w:ascii="Times New Roman" w:hAnsi="Times New Roman"/>
          <w:color w:val="000000"/>
          <w:sz w:val="22"/>
        </w:rPr>
        <w:t xml:space="preserve">material documents relating to such Material Acquisition, and historical financial statements for such acquired entity, division or line of business (to the extent applicable), in each case in form reasonably satisfactory to Agent and demonstrating compliance as of such date with the covenants set forth in </w:t>
      </w:r>
      <w:r>
        <w:rPr>
          <w:rFonts w:ascii="Times New Roman" w:hAnsi="Times New Roman"/>
          <w:color w:val="000000"/>
          <w:sz w:val="22"/>
          <w:u w:val="single"/>
        </w:rPr>
        <w:t>Section 7.21(a)</w:t>
      </w:r>
      <w:r>
        <w:rPr>
          <w:rFonts w:ascii="Times New Roman" w:hAnsi="Times New Roman"/>
          <w:color w:val="000000"/>
          <w:sz w:val="20"/>
        </w:rPr>
        <w:t xml:space="preserve"> </w:t>
      </w:r>
      <w:r>
        <w:rPr>
          <w:rFonts w:ascii="Times New Roman" w:hAnsi="Times New Roman"/>
          <w:color w:val="000000"/>
          <w:sz w:val="22"/>
        </w:rPr>
        <w:t xml:space="preserve">(to the extent applicable) immediately prior to the consummation of such Acquisition and immediately after the consummation of such Acquisition on a pro forma basis as if the Material Acquisition occurred on the first day of the most recent measurement period for which financial statements have been delivered pursuant to </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and (ii) with respect to any Acquisition that is not a Material Acquisition, no later than ten (10) days after the date of such Acquisition (or such different period as to which Agent may agree in its sole discretion), notice of such Acquisition together with copies of all material documents related to such Acquisition and such other information as Agent may reasonably request;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 both immediately before and after such Acquisition no Default or Event of Default shall have occurred and be continuing;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such Acquisition is approved by the board of directors (or equivalent control group) of all parties to the transaction; and</w:t>
      </w:r>
    </w:p>
    <w:p>
      <w:pPr>
        <w:pStyle w:val="TextBody"/>
        <w:bidi w:val="0"/>
        <w:spacing w:before="0" w:after="240"/>
        <w:jc w:val="both"/>
        <w:rPr>
          <w:rFonts w:ascii="Times New Roman" w:hAnsi="Times New Roman"/>
          <w:sz w:val="20"/>
        </w:rPr>
      </w:pPr>
      <w:r>
        <w:rPr>
          <w:rFonts w:ascii="Times New Roman" w:hAnsi="Times New Roman"/>
          <w:color w:val="000000"/>
          <w:sz w:val="22"/>
        </w:rPr>
        <w:t>(g) (x) with respect to any Acquisitions located entirely within the United States, the total upfront cash consideration paid or incurred, or to be paid or incurred, by Borrower with respect thereto, including the amount of Permitted Indebtedness assumed or to which such assets, businesses or business or ownership interest or shares, or any Person so acquired, is subject, shall not be greater than (i) [* * *] Dollars ($[* * *]) for any single acquisition or group of related acquisitions or (ii) [* * *] Dollars ($[* * *]) for all such acquisitions during the term of this Agreement and (y) with respect to any Acquisitions located outside of the United States (entirely or in part), the total upfront cash consideration paid or incurred, plus any milestone payments (other than Milestone Obligations) with respect to any such Acquisition to be paid or incurred, by Borrower with respect thereto, including the amount of Permitted Indebtedness assumed or to which such assets, businesses or business or ownership interest or shares, or any Person so acquired, is subject, shall not be greater than (i) [* * *] Dollars ($[* * *]) for any single acquisition or group of related acquisitions or (ii) [* * *] Dollars ($[* * *]) for all such acquisitions during the term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color w:val="000000"/>
        </w:rPr>
        <w:t xml:space="preserve">” </w:t>
      </w:r>
      <w:r>
        <w:rPr>
          <w:rFonts w:ascii="Times New Roman" w:hAnsi="Times New Roman"/>
          <w:color w:val="000000"/>
          <w:sz w:val="22"/>
        </w:rPr>
        <w:t xml:space="preserve">means any call or capped call option (or substantively equivalent derivative transaction) relating to Common Stock (or other securities or property following a merger event or other change of Common Stock) purchased by the Company in connection with the issuance of any Permitted Convertible Debt and settled in Common Stock (or such other securities or property), cash or a combination thereof (such amount of cash determined by reference to the price of Common Stock or such other securities or property), and cash in lieu of fractional shares of Common Stock, provided that the purchase price for any Permitted Bond Hedge Transaction, less the proceeds received by the Company from the sale of any related Permitted Warrant Transaction, does not exceed the net proceeds received by the Borrower from the sale of the Permitted Convertible Debt issued in connection with the Permitted Bond Hedge Transaction. </w:t>
      </w:r>
    </w:p>
    <w:p>
      <w:pPr>
        <w:pStyle w:val="TextBody"/>
        <w:bidi w:val="0"/>
        <w:spacing w:before="0" w:after="240"/>
        <w:jc w:val="both"/>
        <w:rPr/>
      </w:pPr>
      <w:r>
        <w:rPr>
          <w:color w:val="000000"/>
        </w:rPr>
        <w:t>“</w:t>
      </w:r>
      <w:r>
        <w:rPr>
          <w:rFonts w:ascii="Times New Roman" w:hAnsi="Times New Roman"/>
          <w:color w:val="000000"/>
          <w:sz w:val="22"/>
          <w:u w:val="single"/>
        </w:rPr>
        <w:t>Permitted Convertible Debt Financing</w:t>
      </w:r>
      <w:r>
        <w:rPr>
          <w:color w:val="000000"/>
        </w:rPr>
        <w:t xml:space="preserve">” </w:t>
      </w:r>
      <w:r>
        <w:rPr>
          <w:rFonts w:ascii="Times New Roman" w:hAnsi="Times New Roman"/>
          <w:color w:val="000000"/>
          <w:sz w:val="22"/>
        </w:rPr>
        <w:t xml:space="preserve">means issuance by Company of convertible notes (which may provide for conversions to be settled in Common Stock (or such other securities or property), cash or a combination thereof (such amount of cash determined by reference to the price of Common Stock or such other securities or property) in an aggregate principal amount of not more than the lesser of (x) [* * *] Dollars ($[* * *]) and (y) an amount equal to [* * *] percent ([* * *]%) of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Borrower’s Market Capitalization as of the date of pricing of such convertible notes (“</w:t>
      </w:r>
      <w:r>
        <w:rPr>
          <w:rFonts w:ascii="Times New Roman" w:hAnsi="Times New Roman"/>
          <w:color w:val="000000"/>
          <w:sz w:val="22"/>
          <w:u w:val="single"/>
        </w:rPr>
        <w:t>Permitted Convertible Debt</w:t>
      </w:r>
      <w:r>
        <w:rPr>
          <w:color w:val="000000"/>
        </w:rPr>
        <w:t>”</w:t>
      </w:r>
      <w:r>
        <w:rPr>
          <w:rFonts w:ascii="Times New Roman" w:hAnsi="Times New Roman"/>
          <w:color w:val="000000"/>
          <w:sz w:val="22"/>
        </w:rPr>
        <w:t>); provided that the foregoing limitations in clauses (x) and (y) shall not apply to Permitted Convertible Debt issued to refinance, refund, renew, replace or extend other Permitted Convertible Debt to the extent such issuance does not increase the aggregate principal amount thereof (other than by the amount of any premiums paid and fees and expenses incurred in connection therewith); provided further that such convertible notes shall (a) both immediately prior to and immediately after giving effect (including pro forma effect) thereto, no Default or Event of Default shall exist or result therefrom, (b) have no scheduled amortization or principal payments, mandatory redemptions or other required payments of principal prior to the date that is one hundred eighty (180) days after the Term Loan Maturity Date, other than customary payments upon a “change of control”, “fundamental change”, “make-whole fundamental change” or any comparable term (it being understood that a holder’s option to convert any such Indebtedness shall not be considered a required mandatory redemption or payment of principal), (c) be unsecured or, if secured, secured by Liens subordinated to the Liens securing the Secured Obligations on terms and conditions satisfactory in its reasonable discretion and subject to a subordination agreement in form and substance satisfactory to Agent in its sole discretion, (d) not be guaranteed by any Subsidiary of Company that is not a Borrower or a guarantor of the Secured Obligations, (e) contain usual and customary subordination terms for underwritten offerings of senior convertible notes, as determined by the Company in good faith and (f) shall be Indebtedness of Company and not of any Subsidiary thereof. For the avoidance of doubt, Permitted Convertible Debt Financing shall not constitute Subordinated Indebtedness.</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Indebtedness of Borrower in favor of any Lender or Agent arising under this Agreement or any other Loan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Indebtedness existing on the Closing Date which is disclosed in </w:t>
      </w:r>
      <w:r>
        <w:rPr>
          <w:rFonts w:ascii="Times New Roman" w:hAnsi="Times New Roman"/>
          <w:color w:val="000000"/>
          <w:sz w:val="22"/>
          <w:u w:val="single"/>
        </w:rPr>
        <w:t>Schedule 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Schedule 5.10(c)</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 xml:space="preserve">Indebtedness of up to [* * *] Dollars ($[* * *]) outstanding at any time secured by a Lien described in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defined term “Permitted Liens,” provided such Indebtedness does not exceed the cost of the Equipment, software or other Intellectual Property financed with such Indebtedness, plus the amount of any fees, costs and expenses incurred in connection therewith;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Indebtedness incurred in the ordinary course of business with corporate credit cards in an aggregate outstanding amount not to exceed [* * *] Dollars ($[* * *]) at any time;</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Indebtedness that also constitutes a Permitted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Subordinated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reimbursement obligations in connection with letters of credit that are at any time outstanding (which may be secured by Cash) and issued on behalf of Borrower or a Subsidiary in an amount not to exceed [* * *] Dollars ($[* * *]);</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Indebtedness to trade creditors incurred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 xml:space="preserve">intercompany Indebtedness of (A) any Loan Party owing to another Loan Party or (B) any non-Loan Party owing to another non-Loan Party in an aggregate amount with respect to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not to exceed [* * *] Dollars ($[* * *]) at any time;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the Permitted Convertible Debt Financing;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Indebtedness with respect to a Permitted Royalty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Indebtedness incurred as a result of endorsing negotiable instruments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Contingent Obligations with respect to obligation of a Loan Party (provided that the primary obligations are not prohibited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(xiv)</w:t>
      </w:r>
      <w:r>
        <w:rPr>
          <w:rFonts w:ascii="Times New Roman" w:hAnsi="Times New Roman"/>
          <w:color w:val="000000"/>
          <w:sz w:val="20"/>
        </w:rPr>
        <w:t xml:space="preserve"> </w:t>
      </w:r>
      <w:r>
        <w:rPr>
          <w:rFonts w:ascii="Times New Roman" w:hAnsi="Times New Roman"/>
          <w:color w:val="000000"/>
          <w:sz w:val="22"/>
        </w:rPr>
        <w:t>obligations under any agreement to provide cash management services in the ordinary course of business, including treasury, depository, overdraft, debit card, electronic funds transfer and other cash management arrangements;</w:t>
      </w:r>
    </w:p>
    <w:p>
      <w:pPr>
        <w:pStyle w:val="TextBody"/>
        <w:bidi w:val="0"/>
        <w:spacing w:before="0" w:after="240"/>
        <w:jc w:val="both"/>
        <w:rPr>
          <w:rFonts w:ascii="Times New Roman" w:hAnsi="Times New Roman"/>
          <w:sz w:val="20"/>
        </w:rPr>
      </w:pPr>
      <w:r>
        <w:rPr>
          <w:rFonts w:ascii="Times New Roman" w:hAnsi="Times New Roman"/>
          <w:color w:val="000000"/>
          <w:sz w:val="22"/>
        </w:rPr>
        <w:t>(xv)</w:t>
      </w:r>
      <w:r>
        <w:rPr>
          <w:rFonts w:ascii="Times New Roman" w:hAnsi="Times New Roman"/>
          <w:color w:val="000000"/>
          <w:sz w:val="20"/>
        </w:rPr>
        <w:t xml:space="preserve"> </w:t>
      </w:r>
      <w:r>
        <w:rPr>
          <w:rFonts w:ascii="Times New Roman" w:hAnsi="Times New Roman"/>
          <w:color w:val="000000"/>
          <w:sz w:val="22"/>
        </w:rPr>
        <w:t>Indebtedness incurred in the ordinary course of business, in each case, arising from the honoring by a bank or other financial institutions of a check, draft or similar instrument inadvertently drawn against insufficient funds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(xvi)</w:t>
      </w:r>
      <w:r>
        <w:rPr>
          <w:rFonts w:ascii="Times New Roman" w:hAnsi="Times New Roman"/>
          <w:color w:val="000000"/>
          <w:sz w:val="20"/>
        </w:rPr>
        <w:t xml:space="preserve"> </w:t>
      </w:r>
      <w:r>
        <w:rPr>
          <w:rFonts w:ascii="Times New Roman" w:hAnsi="Times New Roman"/>
          <w:color w:val="000000"/>
          <w:sz w:val="22"/>
        </w:rPr>
        <w:t>Indebtedness incurred to finance insurance premiums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 other unsecured Indebtedness in an amount not to exceed [* * *] Dollars ($[* * *]) at any time outstanding; and</w:t>
      </w:r>
    </w:p>
    <w:p>
      <w:pPr>
        <w:pStyle w:val="TextBody"/>
        <w:bidi w:val="0"/>
        <w:spacing w:before="0" w:after="240"/>
        <w:jc w:val="both"/>
        <w:rPr>
          <w:rFonts w:ascii="Times New Roman" w:hAnsi="Times New Roman"/>
          <w:sz w:val="20"/>
        </w:rPr>
      </w:pPr>
      <w:r>
        <w:rPr>
          <w:rFonts w:ascii="Times New Roman" w:hAnsi="Times New Roman"/>
          <w:color w:val="000000"/>
          <w:sz w:val="22"/>
        </w:rPr>
        <w:t>(xviii)</w:t>
      </w:r>
      <w:r>
        <w:rPr>
          <w:rFonts w:ascii="Times New Roman" w:hAnsi="Times New Roman"/>
          <w:color w:val="000000"/>
          <w:sz w:val="20"/>
        </w:rPr>
        <w:t xml:space="preserve"> </w:t>
      </w:r>
      <w:r>
        <w:rPr>
          <w:rFonts w:ascii="Times New Roman" w:hAnsi="Times New Roman"/>
          <w:color w:val="000000"/>
          <w:sz w:val="22"/>
        </w:rPr>
        <w:t>extensions, refinancings and renewals of any items of Permitted Indebtedness, provided that the principal amount is not increased (except by an amount equal to unpaid accrued interest and premiums or penalties thereon, and fees, costs and expenses in connection with the refinanced debt and fees, commissions, costs and expenses (including upfront fees, original issue discount and initial yield payments) incurred in connection with the incurrence of such refinancing indebtedness) or the terms modified to impose materially more burdensome terms upon Borrower or its Subsidiary, as the case may be, and subject to any limitations on the aggregate amount of such Indebtedness.</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Investments existing on the Closing Date which are disclosed in </w:t>
      </w:r>
      <w:r>
        <w:rPr>
          <w:rFonts w:ascii="Times New Roman" w:hAnsi="Times New Roman"/>
          <w:color w:val="000000"/>
          <w:sz w:val="22"/>
          <w:u w:val="single"/>
        </w:rPr>
        <w:t>Schedule 1B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 (b) commercial paper maturing no more than one year from the date of creation thereof and currently having a rating of at least A-2 or P-2 from either Standard &amp; Poor’s Corporation or Moody’s Investors Service, (c) certificates of deposit issued by any bank with assets of at least Five Hundred Million Dollars ($500,000,000) maturing no more than one year from the date of investment therein, (d) money market accounts, and (e) Investments pursuant to the investment policy that has been provided to Agent prior to the Closing Date or any investment policy that has been approved by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repurchases of stock of Borrower from present or former employees, directors, or consultants of Borrower under the terms of applicable repurchase agreements at the original issuance price of such securities in an aggregate amount not to exceed [* * *] Dollars ($[* * *]) in</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any fiscal year, provided that no Event of Default has occurred, is continuing or could result from such repurchases;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Investments accepted in connection with Permitted Transfers;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 xml:space="preserve">Investments consisting of notes receivable of, or prepaid royalties and other credit extensions, to customers and suppliers who are not Affiliates, in the ordinary course of business, provided that this </w:t>
      </w:r>
      <w:r>
        <w:rPr>
          <w:rFonts w:ascii="Times New Roman" w:hAnsi="Times New Roman"/>
          <w:color w:val="000000"/>
          <w:sz w:val="22"/>
          <w:u w:val="single"/>
        </w:rPr>
        <w:t>subsection (vi)</w:t>
      </w:r>
      <w:r>
        <w:rPr>
          <w:rFonts w:ascii="Times New Roman" w:hAnsi="Times New Roman"/>
          <w:color w:val="000000"/>
          <w:sz w:val="20"/>
        </w:rPr>
        <w:t xml:space="preserve"> </w:t>
      </w:r>
      <w:r>
        <w:rPr>
          <w:rFonts w:ascii="Times New Roman" w:hAnsi="Times New Roman"/>
          <w:color w:val="000000"/>
          <w:sz w:val="22"/>
        </w:rPr>
        <w:t>shall not apply to Investments of any Loan Party in any Subsidiary of a Loan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Investments consisting of: travel advances and employee relocation loans in the ordinary course of business in an aggregate amount not to exceed [* * *] Dollars ($[* * *]) from the Closing Date until the time that no Secured Obligations (other than for inchoate indemnification obligations which, by their terms, survive termination of this Agreement) remain outstanding;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Investments in newly-formed Subsidiaries, provided that each such Subsidiary enters into a Joinder Agreement promptly after its formation and executes such other documents as shall be reasonably requested by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(a) Investments in another Loan Party and (b) Investments in any Subsidiary that is not a Loan Party in an amount not to exceed [* * *] Dollars ($[* * *]) in the aggregate in any fiscal year;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joint ventures or strategic alliances in the ordinary course of Borrower’s business consisting of the nonexclusive licensing of technology, the development of technology or the providing of technical support, provided that any cash Investments by Borrower do not exceed [* * *] Dollars ($[* * *]) in the aggregate in any fiscal year;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Investments in connection with, and the performance of obligations under (including, for the avoidance of doubt, the entry into, payment of any premium with respect to and the settlement of), any Permitted Convertible Debt, any Permitted Bond Hedge Transaction or any Permitted Warrant Transaction, in each case in accordance with its terms and as otherwise permitted by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Investments consisting of the endorsement of negotiable instruments for deposit or collection or similar transactions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(xiv)</w:t>
      </w:r>
      <w:r>
        <w:rPr>
          <w:rFonts w:ascii="Times New Roman" w:hAnsi="Times New Roman"/>
          <w:color w:val="000000"/>
          <w:sz w:val="20"/>
        </w:rPr>
        <w:t xml:space="preserve"> </w:t>
      </w:r>
      <w:r>
        <w:rPr>
          <w:rFonts w:ascii="Times New Roman" w:hAnsi="Times New Roman"/>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(xv)</w:t>
      </w:r>
      <w:r>
        <w:rPr>
          <w:rFonts w:ascii="Times New Roman" w:hAnsi="Times New Roman"/>
          <w:color w:val="000000"/>
          <w:sz w:val="20"/>
        </w:rPr>
        <w:t xml:space="preserve"> </w:t>
      </w:r>
      <w:r>
        <w:rPr>
          <w:rFonts w:ascii="Times New Roman" w:hAnsi="Times New Roman"/>
          <w:color w:val="000000"/>
          <w:sz w:val="22"/>
        </w:rPr>
        <w:t>Investments consisting of Deposit Accounts and Securities Accounts, but only to the extent that Borrower or its Subsidiaries are permitted to maintain such account in accordance with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(xvi)</w:t>
      </w:r>
      <w:r>
        <w:rPr>
          <w:rFonts w:ascii="Times New Roman" w:hAnsi="Times New Roman"/>
          <w:color w:val="000000"/>
          <w:sz w:val="20"/>
        </w:rPr>
        <w:t xml:space="preserve"> </w:t>
      </w:r>
      <w:r>
        <w:rPr>
          <w:rFonts w:ascii="Times New Roman" w:hAnsi="Times New Roman"/>
          <w:color w:val="000000"/>
          <w:sz w:val="22"/>
        </w:rPr>
        <w:t>extension of trade credit and accounts receivable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(xvii)</w:t>
      </w:r>
      <w:r>
        <w:rPr>
          <w:rFonts w:ascii="Times New Roman" w:hAnsi="Times New Roman"/>
          <w:color w:val="000000"/>
          <w:sz w:val="20"/>
        </w:rPr>
        <w:t xml:space="preserve"> </w:t>
      </w:r>
      <w:r>
        <w:rPr>
          <w:rFonts w:ascii="Times New Roman" w:hAnsi="Times New Roman"/>
          <w:color w:val="000000"/>
          <w:sz w:val="22"/>
        </w:rPr>
        <w:t>guarantees of any items of Permitted Indebtedness; provided that (x) the foregoing shall not permit Borrower or any Subsidiary to guarantee Indebtedness that it is not otherwise permitted to incur, assume or otherwise be liable for and (y) if any such Indebtedness constitutes Subordinated Indebtedness, such guarantees shall be subordinated on terms at least as favorable to Agent and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(xviii)</w:t>
      </w:r>
      <w:r>
        <w:rPr>
          <w:rFonts w:ascii="Times New Roman" w:hAnsi="Times New Roman"/>
          <w:color w:val="000000"/>
          <w:sz w:val="20"/>
        </w:rPr>
        <w:t xml:space="preserve"> </w:t>
      </w:r>
      <w:r>
        <w:rPr>
          <w:rFonts w:ascii="Times New Roman" w:hAnsi="Times New Roman"/>
          <w:color w:val="000000"/>
          <w:sz w:val="22"/>
        </w:rPr>
        <w:t>Permitted Acquisitions; provided, that payments in respect of Milestone Obligations in excess of (x) [* * *] Dollars ($[* * *]) for any single acquisition or group of related acquisitions or (y) [* * *] Dollars ($[* * *]) for all such acquisitions during the term of this Agreement shall be permitted solely to the extent that Borrower’s Qualified Cash shall (I) be no less than [* * *]% of the aggregate principal amount of the Secured Obligations (inclusive of any Prepayment Charge and End of Term Charge that would be due and owing if the outstanding Term Loan Advances were prepaid at the time of measurement), immediately after making such milestone payment and (II) based on its good faith projections of Borrower, be reasonably expected to be no less than [* * *]% of Secured Obligations (inclusive of any Prepayment Charge and End of Term Charge that would be due and owing if the outstanding Term Loan Advances were prepaid at the time of measurement) at all times after making such payment;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(xix)</w:t>
      </w:r>
      <w:r>
        <w:rPr>
          <w:rFonts w:ascii="Times New Roman" w:hAnsi="Times New Roman"/>
          <w:color w:val="000000"/>
          <w:sz w:val="20"/>
        </w:rPr>
        <w:t xml:space="preserve"> </w:t>
      </w:r>
      <w:r>
        <w:rPr>
          <w:rFonts w:ascii="Times New Roman" w:hAnsi="Times New Roman"/>
          <w:color w:val="000000"/>
          <w:sz w:val="22"/>
        </w:rPr>
        <w:t>additional Investments that do not exceed [* * *] Dollars ($[* * *]) in the aggregate.</w:t>
      </w:r>
    </w:p>
    <w:p>
      <w:pPr>
        <w:pStyle w:val="TextBody"/>
        <w:bidi w:val="0"/>
        <w:spacing w:before="0" w:after="240"/>
        <w:jc w:val="both"/>
        <w:rPr/>
      </w:pPr>
      <w:r>
        <w:rPr>
          <w:color w:val="000000"/>
        </w:rPr>
        <w:t>“</w:t>
      </w:r>
      <w:r>
        <w:rPr>
          <w:rFonts w:ascii="Times New Roman" w:hAnsi="Times New Roman"/>
          <w:color w:val="000000"/>
          <w:sz w:val="22"/>
        </w:rPr>
        <w:t>Permitted License” means licenses and similar arrangements (a) with respect to in-licensing, (i) non-exclusive licenses, and (ii) of over-the-counter software that is commercially available to the public</w:t>
      </w:r>
      <w:r>
        <w:rPr>
          <w:rFonts w:ascii="Times New Roman" w:hAnsi="Times New Roman"/>
          <w:color w:val="000000"/>
          <w:sz w:val="20"/>
        </w:rPr>
        <w:t xml:space="preserve"> </w:t>
      </w:r>
      <w:r>
        <w:rPr>
          <w:rFonts w:ascii="Times New Roman" w:hAnsi="Times New Roman"/>
          <w:color w:val="000000"/>
          <w:sz w:val="22"/>
        </w:rPr>
        <w:t>and (b) out-licenses for the use of Intellectual Property of Borrower or any of its Subsidiaries entered into in the ordinary course of business on an arms’ length basis, including in connection with business development transactions, co-development or co-promotion transactions, collaborations, licensing, partnering or similar transactions with third parties and that are entered into with commercially reasonable terms, that could not result in a legal transfer of title of the licensed property that may be exclusive in respects other than territory or may be exclusive as to territory but only as to discrete geographical areas outside of the United States of America.</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Liens in favor of Agent or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Liens existing on the Closing Date which are disclosed in </w:t>
      </w:r>
      <w:r>
        <w:rPr>
          <w:rFonts w:ascii="Times New Roman" w:hAnsi="Times New Roman"/>
          <w:color w:val="000000"/>
          <w:sz w:val="22"/>
          <w:u w:val="single"/>
        </w:rPr>
        <w:t>Schedule 1C</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Liens securing claims or demands of materialmen, artisans, mechanics, carriers, warehousemen, landlords and other like Persons arising in the ordinary course of Borrower’s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business and imposed without action of such parties; provided, that the payment thereof is not yet required;</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Liens arising from judgments, decrees, orders or attachments in circumstances which do not constitute an Event of Default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 xml:space="preserve">Liens on Equipment or software or other intellectual property constituting purchase money Liens and other Liens in connection with capital leases securing Indebtedness permitted in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of “Permitted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Liens incurred in connection with Subordinated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leasehold interests in leases or subleases and licenses or sublicenses (other than with respect to Intellectual Property) granted in the ordinary course of business and not interfering in any material respect with the business of the licensor;</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Liens in favor of customs and revenue authorities arising as a matter of law to secure payment of custom duties that are promptly paid on or before the date they become due;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Liens on insurance proceeds securing the payment of financed insurance premiums that are promptly paid on or before the date they become due (provided that such Liens extend only to such insurance proceeds and not to any other property or assets);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statutory and common law rights of set-off and other similar rights as to deposits of cash and securities in favor of banks, other depository institutions and brokerage firms or securities intermediaries to cover fees, similar expenses and charges;</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easements, servitudes, zoning restrictions, rights-of-way and similar encumbrances on real property imposed by law or arising in the ordinary course of business so long as they do not materially impair the value or marketability of the related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(xiv)</w:t>
      </w:r>
      <w:r>
        <w:rPr>
          <w:rFonts w:ascii="Times New Roman" w:hAnsi="Times New Roman"/>
          <w:color w:val="000000"/>
          <w:sz w:val="20"/>
        </w:rPr>
        <w:t xml:space="preserve"> </w:t>
      </w:r>
      <w:r>
        <w:rPr>
          <w:rFonts w:ascii="Times New Roman" w:hAnsi="Times New Roman"/>
          <w:color w:val="000000"/>
          <w:sz w:val="22"/>
        </w:rPr>
        <w:t xml:space="preserve">(a) Liens on Cash securing obligations permitted under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definition of Permitted Indebtedness and (b) security deposits in connection with real property leases, the combination of (a) and (b) in an aggregate amount not to exceed [* * *] Dollars ($[* * *])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w:t>
      </w:r>
      <w:r>
        <w:rPr>
          <w:rFonts w:ascii="Times New Roman" w:hAnsi="Times New Roman"/>
          <w:color w:val="000000"/>
          <w:sz w:val="20"/>
        </w:rPr>
        <w:t xml:space="preserve"> </w:t>
      </w:r>
      <w:r>
        <w:rPr>
          <w:rFonts w:ascii="Times New Roman" w:hAnsi="Times New Roman"/>
          <w:color w:val="000000"/>
          <w:sz w:val="22"/>
        </w:rPr>
        <w:t>Permitted Licenses;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(xvi)</w:t>
      </w:r>
      <w:r>
        <w:rPr>
          <w:rFonts w:ascii="Times New Roman" w:hAnsi="Times New Roman"/>
          <w:color w:val="000000"/>
          <w:sz w:val="20"/>
        </w:rPr>
        <w:t xml:space="preserve"> </w:t>
      </w:r>
      <w:r>
        <w:rPr>
          <w:rFonts w:ascii="Times New Roman" w:hAnsi="Times New Roman"/>
          <w:color w:val="000000"/>
          <w:sz w:val="22"/>
        </w:rPr>
        <w:t>with respect to Permitted Royalty Transactions, (i) Liens on the royalty or revenue interests purchased or financed to a Permitted Royalty Transaction and proceeds thereon (which Liens may be senior in priority to Agent’s Lien),</w:t>
      </w:r>
      <w:r>
        <w:rPr>
          <w:rFonts w:ascii="Times New Roman" w:hAnsi="Times New Roman"/>
          <w:color w:val="000000"/>
          <w:sz w:val="20"/>
        </w:rPr>
        <w:t xml:space="preserve"> </w:t>
      </w:r>
      <w:r>
        <w:rPr>
          <w:rFonts w:ascii="Times New Roman" w:hAnsi="Times New Roman"/>
          <w:color w:val="000000"/>
          <w:sz w:val="22"/>
        </w:rPr>
        <w:t>(ii) Liens on any other asset of the applicable Loan Party to such Permitted Royalty Transaction relating to the applicable product that is the subject of such Permitted Royalty Transaction; provided that, to the extent such Lien is on</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Core Product Assets, such Lien on any Core Product Assets shall be subordinated to the Liens securing the Secured Obligations pursuant to a subordination or intercreditor agreement on terms and conditions satisfactory to Agent in its sole but reasonable discretion; and (iii) Liens on any Non-Core Product Assets relating to the applicable product that is the subject of such Permitted Royalty Transaction (which liens may be senior in priority to Agent’s Lien);</w:t>
      </w:r>
    </w:p>
    <w:p>
      <w:pPr>
        <w:pStyle w:val="TextBody"/>
        <w:bidi w:val="0"/>
        <w:spacing w:before="0" w:after="240"/>
        <w:jc w:val="both"/>
        <w:rPr>
          <w:rFonts w:ascii="Times New Roman" w:hAnsi="Times New Roman"/>
          <w:sz w:val="20"/>
        </w:rPr>
      </w:pPr>
      <w:r>
        <w:rPr>
          <w:rFonts w:ascii="Times New Roman" w:hAnsi="Times New Roman"/>
          <w:color w:val="000000"/>
          <w:sz w:val="22"/>
        </w:rPr>
        <w:t>(xvii)</w:t>
      </w:r>
      <w:r>
        <w:rPr>
          <w:rFonts w:ascii="Times New Roman" w:hAnsi="Times New Roman"/>
          <w:color w:val="000000"/>
          <w:sz w:val="20"/>
        </w:rPr>
        <w:t xml:space="preserve"> </w:t>
      </w:r>
      <w:r>
        <w:rPr>
          <w:rFonts w:ascii="Times New Roman" w:hAnsi="Times New Roman"/>
          <w:color w:val="000000"/>
          <w:sz w:val="22"/>
        </w:rPr>
        <w:t>additional Liens so long as (A) neither (x) the aggregate outstanding amount of the obligations secured thereby nor (y) the aggregate fair market value (determined as of the date such Lien is incurred) of the assets subject thereto exceed [* * *] Dollars ($[* * *]) at any time outstanding and (B) any such Lien shall be (1) limited to specific asset and not all assets or substantially all assets of Borrower or any Subsidiary and (2) subordinated to the Liens securing the Secured Obligations on terms and conditions satisfactory in its reasonable discretion and subject to a subordination agreement in form and substance satisfactory to Agent in its sole discretion;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(xviii)</w:t>
      </w:r>
      <w:r>
        <w:rPr>
          <w:rFonts w:ascii="Times New Roman" w:hAnsi="Times New Roman"/>
          <w:color w:val="000000"/>
          <w:sz w:val="20"/>
        </w:rPr>
        <w:t xml:space="preserve"> </w:t>
      </w:r>
      <w:r>
        <w:rPr>
          <w:rFonts w:ascii="Times New Roman" w:hAnsi="Times New Roman"/>
          <w:color w:val="000000"/>
          <w:sz w:val="22"/>
        </w:rPr>
        <w:t xml:space="preserve">Liens incurred in connection with the extension, renewal or refinancing of the Indebtedness secured by Liens of the type described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(xv)</w:t>
      </w:r>
      <w:r>
        <w:rPr>
          <w:rFonts w:ascii="Times New Roman" w:hAnsi="Times New Roman"/>
          <w:color w:val="000000"/>
          <w:sz w:val="20"/>
        </w:rPr>
        <w:t xml:space="preserve"> </w:t>
      </w:r>
      <w:r>
        <w:rPr>
          <w:rFonts w:ascii="Times New Roman" w:hAnsi="Times New Roman"/>
          <w:color w:val="000000"/>
          <w:sz w:val="22"/>
        </w:rPr>
        <w:t>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pStyle w:val="TextBody"/>
        <w:bidi w:val="0"/>
        <w:spacing w:before="0" w:after="240"/>
        <w:jc w:val="both"/>
        <w:rPr/>
      </w:pPr>
      <w:r>
        <w:rPr>
          <w:color w:val="000000"/>
        </w:rPr>
        <w:t>“</w:t>
      </w:r>
      <w:r>
        <w:rPr>
          <w:rFonts w:ascii="Times New Roman" w:hAnsi="Times New Roman"/>
          <w:color w:val="000000"/>
          <w:sz w:val="22"/>
          <w:u w:val="single"/>
        </w:rPr>
        <w:t>Permitted Priority Liens</w:t>
      </w:r>
      <w:r>
        <w:rPr>
          <w:rFonts w:ascii="Times New Roman" w:hAnsi="Times New Roman"/>
          <w:color w:val="000000"/>
          <w:sz w:val="20"/>
        </w:rPr>
        <w:t xml:space="preserve">” </w:t>
      </w:r>
      <w:r>
        <w:rPr>
          <w:rFonts w:ascii="Times New Roman" w:hAnsi="Times New Roman"/>
          <w:color w:val="000000"/>
          <w:sz w:val="22"/>
        </w:rPr>
        <w:t>means (a) Liens having priority over Agent’s liens as a matter of law and (b) Liens on Non-Core Product Assets.</w:t>
      </w:r>
    </w:p>
    <w:p>
      <w:pPr>
        <w:pStyle w:val="TextBody"/>
        <w:bidi w:val="0"/>
        <w:spacing w:before="0" w:after="240"/>
        <w:jc w:val="both"/>
        <w:rPr/>
      </w:pPr>
      <w:r>
        <w:rPr>
          <w:color w:val="000000"/>
        </w:rPr>
        <w:t>“</w:t>
      </w:r>
      <w:r>
        <w:rPr>
          <w:rFonts w:ascii="Times New Roman" w:hAnsi="Times New Roman"/>
          <w:color w:val="000000"/>
          <w:sz w:val="22"/>
          <w:u w:val="single"/>
        </w:rPr>
        <w:t>Permitted Royalty Transaction</w:t>
      </w:r>
      <w:r>
        <w:rPr>
          <w:rFonts w:ascii="Times New Roman" w:hAnsi="Times New Roman"/>
          <w:color w:val="000000"/>
          <w:sz w:val="20"/>
        </w:rPr>
        <w:t xml:space="preserve">” </w:t>
      </w:r>
      <w:r>
        <w:rPr>
          <w:rFonts w:ascii="Times New Roman" w:hAnsi="Times New Roman"/>
          <w:color w:val="000000"/>
          <w:sz w:val="22"/>
        </w:rPr>
        <w:t>means (a) with respect to Core Product Assets, any royalty or revenue interest financing or similar transaction whereby Borrower receives upfront unrestricted (including, not subject to any redemption, clawback, escrow or similar encumbrance or restriction) net cash proceeds of no less than [* * *] Dollars ($[* * *]) in exchange for rights to receive future payments based on net sales or revenue, as applicable, in an amount not to exceed, in the aggregate for all such Permitted Royalty Transactions with respect to 4D-150, [* * *] percent [* * *] of worldwide net sales of 4D-150, provided that such royalty or revenue interest financing shall be on terms and conditions, and with a purchaser, in each case reasonably acceptable to Agent, (b) with respect to any Non-Core Product Assets, any royalty or revenue interest financing or similar transaction in the ordinary course of business whereby Borrower receives upfront unrestricted (including, not subject to any redemption, clawback, escrow or similar encumbrance or restriction) net cash proceeds in exchange for rights to receive future payments based on net sales or revenue, as applicable provided that such royalty or revenue interest financing shall be on terms and conditions, and with a purchaser, in each case reasonably acceptable to Agent and (c) with respect to any Core Product Assets or Non-Core Product Assets, any Indebtedness with respect thereto does not have a scheduled maturity date earlier than one hundred fifty (150) days after the Term Loan Maturity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sales of Inventory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clause (b) of </w:t>
      </w:r>
      <w:r>
        <w:rPr>
          <w:rFonts w:ascii="Times New Roman" w:hAnsi="Times New Roman"/>
          <w:color w:val="000000"/>
          <w:sz w:val="22"/>
          <w:u w:val="single"/>
        </w:rPr>
        <w:t>Permitted Licenses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transfers by and among Borrower and any Subsidiary that has executed a Joinder Agreement;</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transfers constituting the making of Permitted Investments, or the granting of Permitted Liens;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(a) dispositions of damaged, worn-out, obsolete or surplus Equipment or other property that is, in the reasonable judgment of Borrower, no longer economically practicable to maintain or useful in the ordinary course of business and (b) dispositions of Inventory for clinical trials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any Permitted Royalty Transaction;</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(a) the issuance or sale of any Permitted Convertible Debt by the Company, (b) the sale of any Permitted Warrant Transaction by the Company, (c) the purchase of any Permitted Bond Hedge Transaction by the Company or (d) the performance by the Company of its obligations under any Permitted Convertible Debt, any Permitted Warrant Transaction or any Permitted Bond Hedge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use of Cash in the ordinary course of business not prohibited by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sale of Equity Interests of the Borrower not constituting a Change in Control;</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Transfers consisting of abandonment, cancellation, non-renewal, discontinuance of use or maintenance of, forfeiture or dedication to the public of any Intellectual Property that is no longer economically practical or commercially desirable to maintain or useful in the conduct of the business of Borrower and with no material value;</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sales, settlement, forgiveness or discounting, in the ordinary course of business, of past due or doubtful accounts, but only in connection with the collection or compromise thereof or in connection with bankruptcy or reorganization of suppliers or customers (and not as part of any bulk sale, factoring or financing of receivables) in an aggregate amount not to exceed Two Hundred Fifty Thousand Dollars ($250,000) for all such sales, settlements, forgiveness or discounts;</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 xml:space="preserve">any involuntary loss, damage or destruction of property to the extent the Borrower or a Subsidiary complies with </w:t>
      </w:r>
      <w:r>
        <w:rPr>
          <w:rFonts w:ascii="Times New Roman" w:hAnsi="Times New Roman"/>
          <w:color w:val="000000"/>
          <w:sz w:val="22"/>
          <w:u w:val="single"/>
        </w:rPr>
        <w:t>Section 6.1</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other Transfers of assets having a fair market value of not more than [* * *] Dollars ($[* * *]) in the aggregate in any fiscal year.</w:t>
      </w:r>
    </w:p>
    <w:p>
      <w:pPr>
        <w:pStyle w:val="TextBody"/>
        <w:bidi w:val="0"/>
        <w:spacing w:before="0" w:after="24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means any call option, warrant or right to purchase (or substantively equivalent derivative transaction) relating to Common Stock (or other securities or property following a merger event, reclassification, replacement or other change of the Common Stock) and/or cash (in an amount determined by reference to the price of such Common Stock) sold by the Company substantially concurrently with any purchase by the Company of a related Permitted Bond Hedge Transaction and settled in Common Stock (or such other securities or property).</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Principal Stock Exchange</w:t>
      </w:r>
      <w:r>
        <w:rPr>
          <w:rFonts w:ascii="Times New Roman" w:hAnsi="Times New Roman"/>
          <w:color w:val="000000"/>
          <w:sz w:val="20"/>
        </w:rPr>
        <w:t xml:space="preserve">” </w:t>
      </w:r>
      <w:r>
        <w:rPr>
          <w:rFonts w:ascii="Times New Roman" w:hAnsi="Times New Roman"/>
          <w:color w:val="000000"/>
          <w:sz w:val="22"/>
        </w:rPr>
        <w:t>means the NASDAQ or, if the common Equity Interests are not listed on the NASDAQ, the principal national securities exchange or public quotation system on which the common Equity Interests are then listed for trading or quoted.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 xml:space="preserve">means an amount equal to (a) the amount of Borrower’s Cash held in accounts subject to an Account Control Agreement in favor of Agent, </w:t>
      </w:r>
      <w:r>
        <w:rPr>
          <w:rFonts w:ascii="Times New Roman" w:hAnsi="Times New Roman"/>
          <w:i/>
          <w:color w:val="000000"/>
          <w:sz w:val="22"/>
          <w:u w:val="single"/>
        </w:rPr>
        <w:t>minus</w:t>
      </w:r>
      <w:r>
        <w:rPr>
          <w:rFonts w:ascii="Times New Roman" w:hAnsi="Times New Roman"/>
          <w:color w:val="000000"/>
          <w:sz w:val="20"/>
        </w:rPr>
        <w:t xml:space="preserve"> </w:t>
      </w:r>
      <w:r>
        <w:rPr>
          <w:rFonts w:ascii="Times New Roman" w:hAnsi="Times New Roman"/>
          <w:color w:val="000000"/>
          <w:sz w:val="22"/>
        </w:rPr>
        <w:t>(b) the Qualified Cash A/P Amount.</w:t>
      </w:r>
    </w:p>
    <w:p>
      <w:pPr>
        <w:pStyle w:val="TextBody"/>
        <w:bidi w:val="0"/>
        <w:spacing w:before="0" w:after="240"/>
        <w:jc w:val="both"/>
        <w:rPr/>
      </w:pPr>
      <w:r>
        <w:rPr>
          <w:color w:val="000000"/>
        </w:rPr>
        <w:t>“</w:t>
      </w:r>
      <w:r>
        <w:rPr>
          <w:rFonts w:ascii="Times New Roman" w:hAnsi="Times New Roman"/>
          <w:color w:val="000000"/>
          <w:sz w:val="22"/>
          <w:u w:val="single"/>
        </w:rPr>
        <w:t>Qualified Cash A/P Amount</w:t>
      </w:r>
      <w:r>
        <w:rPr>
          <w:rFonts w:ascii="Times New Roman" w:hAnsi="Times New Roman"/>
          <w:color w:val="000000"/>
          <w:sz w:val="20"/>
        </w:rPr>
        <w:t xml:space="preserve">” </w:t>
      </w:r>
      <w:r>
        <w:rPr>
          <w:rFonts w:ascii="Times New Roman" w:hAnsi="Times New Roman"/>
          <w:color w:val="000000"/>
          <w:sz w:val="22"/>
        </w:rPr>
        <w:t>means the amount of Borrower’s accounts payable under GAAP not paid after the 90th day following the invoice for such account payable.</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are not Disqualified Equity Interests.</w:t>
      </w:r>
    </w:p>
    <w:p>
      <w:pPr>
        <w:pStyle w:val="TextBody"/>
        <w:bidi w:val="0"/>
        <w:spacing w:before="0" w:after="240"/>
        <w:jc w:val="both"/>
        <w:rPr/>
      </w:pPr>
      <w:r>
        <w:rPr>
          <w:color w:val="000000"/>
        </w:rPr>
        <w:t>“</w:t>
      </w:r>
      <w:r>
        <w:rPr>
          <w:rFonts w:ascii="Times New Roman" w:hAnsi="Times New Roman"/>
          <w:color w:val="000000"/>
          <w:sz w:val="22"/>
          <w:u w:val="single"/>
        </w:rPr>
        <w:t>Qualified Equity Issuance Net Proceeds</w:t>
      </w:r>
      <w:r>
        <w:rPr>
          <w:rFonts w:ascii="Times New Roman" w:hAnsi="Times New Roman"/>
          <w:color w:val="000000"/>
          <w:sz w:val="20"/>
        </w:rPr>
        <w:t xml:space="preserve">” </w:t>
      </w:r>
      <w:r>
        <w:rPr>
          <w:rFonts w:ascii="Times New Roman" w:hAnsi="Times New Roman"/>
          <w:color w:val="000000"/>
          <w:sz w:val="22"/>
        </w:rPr>
        <w:t>means the net proceeds in Cash (excluding any share repurchases, or other holdbacks or discounts) received by Company as consideration for any (a) public or private sale or issuance of any Qualified Equity Interests of Company, (b) contribution to the equity capital of Company (other than in exchange for Disqualified Equity Interests) and (c) Permitted Convertible Debt; provided that the amount of Cash received by Company is measured at the time made and without adjustment for subsequent changes in value, payable for the fair market value of sale, issuance or contribution and any other property received in connection with such sale, issuance or contribution, and paid by any Person that is not a Loan Party or an Affiliate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means, with respect to any repurchase in connection with the redemption of Permitted Convertible Debt</w:t>
      </w:r>
      <w:r>
        <w:rPr>
          <w:rFonts w:ascii="Times New Roman" w:hAnsi="Times New Roman"/>
          <w:color w:val="000000"/>
          <w:sz w:val="20"/>
        </w:rPr>
        <w:t xml:space="preserve"> </w:t>
      </w:r>
      <w:r>
        <w:rPr>
          <w:rFonts w:ascii="Times New Roman" w:hAnsi="Times New Roman"/>
          <w:color w:val="000000"/>
          <w:sz w:val="22"/>
        </w:rPr>
        <w:t>upon satisfaction of a condition related to the stock price of Common Stock, satisfaction of each of the following events: (a) no Default or Event of Default shall exist or result therefrom, and (b) both immediately before and at all times after such redemption, Borrower’s Qualified Cash shall be no less than 125% of Secured Obligations (inclusive of any Prepayment Charge and End of Term Charge that would be due and owing if the outstanding Term Loan Advances were prepaid at the time of measurement).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Registration</w:t>
      </w:r>
      <w:r>
        <w:rPr>
          <w:rFonts w:ascii="Times New Roman" w:hAnsi="Times New Roman"/>
          <w:color w:val="000000"/>
          <w:sz w:val="20"/>
        </w:rPr>
        <w:t xml:space="preserve">” </w:t>
      </w:r>
      <w:r>
        <w:rPr>
          <w:rFonts w:ascii="Times New Roman" w:hAnsi="Times New Roman"/>
          <w:color w:val="000000"/>
          <w:sz w:val="22"/>
        </w:rPr>
        <w:t>means any registration, authorization, approval, license, permit, clearance, certificate, and exemption issued or allowed by the FDA or state pharmacy licensing authorities (including, without limitation, Biologic License Applications investigational new drug applications, pricing and reimbursement approvals, labelling approvals or their foreign equivalent, and wholesale distributor permits).</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at any time, the holders of more than fifty percent (50%) of the sum of the aggregate unpaid principal amount of the Term Loans then outstanding.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Restricted License</w:t>
      </w:r>
      <w:r>
        <w:rPr>
          <w:rFonts w:ascii="Times New Roman" w:hAnsi="Times New Roman"/>
          <w:color w:val="000000"/>
          <w:sz w:val="20"/>
        </w:rPr>
        <w:t xml:space="preserve">” </w:t>
      </w:r>
      <w:r>
        <w:rPr>
          <w:rFonts w:ascii="Times New Roman" w:hAnsi="Times New Roman"/>
          <w:color w:val="000000"/>
          <w:sz w:val="22"/>
        </w:rPr>
        <w:t>means any material License or other agreement (other than off-the-shelf software that is commercially available to the public) with respect to which Borrower is the licensee (a) that prohibits or otherwise restricts Borrower from granting a security interest in Borrower’s interest in such License or agreement or any other property (but only to the extent enforceable under applicable law), or (b) for which a default under or the termination thereof could materially and adversely affect Agent’s right to sell any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 any EU member state or other relevant sanctions authority,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 or other relevant sanctions authority.</w:t>
      </w:r>
    </w:p>
    <w:p>
      <w:pPr>
        <w:pStyle w:val="TextBody"/>
        <w:bidi w:val="0"/>
        <w:spacing w:before="0" w:after="240"/>
        <w:jc w:val="both"/>
        <w:rPr/>
      </w:pPr>
      <w:r>
        <w:rPr>
          <w:color w:val="000000"/>
        </w:rPr>
        <w:t>“</w:t>
      </w:r>
      <w:r>
        <w:rPr>
          <w:rFonts w:ascii="Times New Roman" w:hAnsi="Times New Roman"/>
          <w:color w:val="000000"/>
          <w:sz w:val="22"/>
          <w:u w:val="single"/>
        </w:rPr>
        <w:t>SBA Funding Date</w:t>
      </w:r>
      <w:r>
        <w:rPr>
          <w:rFonts w:ascii="Times New Roman" w:hAnsi="Times New Roman"/>
          <w:color w:val="000000"/>
          <w:sz w:val="20"/>
        </w:rPr>
        <w:t xml:space="preserve">” </w:t>
      </w:r>
      <w:r>
        <w:rPr>
          <w:rFonts w:ascii="Times New Roman" w:hAnsi="Times New Roman"/>
          <w:color w:val="000000"/>
          <w:sz w:val="22"/>
        </w:rPr>
        <w:t>means each date on which a Lender which is an SBIC funds any portion of the Term Loans.</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including any obligation to pay any amount now owing or later arising.</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in amounts and on terms and conditions satisfactory to Agent in its sole discretion and subject to a subordination agreement in form and substance satisfactory to Agent in its sole discretion.</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a corporation, partnership, limited liability company, joint venture or otherwise, in which Borrower owns or controls, either directly or indirectly, fifty percent (50%) or more of the outstanding voting securities, including each entity listed on </w:t>
      </w:r>
      <w:r>
        <w:rPr>
          <w:rFonts w:ascii="Times New Roman" w:hAnsi="Times New Roman"/>
          <w:color w:val="000000"/>
          <w:sz w:val="22"/>
          <w:u w:val="single"/>
        </w:rPr>
        <w:t>Schedule 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Loan</w:t>
      </w:r>
      <w:r>
        <w:rPr>
          <w:rFonts w:ascii="Times New Roman" w:hAnsi="Times New Roman"/>
          <w:color w:val="000000"/>
          <w:sz w:val="20"/>
        </w:rPr>
        <w:t xml:space="preserve">” </w:t>
      </w:r>
      <w:r>
        <w:rPr>
          <w:rFonts w:ascii="Times New Roman" w:hAnsi="Times New Roman"/>
          <w:color w:val="000000"/>
          <w:sz w:val="22"/>
        </w:rPr>
        <w:t>means any Term Loan Advance made under this Agreement.</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 xml:space="preserve">means each Tranche 1A Advance, Tranche 1B Advance, Tranche 2A Advance, Tranche 2B Advance, Tranche 3 Advance, Tranche 4 Advance, Tranche 5 Advance and any other funds advanced under </w:t>
      </w:r>
      <w:r>
        <w:rPr>
          <w:rFonts w:ascii="Times New Roman" w:hAnsi="Times New Roman"/>
          <w:color w:val="000000"/>
          <w:sz w:val="22"/>
          <w:u w:val="single"/>
        </w:rPr>
        <w:t>Section 2.2(a)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Trading Day</w:t>
      </w:r>
      <w:r>
        <w:rPr>
          <w:rFonts w:ascii="Times New Roman" w:hAnsi="Times New Roman"/>
          <w:color w:val="000000"/>
          <w:sz w:val="20"/>
        </w:rPr>
        <w:t xml:space="preserve">” </w:t>
      </w:r>
      <w:r>
        <w:rPr>
          <w:rFonts w:ascii="Times New Roman" w:hAnsi="Times New Roman"/>
          <w:color w:val="000000"/>
          <w:sz w:val="22"/>
        </w:rPr>
        <w:t>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means the Tranche 1A Advance, Tranche 1B Advance, Tranche 2A Advance, Tranche 2B Advance, the Tranche 3 Advance, Tranche 4 Advance and/or Tranche 5 Advance, as applicable.</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both"/>
        <w:rPr>
          <w:rFonts w:ascii="Times New Roman" w:hAnsi="Times New Roman"/>
          <w:sz w:val="20"/>
        </w:rPr>
      </w:pPr>
      <w:r>
        <w:rPr>
          <w:rFonts w:ascii="Times New Roman" w:hAnsi="Times New Roman"/>
          <w:color w:val="000000"/>
          <w:sz w:val="22"/>
        </w:rPr>
        <w:t>1.2</w:t>
      </w:r>
      <w:r>
        <w:rPr>
          <w:rFonts w:ascii="Times New Roman" w:hAnsi="Times New Roman"/>
          <w:color w:val="000000"/>
          <w:sz w:val="20"/>
        </w:rPr>
        <w:t xml:space="preserve"> “</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is, from time to time, in effect in the State of New York;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New York,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 The following terms are defined in the Sections or subsections referenced opposite such terms:</w:t>
      </w:r>
    </w:p>
    <w:tbl>
      <w:tblPr>
        <w:tblW w:w="5432" w:type="dxa"/>
        <w:jc w:val="left"/>
        <w:tblInd w:w="0" w:type="dxa"/>
        <w:tblLayout w:type="fixed"/>
        <w:tblCellMar>
          <w:top w:w="28" w:type="dxa"/>
          <w:left w:w="28" w:type="dxa"/>
          <w:bottom w:w="28" w:type="dxa"/>
          <w:right w:w="28" w:type="dxa"/>
        </w:tblCellMar>
      </w:tblPr>
      <w:tblGrid>
        <w:gridCol w:w="4051"/>
        <w:gridCol w:w="1381"/>
      </w:tblGrid>
      <w:tr>
        <w:trPr/>
        <w:tc>
          <w:tcPr>
            <w:tcW w:w="40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051" w:type="dxa"/>
            <w:tcBorders>
              <w:top w:val="single" w:sz="4" w:space="0" w:color="000000"/>
              <w:left w:val="single" w:sz="4" w:space="0" w:color="000000"/>
              <w:bottom w:val="single" w:sz="4" w:space="0" w:color="000000"/>
            </w:tcBorders>
            <w:shd w:fill="000000" w:val="clear"/>
            <w:tcMar>
              <w:left w:w="108" w:type="dxa"/>
              <w:right w:w="0"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Defined Term</w:t>
            </w:r>
          </w:p>
        </w:tc>
        <w:tc>
          <w:tcPr>
            <w:tcW w:w="1381" w:type="dxa"/>
            <w:tcBorders>
              <w:top w:val="single" w:sz="4" w:space="0" w:color="000000"/>
              <w:bottom w:val="single" w:sz="4" w:space="0" w:color="000000"/>
              <w:right w:val="single" w:sz="4" w:space="0" w:color="000000"/>
            </w:tcBorders>
            <w:shd w:fill="000000" w:val="clear"/>
            <w:tcMar>
              <w:left w:w="0" w:type="dxa"/>
              <w:right w:w="108"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Section</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1940 Act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5.6(b)</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Affected Lender</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Addendum 4</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Agent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Amortization Date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Applicable Minimum Cash Percentage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Approval Milestone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Assignee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11.14</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Borrower</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Claims</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11.11(a)</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Collateral</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Company</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Confidential Information</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11.13</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Due Diligence Fee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 of Term Charge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 of Term Charge Percentage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Event of Default</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Financial Statements</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Indemnified Person</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Facility Charge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Minimum Cash Test Date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Performance Covenant Test Date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Lenders</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Liabilities</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Maximum Rate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Maximum Term Loan Amount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Minimum Advance Amount</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Participant Register</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w:t>
            </w:r>
          </w:p>
        </w:tc>
      </w:tr>
      <w:tr>
        <w:trPr/>
        <w:tc>
          <w:tcPr>
            <w:tcW w:w="405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Payment Date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2.2(e)</w:t>
            </w:r>
          </w:p>
        </w:tc>
      </w:tr>
      <w:tr>
        <w:trPr/>
        <w:tc>
          <w:tcPr>
            <w:tcW w:w="405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Prepayment Charge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bl>
    <w:p>
      <w:pPr>
        <w:pStyle w:val="TextBody"/>
        <w:bidi w:val="0"/>
        <w:spacing w:before="0" w:after="240"/>
        <w:jc w:val="center"/>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361"/>
        <w:gridCol w:w="1051"/>
      </w:tblGrid>
      <w:tr>
        <w:trPr/>
        <w:tc>
          <w:tcPr>
            <w:tcW w:w="33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666666"/>
              <w:left w:val="single" w:sz="4" w:space="0" w:color="666666"/>
              <w:bottom w:val="single" w:sz="4" w:space="0" w:color="666666"/>
              <w:right w:val="single" w:sz="4" w:space="0" w:color="666666"/>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Prime Rate</w:t>
            </w:r>
          </w:p>
        </w:tc>
        <w:tc>
          <w:tcPr>
            <w:tcW w:w="1051" w:type="dxa"/>
            <w:tcBorders>
              <w:top w:val="single" w:sz="4" w:space="0" w:color="666666"/>
              <w:bottom w:val="single" w:sz="4" w:space="0" w:color="666666"/>
              <w:right w:val="single" w:sz="4" w:space="0" w:color="666666"/>
            </w:tcBorders>
            <w:tcMar>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Publicity Materials</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11.19</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Register</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Rights to Payment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RTI Amount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SBA</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SBIC</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SBIC Act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Subsequent Financing</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Loan Interest Rate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Loan Maturity Date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1A Advance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1A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1B Advance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1B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1B Commitment Period</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2A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2A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2A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2B Advance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2B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2B Commitment Period</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 Early Draw Milestone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 Milestone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Milestone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Milestone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5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5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5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Facility Charge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36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Transfer</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w:t>
            </w:r>
          </w:p>
        </w:tc>
      </w:tr>
      <w:tr>
        <w:trPr/>
        <w:tc>
          <w:tcPr>
            <w:tcW w:w="336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Updated Schedule 5.10(a)</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5.10(a)</w:t>
            </w:r>
          </w:p>
        </w:tc>
      </w:tr>
    </w:tbl>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1.3</w:t>
      </w:r>
      <w:r>
        <w:rPr>
          <w:rFonts w:ascii="Times New Roman" w:hAnsi="Times New Roman"/>
          <w:color w:val="000000"/>
          <w:sz w:val="20"/>
        </w:rPr>
        <w:t xml:space="preserve"> </w:t>
      </w:r>
      <w:r>
        <w:rPr>
          <w:rFonts w:ascii="Times New Roman" w:hAnsi="Times New Roman"/>
          <w:color w:val="000000"/>
          <w:sz w:val="22"/>
        </w:rPr>
        <w:t>Unless otherwise specified, all references in this Agreement or any Annex or Schedule hereto to a “Section,” “subsection,” “Exhibit,” “Annex,” or “Schedule” shall refer to the corresponding</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both"/>
        <w:rPr>
          <w:rFonts w:ascii="Times New Roman" w:hAnsi="Times New Roman"/>
          <w:sz w:val="20"/>
        </w:rPr>
      </w:pPr>
      <w:r>
        <w:rPr>
          <w:rFonts w:ascii="Times New Roman" w:hAnsi="Times New Roman"/>
          <w:color w:val="000000"/>
          <w:sz w:val="22"/>
        </w:rPr>
        <w:t>1.4</w:t>
      </w:r>
      <w:r>
        <w:rPr>
          <w:rFonts w:ascii="Times New Roman" w:hAnsi="Times New Roman"/>
          <w:color w:val="000000"/>
          <w:sz w:val="20"/>
        </w:rPr>
        <w:t xml:space="preserve"> </w:t>
      </w:r>
      <w:r>
        <w:rPr>
          <w:rFonts w:ascii="Times New Roman" w:hAnsi="Times New Roman"/>
          <w:color w:val="000000"/>
          <w:sz w:val="22"/>
        </w:rPr>
        <w:t>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provided that, until so amended, such requirement shall continue to be computed in accordance with GAAP prior to such change.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pStyle w:val="TextBody"/>
        <w:bidi w:val="0"/>
        <w:spacing w:before="0" w:after="240"/>
        <w:jc w:val="both"/>
        <w:rPr>
          <w:rFonts w:ascii="Times New Roman" w:hAnsi="Times New Roman"/>
          <w:sz w:val="20"/>
        </w:rPr>
      </w:pPr>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color w:val="000000"/>
          <w:sz w:val="22"/>
        </w:rPr>
        <w:t>Notwithstanding anything in the definition of GAAP to the contrary, any obligations under a lease (whether existing now or entered into in the future) that is not (or would not be) a capital lease under GAAP as in effect prior to giving effect to FASB Accounting Standards Update No. 2016-02, Leases, shall not be treated as a capital lease solely as a result of the adoption of changes in GAAP.</w:t>
      </w:r>
    </w:p>
    <w:p>
      <w:pPr>
        <w:pStyle w:val="TextBody"/>
        <w:bidi w:val="0"/>
        <w:spacing w:before="0" w:after="240"/>
        <w:jc w:val="both"/>
        <w:rPr>
          <w:rFonts w:ascii="Times New Roman" w:hAnsi="Times New Roman"/>
          <w:sz w:val="20"/>
        </w:rPr>
      </w:pPr>
      <w:r>
        <w:rPr>
          <w:rFonts w:ascii="Times New Roman" w:hAnsi="Times New Roman"/>
          <w:color w:val="000000"/>
          <w:sz w:val="22"/>
        </w:rPr>
        <w:t>1.6</w:t>
      </w:r>
      <w:r>
        <w:rPr>
          <w:rFonts w:ascii="Times New Roman" w:hAnsi="Times New Roman"/>
          <w:color w:val="000000"/>
          <w:sz w:val="20"/>
        </w:rPr>
        <w:t xml:space="preserve"> </w:t>
      </w:r>
      <w:r>
        <w:rPr>
          <w:rFonts w:ascii="Times New Roman" w:hAnsi="Times New Roman"/>
          <w:color w:val="000000"/>
          <w:sz w:val="22"/>
        </w:rPr>
        <w:t>Any reference in any Loan Document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2. </w:t>
      </w:r>
      <w:r>
        <w:rPr>
          <w:rFonts w:ascii="Times New Roman" w:hAnsi="Times New Roman"/>
          <w:b/>
          <w:caps/>
          <w:color w:val="000000"/>
          <w:sz w:val="22"/>
          <w:u w:val="single"/>
        </w:rPr>
        <w:t>THE LOAN</w:t>
      </w:r>
    </w:p>
    <w:p>
      <w:pPr>
        <w:pStyle w:val="TextBody"/>
        <w:bidi w:val="0"/>
        <w:spacing w:before="0" w:after="240"/>
        <w:jc w:val="both"/>
        <w:rPr>
          <w:rFonts w:ascii="Times New Roman" w:hAnsi="Times New Roman"/>
          <w:sz w:val="20"/>
        </w:rPr>
      </w:pPr>
      <w:r>
        <w:rPr>
          <w:rFonts w:ascii="Times New Roman" w:hAnsi="Times New Roman"/>
          <w:color w:val="000000"/>
          <w:sz w:val="22"/>
        </w:rPr>
        <w:t>2.1</w:t>
      </w:r>
      <w:r>
        <w:rPr>
          <w:rFonts w:ascii="Times New Roman" w:hAnsi="Times New Roman"/>
          <w:color w:val="000000"/>
          <w:sz w:val="20"/>
        </w:rPr>
        <w:t xml:space="preserve">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2.2</w:t>
      </w:r>
      <w:r>
        <w:rPr>
          <w:rFonts w:ascii="Times New Roman" w:hAnsi="Times New Roman"/>
          <w:color w:val="000000"/>
          <w:sz w:val="20"/>
        </w:rPr>
        <w:t xml:space="preserve"> </w:t>
      </w:r>
      <w:r>
        <w:rPr>
          <w:rFonts w:ascii="Times New Roman" w:hAnsi="Times New Roman"/>
          <w:color w:val="000000"/>
          <w:sz w:val="22"/>
          <w:u w:val="single"/>
        </w:rPr>
        <w:t>Term Loan Advances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u w:val="single"/>
        </w:rPr>
        <w:t>Advances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u w:val="single"/>
        </w:rPr>
        <w:t>Tranche 1A</w:t>
      </w:r>
      <w:r>
        <w:rPr>
          <w:rFonts w:ascii="Times New Roman" w:hAnsi="Times New Roman"/>
          <w:i/>
          <w:color w:val="000000"/>
          <w:sz w:val="22"/>
        </w:rPr>
        <w:t xml:space="preserve">. </w:t>
      </w:r>
      <w:r>
        <w:rPr>
          <w:rFonts w:ascii="Times New Roman" w:hAnsi="Times New Roman"/>
          <w:color w:val="000000"/>
          <w:sz w:val="22"/>
        </w:rPr>
        <w:t>Subject to the terms and conditions of this Agreement, on the Closing Date, Lenders shall severally (and not jointly) make, and Borrower agrees to draw, a Term Loan Advance in an aggregate principal amount equal to the Tranche 1A Commitment (such Term Loan Advance, the “</w:t>
      </w:r>
      <w:r>
        <w:rPr>
          <w:rFonts w:ascii="Times New Roman" w:hAnsi="Times New Roman"/>
          <w:color w:val="000000"/>
          <w:sz w:val="22"/>
          <w:u w:val="single"/>
        </w:rPr>
        <w:t>Tranche 1A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u w:val="single"/>
        </w:rPr>
        <w:t>Tranche 1B</w:t>
      </w:r>
      <w:r>
        <w:rPr>
          <w:rFonts w:ascii="Times New Roman" w:hAnsi="Times New Roman"/>
          <w:color w:val="000000"/>
          <w:sz w:val="22"/>
        </w:rPr>
        <w:t>. Subject to the terms and conditions of this Agreement</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at any time during the Tranche 1B Commitment Period, Borrower may request and Lenders shall severally (and not jointly) make one (1) additional Term Loan Advance in an aggregate amount equal to the Tranche 1B Commitment (such Term Loan Advance, the “</w:t>
      </w:r>
      <w:r>
        <w:rPr>
          <w:rFonts w:ascii="Times New Roman" w:hAnsi="Times New Roman"/>
          <w:color w:val="000000"/>
          <w:sz w:val="22"/>
          <w:u w:val="single"/>
        </w:rPr>
        <w:t>Tranche 1B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u w:val="single"/>
        </w:rPr>
        <w:t>Tranche 2A</w:t>
      </w:r>
      <w:r>
        <w:rPr>
          <w:rFonts w:ascii="Times New Roman" w:hAnsi="Times New Roman"/>
          <w:i/>
          <w:color w:val="000000"/>
          <w:sz w:val="22"/>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Borrower may request, and the Lenders shall severally (and not jointly) make, in each case, at any time during the Tranche 2A Commitment Period, one (1) additional Term Loan Advance in a minimum increment of the Minimum Advance Amount in an aggregate principal amount up to the Tranche 2A Commitment (such Term Loan Advances the “</w:t>
      </w:r>
      <w:r>
        <w:rPr>
          <w:rFonts w:ascii="Times New Roman" w:hAnsi="Times New Roman"/>
          <w:color w:val="000000"/>
          <w:sz w:val="22"/>
          <w:u w:val="single"/>
        </w:rPr>
        <w:t>Tranche 2A Advance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u w:val="single"/>
        </w:rPr>
        <w:t>Tranche 2B</w:t>
      </w:r>
      <w:r>
        <w:rPr>
          <w:rFonts w:ascii="Times New Roman" w:hAnsi="Times New Roman"/>
          <w:i/>
          <w:color w:val="000000"/>
          <w:sz w:val="22"/>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 xml:space="preserve">Borrower may request, and the Lenders shall severally (and not jointly) make, in each case, at any time during the Tranche 2B Commitment Period, one or more additional Term Loan Advances in minimum increments of the Minimum Advance Amount (or if less, the remaining amount of Term Loan Advances available to be drawn pursuant to this </w:t>
      </w:r>
      <w:r>
        <w:rPr>
          <w:rFonts w:ascii="Times New Roman" w:hAnsi="Times New Roman"/>
          <w:color w:val="000000"/>
          <w:sz w:val="22"/>
          <w:u w:val="single"/>
        </w:rPr>
        <w:t>Section 2.2(a)(iv)</w:t>
      </w:r>
      <w:r>
        <w:rPr>
          <w:rFonts w:ascii="Times New Roman" w:hAnsi="Times New Roman"/>
          <w:color w:val="000000"/>
          <w:sz w:val="22"/>
        </w:rPr>
        <w:t>) in an aggregate principal amount up to the Tranche 2B Commitment (such Term Loan Advances, the “</w:t>
      </w:r>
      <w:r>
        <w:rPr>
          <w:rFonts w:ascii="Times New Roman" w:hAnsi="Times New Roman"/>
          <w:color w:val="000000"/>
          <w:sz w:val="22"/>
          <w:u w:val="single"/>
        </w:rPr>
        <w:t>Tranche 2B Advances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u w:val="single"/>
        </w:rPr>
        <w:t>Tranche 3</w:t>
      </w:r>
      <w:r>
        <w:rPr>
          <w:rFonts w:ascii="Times New Roman" w:hAnsi="Times New Roman"/>
          <w:i/>
          <w:color w:val="000000"/>
          <w:sz w:val="22"/>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 xml:space="preserve">Borrower may request, and the Lenders shall severally (and not jointly) make, in each case, at any time during the Tranche 3 Commitment Period, one or more additional Term Loan Advances in minimum increments of the Minimum Advance Amount (or if less, the remaining amount of Term Loan Advances available to be drawn pursuant to this </w:t>
      </w:r>
      <w:r>
        <w:rPr>
          <w:rFonts w:ascii="Times New Roman" w:hAnsi="Times New Roman"/>
          <w:color w:val="000000"/>
          <w:sz w:val="22"/>
          <w:u w:val="single"/>
        </w:rPr>
        <w:t>Section 2.2(a)(v)</w:t>
      </w:r>
      <w:r>
        <w:rPr>
          <w:rFonts w:ascii="Times New Roman" w:hAnsi="Times New Roman"/>
          <w:color w:val="000000"/>
          <w:sz w:val="22"/>
        </w:rPr>
        <w:t>) in an aggregate principal amount up to the Tranche 3 Commitment (such Term Loan Advances, the “</w:t>
      </w:r>
      <w:r>
        <w:rPr>
          <w:rFonts w:ascii="Times New Roman" w:hAnsi="Times New Roman"/>
          <w:color w:val="000000"/>
          <w:sz w:val="22"/>
          <w:u w:val="single"/>
        </w:rPr>
        <w:t>Tranche 3 Advances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u w:val="single"/>
        </w:rPr>
        <w:t>Tranche 4</w:t>
      </w:r>
      <w:r>
        <w:rPr>
          <w:rFonts w:ascii="Times New Roman" w:hAnsi="Times New Roman"/>
          <w:i/>
          <w:color w:val="000000"/>
          <w:sz w:val="22"/>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 xml:space="preserve">Borrower may request, and the Lenders shall severally (and not jointly) make, in each case, at any time during the Tranche 4 Commitment Period, one or more additional Term Loan Advances in minimum increments of the Minimum Advance Amount (or if less, the remaining amount of Term Loan Advances available to be drawn pursuant to this </w:t>
      </w:r>
      <w:r>
        <w:rPr>
          <w:rFonts w:ascii="Times New Roman" w:hAnsi="Times New Roman"/>
          <w:color w:val="000000"/>
          <w:sz w:val="22"/>
          <w:u w:val="single"/>
        </w:rPr>
        <w:t>Section 2.2(a)(vi)</w:t>
      </w:r>
      <w:r>
        <w:rPr>
          <w:rFonts w:ascii="Times New Roman" w:hAnsi="Times New Roman"/>
          <w:color w:val="000000"/>
          <w:sz w:val="22"/>
        </w:rPr>
        <w:t>) in an aggregate principal amount up to the Tranche 4 Commitment (such Term Loan Advances, the “</w:t>
      </w:r>
      <w:r>
        <w:rPr>
          <w:rFonts w:ascii="Times New Roman" w:hAnsi="Times New Roman"/>
          <w:color w:val="000000"/>
          <w:sz w:val="22"/>
          <w:u w:val="single"/>
        </w:rPr>
        <w:t>Tranche 4 Advances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u w:val="single"/>
        </w:rPr>
        <w:t>Tranche 5</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 xml:space="preserve">Borrower may request, and the Lenders shall severally (and not jointly) make, in each case, at any time during the Tranche 5 Commitment Period, and conditioned on approval by Lenders’ investment committee in its sole and unfettered discretion, one or more additional Term Loan Advances in minimum increments of the Minimum Advance Amount (or if less, the remaining amount of Term Loan Advances available to be drawn pursuant to this </w:t>
      </w:r>
      <w:r>
        <w:rPr>
          <w:rFonts w:ascii="Times New Roman" w:hAnsi="Times New Roman"/>
          <w:color w:val="000000"/>
          <w:sz w:val="22"/>
          <w:u w:val="single"/>
        </w:rPr>
        <w:t>Section 2.2(a)(vii)</w:t>
      </w:r>
      <w:r>
        <w:rPr>
          <w:rFonts w:ascii="Times New Roman" w:hAnsi="Times New Roman"/>
          <w:color w:val="000000"/>
          <w:sz w:val="22"/>
        </w:rPr>
        <w:t>) in an aggregate principal amount up to the Tranche 5 Commitment (such Term Loan Advances, the “</w:t>
      </w:r>
      <w:r>
        <w:rPr>
          <w:rFonts w:ascii="Times New Roman" w:hAnsi="Times New Roman"/>
          <w:color w:val="000000"/>
          <w:sz w:val="22"/>
          <w:u w:val="single"/>
        </w:rPr>
        <w:t>Tranche 5 Advances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u w:val="single"/>
        </w:rPr>
        <w:t>Maximum Term Loan Amount</w:t>
      </w:r>
      <w:r>
        <w:rPr>
          <w:rFonts w:ascii="Times New Roman" w:hAnsi="Times New Roman"/>
          <w:color w:val="000000"/>
          <w:sz w:val="22"/>
        </w:rPr>
        <w:t>. The aggregate outstanding Term Loan Advances shall not exceed the Maximum Term Loan Amount. Each Term Loan Advance of each Lender shall not exceed its respective Term Commitment. After repayment, no Term Loan Advance (or any portion thereof) may be reborrowed.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u w:val="single"/>
        </w:rPr>
        <w:t>Advance Request</w:t>
      </w:r>
      <w:r>
        <w:rPr>
          <w:rFonts w:ascii="Times New Roman" w:hAnsi="Times New Roman"/>
          <w:color w:val="000000"/>
          <w:sz w:val="22"/>
        </w:rPr>
        <w:t xml:space="preserve">. To obtain a Term Loan Advance, Borrower shall complete, sign and deliver an Advance Request (at least one (1) Business Day before the Closing Date and at least five (5) Business Days before each Advance Date other than the Closing Date) to Agent. Lenders shall fund the Term Loan Advance in the manner requested by the Advance Request provided that each of the conditions precedent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and applicable to such Term Loan Advance is satisfied as of the requested Advance Date. The proceeds of any Term Loan Advance shall be deposited into and maintained in an account that is subject to an Account Control Agreement.</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u w:val="single"/>
        </w:rPr>
        <w:t>Interest</w:t>
      </w:r>
      <w:r>
        <w:rPr>
          <w:rFonts w:ascii="Times New Roman" w:hAnsi="Times New Roman"/>
          <w:color w:val="000000"/>
          <w:sz w:val="22"/>
        </w:rPr>
        <w:t>. The principal balance shall bear interest thereon from such Advance Date at the Term Loan Interest Rate, based on a year consisting of three hundred sixty (360) days, with interest computed daily based on the actual number of days elapsed. The Term Loan Interest Rate will float and change on the day the Prime Rate changes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u w:val="single"/>
        </w:rPr>
        <w:t>Payment</w:t>
      </w:r>
      <w:r>
        <w:rPr>
          <w:rFonts w:ascii="Times New Roman" w:hAnsi="Times New Roman"/>
          <w:color w:val="000000"/>
          <w:sz w:val="22"/>
        </w:rPr>
        <w:t>. Borrower will pay accrued but unpaid interest on each Term Loan Advance on the first Business Day of each month (each such date, a “</w:t>
      </w:r>
      <w:r>
        <w:rPr>
          <w:rFonts w:ascii="Times New Roman" w:hAnsi="Times New Roman"/>
          <w:color w:val="000000"/>
          <w:sz w:val="22"/>
          <w:u w:val="single"/>
        </w:rPr>
        <w:t>Payment Date</w:t>
      </w:r>
      <w:r>
        <w:rPr>
          <w:rFonts w:ascii="Times New Roman" w:hAnsi="Times New Roman"/>
          <w:color w:val="000000"/>
          <w:sz w:val="20"/>
        </w:rPr>
        <w:t>”</w:t>
      </w:r>
      <w:r>
        <w:rPr>
          <w:rFonts w:ascii="Times New Roman" w:hAnsi="Times New Roman"/>
          <w:color w:val="000000"/>
          <w:sz w:val="22"/>
        </w:rPr>
        <w:t>), beginning the month after the Advance Date. To the extent applicable, Borrower shall repay the aggregate principal balance of the Term Loan Advances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which, by their terms, survive termination of this Agreement) are repaid. The entire principal balance of the Term Loan Advances and all accrued but unpaid interest hereunder, shall be due and payable on the Term Loan Maturity Date; provided, that if the Term Loan Maturity Date is not a Business Day, the Term Loan Maturity Date shall be the immediately subsequent Business Day. Borrower shall make all payments under this Agreement without setoff, recoupment or deduction and regardless of any counterclaim or defense. If a payment hereunder becomes due and payable on a day that is not a Business Day, the due date thereof shall be the immediately subsequent Business Day. Agent or Lenders</w:t>
      </w:r>
      <w:r>
        <w:rPr>
          <w:rFonts w:ascii="Times New Roman" w:hAnsi="Times New Roman"/>
          <w:color w:val="000000"/>
          <w:sz w:val="20"/>
        </w:rPr>
        <w:t xml:space="preserve"> </w:t>
      </w:r>
      <w:r>
        <w:rPr>
          <w:rFonts w:ascii="Times New Roman" w:hAnsi="Times New Roman"/>
          <w:color w:val="000000"/>
          <w:sz w:val="22"/>
        </w:rPr>
        <w:t xml:space="preserve">will initiate debit entries to Borrower’s account as authorized on the ACH Authorization (i) on each Payment Date of all periodic obligations payable to Lenders under each Term Loan Advance and (ii) out-of-pocket legal fees and costs incurred by Agent or Lenders in connection with </w:t>
      </w:r>
      <w:r>
        <w:rPr>
          <w:rFonts w:ascii="Times New Roman" w:hAnsi="Times New Roman"/>
          <w:color w:val="000000"/>
          <w:sz w:val="22"/>
          <w:u w:val="single"/>
        </w:rPr>
        <w:t>Section 11.12</w:t>
      </w:r>
      <w:r>
        <w:rPr>
          <w:rFonts w:ascii="Times New Roman" w:hAnsi="Times New Roman"/>
          <w:color w:val="000000"/>
          <w:sz w:val="22"/>
        </w:rPr>
        <w:t xml:space="preserve">; provided that, with respect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in the event that Lenders or Agent informs Borrower that Lenders will not initiate a debit entry to Borrower’s account for a certain amount of the periodic obligations due on a specific Payment Date, Borrower shall pay to Lenders, such amount of periodic obligations in full in immediately available funds on such Payment Date; provided, further, that, with respect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if Lenders or Agent informs Borrower that Lenders will not initiate a debit entry as described above later than the date that is three (3) Business Days prior to such Payment Date, Borrower shall pay to Lenders such amount of periodic obligations in full in immediately available funds on the date that is three (3) Business Days after the date on which Lenders or Agent notifies Borrower of such; provided, further, that, with respect to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above, in the event that Lenders or Agent informs Borrower that Lenders will not initiate a debit entry to Borrower’s account for specified out-of-pocket legal fees and costs incurred by Agent or Lenders, Borrower shall pay to Lenders such amount in full in immediately available funds within three (3) Business Days.</w:t>
      </w:r>
    </w:p>
    <w:p>
      <w:pPr>
        <w:pStyle w:val="TextBody"/>
        <w:bidi w:val="0"/>
        <w:spacing w:before="0" w:after="240"/>
        <w:jc w:val="both"/>
        <w:rPr>
          <w:rFonts w:ascii="Times New Roman" w:hAnsi="Times New Roman"/>
          <w:sz w:val="20"/>
        </w:rPr>
      </w:pPr>
      <w:r>
        <w:rPr>
          <w:rFonts w:ascii="Times New Roman" w:hAnsi="Times New Roman"/>
          <w:color w:val="000000"/>
          <w:sz w:val="22"/>
        </w:rPr>
        <w:t>2.3</w:t>
      </w:r>
      <w:r>
        <w:rPr>
          <w:rFonts w:ascii="Times New Roman" w:hAnsi="Times New Roman"/>
          <w:color w:val="000000"/>
          <w:sz w:val="20"/>
        </w:rPr>
        <w:t xml:space="preserve"> </w:t>
      </w: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to the contrary, it is the parties’ intent not to contract for, charge or receive interest at a rate that is greater than the maximum rate permissible by law that a court of competent jurisdiction shall deem applicable hereto (which under the laws of the State of New York shall be deemed to be the laws relating to permissible rates of interest on commercial loans) (the “</w:t>
      </w:r>
      <w:r>
        <w:rPr>
          <w:rFonts w:ascii="Times New Roman" w:hAnsi="Times New Roman"/>
          <w:color w:val="000000"/>
          <w:sz w:val="22"/>
          <w:u w:val="single"/>
        </w:rPr>
        <w:t>Maximum Rate</w:t>
      </w:r>
      <w:r>
        <w:rPr>
          <w:rFonts w:ascii="Times New Roman" w:hAnsi="Times New Roman"/>
          <w:color w:val="000000"/>
          <w:sz w:val="20"/>
        </w:rPr>
        <w:t>”</w:t>
      </w:r>
      <w:r>
        <w:rPr>
          <w:rFonts w:ascii="Times New Roman" w:hAnsi="Times New Roman"/>
          <w:color w:val="000000"/>
          <w:sz w:val="22"/>
        </w:rPr>
        <w:t>). If a court of competent jurisdiction shall finally determine that Borrower has actually paid</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reasonable and documented out-of-pocket costs, expenses, professional fees and any other Secured Obligations; and third, after all Secured Obligations are repaid, the excess (if any) shall be refunded to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2.4</w:t>
      </w:r>
      <w:r>
        <w:rPr>
          <w:rFonts w:ascii="Times New Roman" w:hAnsi="Times New Roman"/>
          <w:color w:val="000000"/>
          <w:sz w:val="20"/>
        </w:rPr>
        <w:t xml:space="preserve"> </w:t>
      </w:r>
      <w:r>
        <w:rPr>
          <w:rFonts w:ascii="Times New Roman" w:hAnsi="Times New Roman"/>
          <w:color w:val="000000"/>
          <w:sz w:val="22"/>
          <w:u w:val="single"/>
        </w:rPr>
        <w:t>Default Interest</w:t>
      </w:r>
      <w:r>
        <w:rPr>
          <w:rFonts w:ascii="Times New Roman" w:hAnsi="Times New Roman"/>
          <w:color w:val="000000"/>
          <w:sz w:val="22"/>
        </w:rPr>
        <w:t xml:space="preserve">. In the event any payment is not paid on the scheduled payment date, an amount equal to four percent (4%) of such past due amount shall be payable on demand. In addition, upon the occurrence and during the continuation of an Event of Default hereunder, all outstanding Secured Obligations, including principal, interest, compounded interest, and professional fees, shall bear interest at a rate per annum equal to the rate set forth in </w:t>
      </w:r>
      <w:r>
        <w:rPr>
          <w:rFonts w:ascii="Times New Roman" w:hAnsi="Times New Roman"/>
          <w:color w:val="000000"/>
          <w:sz w:val="22"/>
          <w:u w:val="single"/>
        </w:rPr>
        <w:t>Section 2.2(d)</w:t>
      </w:r>
      <w:r>
        <w:rPr>
          <w:rFonts w:ascii="Times New Roman" w:hAnsi="Times New Roman"/>
          <w:color w:val="000000"/>
          <w:sz w:val="20"/>
        </w:rPr>
        <w:t xml:space="preserve"> </w:t>
      </w:r>
      <w:r>
        <w:rPr>
          <w:rFonts w:ascii="Times New Roman" w:hAnsi="Times New Roman"/>
          <w:color w:val="000000"/>
          <w:sz w:val="22"/>
        </w:rPr>
        <w:t xml:space="preserve">plus four percent (4%) per annum. In the event any interest is not paid when due hereunder, delinquent interest shall be added to principal and shall bear interest on interest, compounded at the rate set forth in </w:t>
      </w:r>
      <w:r>
        <w:rPr>
          <w:rFonts w:ascii="Times New Roman" w:hAnsi="Times New Roman"/>
          <w:color w:val="000000"/>
          <w:sz w:val="22"/>
          <w:u w:val="single"/>
        </w:rPr>
        <w:t>Section 2.2(d)</w:t>
      </w:r>
      <w:r>
        <w:rPr>
          <w:rFonts w:ascii="Times New Roman" w:hAnsi="Times New Roman"/>
          <w:color w:val="000000"/>
          <w:sz w:val="20"/>
        </w:rPr>
        <w:t xml:space="preserve"> </w:t>
      </w:r>
      <w:r>
        <w:rPr>
          <w:rFonts w:ascii="Times New Roman" w:hAnsi="Times New Roman"/>
          <w:color w:val="000000"/>
          <w:sz w:val="22"/>
        </w:rPr>
        <w:t xml:space="preserve">or this </w:t>
      </w:r>
      <w:r>
        <w:rPr>
          <w:rFonts w:ascii="Times New Roman" w:hAnsi="Times New Roman"/>
          <w:color w:val="000000"/>
          <w:sz w:val="22"/>
          <w:u w:val="single"/>
        </w:rPr>
        <w:t>Section 2.4</w:t>
      </w:r>
      <w:r>
        <w:rPr>
          <w:rFonts w:ascii="Times New Roman" w:hAnsi="Times New Roman"/>
          <w:color w:val="000000"/>
          <w:sz w:val="22"/>
        </w:rPr>
        <w:t>,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2.5</w:t>
      </w:r>
      <w:r>
        <w:rPr>
          <w:rFonts w:ascii="Times New Roman" w:hAnsi="Times New Roman"/>
          <w:color w:val="000000"/>
          <w:sz w:val="20"/>
        </w:rPr>
        <w:t xml:space="preserve"> </w:t>
      </w:r>
      <w:r>
        <w:rPr>
          <w:rFonts w:ascii="Times New Roman" w:hAnsi="Times New Roman"/>
          <w:color w:val="000000"/>
          <w:sz w:val="22"/>
          <w:u w:val="single"/>
        </w:rPr>
        <w:t>Prepayment</w:t>
      </w:r>
      <w:r>
        <w:rPr>
          <w:rFonts w:ascii="Times New Roman" w:hAnsi="Times New Roman"/>
          <w:color w:val="000000"/>
          <w:sz w:val="22"/>
        </w:rPr>
        <w:t xml:space="preserve">. At its option, Borrower may prepay all or a portion of the outstanding Advances by paying the entire principal balance (or such portion thereof), all accrued and unpaid interest thereon, all unpaid Lender’s fees and expenses due hereunder accrued to the date of the repayment (including, without limitation, the portion of the End of Term Charge applicable to the aggregate original principal amount of the Term Loan Advances being prepaid in accordance with </w:t>
      </w:r>
      <w:r>
        <w:rPr>
          <w:rFonts w:ascii="Times New Roman" w:hAnsi="Times New Roman"/>
          <w:color w:val="000000"/>
          <w:sz w:val="22"/>
          <w:u w:val="single"/>
        </w:rPr>
        <w:t>Section 2.6(a))</w:t>
      </w:r>
      <w:r>
        <w:rPr>
          <w:rFonts w:ascii="Times New Roman" w:hAnsi="Times New Roman"/>
          <w:color w:val="000000"/>
          <w:sz w:val="22"/>
        </w:rPr>
        <w:t>, together with a Prepayment Charge with respect to the outstanding principal amount of such Advance amount being so prepaid.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(other than a Change in Control pursuant to clause (a) of the definition thereof) no later than the date that is twenty-four (24) months following the Closing Date. Notwithstanding the foregoing, Agent and Lenders agree to waive the Prepayment Charge if (x) Agent and Lenders (in their sole and absolute discretion) agree in writing to refinance the Advances prior to the Term Loan Maturity Date, (y) such prepayment occurs as a result of a Change in Control pursuant to clause (a) of the definition thereof no later than the date that is twenty-four (24) months following the Closing Date or (z) such prepayment occurs due to the failure of the 4FRONT-1 or 4FRONT-2 clinical trial. Any amounts paid under this Section shall be applied by Agent to the then unpaid amount of any outstanding Secured Obligations (including principal and interest) in such order and priority as Agent may choose in its sole discretion acting reasonably. For the avoidance of doubt, if a payment hereunder becomes due and payable on a day that is not a Business Day, the due date thereof shall be the immediately subsequent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2.6</w:t>
      </w:r>
      <w:r>
        <w:rPr>
          <w:rFonts w:ascii="Times New Roman" w:hAnsi="Times New Roman"/>
          <w:color w:val="000000"/>
          <w:sz w:val="20"/>
        </w:rPr>
        <w:t xml:space="preserve"> </w:t>
      </w:r>
      <w:r>
        <w:rPr>
          <w:rFonts w:ascii="Times New Roman" w:hAnsi="Times New Roman"/>
          <w:color w:val="000000"/>
          <w:sz w:val="22"/>
          <w:u w:val="single"/>
        </w:rPr>
        <w:t>End of Term Charge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On any date that Borrower partially prepays the outstanding Secured Obligations pursuant to </w:t>
      </w:r>
      <w:r>
        <w:rPr>
          <w:rFonts w:ascii="Times New Roman" w:hAnsi="Times New Roman"/>
          <w:color w:val="000000"/>
          <w:sz w:val="22"/>
          <w:u w:val="single"/>
        </w:rPr>
        <w:t>Section 2.5</w:t>
      </w:r>
      <w:r>
        <w:rPr>
          <w:rFonts w:ascii="Times New Roman" w:hAnsi="Times New Roman"/>
          <w:color w:val="000000"/>
          <w:sz w:val="22"/>
        </w:rPr>
        <w:t xml:space="preserve">, Borrower shall pay Lenders a charge equal to the product of the End of Term Charge Percentage </w:t>
      </w:r>
      <w:r>
        <w:rPr>
          <w:rFonts w:ascii="Times New Roman" w:hAnsi="Times New Roman"/>
          <w:i/>
          <w:color w:val="000000"/>
          <w:sz w:val="22"/>
          <w:u w:val="single"/>
        </w:rPr>
        <w:t>multiplied</w:t>
      </w:r>
      <w:r>
        <w:rPr>
          <w:rFonts w:ascii="Times New Roman" w:hAnsi="Times New Roman"/>
          <w:color w:val="000000"/>
          <w:sz w:val="20"/>
        </w:rPr>
        <w:t xml:space="preserve"> </w:t>
      </w:r>
      <w:r>
        <w:rPr>
          <w:rFonts w:ascii="Times New Roman" w:hAnsi="Times New Roman"/>
          <w:color w:val="000000"/>
          <w:sz w:val="22"/>
        </w:rPr>
        <w:t>by the principal amount of such Term Loan Advances being prepaid.</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On the earliest to occur of (i) the Term Loan Maturity Date, (ii) the date that Borrower prepays the outstanding Secured Obligations (other than any inchoate indemnity</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obligations and any other obligations which, by their terms, are to survive the termination of this Agreement) in full, (iii) the date that the outstanding Secured Obligations become due and payable, or (iv) as required pursuant to </w:t>
      </w:r>
      <w:r>
        <w:rPr>
          <w:rFonts w:ascii="Times New Roman" w:hAnsi="Times New Roman"/>
          <w:color w:val="000000"/>
          <w:sz w:val="22"/>
          <w:u w:val="single"/>
        </w:rPr>
        <w:t>Section 2.5</w:t>
      </w:r>
      <w:r>
        <w:rPr>
          <w:rFonts w:ascii="Times New Roman" w:hAnsi="Times New Roman"/>
          <w:color w:val="000000"/>
          <w:sz w:val="22"/>
        </w:rPr>
        <w:t>, Borrower shall pay Lenders a charge equal to the End of Term Charge.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Notwithstanding the required payment date of such End of Term Charge, the applicable pro rata portion of the End of Term Charge shall be deemed earned by Lenders as of each date that an applicable Term Loan Advance is made. For the avoidance of doubt, if a payment hereunder becomes due and payable on a day that is not a Business Day, the due date thereof shall be the immediately subsequent Business Day.</w:t>
      </w:r>
    </w:p>
    <w:p>
      <w:pPr>
        <w:pStyle w:val="TextBody"/>
        <w:bidi w:val="0"/>
        <w:spacing w:before="0" w:after="240"/>
        <w:jc w:val="both"/>
        <w:rPr>
          <w:rFonts w:ascii="Times New Roman" w:hAnsi="Times New Roman"/>
          <w:sz w:val="20"/>
        </w:rPr>
      </w:pPr>
      <w:r>
        <w:rPr>
          <w:rFonts w:ascii="Times New Roman" w:hAnsi="Times New Roman"/>
          <w:color w:val="000000"/>
          <w:sz w:val="22"/>
        </w:rPr>
        <w:t>2.7</w:t>
      </w:r>
      <w:r>
        <w:rPr>
          <w:rFonts w:ascii="Times New Roman" w:hAnsi="Times New Roman"/>
          <w:color w:val="000000"/>
          <w:sz w:val="20"/>
        </w:rPr>
        <w:t xml:space="preserve"> </w:t>
      </w: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Advances shall be made pro rata according to the Term Commitments of the relevant Lender.</w:t>
      </w:r>
    </w:p>
    <w:p>
      <w:pPr>
        <w:pStyle w:val="TextBody"/>
        <w:bidi w:val="0"/>
        <w:spacing w:before="0" w:after="240"/>
        <w:jc w:val="both"/>
        <w:rPr>
          <w:rFonts w:ascii="Times New Roman" w:hAnsi="Times New Roman"/>
          <w:sz w:val="20"/>
        </w:rPr>
      </w:pPr>
      <w:r>
        <w:rPr>
          <w:rFonts w:ascii="Times New Roman" w:hAnsi="Times New Roman"/>
          <w:color w:val="000000"/>
          <w:sz w:val="22"/>
        </w:rPr>
        <w:t>2.8</w:t>
      </w:r>
      <w:r>
        <w:rPr>
          <w:rFonts w:ascii="Times New Roman" w:hAnsi="Times New Roman"/>
          <w:color w:val="000000"/>
          <w:sz w:val="20"/>
        </w:rPr>
        <w:t xml:space="preserve"> </w:t>
      </w:r>
      <w:r>
        <w:rPr>
          <w:rFonts w:ascii="Times New Roman" w:hAnsi="Times New Roman"/>
          <w:color w:val="000000"/>
          <w:sz w:val="22"/>
          <w:u w:val="single"/>
        </w:rPr>
        <w:t>Taxes; Increased Costs</w:t>
      </w:r>
      <w:r>
        <w:rPr>
          <w:rFonts w:ascii="Times New Roman" w:hAnsi="Times New Roman"/>
          <w:color w:val="000000"/>
          <w:sz w:val="22"/>
        </w:rPr>
        <w:t xml:space="preserve">. Borrower, Agent and Lenders each hereby agree to the terms and conditions set forth on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2.9</w:t>
      </w:r>
      <w:r>
        <w:rPr>
          <w:rFonts w:ascii="Times New Roman" w:hAnsi="Times New Roman"/>
          <w:color w:val="000000"/>
          <w:sz w:val="20"/>
        </w:rPr>
        <w:t xml:space="preserve"> </w:t>
      </w:r>
      <w:r>
        <w:rPr>
          <w:rFonts w:ascii="Times New Roman" w:hAnsi="Times New Roman"/>
          <w:color w:val="000000"/>
          <w:sz w:val="22"/>
          <w:u w:val="single"/>
        </w:rPr>
        <w:t>Treatment of Prepayment Charge and End of Term Charge</w:t>
      </w:r>
      <w:r>
        <w:rPr>
          <w:rFonts w:ascii="Times New Roman" w:hAnsi="Times New Roman"/>
          <w:color w:val="000000"/>
          <w:sz w:val="22"/>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Section. Borrower expressly acknowledges that its agreement to pay each of the Prepayment Charge and the End of Term Charge to Lenders as herein described was on the Closing Date and continues to be a material inducement to Lenders to provide the Term Loan Advances.</w:t>
      </w:r>
    </w:p>
    <w:p>
      <w:pPr>
        <w:pStyle w:val="TextBody"/>
        <w:bidi w:val="0"/>
        <w:spacing w:before="0" w:after="240"/>
        <w:jc w:val="both"/>
        <w:rPr>
          <w:rFonts w:ascii="Times New Roman" w:hAnsi="Times New Roman"/>
          <w:sz w:val="20"/>
        </w:rPr>
      </w:pPr>
      <w:r>
        <w:rPr>
          <w:rFonts w:ascii="Times New Roman" w:hAnsi="Times New Roman"/>
          <w:color w:val="000000"/>
          <w:sz w:val="22"/>
        </w:rPr>
        <w:t>2.10</w:t>
      </w:r>
      <w:r>
        <w:rPr>
          <w:rFonts w:ascii="Times New Roman" w:hAnsi="Times New Roman"/>
          <w:color w:val="000000"/>
          <w:sz w:val="20"/>
        </w:rPr>
        <w:t xml:space="preserve"> </w:t>
      </w:r>
      <w:r>
        <w:rPr>
          <w:rFonts w:ascii="Times New Roman" w:hAnsi="Times New Roman"/>
          <w:color w:val="000000"/>
          <w:sz w:val="22"/>
          <w:u w:val="single"/>
        </w:rPr>
        <w:t>Due Diligence Fee</w:t>
      </w:r>
      <w:r>
        <w:rPr>
          <w:rFonts w:ascii="Times New Roman" w:hAnsi="Times New Roman"/>
          <w:color w:val="000000"/>
          <w:sz w:val="22"/>
        </w:rPr>
        <w:t>. Borrower agrees that the Due Diligence Fee has been paid to Agent and received by Agent prior to the Closing Date, and shall be deemed fully earned on such date regardless of the early termination of this Agreement.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3. </w:t>
      </w:r>
      <w:r>
        <w:rPr>
          <w:rFonts w:ascii="Times New Roman" w:hAnsi="Times New Roman"/>
          <w:b/>
          <w:caps/>
          <w:color w:val="000000"/>
          <w:sz w:val="22"/>
          <w:u w:val="single"/>
        </w:rPr>
        <w:t>SECURITY INTEREST</w:t>
      </w:r>
    </w:p>
    <w:p>
      <w:pPr>
        <w:pStyle w:val="TextBody"/>
        <w:bidi w:val="0"/>
        <w:spacing w:before="0" w:after="240"/>
        <w:jc w:val="both"/>
        <w:rPr>
          <w:rFonts w:ascii="Times New Roman" w:hAnsi="Times New Roman"/>
          <w:sz w:val="20"/>
        </w:rPr>
      </w:pPr>
      <w:r>
        <w:rPr>
          <w:rFonts w:ascii="Times New Roman" w:hAnsi="Times New Roman"/>
          <w:color w:val="000000"/>
          <w:sz w:val="22"/>
        </w:rPr>
        <w:t>3.1</w:t>
      </w:r>
      <w:r>
        <w:rPr>
          <w:rFonts w:ascii="Times New Roman" w:hAnsi="Times New Roman"/>
          <w:color w:val="000000"/>
          <w:sz w:val="20"/>
        </w:rPr>
        <w:t xml:space="preserve"> </w:t>
      </w:r>
      <w:r>
        <w:rPr>
          <w:rFonts w:ascii="Times New Roman" w:hAnsi="Times New Roman"/>
          <w:color w:val="000000"/>
          <w:sz w:val="22"/>
          <w:u w:val="single"/>
        </w:rPr>
        <w:t>Grant of Security Interest</w:t>
      </w:r>
      <w:r>
        <w:rPr>
          <w:rFonts w:ascii="Times New Roman" w:hAnsi="Times New Roman"/>
          <w:color w:val="000000"/>
          <w:sz w:val="22"/>
        </w:rPr>
        <w:t>. As security for the prompt and complete payment when due (whether on the payment dates or otherwise) of all the Secured Obligations, each Borrower grants to Agent a security interest in all of such Borrower’s right, title, and interest in, to and under the following property, whether now existing or hereafter acquired (collectively, the “</w:t>
      </w:r>
      <w:r>
        <w:rPr>
          <w:rFonts w:ascii="Times New Roman" w:hAnsi="Times New Roman"/>
          <w:color w:val="000000"/>
          <w:sz w:val="22"/>
          <w:u w:val="single"/>
        </w:rPr>
        <w:t>Collateral</w:t>
      </w:r>
      <w:r>
        <w:rPr>
          <w:rFonts w:ascii="Times New Roman" w:hAnsi="Times New Roman"/>
          <w:color w:val="000000"/>
          <w:sz w:val="20"/>
        </w:rPr>
        <w:t>”</w:t>
      </w:r>
      <w:r>
        <w:rPr>
          <w:rFonts w:ascii="Times New Roman" w:hAnsi="Times New Roman"/>
          <w:color w:val="000000"/>
          <w:sz w:val="22"/>
        </w:rPr>
        <w:t>): (a) Receivables; (b) Equipment; (c) Fixtures; (d) General Intangibles (including Intellectual</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Property); (e) Inventory; (f) Investment Property; (g) Deposit Accounts; (h) Cash; (i) Goods; (j) [reserved]; and (k) all other tangible and intangible personal property of such Borrower whether now or hereafter owned or existing, leased, consigned by or to, or acquired by, Borrower and wherever located, and any of such Borrower’s property in the possession or under the control of Agent; and, to the extent not otherwise included, all Proceeds of each of the foregoing and all accessions to, substitutions and replacements for, and rents, profits and products of each of the foregoing.</w:t>
      </w:r>
    </w:p>
    <w:p>
      <w:pPr>
        <w:pStyle w:val="TextBody"/>
        <w:bidi w:val="0"/>
        <w:spacing w:before="0" w:after="240"/>
        <w:jc w:val="both"/>
        <w:rPr>
          <w:rFonts w:ascii="Times New Roman" w:hAnsi="Times New Roman"/>
          <w:sz w:val="20"/>
        </w:rPr>
      </w:pPr>
      <w:r>
        <w:rPr>
          <w:rFonts w:ascii="Times New Roman" w:hAnsi="Times New Roman"/>
          <w:color w:val="000000"/>
          <w:sz w:val="22"/>
        </w:rPr>
        <w:t>3.2</w:t>
      </w:r>
      <w:r>
        <w:rPr>
          <w:rFonts w:ascii="Times New Roman" w:hAnsi="Times New Roman"/>
          <w:color w:val="000000"/>
          <w:sz w:val="20"/>
        </w:rPr>
        <w:t xml:space="preserve"> </w:t>
      </w:r>
      <w:r>
        <w:rPr>
          <w:rFonts w:ascii="Times New Roman" w:hAnsi="Times New Roman"/>
          <w:color w:val="000000"/>
          <w:sz w:val="22"/>
        </w:rPr>
        <w:t xml:space="preserve">Notwithstanding the broad grant of the security interest set forth in </w:t>
      </w:r>
      <w:r>
        <w:rPr>
          <w:rFonts w:ascii="Times New Roman" w:hAnsi="Times New Roman"/>
          <w:color w:val="000000"/>
          <w:sz w:val="22"/>
          <w:u w:val="single"/>
        </w:rPr>
        <w:t>Section 3.1</w:t>
      </w:r>
      <w:r>
        <w:rPr>
          <w:rFonts w:ascii="Times New Roman" w:hAnsi="Times New Roman"/>
          <w:color w:val="000000"/>
          <w:sz w:val="22"/>
        </w:rPr>
        <w:t xml:space="preserve">, above, the Collateral shall not include (a) any “intent to use” trademarks at all times prior to the first use thereof, whether by the actual use thereof in commerce, the recording of a statement of use with the United States Patent and Trademark Office or otherwise, </w:t>
      </w:r>
      <w:r>
        <w:rPr>
          <w:rFonts w:ascii="Times New Roman" w:hAnsi="Times New Roman"/>
          <w:color w:val="000000"/>
          <w:sz w:val="22"/>
          <w:u w:val="single"/>
        </w:rPr>
        <w:t>provided</w:t>
      </w:r>
      <w:r>
        <w:rPr>
          <w:rFonts w:ascii="Times New Roman" w:hAnsi="Times New Roman"/>
          <w:color w:val="000000"/>
          <w:sz w:val="22"/>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licenses or contracts, which by their terms require the consent of the licensor thereof or another party (but only to the extent such prohibition on transfer is enforceable under applicable law, including, without limitation, Sections 9-406, 9-407 and 9-408 of the UCC), (c) property for which the granting of a security interest therein is contrary to applicable law, provided that upon the cessation of any such restriction or prohibition, such property shall automatically be included in the Collateral, (d) any lease, license or other agreement and any property subject thereto on the Closing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Secured Obligations would violate or invalidate such lease, license, contract or agreement or create a right of termination in favor of any other party thereto (other than the Borrower, any other Loan Party or any Subsidiary) (but (A) only to the extent such prohibition is enforceable under applicable law and (B) other than to the extent that any such term would be rendered ineffective pursuant to Sections 9-406, 9-408 or 9-409 (or any other Section) of Article 9 of the UCC), and (e) any other assets as may be agreed by the Agent in writing in its sole discretion to be excluded from the Collateral.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4. </w:t>
      </w:r>
      <w:r>
        <w:rPr>
          <w:rFonts w:ascii="Times New Roman" w:hAnsi="Times New Roman"/>
          <w:b/>
          <w:caps/>
          <w:color w:val="000000"/>
          <w:sz w:val="22"/>
          <w:u w:val="single"/>
        </w:rPr>
        <w:t>CONDITIONS PRECEDENT TO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Lenders to make the Loan hereunder are subject to the satisfaction by Borrower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4.1</w:t>
      </w:r>
      <w:r>
        <w:rPr>
          <w:rFonts w:ascii="Times New Roman" w:hAnsi="Times New Roman"/>
          <w:color w:val="000000"/>
          <w:sz w:val="20"/>
        </w:rPr>
        <w:t xml:space="preserve"> </w:t>
      </w: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duly executed copies of the Loan Documents,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duly executed Account Control Agreement(s) with respect to each Deposit Account and account holding Investment Property (other than an Excluded Account) maintained by Borrower or any Subsidiary;</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 legal opinion of Borrower’s counsel in form and substance reasonably acceptable to Agent;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copy of resolutions of each Borrower’s Board of Directors, certified by an officer of such Borrower, (i) evidencing approval of the Loan and other transactions evidenced by the Loan Documents, (ii) authorizing a specified person or persons to execute the Loan Documents to which it is a party on its behalf,</w:t>
      </w:r>
      <w:r>
        <w:rPr>
          <w:rFonts w:ascii="Times New Roman" w:hAnsi="Times New Roman"/>
          <w:color w:val="0000FF"/>
          <w:sz w:val="20"/>
        </w:rPr>
        <w:t xml:space="preserve"> </w:t>
      </w:r>
      <w:r>
        <w:rPr>
          <w:rFonts w:ascii="Times New Roman" w:hAnsi="Times New Roman"/>
          <w:color w:val="000000"/>
          <w:sz w:val="22"/>
        </w:rPr>
        <w:t>(iii) authorizing a specified person or persons, on its behalf, to sign and/or dispatch all documents and notices</w:t>
      </w:r>
      <w:r>
        <w:rPr>
          <w:rFonts w:ascii="Times New Roman" w:hAnsi="Times New Roman"/>
          <w:color w:val="0000FF"/>
          <w:sz w:val="20"/>
        </w:rPr>
        <w:t xml:space="preserve"> </w:t>
      </w:r>
      <w:r>
        <w:rPr>
          <w:rFonts w:ascii="Times New Roman" w:hAnsi="Times New Roman"/>
          <w:color w:val="000000"/>
          <w:sz w:val="22"/>
        </w:rPr>
        <w:t>(including, if relevant, any Advance Request or other relevant notice) to be signed and/or dispatched by it under or in connection with the Loan Documents to which it is a party, and (iv) acknowledging that the Board of Directors is acting for a proper purpose and that the Loan Documents are in the best interests of that Borrower and for its commercial benefit;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certified copies of the Charter of Borrower, certified by the Secretary of State of the applicable jurisdiction of organization and the other Organizational Documents, as amended through the Closing Date, of Borrower;</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a certificate of good standing for Borrower from its jurisdiction of organization and similar certificates from all other jurisdictions in which it does business and where the failure to be qualified could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certified copies, dated as of a recent date, of searches for financing statements filed in the central filing office of Borrower’s jurisdiction of incorporation or organization, as applicable,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payment of the Due Diligence Fee, Initial Facility Charge and reimbursement of Agent’s and Lenders’ current expenses reimbursable pursuant to this Agreement, which amounts may be deducted from the initial Advance;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 duly executed copy of the Perfection Certificate and each exhibit and addendum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all certificates of insurance and copies of each insurance policy and endorsement required hereunder;</w:t>
      </w:r>
    </w:p>
    <w:p>
      <w:pPr>
        <w:pStyle w:val="TextBody"/>
        <w:bidi w:val="0"/>
        <w:spacing w:before="0" w:after="240"/>
        <w:jc w:val="both"/>
        <w:rPr>
          <w:rFonts w:ascii="Times New Roman" w:hAnsi="Times New Roman"/>
          <w:sz w:val="20"/>
        </w:rPr>
      </w:pPr>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rPr>
        <w:t>duly executed bailee agreements for any bailee location holding a portion of Borrower’s assets or property valued, individually or in the aggregate, in excess of One Hundred Thousand Dollars ($100,000);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(m)</w:t>
      </w:r>
      <w:r>
        <w:rPr>
          <w:rFonts w:ascii="Times New Roman" w:hAnsi="Times New Roman"/>
          <w:color w:val="000000"/>
          <w:sz w:val="20"/>
        </w:rPr>
        <w:t xml:space="preserve"> </w:t>
      </w:r>
      <w:r>
        <w:rPr>
          <w:rFonts w:ascii="Times New Roman" w:hAnsi="Times New Roman"/>
          <w:color w:val="000000"/>
          <w:sz w:val="22"/>
        </w:rPr>
        <w:t>all reports, declarations and forms required by the SBA, including but not limited to SBA 652, SBA 1031 and SBA 480; and</w:t>
      </w:r>
    </w:p>
    <w:p>
      <w:pPr>
        <w:pStyle w:val="TextBody"/>
        <w:bidi w:val="0"/>
        <w:spacing w:before="0" w:after="240"/>
        <w:jc w:val="both"/>
        <w:rPr>
          <w:rFonts w:ascii="Times New Roman" w:hAnsi="Times New Roman"/>
          <w:sz w:val="20"/>
        </w:rPr>
      </w:pPr>
      <w:r>
        <w:rPr>
          <w:rFonts w:ascii="Times New Roman" w:hAnsi="Times New Roman"/>
          <w:color w:val="000000"/>
          <w:sz w:val="22"/>
        </w:rPr>
        <w:t>(n)</w:t>
      </w:r>
      <w:r>
        <w:rPr>
          <w:rFonts w:ascii="Times New Roman" w:hAnsi="Times New Roman"/>
          <w:color w:val="000000"/>
          <w:sz w:val="20"/>
        </w:rPr>
        <w:t xml:space="preserve"> </w:t>
      </w:r>
      <w:r>
        <w:rPr>
          <w:rFonts w:ascii="Times New Roman" w:hAnsi="Times New Roman"/>
          <w:color w:val="000000"/>
          <w:sz w:val="22"/>
        </w:rPr>
        <w:t>such other documents as Agent may reasonably request.</w:t>
      </w:r>
    </w:p>
    <w:p>
      <w:pPr>
        <w:pStyle w:val="TextBody"/>
        <w:bidi w:val="0"/>
        <w:spacing w:before="0" w:after="240"/>
        <w:jc w:val="both"/>
        <w:rPr>
          <w:rFonts w:ascii="Times New Roman" w:hAnsi="Times New Roman"/>
          <w:sz w:val="20"/>
        </w:rPr>
      </w:pPr>
      <w:r>
        <w:rPr>
          <w:rFonts w:ascii="Times New Roman" w:hAnsi="Times New Roman"/>
          <w:color w:val="000000"/>
          <w:sz w:val="22"/>
        </w:rPr>
        <w:t>4.2</w:t>
      </w:r>
      <w:r>
        <w:rPr>
          <w:rFonts w:ascii="Times New Roman" w:hAnsi="Times New Roman"/>
          <w:color w:val="000000"/>
          <w:sz w:val="20"/>
        </w:rPr>
        <w:t xml:space="preserve"> </w:t>
      </w:r>
      <w:r>
        <w:rPr>
          <w:rFonts w:ascii="Times New Roman" w:hAnsi="Times New Roman"/>
          <w:color w:val="000000"/>
          <w:sz w:val="22"/>
          <w:u w:val="single"/>
        </w:rPr>
        <w:t>All Advances</w:t>
      </w:r>
      <w:r>
        <w:rPr>
          <w:rFonts w:ascii="Times New Roman" w:hAnsi="Times New Roman"/>
          <w:color w:val="000000"/>
          <w:sz w:val="22"/>
        </w:rPr>
        <w:t>. On each Advance Date: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Agent shall have received (i) an Advance Request for the relevant Advance as required by </w:t>
      </w:r>
      <w:r>
        <w:rPr>
          <w:rFonts w:ascii="Times New Roman" w:hAnsi="Times New Roman"/>
          <w:color w:val="000000"/>
          <w:sz w:val="22"/>
          <w:u w:val="single"/>
        </w:rPr>
        <w:t>Section 2.2(c)</w:t>
      </w:r>
      <w:r>
        <w:rPr>
          <w:rFonts w:ascii="Times New Roman" w:hAnsi="Times New Roman"/>
          <w:color w:val="000000"/>
          <w:sz w:val="22"/>
        </w:rPr>
        <w:t>, duly executed by Borrower’s Chief Executive Officer or Chief Financial Officer, and (ii) any other documents Agent may reasonably request;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provided, that any representations and warranties qualified by “materiality”, “Material Adverse Effect” or similar language shall be true and correct (after giving effect to any such qualification therein) in all respects;</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Borrower shall be in compliance with all the terms and provisions set forth herein and in each other Loan Document on its part to be observed or performed;</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With respect to any Advance (other than the Tranche 1A Advance or Tranche 1B Advance) made available on such Advance Date, the Loan Parties shall have paid the Tranche Facility Charge applicable to such Advance;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Advance Request shall be deemed to constitute a representation and warranty by Borrower on the relevant Advance Date as to the matters specified in </w:t>
      </w:r>
      <w:r>
        <w:rPr>
          <w:rFonts w:ascii="Times New Roman" w:hAnsi="Times New Roman"/>
          <w:color w:val="000000"/>
          <w:sz w:val="22"/>
          <w:u w:val="single"/>
        </w:rPr>
        <w:t>Section 4.2(b)</w:t>
      </w:r>
      <w:r>
        <w:rPr>
          <w:rFonts w:ascii="Times New Roman" w:hAnsi="Times New Roman"/>
          <w:color w:val="000000"/>
          <w:sz w:val="22"/>
        </w:rPr>
        <w:t xml:space="preserve">, </w:t>
      </w:r>
      <w:r>
        <w:rPr>
          <w:rFonts w:ascii="Times New Roman" w:hAnsi="Times New Roman"/>
          <w:color w:val="000000"/>
          <w:sz w:val="22"/>
          <w:u w:val="single"/>
        </w:rPr>
        <w:t>Section 4.2(c)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4.3</w:t>
      </w:r>
      <w:r>
        <w:rPr>
          <w:rFonts w:ascii="Times New Roman" w:hAnsi="Times New Roman"/>
          <w:color w:val="000000"/>
          <w:sz w:val="20"/>
        </w:rPr>
        <w:t xml:space="preserve"> </w:t>
      </w:r>
      <w:r>
        <w:rPr>
          <w:rFonts w:ascii="Times New Roman" w:hAnsi="Times New Roman"/>
          <w:color w:val="000000"/>
          <w:sz w:val="22"/>
        </w:rPr>
        <w:t>and as to the matters set forth in the Advance Request.</w:t>
      </w:r>
    </w:p>
    <w:p>
      <w:pPr>
        <w:pStyle w:val="TextBody"/>
        <w:bidi w:val="0"/>
        <w:spacing w:before="0" w:after="240"/>
        <w:jc w:val="both"/>
        <w:rPr>
          <w:rFonts w:ascii="Times New Roman" w:hAnsi="Times New Roman"/>
          <w:sz w:val="20"/>
        </w:rPr>
      </w:pPr>
      <w:r>
        <w:rPr>
          <w:rFonts w:ascii="Times New Roman" w:hAnsi="Times New Roman"/>
          <w:color w:val="000000"/>
          <w:sz w:val="22"/>
        </w:rPr>
        <w:t>4.3</w:t>
      </w:r>
      <w:r>
        <w:rPr>
          <w:rFonts w:ascii="Times New Roman" w:hAnsi="Times New Roman"/>
          <w:color w:val="000000"/>
          <w:sz w:val="20"/>
        </w:rPr>
        <w:t xml:space="preserve"> </w:t>
      </w:r>
      <w:r>
        <w:rPr>
          <w:rFonts w:ascii="Times New Roman" w:hAnsi="Times New Roman"/>
          <w:color w:val="000000"/>
          <w:sz w:val="22"/>
          <w:u w:val="single"/>
        </w:rPr>
        <w:t>No Default</w:t>
      </w:r>
      <w:r>
        <w:rPr>
          <w:rFonts w:ascii="Times New Roman" w:hAnsi="Times New Roman"/>
          <w:color w:val="000000"/>
          <w:sz w:val="22"/>
        </w:rPr>
        <w:t>. As of the Closing Date and at the time of and immediately after each Advance Date, (i) no fact or condition exists that could (or could, with the passage of time, the giving of notice, or both) constitute an Event of Default and (ii) no Material Adverse Effect has occurred and is continuing.</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5. </w:t>
      </w:r>
      <w:r>
        <w:rPr>
          <w:rFonts w:ascii="Times New Roman" w:hAnsi="Times New Roman"/>
          <w:b/>
          <w:caps/>
          <w:color w:val="000000"/>
          <w:sz w:val="22"/>
          <w:u w:val="single"/>
        </w:rPr>
        <w:t>REPRESENTATIONS AND WARRANTIES OF BORROWER</w:t>
      </w:r>
    </w:p>
    <w:p>
      <w:pPr>
        <w:pStyle w:val="TextBody"/>
        <w:bidi w:val="0"/>
        <w:spacing w:before="0" w:after="240"/>
        <w:jc w:val="both"/>
        <w:rPr>
          <w:rFonts w:ascii="Times New Roman" w:hAnsi="Times New Roman"/>
          <w:sz w:val="20"/>
        </w:rPr>
      </w:pPr>
      <w:r>
        <w:rPr>
          <w:rFonts w:ascii="Times New Roman" w:hAnsi="Times New Roman"/>
          <w:color w:val="000000"/>
          <w:sz w:val="22"/>
        </w:rPr>
        <w:t>Borrower represents and warrants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5.1</w:t>
      </w:r>
      <w:r>
        <w:rPr>
          <w:rFonts w:ascii="Times New Roman" w:hAnsi="Times New Roman"/>
          <w:color w:val="000000"/>
          <w:sz w:val="20"/>
        </w:rPr>
        <w:t xml:space="preserve"> </w:t>
      </w:r>
      <w:r>
        <w:rPr>
          <w:rFonts w:ascii="Times New Roman" w:hAnsi="Times New Roman"/>
          <w:color w:val="000000"/>
          <w:sz w:val="22"/>
          <w:u w:val="single"/>
        </w:rPr>
        <w:t>Corporate Status; Execution and Delivery; Binding Effect</w:t>
      </w:r>
      <w:r>
        <w:rPr>
          <w:rFonts w:ascii="Times New Roman" w:hAnsi="Times New Roman"/>
          <w:color w:val="000000"/>
          <w:sz w:val="22"/>
        </w:rPr>
        <w:t xml:space="preserve">. Each Borrower is a corporation, limited liability company or partnership duly organized, legally existing and in good standing under the laws of its jurisdiction of incorporation or formation, as applicable,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Borrower’s present name, former names within the past five (5) years (if any), locations, place of formation, tax identification number, organizational identification number and other information are correctly set forth in </w:t>
      </w:r>
      <w:r>
        <w:rPr>
          <w:rFonts w:ascii="Times New Roman" w:hAnsi="Times New Roman"/>
          <w:color w:val="000000"/>
          <w:sz w:val="22"/>
          <w:u w:val="single"/>
        </w:rPr>
        <w:t>Exhibit B</w:t>
      </w:r>
      <w:r>
        <w:rPr>
          <w:rFonts w:ascii="Times New Roman" w:hAnsi="Times New Roman"/>
          <w:color w:val="000000"/>
          <w:sz w:val="22"/>
        </w:rPr>
        <w:t>, as may be updated by Borrower in a written notice (including any Compliance Certificate) provided to Agent after the Closing Date in accordance with this Agreement.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240"/>
        <w:jc w:val="both"/>
        <w:rPr>
          <w:rFonts w:ascii="Times New Roman" w:hAnsi="Times New Roman"/>
          <w:sz w:val="20"/>
        </w:rPr>
      </w:pPr>
      <w:r>
        <w:rPr>
          <w:rFonts w:ascii="Times New Roman" w:hAnsi="Times New Roman"/>
          <w:color w:val="000000"/>
          <w:sz w:val="22"/>
        </w:rPr>
        <w:t>5.2</w:t>
      </w:r>
      <w:r>
        <w:rPr>
          <w:rFonts w:ascii="Times New Roman" w:hAnsi="Times New Roman"/>
          <w:color w:val="000000"/>
          <w:sz w:val="20"/>
        </w:rPr>
        <w:t xml:space="preserve"> </w:t>
      </w:r>
      <w:r>
        <w:rPr>
          <w:rFonts w:ascii="Times New Roman" w:hAnsi="Times New Roman"/>
          <w:color w:val="000000"/>
          <w:sz w:val="22"/>
          <w:u w:val="single"/>
        </w:rPr>
        <w:t>Collateral</w:t>
      </w:r>
      <w:r>
        <w:rPr>
          <w:rFonts w:ascii="Times New Roman" w:hAnsi="Times New Roman"/>
          <w:color w:val="000000"/>
          <w:sz w:val="22"/>
        </w:rPr>
        <w:t>. Borrower owns or otherwise has the rights to use the Collateral, free of all Liens, except for Permitted Liens. Borrower has the power and authority to grant to Agent a Lien in the Collateral as security for the Secured Obligations.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5.3</w:t>
      </w:r>
      <w:r>
        <w:rPr>
          <w:rFonts w:ascii="Times New Roman" w:hAnsi="Times New Roman"/>
          <w:color w:val="000000"/>
          <w:sz w:val="20"/>
        </w:rPr>
        <w:t xml:space="preserve"> </w:t>
      </w:r>
      <w:r>
        <w:rPr>
          <w:rFonts w:ascii="Times New Roman" w:hAnsi="Times New Roman"/>
          <w:color w:val="000000"/>
          <w:sz w:val="22"/>
          <w:u w:val="single"/>
        </w:rPr>
        <w:t>Consents</w:t>
      </w:r>
      <w:r>
        <w:rPr>
          <w:rFonts w:ascii="Times New Roman" w:hAnsi="Times New Roman"/>
          <w:color w:val="000000"/>
          <w:sz w:val="22"/>
        </w:rPr>
        <w:t xml:space="preserve">. Borrower’s execution, delivery and performance of this Agreement and all other Loan Documents to which it is a party, (i) have been duly authorized by all necessary action of Borrower in accordance with its Organizational Documents and applicable law, (ii) will not result in the creation or imposition of any Lien upon the Collateral, other than Permitted Liens, (iii) do not violate any provisions of Borrower’s Organizational Documents or any material law, regulation, order, injunction, judgment, decree or writ to which Borrower is subject and (iv) except as described on </w:t>
      </w:r>
      <w:r>
        <w:rPr>
          <w:rFonts w:ascii="Times New Roman" w:hAnsi="Times New Roman"/>
          <w:color w:val="000000"/>
          <w:sz w:val="22"/>
          <w:u w:val="single"/>
        </w:rPr>
        <w:t>Schedule 5.3</w:t>
      </w:r>
      <w:r>
        <w:rPr>
          <w:rFonts w:ascii="Times New Roman" w:hAnsi="Times New Roman"/>
          <w:color w:val="000000"/>
          <w:sz w:val="22"/>
        </w:rPr>
        <w:t>, do not violate any contract or agreement or require the consent or approval of any other Person or Governmental Authority which has not already been obtained, except for violations, consents or approvals that could not reasonably be expected to have a Material Adverse Effect. The individual or individuals executing the Loan Documents are duly authorized to do so.</w:t>
      </w:r>
    </w:p>
    <w:p>
      <w:pPr>
        <w:pStyle w:val="TextBody"/>
        <w:bidi w:val="0"/>
        <w:spacing w:before="0" w:after="240"/>
        <w:jc w:val="both"/>
        <w:rPr>
          <w:rFonts w:ascii="Times New Roman" w:hAnsi="Times New Roman"/>
          <w:sz w:val="20"/>
        </w:rPr>
      </w:pPr>
      <w:r>
        <w:rPr>
          <w:rFonts w:ascii="Times New Roman" w:hAnsi="Times New Roman"/>
          <w:color w:val="000000"/>
          <w:sz w:val="22"/>
        </w:rPr>
        <w:t>5.4</w:t>
      </w:r>
      <w:r>
        <w:rPr>
          <w:rFonts w:ascii="Times New Roman" w:hAnsi="Times New Roman"/>
          <w:color w:val="000000"/>
          <w:sz w:val="20"/>
        </w:rPr>
        <w:t xml:space="preserve"> </w:t>
      </w:r>
      <w:r>
        <w:rPr>
          <w:rFonts w:ascii="Times New Roman" w:hAnsi="Times New Roman"/>
          <w:color w:val="000000"/>
          <w:sz w:val="22"/>
          <w:u w:val="single"/>
        </w:rPr>
        <w:t>Material Adverse Effect</w:t>
      </w:r>
      <w:r>
        <w:rPr>
          <w:rFonts w:ascii="Times New Roman" w:hAnsi="Times New Roman"/>
          <w:color w:val="000000"/>
          <w:sz w:val="22"/>
        </w:rPr>
        <w:t>. No Material Adverse Effect has occurred and is continuing. Borrower is not aware of any event or circumstance that is likely to occur that is reasonably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5.5</w:t>
      </w:r>
      <w:r>
        <w:rPr>
          <w:rFonts w:ascii="Times New Roman" w:hAnsi="Times New Roman"/>
          <w:color w:val="000000"/>
          <w:sz w:val="20"/>
        </w:rPr>
        <w:t xml:space="preserve"> </w:t>
      </w:r>
      <w:r>
        <w:rPr>
          <w:rFonts w:ascii="Times New Roman" w:hAnsi="Times New Roman"/>
          <w:color w:val="000000"/>
          <w:sz w:val="22"/>
          <w:u w:val="single"/>
        </w:rPr>
        <w:t>Actions Before Governmental Authorities</w:t>
      </w:r>
      <w:r>
        <w:rPr>
          <w:rFonts w:ascii="Times New Roman" w:hAnsi="Times New Roman"/>
          <w:color w:val="000000"/>
          <w:sz w:val="22"/>
        </w:rPr>
        <w:t>. There are no actions, suits, claims, disputes or proceedings at law or in equity or by or before any Governmental Authority now pending or, to the knowledge of Borrower, threatened in writing against or affecting Borrower or its property, that are reasonably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5.6</w:t>
      </w:r>
      <w:r>
        <w:rPr>
          <w:rFonts w:ascii="Times New Roman" w:hAnsi="Times New Roman"/>
          <w:color w:val="000000"/>
          <w:sz w:val="20"/>
        </w:rPr>
        <w:t xml:space="preserve"> </w:t>
      </w:r>
      <w:r>
        <w:rPr>
          <w:rFonts w:ascii="Times New Roman" w:hAnsi="Times New Roman"/>
          <w:color w:val="000000"/>
          <w:sz w:val="22"/>
          <w:u w:val="single"/>
        </w:rPr>
        <w:t>Laws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Neither Borrower nor any of its Subsidiaries is in violation of any law, rule or regulation, or in default with respect to any judgment, writ, injunction or decree of any Governmental Authority to which Borrower or such Subsidiaries are subject, where such violation or default could reasonably be expected to result in a Material Adverse Effect. Borrower is not in default under (i) any provision of any agreement or instrument evidencing Indebtedness, or (ii) any other agreement to which it is a party or by which it is bound that, in each case of the foregoing clauses (i) or (ii), would reasonably be expected to be materially adverse to the interests of Agent or Lenders.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 w:hAnsi="Times New Roman"/>
          <w:color w:val="000000"/>
          <w:sz w:val="22"/>
          <w:u w:val="single"/>
        </w:rPr>
        <w:t>1940 Act</w:t>
      </w:r>
      <w:r>
        <w:rPr>
          <w:rFonts w:ascii="Times New Roman" w:hAnsi="Times New Roman"/>
          <w:color w:val="000000"/>
          <w:sz w:val="20"/>
        </w:rPr>
        <w:t>”</w:t>
      </w:r>
      <w:r>
        <w:rPr>
          <w:rFonts w:ascii="Times New Roman" w:hAnsi="Times New Roman"/>
          <w:color w:val="000000"/>
          <w:sz w:val="22"/>
        </w:rPr>
        <w:t>), or a company “controlled” by an “investment company” under the 1940 Act.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None of Borrower, any of its Subsidiaries, or any of Borrower’s or its Subsidiaries’ controlled Affiliates or any of their respective agents acting or benefiting in any capacity in</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to Borrower’s knowledge,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rFonts w:ascii="Times New Roman" w:hAnsi="Times New Roman"/>
          <w:sz w:val="20"/>
        </w:rPr>
      </w:pPr>
      <w:r>
        <w:rPr>
          <w:rFonts w:ascii="Times New Roman" w:hAnsi="Times New Roman"/>
          <w:color w:val="000000"/>
          <w:sz w:val="22"/>
        </w:rPr>
        <w:t>5.7</w:t>
      </w:r>
      <w:r>
        <w:rPr>
          <w:rFonts w:ascii="Times New Roman" w:hAnsi="Times New Roman"/>
          <w:color w:val="000000"/>
          <w:sz w:val="20"/>
        </w:rPr>
        <w:t xml:space="preserve"> </w:t>
      </w:r>
      <w:r>
        <w:rPr>
          <w:rFonts w:ascii="Times New Roman" w:hAnsi="Times New Roman"/>
          <w:color w:val="000000"/>
          <w:sz w:val="22"/>
          <w:u w:val="single"/>
        </w:rPr>
        <w:t>Information Correct and Current</w:t>
      </w:r>
      <w:r>
        <w:rPr>
          <w:rFonts w:ascii="Times New Roman" w:hAnsi="Times New Roman"/>
          <w:color w:val="000000"/>
          <w:sz w:val="22"/>
        </w:rPr>
        <w:t>. No written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written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Directors (it being understood that the projections and forecasts provided by Borrower in good faith and based upon reasonable assumptions are not viewed as facts, that such projections are subject to significant uncertainties and contingencies, many of which are beyond the control of Borrower, that no assurance is given that any particular projections will be realized, and the actual results during the period or periods covered by such projections and forecasts may differ from the projected or forecasted results).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5.8</w:t>
      </w:r>
      <w:r>
        <w:rPr>
          <w:rFonts w:ascii="Times New Roman" w:hAnsi="Times New Roman"/>
          <w:color w:val="000000"/>
          <w:sz w:val="20"/>
        </w:rPr>
        <w:t xml:space="preserve"> </w:t>
      </w:r>
      <w:r>
        <w:rPr>
          <w:rFonts w:ascii="Times New Roman" w:hAnsi="Times New Roman"/>
          <w:color w:val="000000"/>
          <w:sz w:val="22"/>
          <w:u w:val="single"/>
        </w:rPr>
        <w:t>Tax Matters</w:t>
      </w:r>
      <w:r>
        <w:rPr>
          <w:rFonts w:ascii="Times New Roman" w:hAnsi="Times New Roman"/>
          <w:color w:val="000000"/>
          <w:sz w:val="22"/>
        </w:rPr>
        <w:t xml:space="preserve">. Except as set forth on </w:t>
      </w:r>
      <w:r>
        <w:rPr>
          <w:rFonts w:ascii="Times New Roman" w:hAnsi="Times New Roman"/>
          <w:color w:val="000000"/>
          <w:sz w:val="22"/>
          <w:u w:val="single"/>
        </w:rPr>
        <w:t>Schedule 5.8</w:t>
      </w:r>
      <w:r>
        <w:rPr>
          <w:rFonts w:ascii="Times New Roman" w:hAnsi="Times New Roman"/>
          <w:color w:val="000000"/>
          <w:sz w:val="22"/>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5.9</w:t>
      </w:r>
      <w:r>
        <w:rPr>
          <w:rFonts w:ascii="Times New Roman" w:hAnsi="Times New Roman"/>
          <w:color w:val="000000"/>
          <w:sz w:val="20"/>
        </w:rPr>
        <w:t xml:space="preserve"> </w:t>
      </w:r>
      <w:r>
        <w:rPr>
          <w:rFonts w:ascii="Times New Roman" w:hAnsi="Times New Roman"/>
          <w:color w:val="000000"/>
          <w:sz w:val="22"/>
          <w:u w:val="single"/>
        </w:rPr>
        <w:t>Intellectual Property Claims</w:t>
      </w:r>
      <w:r>
        <w:rPr>
          <w:rFonts w:ascii="Times New Roman" w:hAnsi="Times New Roman"/>
          <w:color w:val="000000"/>
          <w:sz w:val="22"/>
        </w:rPr>
        <w:t xml:space="preserve">.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is a true, correct and complete list of each of Borrower's pending or registered Patents, Trademarks, Copyrights, and material agreements under which Borrower licenses Intellectual Property from third parties (other than shrink-wrap software licenses, “off-the-shelf” licenses, or open-source software), together with application or registration numbers, as applicable, owned by Borrower or any Subsidiary. Borrower is not in material breach of, nor has Borrower failed to perform any material obligations under, any of the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foregoing contracts, licenses or agreements and, to Borrower's knowledge, no third party to any such contract, license or agreement is in material breach thereof or has failed to perform any material obligations thereunder. Borrower is the sole owner of and has valid title to, or otherwise has the valid right to use, the Intellectual Property material to Borrower's business as currently conducted and proposed to be conducted by Borrower. Except as described on </w:t>
      </w:r>
      <w:r>
        <w:rPr>
          <w:rFonts w:ascii="Times New Roman" w:hAnsi="Times New Roman"/>
          <w:color w:val="000000"/>
          <w:sz w:val="22"/>
          <w:u w:val="single"/>
        </w:rPr>
        <w:t>Schedule 5.9</w:t>
      </w:r>
      <w:r>
        <w:rPr>
          <w:rFonts w:ascii="Times New Roman" w:hAnsi="Times New Roman"/>
          <w:color w:val="000000"/>
          <w:sz w:val="22"/>
        </w:rPr>
        <w:t>, (i) each of the material Copyrights, Trademarks and Patents is valid and enforceable, (ii) no material part of the Intellectual Property has been judged invalid or unenforceable, in whole or in part, and (iii) no claim has been made to Borrower that the ownership of or use of any material part of the Intellectual Property violates the rights of any third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5.10</w:t>
      </w:r>
      <w:r>
        <w:rPr>
          <w:rFonts w:ascii="Times New Roman" w:hAnsi="Times New Roman"/>
          <w:color w:val="000000"/>
          <w:sz w:val="20"/>
        </w:rPr>
        <w:t xml:space="preserve"> </w:t>
      </w:r>
      <w:r>
        <w:rPr>
          <w:rFonts w:ascii="Times New Roman" w:hAnsi="Times New Roman"/>
          <w:color w:val="000000"/>
          <w:sz w:val="22"/>
          <w:u w:val="single"/>
        </w:rPr>
        <w:t>Intellectual Property</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5.10(a)</w:t>
      </w:r>
      <w:r>
        <w:rPr>
          <w:rFonts w:ascii="Times New Roman" w:hAnsi="Times New Roman"/>
          <w:color w:val="000000"/>
          <w:sz w:val="22"/>
        </w:rPr>
        <w:t xml:space="preserve">, as updated as set forth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(provided that any such updates made in such Compliance Certificate shall not apply to a period covered by a prior Compliance Certificate and shall not cure any default arising from any false or misleading misrepresentations and warranties when made or when deemed made</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(such updated Schedule 5.10(a), “</w:t>
      </w:r>
      <w:r>
        <w:rPr>
          <w:rFonts w:ascii="Times New Roman" w:hAnsi="Times New Roman"/>
          <w:color w:val="000000"/>
          <w:sz w:val="22"/>
          <w:u w:val="single"/>
        </w:rPr>
        <w:t>Updated Schedule 5.10(a)</w:t>
      </w:r>
      <w:r>
        <w:rPr>
          <w:rFonts w:ascii="Times New Roman" w:hAnsi="Times New Roman"/>
          <w:color w:val="000000"/>
          <w:sz w:val="20"/>
        </w:rPr>
        <w:t>”</w:t>
      </w:r>
      <w:r>
        <w:rPr>
          <w:rFonts w:ascii="Times New Roman" w:hAnsi="Times New Roman"/>
          <w:color w:val="000000"/>
          <w:sz w:val="22"/>
        </w:rPr>
        <w:t>), sets forth a true, correct and complete list of all Current Company IP (including all Patents, registered Trademarks and registered Copyrights, and all pending applications therefor), together with application or registration numbers, as applicable. Except as set forth on Updated Schedule 5.10(a), (i) each item of Current Company IP is valid, subsisting and (other than with respect to Patent applications) enforceable, and no such item has lapsed, expired, been cancelled, invalidated, abandoned or become unenforceable, and (ii) no written notice has been received challenging the inventorship, ownership, validity or enforceability of any such Current Company IP. There are no Liens on any Company IP other than Permitted Liens. To the knowledge of Borrower, there are no published Patent, Patent applications, articles or prior art references that would reasonably be expected to materially adversely affect the exploitation of the Borrower Products.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 Except as set forth on </w:t>
      </w:r>
      <w:r>
        <w:rPr>
          <w:rFonts w:ascii="Times New Roman" w:hAnsi="Times New Roman"/>
          <w:color w:val="000000"/>
          <w:sz w:val="22"/>
          <w:u w:val="single"/>
        </w:rPr>
        <w:t>Schedule 5.10(b)</w:t>
      </w:r>
      <w:r>
        <w:rPr>
          <w:rFonts w:ascii="Times New Roman" w:hAnsi="Times New Roman"/>
          <w:color w:val="000000"/>
          <w:sz w:val="20"/>
        </w:rPr>
        <w:t xml:space="preserve"> </w:t>
      </w:r>
      <w:r>
        <w:rPr>
          <w:rFonts w:ascii="Times New Roman" w:hAnsi="Times New Roman"/>
          <w:color w:val="000000"/>
          <w:sz w:val="22"/>
        </w:rPr>
        <w:t xml:space="preserve">or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(provided that any such updates made in such Compliance Certificate shall not apply to a period covered by a prior Compliance Certificate and shall not cure any default arising from any false or misleading misrepresentations and warranties when made or when deemed made), each Person who has or has had any rights in or to owned Company IP owned by Borrower or any of its Subsidiaries has executed an agreement assigning his, her or its entire right, title and interest therein to the stated owner thereof, and all such assignments of issued Patents in the United States have been duly recorded with the U.S. Patent and Trademark Office. There are no material maintenance, annuity or renewal fees currently overdue beyond their allotted grace period for any Current Company IP.</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w:t>
      </w:r>
      <w:r>
        <w:rPr>
          <w:rFonts w:ascii="Times New Roman" w:hAnsi="Times New Roman"/>
          <w:color w:val="000000"/>
          <w:sz w:val="22"/>
          <w:u w:val="single"/>
        </w:rPr>
        <w:t>Schedule 5.10(c)</w:t>
      </w:r>
      <w:r>
        <w:rPr>
          <w:rFonts w:ascii="Times New Roman" w:hAnsi="Times New Roman"/>
          <w:color w:val="000000"/>
          <w:sz w:val="22"/>
        </w:rPr>
        <w:t xml:space="preserve">, to the knowledge of Borrower, neither Borrower nor any of its Subsidiaries is in breach or default under any Material Agreement in any manner that could reasonably be expected to materially affect the Borrower Products. Except as set forth on </w:t>
      </w:r>
      <w:r>
        <w:rPr>
          <w:rFonts w:ascii="Times New Roman" w:hAnsi="Times New Roman"/>
          <w:color w:val="000000"/>
          <w:sz w:val="22"/>
          <w:u w:val="single"/>
        </w:rPr>
        <w:t>Schedule 5.10(c),</w:t>
      </w:r>
      <w:r>
        <w:rPr>
          <w:rFonts w:ascii="Times New Roman" w:hAnsi="Times New Roman"/>
          <w:color w:val="000000"/>
          <w:sz w:val="20"/>
        </w:rPr>
        <w:t xml:space="preserve"> </w:t>
      </w:r>
      <w:r>
        <w:rPr>
          <w:rFonts w:ascii="Times New Roman" w:hAnsi="Times New Roman"/>
          <w:color w:val="000000"/>
          <w:sz w:val="22"/>
        </w:rPr>
        <w:t>as updated in accordance with Section 7.19, there are no material unpaid fees or royalties under any Material Agreements that have become due or are expected to become overdue.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Except as described on </w:t>
      </w:r>
      <w:r>
        <w:rPr>
          <w:rFonts w:ascii="Times New Roman" w:hAnsi="Times New Roman"/>
          <w:color w:val="000000"/>
          <w:sz w:val="22"/>
          <w:u w:val="single"/>
        </w:rPr>
        <w:t>Schedule 5.10(d)</w:t>
      </w:r>
      <w:r>
        <w:rPr>
          <w:rFonts w:ascii="Times New Roman" w:hAnsi="Times New Roman"/>
          <w:color w:val="000000"/>
          <w:sz w:val="20"/>
        </w:rPr>
        <w:t xml:space="preserve"> </w:t>
      </w:r>
      <w:r>
        <w:rPr>
          <w:rFonts w:ascii="Times New Roman" w:hAnsi="Times New Roman"/>
          <w:color w:val="000000"/>
          <w:sz w:val="22"/>
        </w:rPr>
        <w:t xml:space="preserve">or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 xml:space="preserve">(provided that any such updates made in such Compliance Certificate shall not apply to a period covered by a prior Compliance Certificate and shall not cure any default arising from any false or misleading misrepresentations and warranties when made or when deemed made), there is no pending or, to the knowledge of Borrower, threatened (in writing) opposition, interference, reissue, reexamination, inter-partes review, post-grant review, cancellation, injunction, litigation, or other proceeding challenging the legality, validity, enforceability or ownership of any Current Company IP (other than in the ordinary course), in each case, that would have a material adverse effect on the Borrower Products. Except as described on </w:t>
      </w:r>
      <w:r>
        <w:rPr>
          <w:rFonts w:ascii="Times New Roman" w:hAnsi="Times New Roman"/>
          <w:color w:val="000000"/>
          <w:sz w:val="22"/>
          <w:u w:val="single"/>
        </w:rPr>
        <w:t>Schedule 5.10(d)</w:t>
      </w:r>
      <w:r>
        <w:rPr>
          <w:rFonts w:ascii="Times New Roman" w:hAnsi="Times New Roman"/>
          <w:color w:val="000000"/>
          <w:sz w:val="20"/>
        </w:rPr>
        <w:t xml:space="preserve"> </w:t>
      </w:r>
      <w:r>
        <w:rPr>
          <w:rFonts w:ascii="Times New Roman" w:hAnsi="Times New Roman"/>
          <w:color w:val="000000"/>
          <w:sz w:val="22"/>
        </w:rPr>
        <w:t xml:space="preserve">or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(provided that any such updates made in such Compliance Certificate shall not apply to a period covered by a prior Compliance Certificate and shall not cure any default arising from any false or misleading misrepresentations and warranties when made or when deemed made), there are no pending or, to the knowledge of Borrower, threatened (in writing) claims against Borrower or any of its Subsidiaries alleging that any Borrower Product Activities infringes, violates or misappropriates the Intellectual Property of any third party (“</w:t>
      </w:r>
      <w:r>
        <w:rPr>
          <w:rFonts w:ascii="Times New Roman" w:hAnsi="Times New Roman"/>
          <w:color w:val="000000"/>
          <w:sz w:val="22"/>
          <w:u w:val="single"/>
        </w:rPr>
        <w:t>Third Party IP</w:t>
      </w:r>
      <w:r>
        <w:rPr>
          <w:rFonts w:ascii="Times New Roman" w:hAnsi="Times New Roman"/>
          <w:color w:val="000000"/>
          <w:sz w:val="20"/>
        </w:rPr>
        <w:t>”</w:t>
      </w:r>
      <w:r>
        <w:rPr>
          <w:rFonts w:ascii="Times New Roman" w:hAnsi="Times New Roman"/>
          <w:color w:val="000000"/>
          <w:sz w:val="22"/>
        </w:rPr>
        <w:t xml:space="preserve">), or that any Current Company IP is invalid or unenforceable. Except as described on </w:t>
      </w:r>
      <w:r>
        <w:rPr>
          <w:rFonts w:ascii="Times New Roman" w:hAnsi="Times New Roman"/>
          <w:color w:val="000000"/>
          <w:sz w:val="22"/>
          <w:u w:val="single"/>
        </w:rPr>
        <w:t>Schedule 5.9</w:t>
      </w:r>
      <w:r>
        <w:rPr>
          <w:rFonts w:ascii="Times New Roman" w:hAnsi="Times New Roman"/>
          <w:color w:val="000000"/>
          <w:sz w:val="20"/>
        </w:rPr>
        <w:t xml:space="preserve"> </w:t>
      </w:r>
      <w:r>
        <w:rPr>
          <w:rFonts w:ascii="Times New Roman" w:hAnsi="Times New Roman"/>
          <w:color w:val="000000"/>
          <w:sz w:val="22"/>
        </w:rPr>
        <w:t xml:space="preserve">or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(provided that any such updates made in such Compliance Certificate shall not apply to a period covered by a prior Compliance Certificate and shall not cure any default arising from any false or misleading misrepresentations and warranties when made or when deemed made), no Borrower Product Activities, to the knowledge of Borrower, infringes or violates any issued or registered Third Party IP, in each case, that would reasonably be expected to have a material adverse effect on the Borrower Products.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Except as set forth on </w:t>
      </w:r>
      <w:r>
        <w:rPr>
          <w:rFonts w:ascii="Times New Roman" w:hAnsi="Times New Roman"/>
          <w:color w:val="000000"/>
          <w:sz w:val="22"/>
          <w:u w:val="single"/>
        </w:rPr>
        <w:t>Schedule 5.10(e)</w:t>
      </w:r>
      <w:r>
        <w:rPr>
          <w:rFonts w:ascii="Times New Roman" w:hAnsi="Times New Roman"/>
          <w:color w:val="000000"/>
          <w:sz w:val="22"/>
        </w:rPr>
        <w:t xml:space="preserve">, or in the most recent Compliance Certificate delivered in accordance with Section 7.1(d), there are no settlements, covenants not to sue, consents, judgments, orders or similar obligations which (i) restrict the rights of Borrower or any of its Subsidiaries to use any Intellectual Property relating to Borrower Product Activities (in order to accommodate any Third Party IP or otherwise), or (ii) permit any third parties to use any Company IP. Except as set forth on </w:t>
      </w:r>
      <w:r>
        <w:rPr>
          <w:rFonts w:ascii="Times New Roman" w:hAnsi="Times New Roman"/>
          <w:color w:val="000000"/>
          <w:sz w:val="22"/>
          <w:u w:val="single"/>
        </w:rPr>
        <w:t>Schedule 5.10(e)</w:t>
      </w:r>
      <w:r>
        <w:rPr>
          <w:rFonts w:ascii="Times New Roman" w:hAnsi="Times New Roman"/>
          <w:color w:val="000000"/>
          <w:sz w:val="22"/>
        </w:rPr>
        <w:t>, or in the most recent Compliance Certificate delivered in accordance with Section 7.1(d), to the knowledge of Borrower, there is no infringement, violation or misappropriation by any Person of any Company IP.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Except for restrictions that are unenforceable under Article 9 of the UCC or otherwise permitted under this Agreement with respect to Licenses, Borrower has the right, to the extent required to operate Borrower's business, to freely transfer, license or assign Intellectual Property of Borrower and necessary or material in the operation or conduct of Borrower's business as currently conducted and proposed to be conducted, without condition, restriction or payment of any kind (other than license payments in the ordinary course of business) to any third party, except for customary covenants in inbound license agreements, joint ventures or strategic alliances (to the extent such joint ventures or strategic alliances are Permitted Investments) and equipment leases where Borrower is the licensee or lessee. Borrower owns or has the right to use, pursuant to valid licenses, all software development tools, library functions, compilers and all other third-party software that are material to Borrower's business and Borrower Product Activities. Except as disclosed on </w:t>
      </w:r>
      <w:r>
        <w:rPr>
          <w:rFonts w:ascii="Times New Roman" w:hAnsi="Times New Roman"/>
          <w:color w:val="000000"/>
          <w:sz w:val="22"/>
          <w:u w:val="single"/>
        </w:rPr>
        <w:t>Schedule 5.10(g)</w:t>
      </w:r>
      <w:r>
        <w:rPr>
          <w:rFonts w:ascii="Times New Roman" w:hAnsi="Times New Roman"/>
          <w:color w:val="000000"/>
          <w:sz w:val="20"/>
        </w:rPr>
        <w:t xml:space="preserve"> </w:t>
      </w:r>
      <w:r>
        <w:rPr>
          <w:rFonts w:ascii="Times New Roman" w:hAnsi="Times New Roman"/>
          <w:color w:val="000000"/>
          <w:sz w:val="22"/>
        </w:rPr>
        <w:t xml:space="preserve">or in the most recent Compliance Certificate delivered in accordance with </w:t>
      </w:r>
      <w:r>
        <w:rPr>
          <w:rFonts w:ascii="Times New Roman" w:hAnsi="Times New Roman"/>
          <w:color w:val="000000"/>
          <w:sz w:val="22"/>
          <w:u w:val="single"/>
        </w:rPr>
        <w:t>Section 7.1(d)</w:t>
      </w:r>
      <w:r>
        <w:rPr>
          <w:rFonts w:ascii="Times New Roman" w:hAnsi="Times New Roman"/>
          <w:color w:val="000000"/>
          <w:sz w:val="22"/>
        </w:rPr>
        <w:t>, Borrower is not a party to, nor is it bound by, any Restricted License.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No material software or other materials used by Borrower or any of its Subsidiaries (or used in any Borrower Products) are subject to an open-source or similar license (including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disclosed or distributed in source code form.</w:t>
      </w:r>
    </w:p>
    <w:p>
      <w:pPr>
        <w:pStyle w:val="TextBody"/>
        <w:bidi w:val="0"/>
        <w:spacing w:before="0" w:after="240"/>
        <w:jc w:val="both"/>
        <w:rPr>
          <w:rFonts w:ascii="Times New Roman" w:hAnsi="Times New Roman"/>
          <w:sz w:val="20"/>
        </w:rPr>
      </w:pPr>
      <w:r>
        <w:rPr>
          <w:rFonts w:ascii="Times New Roman" w:hAnsi="Times New Roman"/>
          <w:color w:val="000000"/>
          <w:sz w:val="22"/>
        </w:rPr>
        <w:t>5.11</w:t>
      </w:r>
      <w:r>
        <w:rPr>
          <w:rFonts w:ascii="Times New Roman" w:hAnsi="Times New Roman"/>
          <w:color w:val="000000"/>
          <w:sz w:val="20"/>
        </w:rPr>
        <w:t xml:space="preserve"> </w:t>
      </w:r>
      <w:r>
        <w:rPr>
          <w:rFonts w:ascii="Times New Roman" w:hAnsi="Times New Roman"/>
          <w:color w:val="000000"/>
          <w:sz w:val="22"/>
          <w:u w:val="single"/>
        </w:rPr>
        <w:t>Borrower Products</w:t>
      </w:r>
      <w:r>
        <w:rPr>
          <w:rFonts w:ascii="Times New Roman" w:hAnsi="Times New Roman"/>
          <w:color w:val="000000"/>
          <w:sz w:val="22"/>
        </w:rPr>
        <w:t xml:space="preserve">. Except as set forth on </w:t>
      </w:r>
      <w:r>
        <w:rPr>
          <w:rFonts w:ascii="Times New Roman" w:hAnsi="Times New Roman"/>
          <w:color w:val="000000"/>
          <w:sz w:val="22"/>
          <w:u w:val="single"/>
        </w:rPr>
        <w:t>Schedule 5.11</w:t>
      </w:r>
      <w:r>
        <w:rPr>
          <w:rFonts w:ascii="Times New Roman" w:hAnsi="Times New Roman"/>
          <w:color w:val="000000"/>
          <w:sz w:val="20"/>
        </w:rPr>
        <w:t xml:space="preserve"> </w:t>
      </w:r>
      <w:r>
        <w:rPr>
          <w:rFonts w:ascii="Times New Roman" w:hAnsi="Times New Roman"/>
          <w:color w:val="000000"/>
          <w:sz w:val="22"/>
        </w:rPr>
        <w:t xml:space="preserve">(as may be updated in the Compliance Certificate delivered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and as provided for in any Registration or application therefor, no Intellectual Property of Borrower or Borrower Product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use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To Borrower’s knowledge, neither Borrower’s use of its Intellectual Property nor the production and sale of Borrower Products infringes the Intellectual Property or other rights of others.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5.12</w:t>
      </w:r>
      <w:r>
        <w:rPr>
          <w:rFonts w:ascii="Times New Roman" w:hAnsi="Times New Roman"/>
          <w:color w:val="000000"/>
          <w:sz w:val="20"/>
        </w:rPr>
        <w:t xml:space="preserve"> </w:t>
      </w: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rFonts w:ascii="Times New Roman" w:hAnsi="Times New Roman"/>
          <w:color w:val="000000"/>
          <w:sz w:val="22"/>
        </w:rPr>
        <w:t xml:space="preserve">, as may be updated by Borrower in a written notice provided to Agent after the Closing Date (including in any Compliance Certificate delivered in accordance with </w:t>
      </w:r>
      <w:r>
        <w:rPr>
          <w:rFonts w:ascii="Times New Roman" w:hAnsi="Times New Roman"/>
          <w:color w:val="000000"/>
          <w:sz w:val="22"/>
          <w:u w:val="single"/>
        </w:rPr>
        <w:t>Section 7.1(d)</w:t>
      </w:r>
      <w:r>
        <w:rPr>
          <w:rFonts w:ascii="Times New Roman" w:hAnsi="Times New Roman"/>
          <w:color w:val="000000"/>
          <w:sz w:val="22"/>
        </w:rPr>
        <w:t>),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 Neither Borrower nor any Subsidiary owns or holds any Digital Assets.</w:t>
      </w:r>
    </w:p>
    <w:p>
      <w:pPr>
        <w:pStyle w:val="TextBody"/>
        <w:bidi w:val="0"/>
        <w:spacing w:before="0" w:after="240"/>
        <w:jc w:val="both"/>
        <w:rPr>
          <w:rFonts w:ascii="Times New Roman" w:hAnsi="Times New Roman"/>
          <w:sz w:val="20"/>
        </w:rPr>
      </w:pPr>
      <w:r>
        <w:rPr>
          <w:rFonts w:ascii="Times New Roman" w:hAnsi="Times New Roman"/>
          <w:color w:val="000000"/>
          <w:sz w:val="22"/>
        </w:rPr>
        <w:t>5.13</w:t>
      </w:r>
      <w:r>
        <w:rPr>
          <w:rFonts w:ascii="Times New Roman" w:hAnsi="Times New Roman"/>
          <w:color w:val="000000"/>
          <w:sz w:val="20"/>
        </w:rPr>
        <w:t xml:space="preserve"> </w:t>
      </w:r>
      <w:r>
        <w:rPr>
          <w:rFonts w:ascii="Times New Roman" w:hAnsi="Times New Roman"/>
          <w:color w:val="000000"/>
          <w:sz w:val="22"/>
          <w:u w:val="single"/>
        </w:rPr>
        <w:t>Employee Loans</w:t>
      </w:r>
      <w:r>
        <w:rPr>
          <w:rFonts w:ascii="Times New Roman" w:hAnsi="Times New Roman"/>
          <w:color w:val="000000"/>
          <w:sz w:val="22"/>
        </w:rPr>
        <w:t xml:space="preserve">. Except for loans constituting Permitted Investments or as described on </w:t>
      </w:r>
      <w:r>
        <w:rPr>
          <w:rFonts w:ascii="Times New Roman" w:hAnsi="Times New Roman"/>
          <w:color w:val="000000"/>
          <w:sz w:val="22"/>
          <w:u w:val="single"/>
        </w:rPr>
        <w:t>Schedule 5.13</w:t>
      </w:r>
      <w:r>
        <w:rPr>
          <w:rFonts w:ascii="Times New Roman" w:hAnsi="Times New Roman"/>
          <w:color w:val="000000"/>
          <w:sz w:val="22"/>
        </w:rPr>
        <w:t>, Borrower has no outstanding loans to any employee, officer or director of Borrower nor has Borrower guaranteed the payment of any loan made to an employee, officer or director of Borrower by a third party.</w:t>
      </w:r>
    </w:p>
    <w:p>
      <w:pPr>
        <w:pStyle w:val="TextBody"/>
        <w:bidi w:val="0"/>
        <w:spacing w:before="0" w:after="240"/>
        <w:jc w:val="both"/>
        <w:rPr>
          <w:rFonts w:ascii="Times New Roman" w:hAnsi="Times New Roman"/>
          <w:sz w:val="20"/>
        </w:rPr>
      </w:pPr>
      <w:r>
        <w:rPr>
          <w:rFonts w:ascii="Times New Roman" w:hAnsi="Times New Roman"/>
          <w:color w:val="000000"/>
          <w:sz w:val="22"/>
        </w:rPr>
        <w:t>5.14</w:t>
      </w:r>
      <w:r>
        <w:rPr>
          <w:rFonts w:ascii="Times New Roman" w:hAnsi="Times New Roman"/>
          <w:color w:val="000000"/>
          <w:sz w:val="20"/>
        </w:rPr>
        <w:t xml:space="preserve"> </w:t>
      </w:r>
      <w:r>
        <w:rPr>
          <w:rFonts w:ascii="Times New Roman" w:hAnsi="Times New Roman"/>
          <w:color w:val="000000"/>
          <w:sz w:val="22"/>
          <w:u w:val="single"/>
        </w:rPr>
        <w:t>Capitalization and Subsidiaries</w:t>
      </w:r>
      <w:r>
        <w:rPr>
          <w:rFonts w:ascii="Times New Roman" w:hAnsi="Times New Roman"/>
          <w:color w:val="000000"/>
          <w:sz w:val="22"/>
        </w:rPr>
        <w:t xml:space="preserve">. Borrower does not own any stock, partnership interest or other securities of any Person, except for Permitted Investments. Attached as </w:t>
      </w:r>
      <w:r>
        <w:rPr>
          <w:rFonts w:ascii="Times New Roman" w:hAnsi="Times New Roman"/>
          <w:color w:val="000000"/>
          <w:sz w:val="22"/>
          <w:u w:val="single"/>
        </w:rPr>
        <w:t>Schedule 5.14</w:t>
      </w:r>
      <w:r>
        <w:rPr>
          <w:rFonts w:ascii="Times New Roman" w:hAnsi="Times New Roman"/>
          <w:color w:val="000000"/>
          <w:sz w:val="22"/>
        </w:rPr>
        <w:t>, as may be updated by Borrower in a written notice provided after the Closing Date, is a true, correct and complete list of each Subsidiary.</w:t>
      </w:r>
    </w:p>
    <w:p>
      <w:pPr>
        <w:pStyle w:val="TextBody"/>
        <w:bidi w:val="0"/>
        <w:spacing w:before="0" w:after="240"/>
        <w:jc w:val="both"/>
        <w:rPr>
          <w:rFonts w:ascii="Times New Roman" w:hAnsi="Times New Roman"/>
          <w:sz w:val="20"/>
        </w:rPr>
      </w:pPr>
      <w:r>
        <w:rPr>
          <w:rFonts w:ascii="Times New Roman" w:hAnsi="Times New Roman"/>
          <w:color w:val="000000"/>
          <w:sz w:val="22"/>
        </w:rPr>
        <w:t>5.15</w:t>
      </w:r>
      <w:r>
        <w:rPr>
          <w:rFonts w:ascii="Times New Roman" w:hAnsi="Times New Roman"/>
          <w:color w:val="000000"/>
          <w:sz w:val="20"/>
        </w:rPr>
        <w:t xml:space="preserve"> </w:t>
      </w:r>
      <w:r>
        <w:rPr>
          <w:rFonts w:ascii="Times New Roman" w:hAnsi="Times New Roman"/>
          <w:color w:val="000000"/>
          <w:sz w:val="22"/>
          <w:u w:val="single"/>
        </w:rPr>
        <w:t>Solvency</w:t>
      </w:r>
      <w:r>
        <w:rPr>
          <w:rFonts w:ascii="Times New Roman" w:hAnsi="Times New Roman"/>
          <w:color w:val="000000"/>
          <w:sz w:val="22"/>
        </w:rPr>
        <w:t>. The fair salable value of Borrower’s consolidated assets (including goodwill minus disposition costs) exceeds the fair value of Borrower’s liabilities; Borrower is not left with unreasonably small capital after the transactions in this Agreement; and Borrower and each of its Subsidiaries are able to pay their debts (including trade debts) as they mature. The amount of any contingent liability at any time shall be computed as the amount that would reasonably be expected to become an actual and matured liability.</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6. </w:t>
      </w:r>
      <w:r>
        <w:rPr>
          <w:rFonts w:ascii="Times New Roman" w:hAnsi="Times New Roman"/>
          <w:b/>
          <w:caps/>
          <w:color w:val="000000"/>
          <w:sz w:val="22"/>
          <w:u w:val="single"/>
        </w:rPr>
        <w:t>INSURANCE; INDEMNIFICATION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6.1</w:t>
      </w:r>
      <w:r>
        <w:rPr>
          <w:rFonts w:ascii="Times New Roman" w:hAnsi="Times New Roman"/>
          <w:color w:val="000000"/>
          <w:sz w:val="20"/>
        </w:rPr>
        <w:t xml:space="preserve"> </w:t>
      </w:r>
      <w:r>
        <w:rPr>
          <w:rFonts w:ascii="Times New Roman" w:hAnsi="Times New Roman"/>
          <w:color w:val="000000"/>
          <w:sz w:val="22"/>
          <w:u w:val="single"/>
        </w:rPr>
        <w:t>Coverage</w:t>
      </w:r>
      <w:r>
        <w:rPr>
          <w:rFonts w:ascii="Times New Roman" w:hAnsi="Times New Roman"/>
          <w:color w:val="000000"/>
          <w:sz w:val="22"/>
        </w:rPr>
        <w:t xml:space="preserve">. Borrower shall cause to be carried and maintained commercial general liability insurance covering Borrower and its Subsidiaries, on an occurrence form, against risks and in such amounts customarily insured against in Borrower’s line of business. Such risks shall include the risks of bodily injury, including death, property damage, personal injury, advertising injury, and contractual liability per the terms of the indemnification agreement found in </w:t>
      </w:r>
      <w:r>
        <w:rPr>
          <w:rFonts w:ascii="Times New Roman" w:hAnsi="Times New Roman"/>
          <w:color w:val="000000"/>
          <w:sz w:val="22"/>
          <w:u w:val="single"/>
        </w:rPr>
        <w:t>Section 6.3</w:t>
      </w:r>
      <w:r>
        <w:rPr>
          <w:rFonts w:ascii="Times New Roman" w:hAnsi="Times New Roman"/>
          <w:color w:val="000000"/>
          <w:sz w:val="22"/>
        </w:rPr>
        <w:t>. Borrower must maintain a minimum of [* * *] Dollars ($[* * *])</w:t>
      </w:r>
      <w:r>
        <w:rPr>
          <w:rFonts w:ascii="Times New Roman" w:hAnsi="Times New Roman"/>
          <w:color w:val="000000"/>
          <w:sz w:val="20"/>
        </w:rPr>
        <w:t xml:space="preserve"> </w:t>
      </w:r>
      <w:r>
        <w:rPr>
          <w:rFonts w:ascii="Times New Roman" w:hAnsi="Times New Roman"/>
          <w:color w:val="000000"/>
          <w:sz w:val="22"/>
        </w:rPr>
        <w:t xml:space="preserve">of commercial general liability insurance for each occurrence. Borrower maintains and shall continue to maintain a minimum of [* * *] Dollars ($[* * *]) of directors’ and officers’ insurance for each occurrence and [* * *] Dollars ($[* * *]) in the aggregate. So long as there are any Secured Obligations outstanding (other than inchoate indemnity obligations which, by their terms, survive termination of this Agreement), Borrower shall also cause to be carried and maintained insurance upon the business and assets of Borrower and its Subsidiaries,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6.2</w:t>
      </w:r>
      <w:r>
        <w:rPr>
          <w:rFonts w:ascii="Times New Roman" w:hAnsi="Times New Roman"/>
          <w:color w:val="000000"/>
          <w:sz w:val="20"/>
        </w:rPr>
        <w:t xml:space="preserve"> </w:t>
      </w:r>
      <w:r>
        <w:rPr>
          <w:rFonts w:ascii="Times New Roman" w:hAnsi="Times New Roman"/>
          <w:color w:val="000000"/>
          <w:sz w:val="22"/>
          <w:u w:val="single"/>
        </w:rPr>
        <w:t>Certificates</w:t>
      </w:r>
      <w:r>
        <w:rPr>
          <w:rFonts w:ascii="Times New Roman" w:hAnsi="Times New Roman"/>
          <w:color w:val="000000"/>
          <w:sz w:val="22"/>
        </w:rPr>
        <w:t xml:space="preserve">. Borrower shall deliver to Agent certificates of insurance that evidence Borrower’s compliance with its insurance obligations in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and the obligations contained in this </w:t>
      </w:r>
      <w:r>
        <w:rPr>
          <w:rFonts w:ascii="Times New Roman" w:hAnsi="Times New Roman"/>
          <w:color w:val="000000"/>
          <w:sz w:val="22"/>
          <w:u w:val="single"/>
        </w:rPr>
        <w:t>Section 6.2</w:t>
      </w:r>
      <w:r>
        <w:rPr>
          <w:rFonts w:ascii="Times New Roman" w:hAnsi="Times New Roman"/>
          <w:color w:val="000000"/>
          <w:sz w:val="22"/>
        </w:rPr>
        <w:t>. Borrower’s insurance certificate shall reflect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 additional insured for liability insurance for any future insurance that Borrower may acquire from such insurer and any other designations as requested by Agent with respect to any other insurance policies (including cybersecurity policies) of Borrower. Attached to the certificates of insurance will be additional insured endorsements for liability, lender’s loss payable endorsements for all risk property damage insurance and any other endorsements as reasonably requested by Agent with respect to any other insurance policies (including cybersecurity policies) of Borrower.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into or amending any insurance policy required hereunder. Upon Agent’s reasonable request, Borrower shall provide Agent with copies of such policies and shall promptly deliver to Agent updated insurance certificates with respect to such policies.</w:t>
      </w:r>
    </w:p>
    <w:p>
      <w:pPr>
        <w:pStyle w:val="TextBody"/>
        <w:bidi w:val="0"/>
        <w:spacing w:before="0" w:after="240"/>
        <w:jc w:val="both"/>
        <w:rPr>
          <w:rFonts w:ascii="Times New Roman" w:hAnsi="Times New Roman"/>
          <w:sz w:val="20"/>
        </w:rPr>
      </w:pPr>
      <w:r>
        <w:rPr>
          <w:rFonts w:ascii="Times New Roman" w:hAnsi="Times New Roman"/>
          <w:color w:val="000000"/>
          <w:sz w:val="22"/>
        </w:rPr>
        <w:t>6.3</w:t>
      </w:r>
      <w:r>
        <w:rPr>
          <w:rFonts w:ascii="Times New Roman" w:hAnsi="Times New Roman"/>
          <w:color w:val="000000"/>
          <w:sz w:val="20"/>
        </w:rPr>
        <w:t xml:space="preserve"> </w:t>
      </w:r>
      <w:r>
        <w:rPr>
          <w:rFonts w:ascii="Times New Roman" w:hAnsi="Times New Roman"/>
          <w:color w:val="000000"/>
          <w:sz w:val="22"/>
          <w:u w:val="single"/>
        </w:rPr>
        <w:t>Indemnity</w:t>
      </w:r>
      <w:r>
        <w:rPr>
          <w:rFonts w:ascii="Times New Roman" w:hAnsi="Times New Roman"/>
          <w:color w:val="000000"/>
          <w:sz w:val="22"/>
        </w:rPr>
        <w:t>. Borrower agrees to indemnify and hold Agent, Lenders and each of their respective officers, directors, employees, agents, in-house attorneys, representatives and shareholders (each, an “</w:t>
      </w:r>
      <w:r>
        <w:rPr>
          <w:rFonts w:ascii="Times New Roman" w:hAnsi="Times New Roman"/>
          <w:color w:val="000000"/>
          <w:sz w:val="22"/>
          <w:u w:val="single"/>
        </w:rPr>
        <w:t>Indemnified Person</w:t>
      </w:r>
      <w:r>
        <w:rPr>
          <w:rFonts w:ascii="Times New Roman" w:hAnsi="Times New Roman"/>
          <w:color w:val="000000"/>
          <w:sz w:val="20"/>
        </w:rPr>
        <w:t>”</w:t>
      </w:r>
      <w:r>
        <w:rPr>
          <w:rFonts w:ascii="Times New Roman" w:hAnsi="Times New Roman"/>
          <w:color w:val="000000"/>
          <w:sz w:val="22"/>
        </w:rPr>
        <w:t>) harmless from and against any and all third-party claims, documented out-of-pocket costs, expenses, damages and liabilities (including such claims, costs, expenses, damages and liabilities based on liability in tort, including strict liability in tort), including reasonable and documented out-of-pocket attorneys’ fees and disbursements and other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costs of investigation or defense (including those incurred upon any appeal) (collectively, “</w:t>
      </w:r>
      <w:r>
        <w:rPr>
          <w:rFonts w:ascii="Times New Roman" w:hAnsi="Times New Roman"/>
          <w:color w:val="000000"/>
          <w:sz w:val="22"/>
          <w:u w:val="single"/>
        </w:rPr>
        <w:t>Liabilities</w:t>
      </w:r>
      <w:r>
        <w:rPr>
          <w:rFonts w:ascii="Times New Roman" w:hAnsi="Times New Roman"/>
          <w:color w:val="000000"/>
          <w:sz w:val="20"/>
        </w:rPr>
        <w:t>”</w:t>
      </w:r>
      <w:r>
        <w:rPr>
          <w:rFonts w:ascii="Times New Roman" w:hAnsi="Times New Roman"/>
          <w:color w:val="000000"/>
          <w:sz w:val="22"/>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such Liabilities arise solely out of gross negligence or willful misconduct of any Indemnified Person or changes in income tax rates.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 xml:space="preserve">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shall survive the repayment of indebtedness under, and otherwise shall survive the expiration or other termination of, this Agreement, in each case, subject to the applicable statute of limitations.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7. </w:t>
      </w:r>
      <w:r>
        <w:rPr>
          <w:rFonts w:ascii="Times New Roman" w:hAnsi="Times New Roman"/>
          <w:b/>
          <w:caps/>
          <w:color w:val="000000"/>
          <w:sz w:val="22"/>
          <w:u w:val="single"/>
        </w:rPr>
        <w:t>COVENANTS OF BORROWER</w:t>
      </w:r>
    </w:p>
    <w:p>
      <w:pPr>
        <w:pStyle w:val="TextBody"/>
        <w:bidi w:val="0"/>
        <w:spacing w:before="0" w:after="240"/>
        <w:jc w:val="both"/>
        <w:rPr>
          <w:rFonts w:ascii="Times New Roman" w:hAnsi="Times New Roman"/>
          <w:sz w:val="20"/>
        </w:rPr>
      </w:pPr>
      <w:r>
        <w:rPr>
          <w:rFonts w:ascii="Times New Roman" w:hAnsi="Times New Roman"/>
          <w:color w:val="000000"/>
          <w:sz w:val="22"/>
        </w:rPr>
        <w:t>Borrower agrees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7.1</w:t>
      </w:r>
      <w:r>
        <w:rPr>
          <w:rFonts w:ascii="Times New Roman" w:hAnsi="Times New Roman"/>
          <w:color w:val="000000"/>
          <w:sz w:val="20"/>
        </w:rPr>
        <w:t xml:space="preserve"> </w:t>
      </w:r>
      <w:r>
        <w:rPr>
          <w:rFonts w:ascii="Times New Roman" w:hAnsi="Times New Roman"/>
          <w:color w:val="000000"/>
          <w:sz w:val="22"/>
          <w:u w:val="single"/>
        </w:rPr>
        <w:t>Financial Reports</w:t>
      </w:r>
      <w:r>
        <w:rPr>
          <w:rFonts w:ascii="Times New Roman" w:hAnsi="Times New Roman"/>
          <w:color w:val="000000"/>
          <w:sz w:val="22"/>
        </w:rPr>
        <w:t>. Borrower shall furnish to Agent the financial statements and reports listed hereinafter (the “</w:t>
      </w:r>
      <w:r>
        <w:rPr>
          <w:rFonts w:ascii="Times New Roman" w:hAnsi="Times New Roman"/>
          <w:color w:val="000000"/>
          <w:sz w:val="22"/>
          <w:u w:val="single"/>
        </w:rPr>
        <w:t>Financial Statements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 until Borrower has achieved the Approval Milestone, as soon as practicable (and in any event within ten (10) days) after the end of each month, a summary of the account balances of each of Borrower’s Deposit Accounts and accounts holding Investment Property as of the last day of the month, delivered by email to [* * *] and [* * *] at [* * *] and [* * *] or to such successor Person(s) as Agent may designate in writing from time to time and (ii) from and after the date Borrower has achieved the Approval Milestone, as soon as practicable (and in any event within thirty (30) days)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a duly authorized officer of Borrower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as soon as practicable (and in any event within forty-five (45)</w:t>
      </w:r>
      <w:r>
        <w:rPr>
          <w:rFonts w:ascii="Times New Roman" w:hAnsi="Times New Roman"/>
          <w:color w:val="000000"/>
          <w:sz w:val="20"/>
        </w:rPr>
        <w:t xml:space="preserve"> </w:t>
      </w:r>
      <w:r>
        <w:rPr>
          <w:rFonts w:ascii="Times New Roman" w:hAnsi="Times New Roman"/>
          <w:color w:val="000000"/>
          <w:sz w:val="22"/>
        </w:rPr>
        <w:t>days) after the end of each of the first three fiscal quarters of each fiscal year,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a duly authorized officer of Borrower to the effect that they have been prepared in accordance with GAAP, except (i) for the absence of footnotes, and (ii) that they are subject to normal year-end adjustments;</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as soon as practicable (and in any event within ninety (90) days after the end of each fiscal year, audited financial statements as of the end of such year (prepared on a consolidated</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and consolidating basis, if applicable), including balance sheet and related statements of income and cash flows, and setting forth in comparative form the corresponding figures for the preceding fiscal year, certified without qualification [* * *] by a firm of independent certified public accountants selected by Borrower and reasonably acceptable to Agent, accompanied by any management report from such accountants;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as soon as practicable (and in any event within thirty (30) days) after the end of each month, a Compliance Certificate;</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as soon as practicable (and in any event within thirty (30) days) after the end of each month, a report showing agings of accounts receivable and accounts payable;</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promptly after the sending or filing thereof, as the case may be, copies of any proxy statements, financial statements, information or reports that Company has made available to holders of its common stock or preferred stock and copies of any regular, periodic and special reports or registration statements that Company files with the Securities and Exchange Commission or any Governmental Authority that may be substituted therefor, or any national securities exchange;</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copies of any material Governmental Approvals obtained by Borrower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financial and business projections, including the Board Approved Forecast, promptly following their approval by Company’s Board of Directors, and in any event, within thirty (30) days prior to the end of Borrower’s fiscal year, as well as budgets, operating plans and other financial information reasonably requested by Agent;</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 xml:space="preserve">insurance renewal statements, annually or otherwise promptly upon renewal of insurance policies required to be maintained in accordance with </w:t>
      </w:r>
      <w:r>
        <w:rPr>
          <w:rFonts w:ascii="Times New Roman" w:hAnsi="Times New Roman"/>
          <w:color w:val="000000"/>
          <w:sz w:val="22"/>
          <w:u w:val="single"/>
        </w:rPr>
        <w:t>Section 6.1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rPr>
        <w:t>prompt notice of any legal process that is reasonably likely to result in damages, expenses or liabilities in excess of [* * *] Dollars ($[* * *]); and</w:t>
      </w:r>
    </w:p>
    <w:p>
      <w:pPr>
        <w:pStyle w:val="TextBody"/>
        <w:bidi w:val="0"/>
        <w:spacing w:before="0" w:after="240"/>
        <w:jc w:val="both"/>
        <w:rPr>
          <w:rFonts w:ascii="Times New Roman" w:hAnsi="Times New Roman"/>
          <w:sz w:val="20"/>
        </w:rPr>
      </w:pPr>
      <w:r>
        <w:rPr>
          <w:rFonts w:ascii="Times New Roman" w:hAnsi="Times New Roman"/>
          <w:color w:val="000000"/>
          <w:sz w:val="22"/>
        </w:rPr>
        <w:t>(m)</w:t>
      </w:r>
      <w:r>
        <w:rPr>
          <w:rFonts w:ascii="Times New Roman" w:hAnsi="Times New Roman"/>
          <w:color w:val="000000"/>
          <w:sz w:val="20"/>
        </w:rPr>
        <w:t xml:space="preserve"> </w:t>
      </w:r>
      <w:r>
        <w:rPr>
          <w:rFonts w:ascii="Times New Roman" w:hAnsi="Times New Roman"/>
          <w:color w:val="000000"/>
          <w:sz w:val="22"/>
        </w:rPr>
        <w:t xml:space="preserve">prompt (but in any event no more than two (2) Business Days’) notice if Borrower or any Subsidiary has knowledge that Borrower, or any Subsidiary or controlled Affiliate of Borrower, is listed on the OFAC Lists or (a) is convicted on, (b) pleads </w:t>
      </w:r>
      <w:r>
        <w:rPr>
          <w:rFonts w:ascii="Times New Roman" w:hAnsi="Times New Roman"/>
          <w:i/>
          <w:color w:val="000000"/>
          <w:sz w:val="22"/>
        </w:rPr>
        <w:t>nolo contendere</w:t>
      </w:r>
      <w:r>
        <w:rPr>
          <w:rFonts w:ascii="Times New Roman" w:hAnsi="Times New Roman"/>
          <w:color w:val="000000"/>
          <w:sz w:val="20"/>
        </w:rPr>
        <w:t xml:space="preserve"> </w:t>
      </w:r>
      <w:r>
        <w:rPr>
          <w:rFonts w:ascii="Times New Roman" w:hAnsi="Times New Roman"/>
          <w:color w:val="000000"/>
          <w:sz w:val="22"/>
        </w:rPr>
        <w:t>to, (c) is indicted on, or (d) is arraigned and held over on charges involving money laundering or predicate crimes to money laundering.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not (without the consent of the Agent) make any change in its (a) accounting policies or reporting practices (other than to the extent required or otherwise contemplated by GAAP or other applicable regulatory requirements), or (b) fiscal years or fiscal quarters. The fiscal year of Borrower shall end on December 31.</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The executed Compliance Certificate and all Financial Statements required to be delivered hereunder shall be sent per instructions (i) specified on </w:t>
      </w:r>
      <w:r>
        <w:rPr>
          <w:rFonts w:ascii="Times New Roman" w:hAnsi="Times New Roman"/>
          <w:color w:val="000000"/>
          <w:sz w:val="22"/>
          <w:u w:val="single"/>
        </w:rPr>
        <w:t>Addendum 2</w:t>
      </w:r>
      <w:r>
        <w:rPr>
          <w:rFonts w:ascii="Times New Roman" w:hAnsi="Times New Roman"/>
          <w:color w:val="000000"/>
          <w:sz w:val="20"/>
        </w:rPr>
        <w:t xml:space="preserve"> </w:t>
      </w:r>
      <w:r>
        <w:rPr>
          <w:rFonts w:ascii="Times New Roman" w:hAnsi="Times New Roman"/>
          <w:color w:val="000000"/>
          <w:sz w:val="22"/>
        </w:rPr>
        <w:t>or (ii) otherwise provided by Agent to Borrower via a written notice from time to time.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7.2</w:t>
      </w:r>
      <w:r>
        <w:rPr>
          <w:rFonts w:ascii="Times New Roman" w:hAnsi="Times New Roman"/>
          <w:color w:val="000000"/>
          <w:sz w:val="20"/>
        </w:rPr>
        <w:t xml:space="preserve"> </w:t>
      </w: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however, that so long as no Event of Default has occurred and is continuing, such examinations shall be limited to no more often than twice per fiscal year. In addition, in connection with such inspections, any such representative shall have the right to meet with management and officers of Borrower to discuss such books of account and records at reasonable times and upon reasonable notice.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to Agent and Lenders shall constitute “management rights” within the meaning of 29 C.F.R. Section 2510.3-101(d)(3)(ii), but that any advice, recommendations or participation by Agent or Lenders with respect to any business issues shall not be deemed to give Agent or Lenders, nor be deemed an exercise by Agent or Lenders of, control over Borrower’s management or policies.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7.3</w:t>
      </w:r>
      <w:r>
        <w:rPr>
          <w:rFonts w:ascii="Times New Roman" w:hAnsi="Times New Roman"/>
          <w:color w:val="000000"/>
          <w:sz w:val="20"/>
        </w:rPr>
        <w:t xml:space="preserve"> </w:t>
      </w:r>
      <w:r>
        <w:rPr>
          <w:rFonts w:ascii="Times New Roman" w:hAnsi="Times New Roman"/>
          <w:color w:val="000000"/>
          <w:sz w:val="22"/>
          <w:u w:val="single"/>
        </w:rPr>
        <w:t>Further Assurances</w:t>
      </w:r>
      <w:r>
        <w:rPr>
          <w:rFonts w:ascii="Times New Roman" w:hAnsi="Times New Roman"/>
          <w:color w:val="000000"/>
          <w:sz w:val="22"/>
        </w:rPr>
        <w:t>. Borrower shall, and shall cause each other Loan Party to, from time to time execute, deliver and file, alone or with Agent, any financing statements, security agreements, collateral assignments, notices, control agreements, promissory notes or other documents to perfect, give the highest priority to Agent’s Lien on the Collateral, subject to Permitted Priority Liens, or otherwise evidence Agent’s rights herein, in each case as reasonably requested by Agent.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in each case, solely to the extent actually related to the Collateral and otherwise in accordance with the applicable provisions of this Agreement or the other Loan Documents. Borrower shall protect and defend Borrower’s title to the Collateral and Agent’s Lien thereon against all Persons claiming any interest adverse to Borrower or Agent other than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7.4</w:t>
      </w:r>
      <w:r>
        <w:rPr>
          <w:rFonts w:ascii="Times New Roman" w:hAnsi="Times New Roman"/>
          <w:color w:val="000000"/>
          <w:sz w:val="20"/>
        </w:rPr>
        <w:t xml:space="preserve"> </w:t>
      </w:r>
      <w:r>
        <w:rPr>
          <w:rFonts w:ascii="Times New Roman" w:hAnsi="Times New Roman"/>
          <w:color w:val="000000"/>
          <w:sz w:val="22"/>
          <w:u w:val="single"/>
        </w:rPr>
        <w:t>Indebtedness</w:t>
      </w:r>
      <w:r>
        <w:rPr>
          <w:rFonts w:ascii="Times New Roman" w:hAnsi="Times New Roman"/>
          <w:color w:val="000000"/>
          <w:sz w:val="22"/>
        </w:rPr>
        <w:t>. Borrower shall not create, incur, assume, guarantee or be or remain liable with respect to any Indebtedness, or permit any Subsidiary to do so, other than Permitted Indebtedness, or prepay any Indebtedness for borrowed money or take any actions which impose on Borrower an obligation to prepay any Indebtedness for borrowed money,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to the extent permitted under the relevant subordination agreement, (e) Indebtedness permitted by clauses (i), (ii), (iii), (iv), (vii), (viii), (xii), (xiv), (xvi), (xvii) and, to the extent related to any of the foregoing and not in excess of the related primary obligation, (xiii) of the defined term “Permitted Indebtedness”, or (f) as otherwise permitted hereunder or approved in writing by Agent.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Debt upon satisfaction of a condition related to the stock price of Common Stock), settlement or early termination or cancellation of (whether in whole or in part and including by netting or set-off) (in each case, whether in cash, Common Stock or, following a merger event or other change of the Common Stock, other securities or property), or the satisfaction of any condition that would permit or require any of the foregoing, any Permitted Convertible Debt shall not constitute a prepayment of Indebtedness by the Company for the purposes of this </w:t>
      </w:r>
      <w:r>
        <w:rPr>
          <w:rFonts w:ascii="Times New Roman" w:hAnsi="Times New Roman"/>
          <w:b w:val="false"/>
          <w:color w:val="000000"/>
          <w:sz w:val="22"/>
          <w:u w:val="single"/>
        </w:rPr>
        <w:t>Section 7.4</w:t>
      </w:r>
      <w:r>
        <w:rPr>
          <w:rFonts w:ascii="Times New Roman" w:hAnsi="Times New Roman"/>
          <w:color w:val="000000"/>
          <w:sz w:val="20"/>
        </w:rPr>
        <w:t xml:space="preserve"> </w:t>
      </w:r>
      <w:r>
        <w:rPr>
          <w:rFonts w:ascii="Times New Roman" w:hAnsi="Times New Roman"/>
          <w:b w:val="false"/>
          <w:color w:val="000000"/>
          <w:sz w:val="22"/>
        </w:rPr>
        <w:t>provided that principal payments in cash (other than cash in lieu of fractional shares) shall be allowed with respect to any repurchase in connection with the redemption of Permitted Convertible Debt upon satisfaction of a condition related to the stock price of Common Stock only if the Redemption Conditions are satisfied in respect of such redemption and at all times after such redemption.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Notwithstanding the foregoing, the Company may repurchase, exchange or induce the conversion of Permitted Convertible Debt by delivery of shares of Common Stock and/or a different series of Permitted Convertible Debt and/or by payment of cash (in an amount that does not exceed the proceeds received by the Company from the substantially concurrent issuance of shares of Common Stock and/or such different series of Permitted Convertible Debt minus the net cost of any Permitted Bond Hedge Transaction and related Permitted Warrant Transaction entered into in connection therewith plus the net cash proceeds, if any, received by the Company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the Company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7.5</w:t>
      </w:r>
      <w:r>
        <w:rPr>
          <w:rFonts w:ascii="Times New Roman" w:hAnsi="Times New Roman"/>
          <w:color w:val="000000"/>
          <w:sz w:val="20"/>
        </w:rPr>
        <w:t xml:space="preserve"> </w:t>
      </w:r>
      <w:r>
        <w:rPr>
          <w:rFonts w:ascii="Times New Roman" w:hAnsi="Times New Roman"/>
          <w:color w:val="000000"/>
          <w:sz w:val="22"/>
          <w:u w:val="single"/>
        </w:rPr>
        <w:t>Collateral</w:t>
      </w:r>
      <w:r>
        <w:rPr>
          <w:rFonts w:ascii="Times New Roman" w:hAnsi="Times New Roman"/>
          <w:color w:val="000000"/>
          <w:sz w:val="22"/>
        </w:rPr>
        <w:t>. Borrower shall at all times (a) keep the Collateral and all other property and assets used in Borrower’s business or in which Borrower now or hereafter holds any interest free and clear from any Liens whatsoever (except for Permitted Liens), and (b) shall give Agent prompt written notice of any legal process that is reasonably likely to result in damages, expenses or liabilities in excess of [* * *] Dollars ($[* * *]) affecting the Collateral, such other property and assets, or any Liens thereon, provided however, that the Collateral and such other property or assets may be subject to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(i) this Agreement and the other Loan Documents, (ii) any agreements governing any purchase money Liens or capital lease obligations otherwise permitted hereby (in which case, any prohibition or limitation shall only be effective against the assets financed thereby), (iii) customary restrictions on the assignment of leases, licenses and other agreements, and (iv) customary anti-assignment provisions in contracts permitted under this Agreement and entered into in the ordinary course of business. Borrower shall cause its Subsidiaries to protect and defend such Subsidiary’s title to its assets from and against all Persons claiming any interest adverse to such Subsidiary, and Borrower shall cause its Subsidiaries at all</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times to keep such Subsidiary’s property and assets free and clear from any Liens whatsoever (except for Permitted Liens), and shall give Agent prompt written notice of any legal process that is reasonably likely to result in damages, expenses or liabilities in excess of [* * *] Dollars ($[* * *]) affecting such Subsidiary’s assets.</w:t>
      </w:r>
    </w:p>
    <w:p>
      <w:pPr>
        <w:pStyle w:val="TextBody"/>
        <w:bidi w:val="0"/>
        <w:spacing w:before="0" w:after="240"/>
        <w:jc w:val="both"/>
        <w:rPr>
          <w:rFonts w:ascii="Times New Roman" w:hAnsi="Times New Roman"/>
          <w:sz w:val="20"/>
        </w:rPr>
      </w:pPr>
      <w:r>
        <w:rPr>
          <w:rFonts w:ascii="Times New Roman" w:hAnsi="Times New Roman"/>
          <w:color w:val="000000"/>
          <w:sz w:val="22"/>
        </w:rPr>
        <w:t>7.6</w:t>
      </w:r>
      <w:r>
        <w:rPr>
          <w:rFonts w:ascii="Times New Roman" w:hAnsi="Times New Roman"/>
          <w:color w:val="000000"/>
          <w:sz w:val="20"/>
        </w:rPr>
        <w:t xml:space="preserve"> </w:t>
      </w:r>
      <w:r>
        <w:rPr>
          <w:rFonts w:ascii="Times New Roman" w:hAnsi="Times New Roman"/>
          <w:color w:val="000000"/>
          <w:sz w:val="22"/>
          <w:u w:val="single"/>
        </w:rPr>
        <w:t>Investments</w:t>
      </w:r>
      <w:r>
        <w:rPr>
          <w:rFonts w:ascii="Times New Roman" w:hAnsi="Times New Roman"/>
          <w:color w:val="000000"/>
          <w:sz w:val="22"/>
        </w:rPr>
        <w:t>. Borrower shall not directly or indirectly acquire or own, or make any Investment in or to any Person, or permit any of its Subsidiaries to do so, other than Permitted Investments. Neither Borrower nor any Subsidiary shall directly or indirectly acquire or own, nor make any Investment in Digital Assets, nor permit any Subsidiary so to do.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Notwithstanding the foregoing, and for the avoidance of doubt, this </w:t>
      </w:r>
      <w:r>
        <w:rPr>
          <w:rFonts w:ascii="Times New Roman" w:hAnsi="Times New Roman"/>
          <w:b w:val="false"/>
          <w:color w:val="000000"/>
          <w:sz w:val="22"/>
          <w:u w:val="single"/>
        </w:rPr>
        <w:t>Section 7.6</w:t>
      </w:r>
      <w:r>
        <w:rPr>
          <w:rFonts w:ascii="Times New Roman" w:hAnsi="Times New Roman"/>
          <w:color w:val="000000"/>
          <w:sz w:val="20"/>
        </w:rPr>
        <w:t xml:space="preserve"> </w:t>
      </w:r>
      <w:r>
        <w:rPr>
          <w:rFonts w:ascii="Times New Roman" w:hAnsi="Times New Roman"/>
          <w:b w:val="false"/>
          <w:color w:val="000000"/>
          <w:sz w:val="22"/>
        </w:rPr>
        <w:t>shall not prohibit (i) the conversion or exchange by holders of (including any cash payment upon conversion or exchange), or required payment of any principal or premium on (including, for the avoidance of doubt, in respect of a required repurchase in connection with the redemption of Permitted Convertible Debt upon satisfaction of a condition related to the stock price of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be allowed with respect to any repurchase in connection with the redemption of Permitted Convertible Debt upon satisfaction of a condition related to the stock price of Common Stock only if the Redemption Conditions are satisfied in respect of such redemption and at all times after such redemption, (ii) the entry into (including the payment of premiums in connection therewith) or any required payment with respect to, or required early unwind or settlement of (including by netting or set-off), any Permitted Bond Hedge Transaction or Permitted Warrant Transaction, in each case, in accordance with the terms of the agreement governing such Permitted Bond Hedge Transaction or Permitted Warrant Transaction, or (iii) the withholding of shares of Common Stock upon the vesting of performance stock units and restricted stock units issued to the Borrower’s employees under the Borrower’s equity incentive plan upon vesting of such stock units.</w:t>
      </w:r>
    </w:p>
    <w:p>
      <w:pPr>
        <w:pStyle w:val="Heading2"/>
        <w:bidi w:val="0"/>
        <w:spacing w:before="0" w:after="240"/>
        <w:jc w:val="both"/>
        <w:rPr>
          <w:rFonts w:ascii="Times New Roman" w:hAnsi="Times New Roman"/>
          <w:b w:val="false"/>
          <w:color w:val="000000"/>
          <w:sz w:val="22"/>
        </w:rPr>
      </w:pPr>
      <w:bookmarkStart w:id="24" w:name="elpgbr42"/>
      <w:bookmarkEnd w:id="24"/>
      <w:r>
        <w:rPr>
          <w:rFonts w:ascii="Times New Roman" w:hAnsi="Times New Roman"/>
          <w:b w:val="false"/>
          <w:color w:val="000000"/>
          <w:sz w:val="22"/>
        </w:rPr>
        <w:t>Notwithstanding the foregoing, the Company may repurchase, exchange or induce the conversion of Permitted Convertible Debt by delivery of shares of Common Stock and/or a different series of Permitted Convertible Debt and/or by payment of cash (in an amount that does not exceed the proceeds received by the Company from the substantially concurrent issuance of shares of Common Stock and/or such different series of Permitted Convertible Debt, minus the net cost of any Permitted Bond Hedge Transaction and related Permitted Warrant Transaction entered into in connection therewith, plus the net cash proceeds, if any, received by the Company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the Company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before="0" w:after="240"/>
        <w:jc w:val="both"/>
        <w:rPr>
          <w:rFonts w:ascii="Times New Roman" w:hAnsi="Times New Roman"/>
          <w:sz w:val="20"/>
        </w:rPr>
      </w:pPr>
      <w:r>
        <w:rPr>
          <w:rFonts w:ascii="Times New Roman" w:hAnsi="Times New Roman"/>
          <w:color w:val="000000"/>
          <w:sz w:val="22"/>
        </w:rPr>
        <w:t>7.7</w:t>
      </w:r>
      <w:r>
        <w:rPr>
          <w:rFonts w:ascii="Times New Roman" w:hAnsi="Times New Roman"/>
          <w:color w:val="000000"/>
          <w:sz w:val="20"/>
        </w:rPr>
        <w:t xml:space="preserve"> </w:t>
      </w:r>
      <w:r>
        <w:rPr>
          <w:rFonts w:ascii="Times New Roman" w:hAnsi="Times New Roman"/>
          <w:color w:val="000000"/>
          <w:sz w:val="22"/>
          <w:u w:val="single"/>
        </w:rPr>
        <w:t>Distributions</w:t>
      </w:r>
      <w:r>
        <w:rPr>
          <w:rFonts w:ascii="Times New Roman" w:hAnsi="Times New Roman"/>
          <w:color w:val="000000"/>
          <w:sz w:val="22"/>
        </w:rPr>
        <w:t>.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class of stock or other Equity Interest, except that (i) a Subsidiary may pay dividends or make other distributions to Borrower or any Subsidiary of Borrower, (ii) Borrower or any Subsidiary may pay non-Cash dividends or make other non-Cash distributions on, or may repurchase or redeem stock or Equity Interests, in each case for Qualified Equity Interests of such Person or any parent entity, (iii) Borrower may make payments in cash for fractional shares/unit upon conversion or in connection with the exercise or conversion of warrants or other securities in an amount not to exceed [* * *] Dollars ($[* * *]) in the aggregate, (iv) to the extent constituting a distribution, Borrower may make any Permitted Investment, or (v) pursuant to employee director or consultant repurchases plans, Organizational Document, equity incentive plans, rights of first refusal and co-sale agreements, acquisition stock agreement, restricted stock agreements, or other similar agreements in an amount not to exceed [* * *] Dollars ($[* * *]) in the aggregate, or (c) except for Permitted Investments, lend money to any employees, officers or directors or guarantee the payment of any such loans granted by a third party in excess of [* * *] Dollars ($[* * *]) in the aggregate, or (d) convert any of its convertible securities other than pursuant to the terms of such convertible securities, provided that such conversion does not result in a Change in Control, or (e) waive, release or forgive any Indebtedness owed by any employees, officers or directors in excess of [* * *] Dollars ($[* * *]) in the aggregate.</w:t>
      </w:r>
    </w:p>
    <w:p>
      <w:pPr>
        <w:pStyle w:val="Heading2"/>
        <w:bidi w:val="0"/>
        <w:spacing w:before="0" w:after="240"/>
        <w:jc w:val="both"/>
        <w:rPr>
          <w:rFonts w:ascii="Times New Roman" w:hAnsi="Times New Roman"/>
          <w:b w:val="false"/>
          <w:color w:val="000000"/>
          <w:sz w:val="22"/>
        </w:rPr>
      </w:pPr>
      <w:bookmarkStart w:id="25" w:name="elpgbr43"/>
      <w:bookmarkEnd w:id="25"/>
      <w:r>
        <w:rPr>
          <w:rFonts w:ascii="Times New Roman" w:hAnsi="Times New Roman"/>
          <w:b w:val="false"/>
          <w:color w:val="000000"/>
          <w:sz w:val="22"/>
        </w:rPr>
        <w:t>Notwithstanding the foregoing, the Company may repurchase, exchange or induce the conversion of Permitted Convertible Debt by delivery of shares of Common Stock and/or a different series of Permitted Convertible Debt and/or by payment of cash (in an amount that does not exceed the proceeds received by the Company from the substantially concurrent issuance of shares of Common Stock and/or such different series of Permitted Convertible Debt minus the net cost of any Permitted Bond Hedge Transaction and related Permitted Warrant Transaction entered into in connection therewith plus the net cash proceeds, if any, received by the Company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the Company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For the avoidance of doubt, this Section 7.7(a) shall not prohibit any payments or delivery obligations in respect of any Permitted Convertible Debt, Permitted Bond Hedge Transaction or Permitted Warrant Transaction.</w:t>
      </w:r>
    </w:p>
    <w:p>
      <w:pPr>
        <w:pStyle w:val="TextBody"/>
        <w:bidi w:val="0"/>
        <w:spacing w:before="0" w:after="240"/>
        <w:jc w:val="both"/>
        <w:rPr>
          <w:rFonts w:ascii="Times New Roman" w:hAnsi="Times New Roman"/>
          <w:sz w:val="20"/>
        </w:rPr>
      </w:pPr>
      <w:r>
        <w:rPr>
          <w:rFonts w:ascii="Times New Roman" w:hAnsi="Times New Roman"/>
          <w:color w:val="000000"/>
          <w:sz w:val="22"/>
        </w:rPr>
        <w:t>7.8</w:t>
      </w:r>
      <w:r>
        <w:rPr>
          <w:rFonts w:ascii="Times New Roman" w:hAnsi="Times New Roman"/>
          <w:color w:val="000000"/>
          <w:sz w:val="20"/>
        </w:rPr>
        <w:t xml:space="preserve"> </w:t>
      </w:r>
      <w:r>
        <w:rPr>
          <w:rFonts w:ascii="Times New Roman" w:hAnsi="Times New Roman"/>
          <w:color w:val="000000"/>
          <w:sz w:val="22"/>
          <w:u w:val="single"/>
        </w:rPr>
        <w:t>Transfers</w:t>
      </w:r>
      <w:r>
        <w:rPr>
          <w:rFonts w:ascii="Times New Roman" w:hAnsi="Times New Roman"/>
          <w:color w:val="000000"/>
          <w:sz w:val="22"/>
        </w:rPr>
        <w:t>. Except for Permitted Transfers, Borrower shall not, and shall not permit any Subsidiary to, voluntarily or involuntarily transfer, sell, lease, license, lend or in any other manner convey (“</w:t>
      </w:r>
      <w:r>
        <w:rPr>
          <w:rFonts w:ascii="Times New Roman" w:hAnsi="Times New Roman"/>
          <w:color w:val="000000"/>
          <w:sz w:val="22"/>
          <w:u w:val="single"/>
        </w:rPr>
        <w:t>Transfer</w:t>
      </w:r>
      <w:r>
        <w:rPr>
          <w:rFonts w:ascii="Times New Roman" w:hAnsi="Times New Roman"/>
          <w:color w:val="000000"/>
          <w:sz w:val="20"/>
        </w:rPr>
        <w:t>”</w:t>
      </w:r>
      <w:r>
        <w:rPr>
          <w:rFonts w:ascii="Times New Roman" w:hAnsi="Times New Roman"/>
          <w:color w:val="000000"/>
          <w:sz w:val="22"/>
        </w:rPr>
        <w:t>) any equitable, beneficial or legal interest in any material portion of its assets (including, without limitation, pursuant to a Division).</w:t>
      </w:r>
    </w:p>
    <w:p>
      <w:pPr>
        <w:pStyle w:val="TextBody"/>
        <w:bidi w:val="0"/>
        <w:spacing w:before="0" w:after="240"/>
        <w:jc w:val="both"/>
        <w:rPr>
          <w:rFonts w:ascii="Times New Roman" w:hAnsi="Times New Roman"/>
          <w:sz w:val="20"/>
        </w:rPr>
      </w:pPr>
      <w:r>
        <w:rPr>
          <w:rFonts w:ascii="Times New Roman" w:hAnsi="Times New Roman"/>
          <w:color w:val="000000"/>
          <w:sz w:val="22"/>
        </w:rPr>
        <w:t>7.9</w:t>
      </w:r>
      <w:r>
        <w:rPr>
          <w:rFonts w:ascii="Times New Roman" w:hAnsi="Times New Roman"/>
          <w:color w:val="000000"/>
          <w:sz w:val="20"/>
        </w:rPr>
        <w:t xml:space="preserve"> </w:t>
      </w:r>
      <w:r>
        <w:rPr>
          <w:rFonts w:ascii="Times New Roman" w:hAnsi="Times New Roman"/>
          <w:color w:val="000000"/>
          <w:sz w:val="22"/>
          <w:u w:val="single"/>
        </w:rPr>
        <w:t>Mergers and Consolidations</w:t>
      </w:r>
      <w:r>
        <w:rPr>
          <w:rFonts w:ascii="Times New Roman" w:hAnsi="Times New Roman"/>
          <w:color w:val="000000"/>
          <w:sz w:val="22"/>
        </w:rPr>
        <w:t xml:space="preserve">. Borrower shall not, nor will it permit any Subsidiary to, merge, dissolve, liquidate, consolidate with or into another Person, or dispose of (whether in one transaction or in a series of transactions) all or substantially all of its assets (whether now owned or hereafter acquired) to or in favor of any Person (other than the following: (a) mergers or consolidations of (i) a Subsidiary which is not a Borrower into another Subsidiary or into Borrower, or (ii) a Borrower into another Borrower, (b) Permitted Investments and Permitted Transfers, in each case, subject to compliance with </w:t>
      </w:r>
      <w:r>
        <w:rPr>
          <w:rFonts w:ascii="Times New Roman" w:hAnsi="Times New Roman"/>
          <w:color w:val="000000"/>
          <w:sz w:val="22"/>
          <w:u w:val="single"/>
        </w:rPr>
        <w:t>Section 7.13</w:t>
      </w:r>
      <w:r>
        <w:rPr>
          <w:rFonts w:ascii="Times New Roman" w:hAnsi="Times New Roman"/>
          <w:color w:val="000000"/>
          <w:sz w:val="22"/>
        </w:rPr>
        <w:t>, or (c) the dissolution, liquidation or disposition of (i)</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Borrower provided that all of its assets and business are transferred to another Borrower (ii) any Guarantor provided that all of its assets and business are transferred to another Loan Party).</w:t>
      </w:r>
    </w:p>
    <w:p>
      <w:pPr>
        <w:pStyle w:val="TextBody"/>
        <w:bidi w:val="0"/>
        <w:spacing w:before="0" w:after="240"/>
        <w:jc w:val="both"/>
        <w:rPr>
          <w:rFonts w:ascii="Times New Roman" w:hAnsi="Times New Roman"/>
          <w:sz w:val="20"/>
        </w:rPr>
      </w:pPr>
      <w:r>
        <w:rPr>
          <w:rFonts w:ascii="Times New Roman" w:hAnsi="Times New Roman"/>
          <w:color w:val="000000"/>
          <w:sz w:val="22"/>
        </w:rPr>
        <w:t>7.10</w:t>
      </w:r>
      <w:r>
        <w:rPr>
          <w:rFonts w:ascii="Times New Roman" w:hAnsi="Times New Roman"/>
          <w:color w:val="000000"/>
          <w:sz w:val="20"/>
        </w:rPr>
        <w:t xml:space="preserve"> </w:t>
      </w: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7.11</w:t>
      </w:r>
      <w:r>
        <w:rPr>
          <w:rFonts w:ascii="Times New Roman" w:hAnsi="Times New Roman"/>
          <w:color w:val="000000"/>
          <w:sz w:val="20"/>
        </w:rPr>
        <w:t xml:space="preserve"> </w:t>
      </w:r>
      <w:r>
        <w:rPr>
          <w:rFonts w:ascii="Times New Roman" w:hAnsi="Times New Roman"/>
          <w:color w:val="000000"/>
          <w:sz w:val="22"/>
          <w:u w:val="single"/>
        </w:rPr>
        <w:t>Corporate Changes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Neither Borrower nor any Subsidiary shall change its corporate name, legal form or jurisdiction of formation without twenty (20) days’ prior written notice to Agent (or such shorter period as agreed by Agent in its sole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Subsidiary shall suffer a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Neither Borrower nor any Subsidiary shall relocate its chief executive office or its principal place of business unless: (i) it has provided prior written notice to Agent; and (ii) such relocation shall be within the continental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If Borrower intends to add any new offices or business locations, including warehouses, containing any portion of Borrower’s assets or property (other than in-transit inventory and mobile equipment) valued, individually or in the aggregate, in excess of [* * *] Dollars ($[* * *]), then Borrower will use commercially reasonable efforts to</w:t>
      </w:r>
      <w:r>
        <w:rPr>
          <w:rFonts w:ascii="Times New Roman" w:hAnsi="Times New Roman"/>
          <w:color w:val="000000"/>
          <w:sz w:val="20"/>
        </w:rPr>
        <w:t xml:space="preserve"> </w:t>
      </w:r>
      <w:r>
        <w:rPr>
          <w:rFonts w:ascii="Times New Roman" w:hAnsi="Times New Roman"/>
          <w:color w:val="000000"/>
          <w:sz w:val="22"/>
        </w:rPr>
        <w:t>cause the landlord of any such new offices or business locations, including warehouses, to execute and deliver a landlord consent in form and substance reasonably satisfactory to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If Borrower intends to deliver any portion of Borrower’s assets or property (other than in-transit inventory and mobile equipment) valued, individually or in the aggregate, in excess of [* * *] Dollars ($[* * *]) to a bailee,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Agent.</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thereof.</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Without the prior written consent of Agent, the Borrower will not make, or agree to make, any modification, amendment or waiver of any of the terms or provisions of Borrower’s Organizational Documents that is materially adverse to Agent or any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7.12</w:t>
      </w:r>
      <w:r>
        <w:rPr>
          <w:rFonts w:ascii="Times New Roman" w:hAnsi="Times New Roman"/>
          <w:color w:val="000000"/>
          <w:sz w:val="20"/>
        </w:rPr>
        <w:t xml:space="preserve"> </w:t>
      </w:r>
      <w:r>
        <w:rPr>
          <w:rFonts w:ascii="Times New Roman" w:hAnsi="Times New Roman"/>
          <w:color w:val="000000"/>
          <w:sz w:val="22"/>
          <w:u w:val="single"/>
        </w:rPr>
        <w:t>Deposit Accounts</w:t>
      </w:r>
      <w:r>
        <w:rPr>
          <w:rFonts w:ascii="Times New Roman" w:hAnsi="Times New Roman"/>
          <w:color w:val="000000"/>
          <w:sz w:val="22"/>
        </w:rPr>
        <w:t>. No Loan Party shall maintain any Deposit Accounts, any accounts or sub-accounts in connection with an insured cash sweep program, or accounts holding</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 Property, except with respect to which Agent has an Account Control Agreement on terms and conditions satisfactory to Agent in its reasonable discretion, provided that no Account Control Agreement shall be required for any Excluded Account. No Loan Party shall own or hold any Digital Assets.</w:t>
      </w:r>
    </w:p>
    <w:p>
      <w:pPr>
        <w:pStyle w:val="TextBody"/>
        <w:bidi w:val="0"/>
        <w:spacing w:before="0" w:after="240"/>
        <w:jc w:val="both"/>
        <w:rPr>
          <w:rFonts w:ascii="Times New Roman" w:hAnsi="Times New Roman"/>
          <w:sz w:val="20"/>
        </w:rPr>
      </w:pPr>
      <w:r>
        <w:rPr>
          <w:rFonts w:ascii="Times New Roman" w:hAnsi="Times New Roman"/>
          <w:color w:val="000000"/>
          <w:sz w:val="22"/>
        </w:rPr>
        <w:t>7.13</w:t>
      </w:r>
      <w:r>
        <w:rPr>
          <w:rFonts w:ascii="Times New Roman" w:hAnsi="Times New Roman"/>
          <w:color w:val="000000"/>
          <w:sz w:val="20"/>
        </w:rPr>
        <w:t xml:space="preserve"> </w:t>
      </w:r>
      <w:r>
        <w:rPr>
          <w:rFonts w:ascii="Times New Roman" w:hAnsi="Times New Roman"/>
          <w:color w:val="000000"/>
          <w:sz w:val="22"/>
          <w:u w:val="single"/>
        </w:rPr>
        <w:t>Joinder of Subsidiaries</w:t>
      </w:r>
      <w:r>
        <w:rPr>
          <w:rFonts w:ascii="Times New Roman" w:hAnsi="Times New Roman"/>
          <w:color w:val="000000"/>
          <w:sz w:val="22"/>
        </w:rPr>
        <w:t>. Borrower shall notify Agent of each Subsidiary formed or acquired subsequent to the Closing Date (including any new Subsidiary formed by Division) and, within thirty (30) days of such formation or acquisition (or such longer period of time as agreed to by Agent in writing (which may be by email) in its sole discretion), shall cause any such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w:t>
      </w:r>
    </w:p>
    <w:p>
      <w:pPr>
        <w:pStyle w:val="TextBody"/>
        <w:bidi w:val="0"/>
        <w:spacing w:before="0" w:after="240"/>
        <w:jc w:val="both"/>
        <w:rPr>
          <w:rFonts w:ascii="Times New Roman" w:hAnsi="Times New Roman"/>
          <w:sz w:val="20"/>
        </w:rPr>
      </w:pPr>
      <w:r>
        <w:rPr>
          <w:rFonts w:ascii="Times New Roman" w:hAnsi="Times New Roman"/>
          <w:color w:val="000000"/>
          <w:sz w:val="22"/>
        </w:rPr>
        <w:t>7.14</w:t>
      </w:r>
      <w:r>
        <w:rPr>
          <w:rFonts w:ascii="Times New Roman" w:hAnsi="Times New Roman"/>
          <w:color w:val="000000"/>
          <w:sz w:val="20"/>
        </w:rPr>
        <w:t xml:space="preserve"> </w:t>
      </w:r>
      <w:r>
        <w:rPr>
          <w:rFonts w:ascii="Times New Roman" w:hAnsi="Times New Roman"/>
          <w:color w:val="000000"/>
          <w:sz w:val="22"/>
          <w:u w:val="single"/>
        </w:rPr>
        <w:t>Regulatory and Product Notices</w:t>
      </w:r>
      <w:r>
        <w:rPr>
          <w:rFonts w:ascii="Times New Roman" w:hAnsi="Times New Roman"/>
          <w:color w:val="000000"/>
          <w:sz w:val="22"/>
        </w:rPr>
        <w:t>. Borrower shall promptly (but in any event within [* * *]) after the receipt or occurrence thereof notify Agent of the following (provided, that it shall be deemed notice to Agent if the Company has made a filing with the SEC disclosing such events):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any written notice that the FDA (or international equivalent) is limiting, suspending or revoking any material Registration (including, but not limited to, by the issuance of a clinical hold);</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written notice that Borrower or its Subsidiaries has become subject to any material regulatory enforcement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the exclusion or debarment from any governmental healthcare program or debarment or disqualification by FDA (or international equivalent) of Borrower or its Subsidiaries or its or their authorized officers;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any written notice that a Borrower or any Subsidiary, or any of their licensees or sublicensees (including licensees or sublicensees under any Material Agreement), is being investigated or is the subject of any allegation of potential or actual violations of any FDA Laws; or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any written notice that any material quantity of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material quantity of any Borrower Product are pending or threatened in writing against Borrower or its Subsidiaries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2"/>
        </w:rPr>
        <w:t>7.15</w:t>
      </w:r>
      <w:r>
        <w:rPr>
          <w:rFonts w:ascii="Times New Roman" w:hAnsi="Times New Roman"/>
          <w:color w:val="000000"/>
          <w:sz w:val="20"/>
        </w:rPr>
        <w:t xml:space="preserve"> </w:t>
      </w:r>
      <w:r>
        <w:rPr>
          <w:rFonts w:ascii="Times New Roman" w:hAnsi="Times New Roman"/>
          <w:color w:val="000000"/>
          <w:sz w:val="22"/>
          <w:u w:val="single"/>
        </w:rPr>
        <w:t>Notification of Event of Default</w:t>
      </w:r>
      <w:r>
        <w:rPr>
          <w:rFonts w:ascii="Times New Roman" w:hAnsi="Times New Roman"/>
          <w:color w:val="000000"/>
          <w:sz w:val="22"/>
        </w:rPr>
        <w:t>. Borrower shall notify Agent immediately of the occurrence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7.16</w:t>
      </w:r>
      <w:r>
        <w:rPr>
          <w:rFonts w:ascii="Times New Roman" w:hAnsi="Times New Roman"/>
          <w:color w:val="000000"/>
          <w:sz w:val="20"/>
        </w:rPr>
        <w:t xml:space="preserve"> </w:t>
      </w:r>
      <w:r>
        <w:rPr>
          <w:rFonts w:ascii="Times New Roman" w:hAnsi="Times New Roman"/>
          <w:color w:val="000000"/>
          <w:sz w:val="22"/>
          <w:u w:val="single"/>
        </w:rPr>
        <w:t>SBA</w:t>
      </w:r>
      <w:r>
        <w:rPr>
          <w:rFonts w:ascii="Times New Roman" w:hAnsi="Times New Roman"/>
          <w:color w:val="000000"/>
          <w:sz w:val="22"/>
        </w:rPr>
        <w:t>. One or more affiliates of Agent have received a license from the U.S. Small Business Administration (“</w:t>
      </w:r>
      <w:r>
        <w:rPr>
          <w:rFonts w:ascii="Times New Roman" w:hAnsi="Times New Roman"/>
          <w:color w:val="000000"/>
          <w:sz w:val="22"/>
          <w:u w:val="single"/>
        </w:rPr>
        <w:t>SBA</w:t>
      </w:r>
      <w:r>
        <w:rPr>
          <w:rFonts w:ascii="Times New Roman" w:hAnsi="Times New Roman"/>
          <w:color w:val="000000"/>
          <w:sz w:val="20"/>
        </w:rPr>
        <w:t>”</w:t>
      </w:r>
      <w:r>
        <w:rPr>
          <w:rFonts w:ascii="Times New Roman" w:hAnsi="Times New Roman"/>
          <w:color w:val="000000"/>
          <w:sz w:val="22"/>
        </w:rPr>
        <w:t>) to extend loans as a small business investment company (“</w:t>
      </w:r>
      <w:r>
        <w:rPr>
          <w:rFonts w:ascii="Times New Roman" w:hAnsi="Times New Roman"/>
          <w:color w:val="000000"/>
          <w:sz w:val="22"/>
          <w:u w:val="single"/>
        </w:rPr>
        <w:t>SBIC</w:t>
      </w:r>
      <w:r>
        <w:rPr>
          <w:rFonts w:ascii="Times New Roman" w:hAnsi="Times New Roman"/>
          <w:color w:val="000000"/>
          <w:sz w:val="20"/>
        </w:rPr>
        <w:t>”</w:t>
      </w:r>
      <w:r>
        <w:rPr>
          <w:rFonts w:ascii="Times New Roman" w:hAnsi="Times New Roman"/>
          <w:color w:val="000000"/>
          <w:sz w:val="22"/>
        </w:rPr>
        <w:t>) pursuant to the Small Business Investment Act of 1958, as amended, and the associated regulations,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as amended (collectively, the “</w:t>
      </w:r>
      <w:r>
        <w:rPr>
          <w:rFonts w:ascii="Times New Roman" w:hAnsi="Times New Roman"/>
          <w:color w:val="000000"/>
          <w:sz w:val="22"/>
          <w:u w:val="single"/>
        </w:rPr>
        <w:t>SBIC Act</w:t>
      </w:r>
      <w:r>
        <w:rPr>
          <w:rFonts w:ascii="Times New Roman" w:hAnsi="Times New Roman"/>
          <w:color w:val="000000"/>
          <w:sz w:val="20"/>
        </w:rPr>
        <w:t>”</w:t>
      </w:r>
      <w:r>
        <w:rPr>
          <w:rFonts w:ascii="Times New Roman" w:hAnsi="Times New Roman"/>
          <w:color w:val="000000"/>
          <w:sz w:val="22"/>
        </w:rPr>
        <w:t xml:space="preserve">). Portions of the Loan to Borrower may be made by a Lender that is a SBIC.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 xml:space="preserve">to this Agreement outlines various responsibilities of Agent, each Lender and Borrower associated with a loan made by a SBIC, and such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 xml:space="preserve">is hereby incorporated in this Agreement. Borrower shall immediately notify Agent of any failure to comply with its obligations under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upon acquiring knowledge thereof.</w:t>
      </w:r>
    </w:p>
    <w:p>
      <w:pPr>
        <w:pStyle w:val="TextBody"/>
        <w:bidi w:val="0"/>
        <w:spacing w:before="0" w:after="240"/>
        <w:jc w:val="both"/>
        <w:rPr>
          <w:rFonts w:ascii="Times New Roman" w:hAnsi="Times New Roman"/>
          <w:sz w:val="20"/>
        </w:rPr>
      </w:pPr>
      <w:r>
        <w:rPr>
          <w:rFonts w:ascii="Times New Roman" w:hAnsi="Times New Roman"/>
          <w:color w:val="000000"/>
          <w:sz w:val="22"/>
        </w:rPr>
        <w:t>7.17</w:t>
      </w:r>
      <w:r>
        <w:rPr>
          <w:rFonts w:ascii="Times New Roman" w:hAnsi="Times New Roman"/>
          <w:color w:val="000000"/>
          <w:sz w:val="20"/>
        </w:rPr>
        <w:t xml:space="preserve"> </w:t>
      </w:r>
      <w:r>
        <w:rPr>
          <w:rFonts w:ascii="Times New Roman" w:hAnsi="Times New Roman"/>
          <w:color w:val="000000"/>
          <w:sz w:val="22"/>
          <w:u w:val="single"/>
        </w:rPr>
        <w:t>Use of Proceeds</w:t>
      </w:r>
      <w:r>
        <w:rPr>
          <w:rFonts w:ascii="Times New Roman" w:hAnsi="Times New Roman"/>
          <w:color w:val="000000"/>
          <w:sz w:val="22"/>
        </w:rPr>
        <w:t>.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7.18</w:t>
      </w:r>
      <w:r>
        <w:rPr>
          <w:rFonts w:ascii="Times New Roman" w:hAnsi="Times New Roman"/>
          <w:color w:val="000000"/>
          <w:sz w:val="20"/>
        </w:rPr>
        <w:t xml:space="preserve"> </w:t>
      </w:r>
      <w:r>
        <w:rPr>
          <w:rFonts w:ascii="Times New Roman" w:hAnsi="Times New Roman"/>
          <w:color w:val="000000"/>
          <w:sz w:val="22"/>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7.19</w:t>
      </w:r>
      <w:r>
        <w:rPr>
          <w:rFonts w:ascii="Times New Roman" w:hAnsi="Times New Roman"/>
          <w:color w:val="000000"/>
          <w:sz w:val="20"/>
        </w:rPr>
        <w:t xml:space="preserve"> </w:t>
      </w:r>
      <w:r>
        <w:rPr>
          <w:rFonts w:ascii="Times New Roman" w:hAnsi="Times New Roman"/>
          <w:color w:val="000000"/>
          <w:sz w:val="22"/>
          <w:u w:val="single"/>
        </w:rPr>
        <w:t>Material Agreements</w:t>
      </w:r>
      <w:r>
        <w:rPr>
          <w:rFonts w:ascii="Times New Roman" w:hAnsi="Times New Roman"/>
          <w:color w:val="000000"/>
          <w:sz w:val="22"/>
        </w:rPr>
        <w:t xml:space="preserve">. Borrower shall (a) not, without the consent of Agent (not to be unreasonably withheld, conditioned or delayed), amend the Material License in a manner that, taken as a whole, is reasonably likely to have a materially adverse impact on Agent or Lenders, and (b) give prompt written notice to Agent of entering into a Material Agreement or materially amending or taking actions resulting in the termination of a Material Agreement, including delivery of an updated </w:t>
      </w:r>
      <w:r>
        <w:rPr>
          <w:rFonts w:ascii="Times New Roman" w:hAnsi="Times New Roman"/>
          <w:color w:val="000000"/>
          <w:sz w:val="22"/>
          <w:u w:val="single"/>
        </w:rPr>
        <w:t>Schedule 5.10(c)</w:t>
      </w:r>
      <w:r>
        <w:rPr>
          <w:rFonts w:ascii="Times New Roman" w:hAnsi="Times New Roman"/>
          <w:color w:val="000000"/>
          <w:sz w:val="22"/>
        </w:rPr>
        <w:t>, if applicable.</w:t>
      </w:r>
    </w:p>
    <w:p>
      <w:pPr>
        <w:pStyle w:val="TextBody"/>
        <w:bidi w:val="0"/>
        <w:spacing w:before="0" w:after="240"/>
        <w:jc w:val="both"/>
        <w:rPr>
          <w:rFonts w:ascii="Times New Roman" w:hAnsi="Times New Roman"/>
          <w:sz w:val="20"/>
        </w:rPr>
      </w:pPr>
      <w:r>
        <w:rPr>
          <w:rFonts w:ascii="Times New Roman" w:hAnsi="Times New Roman"/>
          <w:color w:val="000000"/>
          <w:sz w:val="22"/>
        </w:rPr>
        <w:t>7.20</w:t>
      </w:r>
      <w:r>
        <w:rPr>
          <w:rFonts w:ascii="Times New Roman" w:hAnsi="Times New Roman"/>
          <w:color w:val="000000"/>
          <w:sz w:val="20"/>
        </w:rPr>
        <w:t xml:space="preserve"> </w:t>
      </w:r>
      <w:r>
        <w:rPr>
          <w:rFonts w:ascii="Times New Roman" w:hAnsi="Times New Roman"/>
          <w:color w:val="000000"/>
          <w:sz w:val="22"/>
          <w:u w:val="single"/>
        </w:rPr>
        <w:t>Compliance with Laws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noBreakHyphen/>
        <w:t>Terrorism Law, or (iii) engage in or conspire to engage in any transaction that evades or avoids, or has the purpose of evading or avoiding, or attempts to violate, any of the prohibitions set forth in Executive Order No. 13224 or other Anti</w:t>
        <w:noBreakHyphen/>
        <w:t>Terrorism Law.</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Borrower has implemented and shall maintain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and agents, are in compliance with Anti-Corruption Laws and applicable Sanctions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7.21</w:t>
      </w:r>
      <w:r>
        <w:rPr>
          <w:rFonts w:ascii="Times New Roman" w:hAnsi="Times New Roman"/>
          <w:color w:val="000000"/>
          <w:sz w:val="20"/>
        </w:rPr>
        <w:t xml:space="preserve"> </w:t>
      </w:r>
      <w:r>
        <w:rPr>
          <w:rFonts w:ascii="Times New Roman" w:hAnsi="Times New Roman"/>
          <w:color w:val="000000"/>
          <w:sz w:val="22"/>
          <w:u w:val="single"/>
        </w:rPr>
        <w:t>Financial Covenants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Minimum Cash.</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If the Initial Minimum Cash Test Date has occurred, Borrower shall thereafter at all times maintain Qualified Cash in an amount greater than or equal to (x) the aggregate outstanding Secured Obligations, multiplied by (y) the Applicable Minimum Cash Percentage. Notwithstanding the foregoing, this </w:t>
      </w:r>
      <w:r>
        <w:rPr>
          <w:rFonts w:ascii="Times New Roman" w:hAnsi="Times New Roman"/>
          <w:color w:val="000000"/>
          <w:sz w:val="22"/>
          <w:u w:val="single"/>
        </w:rPr>
        <w:t>Section 7.21(a)</w:t>
      </w:r>
      <w:r>
        <w:rPr>
          <w:rFonts w:ascii="Times New Roman" w:hAnsi="Times New Roman"/>
          <w:color w:val="000000"/>
          <w:sz w:val="20"/>
        </w:rPr>
        <w:t xml:space="preserve"> </w:t>
      </w:r>
      <w:r>
        <w:rPr>
          <w:rFonts w:ascii="Times New Roman" w:hAnsi="Times New Roman"/>
          <w:color w:val="000000"/>
          <w:sz w:val="22"/>
        </w:rPr>
        <w:t xml:space="preserve">shall not be required to be complied with on any day on which Company’s Market Capitalization for such day is greater than or equal to (x) the aggregate outstanding Secured Obligations, </w:t>
      </w:r>
      <w:r>
        <w:rPr>
          <w:rFonts w:ascii="Times New Roman" w:hAnsi="Times New Roman"/>
          <w:color w:val="000000"/>
          <w:sz w:val="22"/>
          <w:u w:val="single"/>
        </w:rPr>
        <w:t>multiplied</w:t>
      </w:r>
      <w:r>
        <w:rPr>
          <w:rFonts w:ascii="Times New Roman" w:hAnsi="Times New Roman"/>
          <w:color w:val="000000"/>
          <w:sz w:val="20"/>
        </w:rPr>
        <w:t xml:space="preserve"> </w:t>
      </w:r>
      <w:r>
        <w:rPr>
          <w:rFonts w:ascii="Times New Roman" w:hAnsi="Times New Roman"/>
          <w:color w:val="000000"/>
          <w:sz w:val="22"/>
        </w:rPr>
        <w:t>by (y) seven (7).</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If Borrower makes a redemption other than non-cash redemption or any other cash payment in respect of Permitted Convertible Debt (except for the payment of cash in lieu of fractional shares and/or for accrued and unpaid interest), subject to satisfaction of the Redemption Conditions, Borrower shall, at all times thereafter, maintain Qualified Cash in the amount required by the defined term “Redemption Conditions.”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u w:val="single"/>
        </w:rPr>
        <w:t>Performance Covenant</w:t>
      </w:r>
      <w:r>
        <w:rPr>
          <w:rFonts w:ascii="Times New Roman" w:hAnsi="Times New Roman"/>
          <w:color w:val="000000"/>
          <w:sz w:val="22"/>
        </w:rPr>
        <w:t xml:space="preserve">. If the Initial Performance Covenant Test Date has occurred, Borrower shall thereafter satisfy at least one of (i) Performance Covenant A or Performance Covenant B, tested at all times, or (ii) Performance Covenant C, tested as of the last date of the most recent calendar month for which financial statements and a Compliance Certificate have been (or were required to be) delivered under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7.1(d)</w:t>
      </w:r>
      <w:r>
        <w:rPr>
          <w:rFonts w:ascii="Times New Roman" w:hAnsi="Times New Roman"/>
          <w:color w:val="000000"/>
          <w:sz w:val="22"/>
        </w:rPr>
        <w:t xml:space="preserve">, respectively. Notwithstanding the foregoing, if the financial statements required by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and the related Compliance Certificate required by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are not delivered by the applicable due dates for any month, Borrower shall be deemed not to have satisfied Performance Covenant A or Performance Covenant B for such period.</w:t>
      </w:r>
    </w:p>
    <w:p>
      <w:pPr>
        <w:pStyle w:val="TextBody"/>
        <w:bidi w:val="0"/>
        <w:spacing w:before="0" w:after="240"/>
        <w:jc w:val="both"/>
        <w:rPr>
          <w:rFonts w:ascii="Times New Roman" w:hAnsi="Times New Roman"/>
          <w:sz w:val="20"/>
        </w:rPr>
      </w:pPr>
      <w:r>
        <w:rPr>
          <w:rFonts w:ascii="Times New Roman" w:hAnsi="Times New Roman"/>
          <w:color w:val="000000"/>
          <w:sz w:val="22"/>
        </w:rPr>
        <w:t>7.22</w:t>
      </w:r>
      <w:r>
        <w:rPr>
          <w:rFonts w:ascii="Times New Roman" w:hAnsi="Times New Roman"/>
          <w:color w:val="000000"/>
          <w:sz w:val="20"/>
        </w:rPr>
        <w:t xml:space="preserve"> </w:t>
      </w:r>
      <w:r>
        <w:rPr>
          <w:rFonts w:ascii="Times New Roman" w:hAnsi="Times New Roman"/>
          <w:color w:val="000000"/>
          <w:sz w:val="22"/>
          <w:u w:val="single"/>
        </w:rPr>
        <w:t>Intellectual Property</w:t>
      </w:r>
      <w:r>
        <w:rPr>
          <w:rFonts w:ascii="Times New Roman" w:hAnsi="Times New Roman"/>
          <w:color w:val="000000"/>
          <w:sz w:val="22"/>
        </w:rPr>
        <w:t>. Each Borrower shall (i) protect, defend and maintain the validity and enforceability of its Current Company IP; (ii) promptly advise Agent in writing of (A) material infringements of its Intellectual Property, and (B) any material claim (in writing) against Borrower or any of its Subsidiaries alleging that Borrower Product Activities infringes, violates or misappropriates the Intellectual Property of any third party; (iii) not allow any Current Company IP to be abandoned, forfeited or dedicated to the public without Agent’s written consent; and (iv) at all times conduct its business without infringement or claim of infringement of any Intellectual Property rights of others that could reasonably be expected to have a Material Adverse Effect.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provide written notice thereof to Agent with the delivery of the then-next Compliance Certificate delivered pursuant to Section 7.1(d) and shall execute such intellectual property security agreements and other documents and take such other actions as Agent may request in its good faith business judgment to perfect and</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maintain a first priority (subject to Permitted Priority Liens) perfected security interest in favor of Agent in such property. If a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(subject to Permitted Priority Liens)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shall provide written notice to Agent of entering or becoming bound by any Restricted License (other than off-the-shelf software that is commercially available to the public) in the then-next Compliance Certificate delivered in accordance with </w:t>
      </w:r>
      <w:r>
        <w:rPr>
          <w:rFonts w:ascii="Times New Roman" w:hAnsi="Times New Roman"/>
          <w:color w:val="000000"/>
          <w:sz w:val="22"/>
          <w:u w:val="single"/>
        </w:rPr>
        <w:t>Section 7.1(d)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7.23</w:t>
      </w:r>
      <w:r>
        <w:rPr>
          <w:rFonts w:ascii="Times New Roman" w:hAnsi="Times New Roman"/>
          <w:color w:val="000000"/>
          <w:sz w:val="20"/>
        </w:rPr>
        <w:t xml:space="preserve"> </w:t>
      </w:r>
      <w:r>
        <w:rPr>
          <w:rFonts w:ascii="Times New Roman" w:hAnsi="Times New Roman"/>
          <w:color w:val="000000"/>
          <w:sz w:val="22"/>
          <w:u w:val="single"/>
        </w:rPr>
        <w:t>Transactions with Affiliates</w:t>
      </w:r>
      <w:r>
        <w:rPr>
          <w:rFonts w:ascii="Times New Roman" w:hAnsi="Times New Roman"/>
          <w:color w:val="000000"/>
          <w:sz w:val="22"/>
        </w:rPr>
        <w:t xml:space="preserve">. Except as otherwise described on </w:t>
      </w:r>
      <w:r>
        <w:rPr>
          <w:rFonts w:ascii="Times New Roman" w:hAnsi="Times New Roman"/>
          <w:color w:val="000000"/>
          <w:sz w:val="22"/>
          <w:u w:val="single"/>
        </w:rPr>
        <w:t>Schedule 7.23</w:t>
      </w:r>
      <w:r>
        <w:rPr>
          <w:rFonts w:ascii="Times New Roman" w:hAnsi="Times New Roman"/>
          <w:color w:val="000000"/>
          <w:sz w:val="22"/>
        </w:rPr>
        <w:t>, Borrower shall not, and shall not permit any Subsidiary to, directly or indirectly, enter into or permit to exist any transaction of any kind with any Affiliate of Borrower or such Subsidiary except: (a) transactions on terms that are no less favorable to Borrower or such Subsidiary, as the case may be, than those that might be obtained in an arm’s length transaction from a Person who is not an Affiliate of Borrower or such Subsidiary, (b) the incurrence of Subordinated Indebtedness and the issuance of Equity Interests of the Borrower to its existing investors that does not result in Change in Control, (c) any compensation, director indemnification or similar arrangements in the ordinary course of business of Borrower and as approved by Borrower’s Board of Directors, or (d) any intercompany arrangements entered into in the ordinary course of business and not prohibited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7.24 </w:t>
      </w:r>
      <w:r>
        <w:rPr>
          <w:rFonts w:ascii="Times New Roman" w:hAnsi="Times New Roman"/>
          <w:color w:val="000000"/>
          <w:sz w:val="22"/>
          <w:u w:val="single"/>
        </w:rPr>
        <w:t>Post-Closing Obligations</w:t>
      </w:r>
      <w:r>
        <w:rPr>
          <w:rFonts w:ascii="Times New Roman" w:hAnsi="Times New Roman"/>
          <w:color w:val="000000"/>
          <w:sz w:val="22"/>
        </w:rPr>
        <w:t xml:space="preserve">. Borrower shall take each of the actions described on </w:t>
      </w:r>
      <w:r>
        <w:rPr>
          <w:rFonts w:ascii="Times New Roman" w:hAnsi="Times New Roman"/>
          <w:color w:val="000000"/>
          <w:sz w:val="22"/>
          <w:u w:val="single"/>
        </w:rPr>
        <w:t>Schedule 7.24</w:t>
      </w:r>
      <w:r>
        <w:rPr>
          <w:rFonts w:ascii="Times New Roman" w:hAnsi="Times New Roman"/>
          <w:color w:val="000000"/>
          <w:sz w:val="22"/>
        </w:rPr>
        <w:t>, in each case, in the manner and by the dates set forth thereon.</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8. </w:t>
      </w:r>
      <w:r>
        <w:rPr>
          <w:rFonts w:ascii="Times New Roman" w:hAnsi="Times New Roman"/>
          <w:b/>
          <w:caps/>
          <w:color w:val="000000"/>
          <w:sz w:val="22"/>
          <w:u w:val="single"/>
        </w:rPr>
        <w:t>RIGHT TO invest</w:t>
      </w:r>
    </w:p>
    <w:p>
      <w:pPr>
        <w:pStyle w:val="TextBody"/>
        <w:bidi w:val="0"/>
        <w:spacing w:before="0" w:after="240"/>
        <w:jc w:val="both"/>
        <w:rPr>
          <w:rFonts w:ascii="Times New Roman" w:hAnsi="Times New Roman"/>
          <w:sz w:val="20"/>
        </w:rPr>
      </w:pPr>
      <w:r>
        <w:rPr>
          <w:rFonts w:ascii="Times New Roman" w:hAnsi="Times New Roman"/>
          <w:color w:val="000000"/>
          <w:sz w:val="22"/>
        </w:rPr>
        <w:t>8.1</w:t>
      </w:r>
      <w:r>
        <w:rPr>
          <w:rFonts w:ascii="Times New Roman" w:hAnsi="Times New Roman"/>
          <w:color w:val="000000"/>
          <w:sz w:val="20"/>
        </w:rPr>
        <w:t xml:space="preserve"> </w:t>
      </w:r>
      <w:r>
        <w:rPr>
          <w:rFonts w:ascii="Times New Roman" w:hAnsi="Times New Roman"/>
          <w:color w:val="000000"/>
          <w:sz w:val="22"/>
        </w:rPr>
        <w:t xml:space="preserve">Lenders or their assignee or nominee shall, for so long as such applicable Lender shall constitute a “Lender” under this Agreement, have the right, in its discretion, to participate in any Subsequent Financing in an aggregate amount of up to the RTI Amount among all Lenders on the same terms, conditions and pricing afforded to others participating in any such Subsequent Financing. This </w:t>
      </w:r>
      <w:r>
        <w:rPr>
          <w:rFonts w:ascii="Times New Roman" w:hAnsi="Times New Roman"/>
          <w:color w:val="000000"/>
          <w:sz w:val="22"/>
          <w:u w:val="single"/>
        </w:rPr>
        <w:t>Section 8.1</w:t>
      </w:r>
      <w:r>
        <w:rPr>
          <w:rFonts w:ascii="Times New Roman" w:hAnsi="Times New Roman"/>
          <w:color w:val="000000"/>
          <w:sz w:val="22"/>
        </w:rPr>
        <w:t>, and all rights and obligations provided for hereunder, shall terminate upon the earliest to occur of (a) termination of this Agreement and (b) such time that the Lenders or their permitted assignees or nominees, have purchased Borrower’s Equity Interests in an aggregate amount of at least the RTI Amount in Subsequent Financings.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9. </w:t>
      </w:r>
      <w:r>
        <w:rPr>
          <w:rFonts w:ascii="Times New Roman" w:hAnsi="Times New Roman"/>
          <w:b/>
          <w:caps/>
          <w:color w:val="000000"/>
          <w:sz w:val="22"/>
          <w:u w:val="single"/>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2"/>
        </w:rPr>
        <w:t>The occurrence of any one or more of the following events shall be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9.1</w:t>
      </w:r>
      <w:r>
        <w:rPr>
          <w:rFonts w:ascii="Times New Roman" w:hAnsi="Times New Roman"/>
          <w:color w:val="000000"/>
          <w:sz w:val="20"/>
        </w:rPr>
        <w:t xml:space="preserve"> </w:t>
      </w:r>
      <w:r>
        <w:rPr>
          <w:rFonts w:ascii="Times New Roman" w:hAnsi="Times New Roman"/>
          <w:color w:val="000000"/>
          <w:sz w:val="22"/>
          <w:u w:val="single"/>
        </w:rPr>
        <w:t>Payments</w:t>
      </w:r>
      <w:r>
        <w:rPr>
          <w:rFonts w:ascii="Times New Roman" w:hAnsi="Times New Roman"/>
          <w:color w:val="000000"/>
          <w:sz w:val="22"/>
        </w:rPr>
        <w:t xml:space="preserve">. A Loan Party fails to (a) pay principal or interest on any Loan on its due date or (b) make any other payment when due on account of any other Secured Obligation within [* * *] after the applicable due date; </w:t>
      </w:r>
      <w:r>
        <w:rPr>
          <w:rFonts w:ascii="Times New Roman" w:hAnsi="Times New Roman"/>
          <w:color w:val="000000"/>
          <w:sz w:val="22"/>
          <w:u w:val="single"/>
        </w:rPr>
        <w:t>provided</w:t>
      </w:r>
      <w:r>
        <w:rPr>
          <w:rFonts w:ascii="Times New Roman" w:hAnsi="Times New Roman"/>
          <w:color w:val="000000"/>
          <w:sz w:val="22"/>
        </w:rPr>
        <w:t>, however, that in each case an Event of Default shall not occur on account of a failure to pay due solely to an administrative or operational error of Agent or Lenders or Borrower’s bank if Borrower had the funds to make the payment when due and makes the payment within [* * *] following Borrower’s knowledge of such failure to pay; or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9.2</w:t>
      </w:r>
      <w:r>
        <w:rPr>
          <w:rFonts w:ascii="Times New Roman" w:hAnsi="Times New Roman"/>
          <w:color w:val="000000"/>
          <w:sz w:val="20"/>
        </w:rPr>
        <w:t xml:space="preserve"> </w:t>
      </w:r>
      <w:r>
        <w:rPr>
          <w:rFonts w:ascii="Times New Roman" w:hAnsi="Times New Roman"/>
          <w:color w:val="000000"/>
          <w:sz w:val="22"/>
          <w:u w:val="single"/>
        </w:rPr>
        <w:t>Covenants</w:t>
      </w:r>
      <w:r>
        <w:rPr>
          <w:rFonts w:ascii="Times New Roman" w:hAnsi="Times New Roman"/>
          <w:color w:val="000000"/>
          <w:sz w:val="22"/>
        </w:rPr>
        <w:t xml:space="preserve">. A Loan Party breaches or defaults in the performance of any covenant or Secured Obligation under this Agreement, or any of the other Loan Documents, and (a) with respect to a Default under any covenant under this Agreement (other than under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7.24</w:t>
      </w:r>
      <w:r>
        <w:rPr>
          <w:rFonts w:ascii="Times New Roman" w:hAnsi="Times New Roman"/>
          <w:color w:val="000000"/>
          <w:sz w:val="22"/>
        </w:rPr>
        <w:t xml:space="preserve">), any other Loan Document, such default continues for more than [* * *] after the earlier of the date on which (i) Agent or Lenders has given notice of such default to Borrower and (ii) Borrower has actual knowledge of such default or (b) with respect to a Default under any of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7.24</w:t>
      </w:r>
      <w:r>
        <w:rPr>
          <w:rFonts w:ascii="Times New Roman" w:hAnsi="Times New Roman"/>
          <w:color w:val="000000"/>
          <w:sz w:val="22"/>
        </w:rPr>
        <w:t>, the occurrence of such Default;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9.3</w:t>
      </w:r>
      <w:r>
        <w:rPr>
          <w:rFonts w:ascii="Times New Roman" w:hAnsi="Times New Roman"/>
          <w:color w:val="000000"/>
          <w:sz w:val="20"/>
        </w:rPr>
        <w:t xml:space="preserve"> </w:t>
      </w: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provided that, solely for purposes of this Section 9.3, the failure to achieve the Approval Milestone shall not in and of itself constitute a Material Adverse Effect under this </w:t>
      </w:r>
      <w:r>
        <w:rPr>
          <w:rFonts w:ascii="Times New Roman" w:hAnsi="Times New Roman"/>
          <w:color w:val="000000"/>
          <w:sz w:val="22"/>
          <w:u w:val="single"/>
        </w:rPr>
        <w:t>Section 9.3</w:t>
      </w:r>
      <w:r>
        <w:rPr>
          <w:rFonts w:ascii="Times New Roman" w:hAnsi="Times New Roman"/>
          <w:color w:val="000000"/>
          <w:sz w:val="22"/>
        </w:rPr>
        <w:t>; or</w:t>
      </w:r>
    </w:p>
    <w:p>
      <w:pPr>
        <w:pStyle w:val="TextBody"/>
        <w:bidi w:val="0"/>
        <w:spacing w:before="0" w:after="240"/>
        <w:jc w:val="both"/>
        <w:rPr>
          <w:rFonts w:ascii="Times New Roman" w:hAnsi="Times New Roman"/>
          <w:sz w:val="20"/>
        </w:rPr>
      </w:pPr>
      <w:r>
        <w:rPr>
          <w:rFonts w:ascii="Times New Roman" w:hAnsi="Times New Roman"/>
          <w:color w:val="000000"/>
          <w:sz w:val="22"/>
        </w:rPr>
        <w:t>9.4</w:t>
      </w:r>
      <w:r>
        <w:rPr>
          <w:rFonts w:ascii="Times New Roman" w:hAnsi="Times New Roman"/>
          <w:color w:val="000000"/>
          <w:sz w:val="20"/>
        </w:rPr>
        <w:t xml:space="preserve"> </w:t>
      </w:r>
      <w:r>
        <w:rPr>
          <w:rFonts w:ascii="Times New Roman" w:hAnsi="Times New Roman"/>
          <w:color w:val="000000"/>
          <w:sz w:val="22"/>
          <w:u w:val="single"/>
        </w:rPr>
        <w:t>Representations</w:t>
      </w:r>
      <w:r>
        <w:rPr>
          <w:rFonts w:ascii="Times New Roman" w:hAnsi="Times New Roman"/>
          <w:color w:val="000000"/>
          <w:sz w:val="22"/>
        </w:rPr>
        <w:t>. Any representation or warranty made by any Loan Party in any Loan Document shall have been false or misleading in any material respect when made or when deemed made;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9.5</w:t>
      </w:r>
      <w:r>
        <w:rPr>
          <w:rFonts w:ascii="Times New Roman" w:hAnsi="Times New Roman"/>
          <w:color w:val="000000"/>
          <w:sz w:val="20"/>
        </w:rPr>
        <w:t xml:space="preserve"> </w:t>
      </w:r>
      <w:r>
        <w:rPr>
          <w:rFonts w:ascii="Times New Roman" w:hAnsi="Times New Roman"/>
          <w:color w:val="000000"/>
          <w:sz w:val="22"/>
          <w:u w:val="single"/>
        </w:rPr>
        <w:t>Insolvency</w:t>
      </w:r>
      <w:r>
        <w:rPr>
          <w:rFonts w:ascii="Times New Roman" w:hAnsi="Times New Roman"/>
          <w:color w:val="000000"/>
          <w:sz w:val="22"/>
        </w:rPr>
        <w:t xml:space="preserve">. (a) A Loan Party or any of its Subsidiaries fails to be solvent as described under </w:t>
      </w:r>
      <w:r>
        <w:rPr>
          <w:rFonts w:ascii="Times New Roman" w:hAnsi="Times New Roman"/>
          <w:color w:val="000000"/>
          <w:sz w:val="22"/>
          <w:u w:val="single"/>
        </w:rPr>
        <w:t>Section 5.15</w:t>
      </w:r>
      <w:r>
        <w:rPr>
          <w:rFonts w:ascii="Times New Roman" w:hAnsi="Times New Roman"/>
          <w:color w:val="000000"/>
          <w:sz w:val="20"/>
        </w:rPr>
        <w:t xml:space="preserve"> </w:t>
      </w:r>
      <w:r>
        <w:rPr>
          <w:rFonts w:ascii="Times New Roman" w:hAnsi="Times New Roman"/>
          <w:color w:val="000000"/>
          <w:sz w:val="22"/>
        </w:rPr>
        <w:t>hereof; (b) a Loan Party or any of its Subsidiaries begins an Insolvency Proceeding; or (c) an Insolvency Proceeding is begun against a Loan Party or any of its Subsidiaries and is not dismissed or stayed within thirty (30) days (but no Advances shall be made while any of the conditions described in clause (a) exist or until any Insolvency Proceeding is dismissed); or</w:t>
      </w:r>
    </w:p>
    <w:p>
      <w:pPr>
        <w:pStyle w:val="TextBody"/>
        <w:bidi w:val="0"/>
        <w:spacing w:before="0" w:after="240"/>
        <w:jc w:val="both"/>
        <w:rPr>
          <w:rFonts w:ascii="Times New Roman" w:hAnsi="Times New Roman"/>
          <w:sz w:val="20"/>
        </w:rPr>
      </w:pPr>
      <w:r>
        <w:rPr>
          <w:rFonts w:ascii="Times New Roman" w:hAnsi="Times New Roman"/>
          <w:color w:val="000000"/>
          <w:sz w:val="22"/>
        </w:rPr>
        <w:t>9.6</w:t>
      </w:r>
      <w:r>
        <w:rPr>
          <w:rFonts w:ascii="Times New Roman" w:hAnsi="Times New Roman"/>
          <w:color w:val="000000"/>
          <w:sz w:val="20"/>
        </w:rPr>
        <w:t xml:space="preserve"> </w:t>
      </w:r>
      <w:r>
        <w:rPr>
          <w:rFonts w:ascii="Times New Roman" w:hAnsi="Times New Roman"/>
          <w:color w:val="000000"/>
          <w:sz w:val="22"/>
          <w:u w:val="single"/>
        </w:rPr>
        <w:t>Judgments; Penalties</w:t>
      </w:r>
      <w:r>
        <w:rPr>
          <w:rFonts w:ascii="Times New Roman" w:hAnsi="Times New Roman"/>
          <w:color w:val="000000"/>
          <w:sz w:val="22"/>
        </w:rPr>
        <w:t>. One or more fines, penalties or final judgments, orders or decrees for the payment of money in an amount, individually or in the aggregate, of at least [* * *] Dollars ($[* * *]) (not covered by independent third-party insurance as to which liability has been accepted by such insurance carrier) shall be rendered against any Loan Party or any of its Subsidiaries by any Governmental Authority, and the same are not, within thirty (30) days after the entry, assessment or issuance thereof, discharged, or after execution thereof, or stayed pending appeal, or such judgments are not discharged prior to the expiration of any such stay (provided that no Advances shall be made prior to the discharge, or stay of such fine, penalty, judgment, order or decree);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9.7</w:t>
      </w:r>
      <w:r>
        <w:rPr>
          <w:rFonts w:ascii="Times New Roman" w:hAnsi="Times New Roman"/>
          <w:color w:val="000000"/>
          <w:sz w:val="20"/>
        </w:rPr>
        <w:t xml:space="preserve"> </w:t>
      </w:r>
      <w:r>
        <w:rPr>
          <w:rFonts w:ascii="Times New Roman" w:hAnsi="Times New Roman"/>
          <w:color w:val="000000"/>
          <w:sz w:val="22"/>
          <w:u w:val="single"/>
        </w:rPr>
        <w:t>Attachment; Levy; Restraint on Business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 The service of process seeking to attach, by trustee or similar process, any funds of any Loan Party or any of its Subsidiaries in excess of [* * *] Dollars ($[* * *]), or (ii) a notice of lien or levy is filed against any of any Loan Party’s or any of its Subsidiaries’ assets by any Governmental Authority, and the same under subclauses (i) and (ii) hereof are not, within thirty (30) days after the occurrence thereof, discharged or stayed (whether through the posting of a bond or otherwise); provided, however, no Advances shall be made during any thirty (30) day cure period;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 any material portion of any Loan Party’s or any of its Subsidiaries’ assets is attached, seized, levied on, or comes into possession of a trustee or receiver, or (ii) any court order enjoins, restrains, or prevents any Loan Party from conducting all or any material part of its business; or</w:t>
      </w:r>
    </w:p>
    <w:p>
      <w:pPr>
        <w:pStyle w:val="TextBody"/>
        <w:bidi w:val="0"/>
        <w:spacing w:before="0" w:after="240"/>
        <w:jc w:val="both"/>
        <w:rPr>
          <w:rFonts w:ascii="Times New Roman" w:hAnsi="Times New Roman"/>
          <w:sz w:val="20"/>
        </w:rPr>
      </w:pPr>
      <w:r>
        <w:rPr>
          <w:rFonts w:ascii="Times New Roman" w:hAnsi="Times New Roman"/>
          <w:color w:val="000000"/>
          <w:sz w:val="22"/>
        </w:rPr>
        <w:t>9.8</w:t>
      </w:r>
      <w:r>
        <w:rPr>
          <w:rFonts w:ascii="Times New Roman" w:hAnsi="Times New Roman"/>
          <w:color w:val="000000"/>
          <w:sz w:val="20"/>
        </w:rPr>
        <w:t xml:space="preserve"> </w:t>
      </w:r>
      <w:r>
        <w:rPr>
          <w:rFonts w:ascii="Times New Roman" w:hAnsi="Times New Roman"/>
          <w:color w:val="000000"/>
          <w:sz w:val="22"/>
          <w:u w:val="single"/>
        </w:rPr>
        <w:t>Other Obligations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occurrence of any default under (i) any agreement or obligation of a Loan Party involving any Indebtedness in excess of [* * *] Dollars ($[* * *]) or (ii) any Material Agreement (other than the Material License);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early payment by the Company is required or unwinding or early termination occurs with respect to any Permitted Bond Hedge Transaction and Permitted Warrant Transaction, or any condition giving rise to the foregoing is met, in each case, with respect to which the Company or any of its Subsidiary has a net cash payment obligation owing to the counterparty thereunder (after giving effect to any netting, set-off or payment received by the Company from such counterparty under the Permitted Bond Hedge Transaction or Permitted Warrant Transaction, as applicable); or</w:t>
      </w:r>
    </w:p>
    <w:p>
      <w:pPr>
        <w:pStyle w:val="TextBody"/>
        <w:bidi w:val="0"/>
        <w:spacing w:before="0" w:after="240"/>
        <w:jc w:val="both"/>
        <w:rPr>
          <w:rFonts w:ascii="Times New Roman" w:hAnsi="Times New Roman"/>
          <w:sz w:val="20"/>
        </w:rPr>
      </w:pPr>
      <w:r>
        <w:rPr>
          <w:rFonts w:ascii="Times New Roman" w:hAnsi="Times New Roman"/>
          <w:color w:val="000000"/>
          <w:sz w:val="22"/>
        </w:rPr>
        <w:t>9.9</w:t>
      </w:r>
      <w:r>
        <w:rPr>
          <w:rFonts w:ascii="Times New Roman" w:hAnsi="Times New Roman"/>
          <w:color w:val="000000"/>
          <w:sz w:val="20"/>
        </w:rPr>
        <w:t xml:space="preserve"> </w:t>
      </w:r>
      <w:r>
        <w:rPr>
          <w:rFonts w:ascii="Times New Roman" w:hAnsi="Times New Roman"/>
          <w:color w:val="000000"/>
          <w:sz w:val="22"/>
          <w:u w:val="single"/>
        </w:rPr>
        <w:t>Governmental Approvals; FDA Action</w:t>
      </w:r>
      <w:r>
        <w:rPr>
          <w:rFonts w:ascii="Times New Roman" w:hAnsi="Times New Roman"/>
          <w:color w:val="000000"/>
          <w:sz w:val="22"/>
        </w:rPr>
        <w:t>. (a) Any Governmental Approval shall have been revoked, rescinded, suspended, modified in an adverse manner, or not renewed in the ordinary course for a full term and such revocation, rescission, suspension, modification or non-renewal has resulted in or could reasonably be expected to result in a Material Adverse Effect;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and such action could reasonably be expected to result in a Material Adverse Effect; (ii) the FDA or any other comparable Governmental Authority issues a warning letter to Borrower or any of its Subsidiaries with respect to any of its activities or products which could reasonably be expected to result in a Material Adverse Effect; (iii) Borrower or any of its Subsidiaries conducts a mandatory or voluntary recall which could reasonably be expected to result in a Material Adverse Effect; (iv) Borrower or any of its Subsidiaries enters into a settlement agreement with the FDA, DOJ or other Governmental Authority that results in aggregate liability as to any single or related series of transactions, incidents or conditions, of [* * *] Dollars ($[* * *]) or more, or that could reasonably be expected to result in a Material Adverse Effect, even if such settlement agreement is based on previously disclosed conduct; (v) the FDA or any other comparable Governmental Authority revokes any authorization or permission granted under any Registration, or Borrower or any of its Subsidiaries withdraws any Registration, that could reasonably be expected to result in a Material Adverse Effect; (vi) there occurs any adverse event or adverse drug reaction in connection with any Borrower Product which could reasonably be expected to result in a Material Adverse Effect; or (vii) any Borrower Product is determined by the FDA or any other Governmental Authority to be adulterated or misbranded within the meaning of the Federal Food, Drug and Cosmetic Act in any material respect, or any Borrower Product becomes an article prohibited from introduction into interstate commerce under Section 505 of the Federal Food, Drug and Cosmetic Act, in either case where such determination or event could reasonably be expected to have a Material Adverse Effect;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9.10</w:t>
      </w:r>
      <w:r>
        <w:rPr>
          <w:rFonts w:ascii="Times New Roman" w:hAnsi="Times New Roman"/>
          <w:color w:val="000000"/>
          <w:sz w:val="20"/>
        </w:rPr>
        <w:t xml:space="preserve"> </w:t>
      </w:r>
      <w:r>
        <w:rPr>
          <w:rFonts w:ascii="Times New Roman" w:hAnsi="Times New Roman"/>
          <w:color w:val="000000"/>
          <w:sz w:val="22"/>
          <w:u w:val="single"/>
        </w:rPr>
        <w:t>Stop Trade</w:t>
      </w:r>
      <w:r>
        <w:rPr>
          <w:rFonts w:ascii="Times New Roman" w:hAnsi="Times New Roman"/>
          <w:color w:val="000000"/>
          <w:sz w:val="22"/>
        </w:rPr>
        <w:t>.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10. </w:t>
      </w:r>
      <w:r>
        <w:rPr>
          <w:rFonts w:ascii="Times New Roman" w:hAnsi="Times New Roman"/>
          <w:b/>
          <w:caps/>
          <w:color w:val="000000"/>
          <w:sz w:val="22"/>
          <w:u w:val="single"/>
        </w:rPr>
        <w:t>REMEDIES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10.1</w:t>
      </w:r>
      <w:r>
        <w:rPr>
          <w:rFonts w:ascii="Times New Roman" w:hAnsi="Times New Roman"/>
          <w:color w:val="000000"/>
          <w:sz w:val="20"/>
        </w:rPr>
        <w:t xml:space="preserve"> </w:t>
      </w:r>
      <w:r>
        <w:rPr>
          <w:rFonts w:ascii="Times New Roman" w:hAnsi="Times New Roman"/>
          <w:color w:val="000000"/>
          <w:sz w:val="22"/>
          <w:u w:val="single"/>
        </w:rPr>
        <w:t>General</w:t>
      </w:r>
      <w:r>
        <w:rPr>
          <w:rFonts w:ascii="Times New Roman" w:hAnsi="Times New Roman"/>
          <w:color w:val="000000"/>
          <w:sz w:val="22"/>
        </w:rPr>
        <w:t xml:space="preserve">. Upon the occurrence and during the continuation of any one or more Events of Default, Agent may, and at the direction of the Required Lenders shall, accelerate and demand payment of all or any part of the outstanding Secured Obligations together with a Prepayment Charge and declare them to be immediately due and payable (provided, that upon the occurrence of an Event of Default of the type described in </w:t>
      </w:r>
      <w:r>
        <w:rPr>
          <w:rFonts w:ascii="Times New Roman" w:hAnsi="Times New Roman"/>
          <w:color w:val="000000"/>
          <w:sz w:val="22"/>
          <w:u w:val="single"/>
        </w:rPr>
        <w:t>Section 9.5</w:t>
      </w:r>
      <w:r>
        <w:rPr>
          <w:rFonts w:ascii="Times New Roman" w:hAnsi="Times New Roman"/>
          <w:color w:val="000000"/>
          <w:sz w:val="22"/>
        </w:rPr>
        <w:t>,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inchoate indemnity obligations which, by their terms survive termination of this Agreement) have been satisfied in full and the Loan Documents have been terminated. Agent’s foregoing appointment as Borrower’s attorney in fact, and all of Agent’s rights and powers, coupled with an interest, are irrevocable until all Secured Obligations (other than inchoate indemnity obligations which, by their terms, survive termination of this Agreement)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rFonts w:ascii="Times New Roman" w:hAnsi="Times New Roman"/>
          <w:sz w:val="20"/>
        </w:rPr>
      </w:pPr>
      <w:r>
        <w:rPr>
          <w:rFonts w:ascii="Times New Roman" w:hAnsi="Times New Roman"/>
          <w:color w:val="000000"/>
          <w:sz w:val="22"/>
        </w:rPr>
        <w:t>10.2</w:t>
      </w:r>
      <w:r>
        <w:rPr>
          <w:rFonts w:ascii="Times New Roman" w:hAnsi="Times New Roman"/>
          <w:color w:val="000000"/>
          <w:sz w:val="20"/>
        </w:rPr>
        <w:t xml:space="preserve"> </w:t>
      </w:r>
      <w:r>
        <w:rPr>
          <w:rFonts w:ascii="Times New Roman" w:hAnsi="Times New Roman"/>
          <w:color w:val="000000"/>
          <w:sz w:val="22"/>
          <w:u w:val="single"/>
        </w:rPr>
        <w:t>Collection; Foreclosure</w:t>
      </w:r>
      <w:r>
        <w:rPr>
          <w:rFonts w:ascii="Times New Roman" w:hAnsi="Times New Roman"/>
          <w:color w:val="000000"/>
          <w:sz w:val="22"/>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pStyle w:val="TextBody"/>
        <w:bidi w:val="0"/>
        <w:spacing w:before="0" w:after="120"/>
        <w:jc w:val="both"/>
        <w:rPr>
          <w:rFonts w:ascii="Times New Roman" w:hAnsi="Times New Roman"/>
          <w:sz w:val="20"/>
        </w:rPr>
      </w:pPr>
      <w:r>
        <w:rPr>
          <w:rFonts w:ascii="Times New Roman" w:hAnsi="Times New Roman"/>
          <w:i/>
          <w:color w:val="000000"/>
          <w:sz w:val="22"/>
        </w:rPr>
        <w:t>First</w:t>
      </w:r>
      <w:r>
        <w:rPr>
          <w:rFonts w:ascii="Times New Roman" w:hAnsi="Times New Roman"/>
          <w:color w:val="000000"/>
          <w:sz w:val="22"/>
        </w:rPr>
        <w:t>, to Agent, in an amount equal to the sum of all fees owing to Agent hereunder and under any other Loan Document;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2"/>
        </w:rPr>
        <w:t>Second</w:t>
      </w:r>
      <w:r>
        <w:rPr>
          <w:rFonts w:ascii="Times New Roman" w:hAnsi="Times New Roman"/>
          <w:color w:val="000000"/>
          <w:sz w:val="22"/>
        </w:rPr>
        <w:t xml:space="preserve">, to Agent and Lenders in an amount sufficient to pay in full Agent’s and Lenders’ reasonable and documented costs and professionals’ and advisors’ fees and expenses as described in </w:t>
      </w:r>
      <w:r>
        <w:rPr>
          <w:rFonts w:ascii="Times New Roman" w:hAnsi="Times New Roman"/>
          <w:color w:val="000000"/>
          <w:sz w:val="22"/>
          <w:u w:val="single"/>
        </w:rPr>
        <w:t>Section 11.12</w:t>
      </w:r>
      <w:r>
        <w:rPr>
          <w:rFonts w:ascii="Times New Roman" w:hAnsi="Times New Roman"/>
          <w:color w:val="000000"/>
          <w:sz w:val="22"/>
        </w:rPr>
        <w:t>;</w:t>
      </w:r>
    </w:p>
    <w:p>
      <w:pPr>
        <w:pStyle w:val="TextBody"/>
        <w:bidi w:val="0"/>
        <w:spacing w:before="0" w:after="120"/>
        <w:jc w:val="both"/>
        <w:rPr>
          <w:rFonts w:ascii="Times New Roman" w:hAnsi="Times New Roman"/>
          <w:sz w:val="20"/>
        </w:rPr>
      </w:pPr>
      <w:r>
        <w:rPr>
          <w:rFonts w:ascii="Times New Roman" w:hAnsi="Times New Roman"/>
          <w:i/>
          <w:color w:val="000000"/>
          <w:sz w:val="22"/>
        </w:rPr>
        <w:t>Third</w:t>
      </w:r>
      <w:r>
        <w:rPr>
          <w:rFonts w:ascii="Times New Roman" w:hAnsi="Times New Roman"/>
          <w:color w:val="000000"/>
          <w:sz w:val="22"/>
        </w:rPr>
        <w:t>, to Lenders, ratably, in an amount equal to the sum of all accrued interest owing to Lenders on the Term Loan Advances hereunder;</w:t>
      </w:r>
    </w:p>
    <w:p>
      <w:pPr>
        <w:pStyle w:val="TextBody"/>
        <w:bidi w:val="0"/>
        <w:spacing w:before="0" w:after="120"/>
        <w:jc w:val="both"/>
        <w:rPr>
          <w:rFonts w:ascii="Times New Roman" w:hAnsi="Times New Roman"/>
          <w:sz w:val="20"/>
        </w:rPr>
      </w:pPr>
      <w:r>
        <w:rPr>
          <w:rFonts w:ascii="Times New Roman" w:hAnsi="Times New Roman"/>
          <w:i/>
          <w:color w:val="000000"/>
          <w:sz w:val="22"/>
        </w:rPr>
        <w:t>Fourth</w:t>
      </w:r>
      <w:r>
        <w:rPr>
          <w:rFonts w:ascii="Times New Roman" w:hAnsi="Times New Roman"/>
          <w:color w:val="000000"/>
          <w:sz w:val="22"/>
        </w:rPr>
        <w:t>, to Lenders, ratably, in an amount equal to the sum of the outstanding principal and premium, if any owing to Lenders from Borrower on the Term Loan Advances hereunder;</w:t>
      </w:r>
    </w:p>
    <w:p>
      <w:pPr>
        <w:pStyle w:val="TextBody"/>
        <w:bidi w:val="0"/>
        <w:spacing w:before="0" w:after="120"/>
        <w:jc w:val="both"/>
        <w:rPr>
          <w:rFonts w:ascii="Times New Roman" w:hAnsi="Times New Roman"/>
          <w:sz w:val="20"/>
        </w:rPr>
      </w:pPr>
      <w:r>
        <w:rPr>
          <w:rFonts w:ascii="Times New Roman" w:hAnsi="Times New Roman"/>
          <w:i/>
          <w:color w:val="000000"/>
          <w:sz w:val="22"/>
        </w:rPr>
        <w:t>Fifth</w:t>
      </w:r>
      <w:r>
        <w:rPr>
          <w:rFonts w:ascii="Times New Roman" w:hAnsi="Times New Roman"/>
          <w:color w:val="000000"/>
          <w:sz w:val="22"/>
        </w:rPr>
        <w:t xml:space="preserve">, to Lenders and Agent, ratably (in proportion to all remaining Secured Obligations owing to each), in an amount equal to the sum of all other outstanding and unpaid Secured Obligations (including principal, interest, and the default rate interest set forth in </w:t>
      </w:r>
      <w:r>
        <w:rPr>
          <w:rFonts w:ascii="Times New Roman" w:hAnsi="Times New Roman"/>
          <w:color w:val="000000"/>
          <w:sz w:val="22"/>
          <w:u w:val="single"/>
        </w:rPr>
        <w:t>Section 2.4</w:t>
      </w:r>
      <w:r>
        <w:rPr>
          <w:rFonts w:ascii="Times New Roman" w:hAnsi="Times New Roman"/>
          <w:color w:val="000000"/>
          <w:sz w:val="22"/>
        </w:rPr>
        <w:t>, if required under this Agreement), in such order and priority as Agent may choose in its sole discretion; and</w:t>
      </w:r>
    </w:p>
    <w:p>
      <w:pPr>
        <w:pStyle w:val="TextBody"/>
        <w:bidi w:val="0"/>
        <w:spacing w:before="0" w:after="120"/>
        <w:jc w:val="both"/>
        <w:rPr>
          <w:rFonts w:ascii="Times New Roman" w:hAnsi="Times New Roman"/>
          <w:sz w:val="20"/>
        </w:rPr>
      </w:pPr>
      <w:r>
        <w:rPr>
          <w:rFonts w:ascii="Times New Roman" w:hAnsi="Times New Roman"/>
          <w:i/>
          <w:color w:val="000000"/>
          <w:sz w:val="22"/>
        </w:rPr>
        <w:t>Finally</w:t>
      </w:r>
      <w:r>
        <w:rPr>
          <w:rFonts w:ascii="Times New Roman" w:hAnsi="Times New Roman"/>
          <w:color w:val="000000"/>
          <w:sz w:val="22"/>
        </w:rPr>
        <w:t>, after the full and final payment in Cash of all of the Secured Obligations (other than inchoate obligations which, by their terms, survive termination of this Agreement), to any creditor holding a junior Lien on the Collateral, or to Borrower or its representatives or as a court of competent jurisdiction may direct.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rFonts w:ascii="Times New Roman" w:hAnsi="Times New Roman"/>
          <w:sz w:val="20"/>
        </w:rPr>
      </w:pPr>
      <w:r>
        <w:rPr>
          <w:rFonts w:ascii="Times New Roman" w:hAnsi="Times New Roman"/>
          <w:color w:val="000000"/>
          <w:sz w:val="22"/>
        </w:rPr>
        <w:t>10.3</w:t>
      </w:r>
      <w:r>
        <w:rPr>
          <w:rFonts w:ascii="Times New Roman" w:hAnsi="Times New Roman"/>
          <w:color w:val="000000"/>
          <w:sz w:val="20"/>
        </w:rPr>
        <w:t xml:space="preserve"> </w:t>
      </w:r>
      <w:r>
        <w:rPr>
          <w:rFonts w:ascii="Times New Roman" w:hAnsi="Times New Roman"/>
          <w:color w:val="000000"/>
          <w:sz w:val="22"/>
          <w:u w:val="single"/>
        </w:rPr>
        <w:t>No Waiver</w:t>
      </w:r>
      <w:r>
        <w:rPr>
          <w:rFonts w:ascii="Times New Roman" w:hAnsi="Times New Roman"/>
          <w:color w:val="000000"/>
          <w:sz w:val="22"/>
        </w:rPr>
        <w:t>. Agent shall be under no obligation to marshal any of the Collateral for the benefit of Borrower or any other Person, and Borrower expressly waives all rights, if any, to require Agent to marshal any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10.4</w:t>
      </w:r>
      <w:r>
        <w:rPr>
          <w:rFonts w:ascii="Times New Roman" w:hAnsi="Times New Roman"/>
          <w:color w:val="000000"/>
          <w:sz w:val="20"/>
        </w:rPr>
        <w:t xml:space="preserve"> </w:t>
      </w:r>
      <w:r>
        <w:rPr>
          <w:rFonts w:ascii="Times New Roman" w:hAnsi="Times New Roman"/>
          <w:color w:val="000000"/>
          <w:sz w:val="22"/>
          <w:u w:val="single"/>
        </w:rPr>
        <w:t>Waivers</w:t>
      </w:r>
      <w:r>
        <w:rPr>
          <w:rFonts w:ascii="Times New Roman" w:hAnsi="Times New Roman"/>
          <w:color w:val="000000"/>
          <w:sz w:val="22"/>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pStyle w:val="TextBody"/>
        <w:bidi w:val="0"/>
        <w:spacing w:before="0" w:after="240"/>
        <w:jc w:val="both"/>
        <w:rPr>
          <w:rFonts w:ascii="Times New Roman" w:hAnsi="Times New Roman"/>
          <w:sz w:val="20"/>
        </w:rPr>
      </w:pPr>
      <w:r>
        <w:rPr>
          <w:rFonts w:ascii="Times New Roman" w:hAnsi="Times New Roman"/>
          <w:color w:val="000000"/>
          <w:sz w:val="22"/>
        </w:rPr>
        <w:t>10.5</w:t>
      </w:r>
      <w:r>
        <w:rPr>
          <w:rFonts w:ascii="Times New Roman" w:hAnsi="Times New Roman"/>
          <w:color w:val="000000"/>
          <w:sz w:val="20"/>
        </w:rPr>
        <w:t xml:space="preserve"> </w:t>
      </w:r>
      <w:r>
        <w:rPr>
          <w:rFonts w:ascii="Times New Roman" w:hAnsi="Times New Roman"/>
          <w:color w:val="000000"/>
          <w:sz w:val="22"/>
          <w:u w:val="single"/>
        </w:rPr>
        <w:t>Cumulative Remedies</w:t>
      </w:r>
      <w:r>
        <w:rPr>
          <w:rFonts w:ascii="Times New Roman" w:hAnsi="Times New Roman"/>
          <w:color w:val="000000"/>
          <w:sz w:val="22"/>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11. </w:t>
      </w:r>
      <w:r>
        <w:rPr>
          <w:rFonts w:ascii="Times New Roman" w:hAnsi="Times New Roman"/>
          <w:b/>
          <w:caps/>
          <w:color w:val="000000"/>
          <w:sz w:val="22"/>
          <w:u w:val="single"/>
        </w:rP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11.1</w:t>
      </w:r>
      <w:r>
        <w:rPr>
          <w:rFonts w:ascii="Times New Roman" w:hAnsi="Times New Roman"/>
          <w:color w:val="000000"/>
          <w:sz w:val="20"/>
        </w:rPr>
        <w:t xml:space="preserve"> </w:t>
      </w: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11.2</w:t>
      </w:r>
      <w:r>
        <w:rPr>
          <w:rFonts w:ascii="Times New Roman" w:hAnsi="Times New Roman"/>
          <w:color w:val="000000"/>
          <w:sz w:val="20"/>
        </w:rPr>
        <w:t xml:space="preserve"> </w:t>
      </w:r>
      <w:r>
        <w:rPr>
          <w:rFonts w:ascii="Times New Roman" w:hAnsi="Times New Roman"/>
          <w:color w:val="000000"/>
          <w:sz w:val="22"/>
          <w:u w:val="single"/>
        </w:rPr>
        <w:t>Notice</w:t>
      </w:r>
      <w:r>
        <w:rPr>
          <w:rFonts w:ascii="Times New Roman" w:hAnsi="Times New Roman"/>
          <w:color w:val="000000"/>
          <w:sz w:val="22"/>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(ii) the third calendar day after deposit in the United States of America mails, with proper first class postage prepaid, in each case addressed to the party to be notified as follows:</w:t>
      </w:r>
    </w:p>
    <w:p>
      <w:pPr>
        <w:pStyle w:val="TextBody"/>
        <w:bidi w:val="0"/>
        <w:spacing w:before="0" w:after="240"/>
        <w:jc w:val="left"/>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to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Chief Legal Officer; Lake McGuire; Cristy Barnes; Briana Gironda; and Zach Norris</w:t>
        <w:br/>
        <w:t>1 North B Street, Suite 2000</w:t>
        <w:br/>
        <w:t>San Mateo, CA 94401</w:t>
        <w:br/>
        <w:t xml:space="preserve">email: [* * *] </w:t>
        <w:br/>
        <w:t>Telephone: [* * *]</w:t>
      </w:r>
    </w:p>
    <w:p>
      <w:pPr>
        <w:pStyle w:val="TextBody"/>
        <w:bidi w:val="0"/>
        <w:spacing w:before="0" w:after="240"/>
        <w:jc w:val="left"/>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If to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Chief Legal Officer; Lake McGuire; Cristy Barnes; Briana Gironda; and Zach Norris</w:t>
        <w:br/>
        <w:t>1 North B Street, Suite 2000</w:t>
        <w:br/>
        <w:t>San Mateo, CA 94401</w:t>
        <w:br/>
        <w:t>email: [* * *]</w:t>
        <w:br/>
        <w:t>Telephone: [* * *]</w:t>
      </w:r>
    </w:p>
    <w:p>
      <w:pPr>
        <w:pStyle w:val="TextBody"/>
        <w:bidi w:val="0"/>
        <w:spacing w:before="0" w:after="240"/>
        <w:jc w:val="left"/>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If to Borrower:</w:t>
      </w:r>
    </w:p>
    <w:p>
      <w:pPr>
        <w:pStyle w:val="TextBody"/>
        <w:bidi w:val="0"/>
        <w:spacing w:before="0" w:after="240"/>
        <w:jc w:val="left"/>
        <w:rPr>
          <w:rFonts w:ascii="Times New Roman" w:hAnsi="Times New Roman"/>
          <w:sz w:val="20"/>
        </w:rPr>
      </w:pPr>
      <w:r>
        <w:rPr>
          <w:rFonts w:ascii="Times New Roman" w:hAnsi="Times New Roman"/>
          <w:color w:val="000000"/>
          <w:sz w:val="22"/>
        </w:rPr>
        <w:t>4D MOLECULAR THERAPEUTICS, INC.</w:t>
        <w:br/>
        <w:t>Attention: Kristian Humer, Chief Financial Officer</w:t>
        <w:br/>
        <w:t>5858 Horton St. Suite 455</w:t>
        <w:br/>
        <w:t>Emeryville, CA 94608</w:t>
        <w:br/>
        <w:t>email: [* * *]</w:t>
        <w:br/>
      </w:r>
      <w:r>
        <w:rPr>
          <w:rFonts w:ascii="Times New Roman" w:hAnsi="Times New Roman"/>
          <w:color w:val="000000"/>
          <w:sz w:val="20"/>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left"/>
        <w:rPr>
          <w:rFonts w:ascii="Times New Roman" w:hAnsi="Times New Roman"/>
          <w:sz w:val="20"/>
        </w:rPr>
      </w:pPr>
      <w:r>
        <w:rPr>
          <w:rFonts w:ascii="Times New Roman" w:hAnsi="Times New Roman"/>
          <w:color w:val="000000"/>
          <w:sz w:val="22"/>
        </w:rPr>
        <w:t>11.3</w:t>
      </w:r>
      <w:r>
        <w:rPr>
          <w:rFonts w:ascii="Times New Roman" w:hAnsi="Times New Roman"/>
          <w:color w:val="000000"/>
          <w:sz w:val="20"/>
        </w:rPr>
        <w:t xml:space="preserve"> </w:t>
      </w:r>
      <w:r>
        <w:rPr>
          <w:rFonts w:ascii="Times New Roman" w:hAnsi="Times New Roman"/>
          <w:color w:val="000000"/>
          <w:sz w:val="22"/>
          <w:u w:val="single"/>
        </w:rPr>
        <w:t>Entire Agreement; Amendments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May 1, 2026 and the Non-Disclosure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Neither this Agreement, any other Loan Document, nor any terms hereof or thereof may be amended, supplemented or modified except in accordance with the provisions of this </w:t>
      </w:r>
      <w:r>
        <w:rPr>
          <w:rFonts w:ascii="Times New Roman" w:hAnsi="Times New Roman"/>
          <w:color w:val="000000"/>
          <w:sz w:val="22"/>
          <w:u w:val="single"/>
        </w:rPr>
        <w:t>Section 11.3(b)</w:t>
      </w:r>
      <w:r>
        <w:rPr>
          <w:rFonts w:ascii="Times New Roman" w:hAnsi="Times New Roman"/>
          <w:color w:val="000000"/>
          <w:sz w:val="22"/>
        </w:rPr>
        <w:t>.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Times New Roman" w:hAnsi="Times New Roman"/>
          <w:color w:val="000000"/>
          <w:sz w:val="22"/>
          <w:u w:val="single"/>
        </w:rPr>
        <w:t>Section 11.3(b)</w:t>
      </w:r>
      <w:r>
        <w:rPr>
          <w:rFonts w:ascii="Times New Roman" w:hAnsi="Times New Roman"/>
          <w:color w:val="000000"/>
          <w:sz w:val="20"/>
        </w:rPr>
        <w:t xml:space="preserve"> </w:t>
      </w:r>
      <w:r>
        <w:rPr>
          <w:rFonts w:ascii="Times New Roman" w:hAnsi="Times New Roman"/>
          <w:color w:val="000000"/>
          <w:sz w:val="22"/>
        </w:rPr>
        <w:t xml:space="preserve">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Times New Roman" w:hAnsi="Times New Roman"/>
          <w:color w:val="000000"/>
          <w:sz w:val="22"/>
          <w:u w:val="single"/>
        </w:rPr>
        <w:t>Section 11.18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without the written consent of Agent. Any such waiver and any such amendment, supplement or modification shall apply equally to each Lender and shall be binding upon the applicable Loan Parties, Lenders, Agent and all future holders of the Loans.</w:t>
      </w:r>
    </w:p>
    <w:p>
      <w:pPr>
        <w:pStyle w:val="TextBody"/>
        <w:bidi w:val="0"/>
        <w:spacing w:before="0" w:after="240"/>
        <w:jc w:val="both"/>
        <w:rPr>
          <w:rFonts w:ascii="Times New Roman" w:hAnsi="Times New Roman"/>
          <w:sz w:val="20"/>
        </w:rPr>
      </w:pPr>
      <w:r>
        <w:rPr>
          <w:rFonts w:ascii="Times New Roman" w:hAnsi="Times New Roman"/>
          <w:color w:val="000000"/>
          <w:sz w:val="22"/>
        </w:rPr>
        <w:t>11.4</w:t>
      </w:r>
      <w:r>
        <w:rPr>
          <w:rFonts w:ascii="Times New Roman" w:hAnsi="Times New Roman"/>
          <w:color w:val="000000"/>
          <w:sz w:val="20"/>
        </w:rPr>
        <w:t xml:space="preserve"> </w:t>
      </w: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11.5</w:t>
      </w:r>
      <w:r>
        <w:rPr>
          <w:rFonts w:ascii="Times New Roman" w:hAnsi="Times New Roman"/>
          <w:color w:val="000000"/>
          <w:sz w:val="20"/>
        </w:rPr>
        <w:t xml:space="preserve"> </w:t>
      </w:r>
      <w:r>
        <w:rPr>
          <w:rFonts w:ascii="Times New Roman" w:hAnsi="Times New Roman"/>
          <w:color w:val="000000"/>
          <w:sz w:val="22"/>
          <w:u w:val="single"/>
        </w:rPr>
        <w:t>No Waiver</w:t>
      </w:r>
      <w:r>
        <w:rPr>
          <w:rFonts w:ascii="Times New Roman" w:hAnsi="Times New Roman"/>
          <w:color w:val="000000"/>
          <w:sz w:val="22"/>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are entitled, nor shall it in any way affect the right of Agent or Lenders to enforce such provisions thereafter.</w:t>
      </w:r>
    </w:p>
    <w:p>
      <w:pPr>
        <w:pStyle w:val="TextBody"/>
        <w:bidi w:val="0"/>
        <w:spacing w:before="0" w:after="240"/>
        <w:jc w:val="both"/>
        <w:rPr>
          <w:rFonts w:ascii="Times New Roman" w:hAnsi="Times New Roman"/>
          <w:sz w:val="20"/>
        </w:rPr>
      </w:pPr>
      <w:r>
        <w:rPr>
          <w:rFonts w:ascii="Times New Roman" w:hAnsi="Times New Roman"/>
          <w:color w:val="000000"/>
          <w:sz w:val="22"/>
        </w:rPr>
        <w:t>11.6</w:t>
      </w:r>
      <w:r>
        <w:rPr>
          <w:rFonts w:ascii="Times New Roman" w:hAnsi="Times New Roman"/>
          <w:color w:val="000000"/>
          <w:sz w:val="20"/>
        </w:rPr>
        <w:t xml:space="preserve"> </w:t>
      </w:r>
      <w:r>
        <w:rPr>
          <w:rFonts w:ascii="Times New Roman" w:hAnsi="Times New Roman"/>
          <w:color w:val="000000"/>
          <w:sz w:val="22"/>
          <w:u w:val="single"/>
        </w:rPr>
        <w:t>Survival</w:t>
      </w:r>
      <w:r>
        <w:rPr>
          <w:rFonts w:ascii="Times New Roman" w:hAnsi="Times New Roman"/>
          <w:color w:val="000000"/>
          <w:sz w:val="22"/>
        </w:rPr>
        <w:t xml:space="preserve">. All agreements, representations and warranties contained in this Agreement and the other Loan Documents or in any document delivered pursuant hereto or thereto shall be for the benefit of Agent and Lenders and shall survive the execution and delivery of this Agreement. </w:t>
      </w:r>
      <w:r>
        <w:rPr>
          <w:rFonts w:ascii="Times New Roman" w:hAnsi="Times New Roman"/>
          <w:color w:val="000000"/>
          <w:sz w:val="22"/>
          <w:u w:val="single"/>
        </w:rPr>
        <w:t>Sections 6.3</w:t>
      </w:r>
      <w:r>
        <w:rPr>
          <w:rFonts w:ascii="Times New Roman" w:hAnsi="Times New Roman"/>
          <w:color w:val="000000"/>
          <w:sz w:val="22"/>
        </w:rPr>
        <w:t xml:space="preserve">, </w:t>
      </w:r>
      <w:r>
        <w:rPr>
          <w:rFonts w:ascii="Times New Roman" w:hAnsi="Times New Roman"/>
          <w:color w:val="000000"/>
          <w:sz w:val="22"/>
          <w:u w:val="single"/>
        </w:rPr>
        <w:t>11.9</w:t>
      </w:r>
      <w:r>
        <w:rPr>
          <w:rFonts w:ascii="Times New Roman" w:hAnsi="Times New Roman"/>
          <w:color w:val="000000"/>
          <w:sz w:val="22"/>
        </w:rPr>
        <w:t xml:space="preserve">, </w:t>
      </w:r>
      <w:r>
        <w:rPr>
          <w:rFonts w:ascii="Times New Roman" w:hAnsi="Times New Roman"/>
          <w:color w:val="000000"/>
          <w:sz w:val="22"/>
          <w:u w:val="single"/>
        </w:rPr>
        <w:t>11.11</w:t>
      </w:r>
      <w:r>
        <w:rPr>
          <w:rFonts w:ascii="Times New Roman" w:hAnsi="Times New Roman"/>
          <w:color w:val="000000"/>
          <w:sz w:val="22"/>
        </w:rPr>
        <w:t xml:space="preserve">, </w:t>
      </w:r>
      <w:r>
        <w:rPr>
          <w:rFonts w:ascii="Times New Roman" w:hAnsi="Times New Roman"/>
          <w:color w:val="000000"/>
          <w:sz w:val="22"/>
          <w:u w:val="single"/>
        </w:rPr>
        <w:t>11.14</w:t>
      </w:r>
      <w:r>
        <w:rPr>
          <w:rFonts w:ascii="Times New Roman" w:hAnsi="Times New Roman"/>
          <w:color w:val="000000"/>
          <w:sz w:val="22"/>
        </w:rPr>
        <w:t xml:space="preserve">, </w:t>
      </w:r>
      <w:r>
        <w:rPr>
          <w:rFonts w:ascii="Times New Roman" w:hAnsi="Times New Roman"/>
          <w:color w:val="000000"/>
          <w:sz w:val="22"/>
          <w:u w:val="single"/>
        </w:rPr>
        <w:t>11.15</w:t>
      </w:r>
      <w:r>
        <w:rPr>
          <w:rFonts w:ascii="Times New Roman" w:hAnsi="Times New Roman"/>
          <w:color w:val="000000"/>
          <w:sz w:val="22"/>
        </w:rPr>
        <w:t xml:space="preserve">, </w:t>
      </w:r>
      <w:r>
        <w:rPr>
          <w:rFonts w:ascii="Times New Roman" w:hAnsi="Times New Roman"/>
          <w:color w:val="000000"/>
          <w:sz w:val="22"/>
          <w:u w:val="single"/>
        </w:rPr>
        <w:t>11.17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11.18</w:t>
      </w:r>
      <w:r>
        <w:rPr>
          <w:rFonts w:ascii="Times New Roman" w:hAnsi="Times New Roman"/>
          <w:color w:val="000000"/>
          <w:sz w:val="20"/>
        </w:rPr>
        <w:t xml:space="preserve"> </w:t>
      </w:r>
      <w:r>
        <w:rPr>
          <w:rFonts w:ascii="Times New Roman" w:hAnsi="Times New Roman"/>
          <w:color w:val="000000"/>
          <w:sz w:val="22"/>
        </w:rPr>
        <w:t>shall survive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11.7</w:t>
      </w:r>
      <w:r>
        <w:rPr>
          <w:rFonts w:ascii="Times New Roman" w:hAnsi="Times New Roman"/>
          <w:color w:val="000000"/>
          <w:sz w:val="20"/>
        </w:rPr>
        <w:t xml:space="preserve"> </w:t>
      </w:r>
      <w:r>
        <w:rPr>
          <w:rFonts w:ascii="Times New Roman" w:hAnsi="Times New Roman"/>
          <w:color w:val="000000"/>
          <w:sz w:val="22"/>
          <w:u w:val="single"/>
        </w:rPr>
        <w:t>Successors and Assigns</w:t>
      </w:r>
      <w:r>
        <w:rPr>
          <w:rFonts w:ascii="Times New Roman" w:hAnsi="Times New Roman"/>
          <w:color w:val="000000"/>
          <w:sz w:val="22"/>
        </w:rPr>
        <w:t>.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Lenders may assign, transfer or endorse its rights hereunder and under the other Loan Documents to any Person or party and (y) in connection with a Lender’s own financing or securitization transactions, the restrictions set forth herein shall not apply and Agent and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w:t>
      </w:r>
      <w:r>
        <w:rPr>
          <w:rFonts w:ascii="Times New Roman" w:hAnsi="Times New Roman"/>
          <w:color w:val="000000"/>
          <w:sz w:val="22"/>
          <w:u w:val="single"/>
        </w:rPr>
        <w:t>clause (y)</w:t>
      </w:r>
      <w:r>
        <w:rPr>
          <w:rFonts w:ascii="Times New Roman" w:hAnsi="Times New Roman"/>
          <w:color w:val="000000"/>
          <w:sz w:val="20"/>
        </w:rPr>
        <w:t xml:space="preserve"> </w:t>
      </w:r>
      <w:r>
        <w:rPr>
          <w:rFonts w:ascii="Times New Roman" w:hAnsi="Times New Roman"/>
          <w:color w:val="000000"/>
          <w:sz w:val="22"/>
        </w:rPr>
        <w:t>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a register for the recordation of the names and addresses of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2"/>
        </w:rPr>
        <w:t>11.8</w:t>
      </w:r>
      <w:r>
        <w:rPr>
          <w:rFonts w:ascii="Times New Roman" w:hAnsi="Times New Roman"/>
          <w:color w:val="000000"/>
          <w:sz w:val="20"/>
        </w:rPr>
        <w:t xml:space="preserve"> </w:t>
      </w:r>
      <w:r>
        <w:rPr>
          <w:rFonts w:ascii="Times New Roman" w:hAnsi="Times New Roman"/>
          <w:color w:val="000000"/>
          <w:sz w:val="22"/>
          <w:u w:val="single"/>
        </w:rPr>
        <w:t>Participations</w:t>
      </w:r>
      <w:r>
        <w:rPr>
          <w:rFonts w:ascii="Times New Roman" w:hAnsi="Times New Roman"/>
          <w:color w:val="000000"/>
          <w:sz w:val="22"/>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(subject to the requirements and limitations therein, including the requirements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(it being understood that the documentation required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shall be delivered to the participating Lender)) to the same extent as if it were a Lender and had acquired its interest by assignment pursuant to </w:t>
      </w:r>
      <w:r>
        <w:rPr>
          <w:rFonts w:ascii="Times New Roman" w:hAnsi="Times New Roman"/>
          <w:color w:val="000000"/>
          <w:sz w:val="22"/>
          <w:u w:val="single"/>
        </w:rPr>
        <w:t>Section 11.7</w:t>
      </w:r>
      <w:r>
        <w:rPr>
          <w:rFonts w:ascii="Times New Roman" w:hAnsi="Times New Roman"/>
          <w:color w:val="000000"/>
          <w:sz w:val="22"/>
        </w:rPr>
        <w:t>;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240"/>
        <w:jc w:val="both"/>
        <w:rPr>
          <w:rFonts w:ascii="Times New Roman" w:hAnsi="Times New Roman"/>
          <w:sz w:val="20"/>
        </w:rPr>
      </w:pPr>
      <w:r>
        <w:rPr>
          <w:rFonts w:ascii="Times New Roman" w:hAnsi="Times New Roman"/>
          <w:color w:val="000000"/>
          <w:sz w:val="22"/>
        </w:rPr>
        <w:t>11.9</w:t>
      </w:r>
      <w:r>
        <w:rPr>
          <w:rFonts w:ascii="Times New Roman" w:hAnsi="Times New Roman"/>
          <w:color w:val="000000"/>
          <w:sz w:val="20"/>
        </w:rPr>
        <w:t xml:space="preserve"> </w:t>
      </w:r>
      <w:r>
        <w:rPr>
          <w:rFonts w:ascii="Times New Roman" w:hAnsi="Times New Roman"/>
          <w:color w:val="000000"/>
          <w:sz w:val="22"/>
          <w:u w:val="single"/>
        </w:rPr>
        <w:t>Governing Law</w:t>
      </w:r>
      <w:r>
        <w:rPr>
          <w:rFonts w:ascii="Times New Roman" w:hAnsi="Times New Roman"/>
          <w:color w:val="000000"/>
          <w:sz w:val="22"/>
        </w:rPr>
        <w:t>. Except as otherwise provided in any of the Loan Documents, this Agreement and the other Loan Documents, and all disputes, claims or defenses (whether sounding</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contract, tort, law, equity or otherwise) based on, arising out of, or related to this Agreement, the other Loan Documents, the relationship of the parties created or the transactions contemplated hereby and thereby, shall be governed by, and construed and enforced in accordance with, the internal laws of the State of New York without regard to principles of conflicts of law or any other principle calling for the application of the law, or statutes of limitation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11.10</w:t>
      </w:r>
      <w:r>
        <w:rPr>
          <w:rFonts w:ascii="Times New Roman" w:hAnsi="Times New Roman"/>
          <w:color w:val="000000"/>
          <w:sz w:val="20"/>
        </w:rPr>
        <w:t xml:space="preserve"> </w:t>
      </w:r>
      <w:r>
        <w:rPr>
          <w:rFonts w:ascii="Times New Roman" w:hAnsi="Times New Roman"/>
          <w:color w:val="000000"/>
          <w:sz w:val="22"/>
          <w:u w:val="single"/>
        </w:rPr>
        <w:t>Consent to Jurisdiction and Venue</w:t>
      </w:r>
      <w:r>
        <w:rPr>
          <w:rFonts w:ascii="Times New Roman" w:hAnsi="Times New Roman"/>
          <w:color w:val="000000"/>
          <w:sz w:val="22"/>
        </w:rPr>
        <w:t xml:space="preserve">. Each party hereto irrevocably and unconditionally agrees that it will not commence any action or proceeding of any kind, whether in law or equity, and whether sounding in contract, tort or otherwise, against Agent, any Lender or any Related Person related to this Agreement, the other Loan Documents or the relationship of the parties hereto or thereto, or the transactions contemplated hereby or thereby, in any forum other than the courts of the State of New York sitting in New York County, and of the United States District Court for the Southern District of New York sitting in New York County, and any appellate court from any of the foregoing. By execution and delivery of this Agreement, each party hereto irrevocably and unconditionally: (a) submits to the jurisdiction of such courts and agrees that all claims in respect of any such action or proceeding may be heard and determined in such New York State court or, to the fullest extent permitted by applicable law, in such federal court; (b) waives, to the fullest extent permitted by applicable law, any objection it may now or hereafter have to the laying of venue of any action, litigation or proceeding described above in the courts specified in this </w:t>
      </w:r>
      <w:r>
        <w:rPr>
          <w:rFonts w:ascii="Times New Roman" w:hAnsi="Times New Roman"/>
          <w:color w:val="000000"/>
          <w:sz w:val="22"/>
          <w:u w:val="single"/>
        </w:rPr>
        <w:t>Section 11.10</w:t>
      </w:r>
      <w:r>
        <w:rPr>
          <w:rFonts w:ascii="Times New Roman" w:hAnsi="Times New Roman"/>
          <w:color w:val="000000"/>
          <w:sz w:val="22"/>
        </w:rPr>
        <w:t xml:space="preserve">; (c) waives, to the fullest extent permitted by applicable law, and agrees not to assert, any defense of an inconvenient forum, or any defense based on a lack of jurisdiction, to the maintenance of such action or proceeding in any such court; and (d) agrees to be bound by any judgment rendered thereby related to this Agreement, the other Loan Documents or the relationship of the parties hereto or thereto, or the transactions contemplated hereby or thereby. Nothing in this Agreement or in any other Loan Document shall affect any right that the Agent or any Lender may otherwise have to bring any action, litigation or proceeding related to this Agreement or any other Loan Document against any Loan Party or its properties in the courts of any jurisdiction. Service of process on any party hereto in any action arising out of or relating to this Agreement and the other Loan Documents, and all disputes, claims or defenses (whether sounding in contract, tort, law, equity or otherwise) based on, arising out of, or related to this Agreement, the other Loan Documents, the relationship of the parties created or the transactions contemplated hereby and thereby, shall be effective if given in accordance with the requirements for notice set forth in </w:t>
      </w:r>
      <w:r>
        <w:rPr>
          <w:rFonts w:ascii="Times New Roman" w:hAnsi="Times New Roman"/>
          <w:color w:val="000000"/>
          <w:sz w:val="22"/>
          <w:u w:val="single"/>
        </w:rPr>
        <w:t>Section 11.2</w:t>
      </w:r>
      <w:r>
        <w:rPr>
          <w:rFonts w:ascii="Times New Roman" w:hAnsi="Times New Roman"/>
          <w:color w:val="000000"/>
          <w:sz w:val="22"/>
        </w:rPr>
        <w:t xml:space="preserve">, and shall be deemed effective and received as set forth in </w:t>
      </w:r>
      <w:r>
        <w:rPr>
          <w:rFonts w:ascii="Times New Roman" w:hAnsi="Times New Roman"/>
          <w:color w:val="000000"/>
          <w:sz w:val="22"/>
          <w:u w:val="single"/>
        </w:rPr>
        <w:t>Section 11.2</w:t>
      </w:r>
      <w:r>
        <w:rPr>
          <w:rFonts w:ascii="Times New Roman" w:hAnsi="Times New Roman"/>
          <w:color w:val="000000"/>
          <w:sz w:val="22"/>
        </w:rPr>
        <w:t>. Nothing herein shall affect the right to serve process in any other manner permitted by law or shall limit the right of either party to bring proceedings in the courts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11.11</w:t>
      </w:r>
      <w:r>
        <w:rPr>
          <w:rFonts w:ascii="Times New Roman" w:hAnsi="Times New Roman"/>
          <w:color w:val="000000"/>
          <w:sz w:val="20"/>
        </w:rPr>
        <w:t xml:space="preserve"> </w:t>
      </w:r>
      <w:r>
        <w:rPr>
          <w:rFonts w:ascii="Times New Roman" w:hAnsi="Times New Roman"/>
          <w:b/>
          <w:color w:val="000000"/>
          <w:sz w:val="22"/>
          <w:u w:val="single"/>
        </w:rPr>
        <w:t>JURY TRIAL WAIVER</w:t>
      </w:r>
      <w:r>
        <w:rPr>
          <w:rFonts w:ascii="Times New Roman" w:hAnsi="Times New Roman"/>
          <w:color w:val="000000"/>
          <w:sz w:val="22"/>
        </w:rPr>
        <w:t xml:space="preserve">. </w:t>
      </w:r>
      <w:r>
        <w:rPr>
          <w:rFonts w:ascii="Times New Roman" w:hAnsi="Times New Roman"/>
          <w:b/>
          <w:color w:val="000000"/>
          <w:sz w:val="22"/>
        </w:rPr>
        <w:t>TO THE FULLEST EXTENT PERMITTED BY APPLICABLE LAW, EACH PARTY HERETO WAIVES ITS RIGHT TO A JURY TRIAL IN ANY LEGAL PROCEEDING DIRECTLY OR INDIRECTLY ARISING OUT OF OR RELATING TO THIS AGREEMENT OR ANY OTHER LOAN DOCUMENT, THE RELATIONSHIP OF THE PARTIES HERETO OR THERETO, OR THE TRANSACTIONS CONTEMPLATED HEREBY OR THEREBY (WHETHER BASED ON CONTRACT, TORT OR ANY OTHER THEORY) (COLLECTIVELY, “</w:t>
      </w:r>
      <w:r>
        <w:rPr>
          <w:rFonts w:ascii="Times New Roman" w:hAnsi="Times New Roman"/>
          <w:b/>
          <w:color w:val="000000"/>
          <w:sz w:val="22"/>
          <w:u w:val="single"/>
        </w:rPr>
        <w:t>CLAIMS</w:t>
      </w:r>
      <w:r>
        <w:rPr>
          <w:rFonts w:ascii="Times New Roman" w:hAnsi="Times New Roman"/>
          <w:color w:val="000000"/>
          <w:sz w:val="20"/>
        </w:rPr>
        <w:t>”</w:t>
      </w:r>
      <w:r>
        <w:rPr>
          <w:rFonts w:ascii="Times New Roman" w:hAnsi="Times New Roman"/>
          <w:b/>
          <w:color w:val="000000"/>
          <w:sz w:val="22"/>
        </w:rPr>
        <w:t>). EACH PARTY HERETO ACKNOWLEDGES THAT IT AND THE OTHER PARTIES HERETO HAVE BEEN INDUCED TO ENTER INTO THIS AGREEMENT AND THE OTHER LOAN DOCUMENTS BY, AMONG OTHER THINGS, THE MUTUAL WAIVERS AND ACKNOWLEDGEMENTS IN THIS SECTION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11.12</w:t>
      </w:r>
      <w:r>
        <w:rPr>
          <w:rFonts w:ascii="Times New Roman" w:hAnsi="Times New Roman"/>
          <w:color w:val="000000"/>
          <w:sz w:val="20"/>
        </w:rPr>
        <w:t xml:space="preserve"> </w:t>
      </w:r>
      <w:r>
        <w:rPr>
          <w:rFonts w:ascii="Times New Roman" w:hAnsi="Times New Roman"/>
          <w:color w:val="000000"/>
          <w:sz w:val="22"/>
          <w:u w:val="single"/>
        </w:rPr>
        <w:t>Professional Fees</w:t>
      </w:r>
      <w:r>
        <w:rPr>
          <w:rFonts w:ascii="Times New Roman" w:hAnsi="Times New Roman"/>
          <w:color w:val="000000"/>
          <w:sz w:val="22"/>
        </w:rPr>
        <w:t>. Borrower promises to pay Agent’s and Lenders’ fees and expenses necessary to finalize the Loan Documents, including but not limited to reasonable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attorneys’ fees, UCC searches, filing costs, and other miscellaneous expenses. In addition, Borrower promises to pay any and all reasonable attorneys’ and other professionals’ fees (including allocated costs of in-house counsel) and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pStyle w:val="TextBody"/>
        <w:bidi w:val="0"/>
        <w:spacing w:before="0" w:after="240"/>
        <w:jc w:val="both"/>
        <w:rPr>
          <w:rFonts w:ascii="Times New Roman" w:hAnsi="Times New Roman"/>
          <w:sz w:val="20"/>
        </w:rPr>
      </w:pPr>
      <w:r>
        <w:rPr>
          <w:rFonts w:ascii="Times New Roman" w:hAnsi="Times New Roman"/>
          <w:color w:val="000000"/>
          <w:sz w:val="22"/>
        </w:rPr>
        <w:t>11.13</w:t>
      </w:r>
      <w:r>
        <w:rPr>
          <w:rFonts w:ascii="Times New Roman" w:hAnsi="Times New Roman"/>
          <w:color w:val="000000"/>
          <w:sz w:val="20"/>
        </w:rPr>
        <w:t xml:space="preserve"> </w:t>
      </w:r>
      <w:r>
        <w:rPr>
          <w:rFonts w:ascii="Times New Roman" w:hAnsi="Times New Roman"/>
          <w:color w:val="000000"/>
          <w:sz w:val="22"/>
          <w:u w:val="single"/>
        </w:rPr>
        <w:t>Confidentiality</w:t>
      </w:r>
      <w:r>
        <w:rPr>
          <w:rFonts w:ascii="Times New Roman" w:hAnsi="Times New Roman"/>
          <w:color w:val="000000"/>
          <w:sz w:val="22"/>
        </w:rPr>
        <w:t>. Agent and Lenders acknowledge that certain items of Collateral and information provided to Agent and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 w:hAnsi="Times New Roman"/>
          <w:color w:val="000000"/>
          <w:sz w:val="22"/>
          <w:u w:val="single"/>
        </w:rPr>
        <w:t>Confidential Information</w:t>
      </w:r>
      <w:r>
        <w:rPr>
          <w:rFonts w:ascii="Times New Roman" w:hAnsi="Times New Roman"/>
          <w:color w:val="000000"/>
          <w:sz w:val="20"/>
        </w:rPr>
        <w:t>”</w:t>
      </w:r>
      <w:r>
        <w:rPr>
          <w:rFonts w:ascii="Times New Roman" w:hAnsi="Times New Roman"/>
          <w:color w:val="000000"/>
          <w:sz w:val="22"/>
        </w:rPr>
        <w:t>). Accordingly, Agent and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counsel, accountants, representatives and other professional advisors if Agent or Lenders in their reasonable discretion determine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Section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and not in violation of any confidentiality obligations known to Agent or such Lender; (c) if required or appropriate in any report, statement or testimony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the occurrence and during the continuance of an Event of Default), or any action or proceeding relating to any Loan Document; (g) to any participant or assignee of Agent or Lenders or any prospective participant or assignee,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Agent or Lenders (or each of their respective Affiliates); provided that such investor, potential investor, Affiliate or client is subject to confidentiality obligations with respect to the Confidential Information similar to the provisions of this Section 11.13; (i) otherwise to the extent consisting of general portfolio information that does not identify</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Borrower; or (j) otherwise with the prior written consent of Borrower; provided, that any disclosure made in violation of this Agreement shall not affect the obligations of Borrower or any of its Affiliates or any guarantor under this Agreement or the other Loan Documents. Agent’s and Lenders’ obligations under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shall supersede all of their respective obligations under the Non-Disclosure Agreement.</w:t>
      </w:r>
    </w:p>
    <w:p>
      <w:pPr>
        <w:pStyle w:val="TextBody"/>
        <w:bidi w:val="0"/>
        <w:spacing w:before="0" w:after="240"/>
        <w:jc w:val="both"/>
        <w:rPr>
          <w:rFonts w:ascii="Times New Roman" w:hAnsi="Times New Roman"/>
          <w:sz w:val="20"/>
        </w:rPr>
      </w:pPr>
      <w:r>
        <w:rPr>
          <w:rFonts w:ascii="Times New Roman" w:hAnsi="Times New Roman"/>
          <w:color w:val="000000"/>
          <w:sz w:val="22"/>
        </w:rPr>
        <w:t>11.14</w:t>
      </w:r>
      <w:r>
        <w:rPr>
          <w:rFonts w:ascii="Times New Roman" w:hAnsi="Times New Roman"/>
          <w:color w:val="000000"/>
          <w:sz w:val="20"/>
        </w:rPr>
        <w:t xml:space="preserve"> </w:t>
      </w:r>
      <w:r>
        <w:rPr>
          <w:rFonts w:ascii="Times New Roman" w:hAnsi="Times New Roman"/>
          <w:color w:val="000000"/>
          <w:sz w:val="22"/>
          <w:u w:val="single"/>
        </w:rPr>
        <w:t>Assignment of Rights</w:t>
      </w:r>
      <w:r>
        <w:rPr>
          <w:rFonts w:ascii="Times New Roman" w:hAnsi="Times New Roman"/>
          <w:color w:val="000000"/>
          <w:sz w:val="22"/>
        </w:rPr>
        <w:t xml:space="preserve">. Borrower acknowledges and understands that Agent or Lenders may, subject to </w:t>
      </w:r>
      <w:r>
        <w:rPr>
          <w:rFonts w:ascii="Times New Roman" w:hAnsi="Times New Roman"/>
          <w:color w:val="000000"/>
          <w:sz w:val="22"/>
          <w:u w:val="single"/>
        </w:rPr>
        <w:t>Section 11.7</w:t>
      </w:r>
      <w:r>
        <w:rPr>
          <w:rFonts w:ascii="Times New Roman" w:hAnsi="Times New Roman"/>
          <w:color w:val="000000"/>
          <w:sz w:val="22"/>
        </w:rPr>
        <w:t>, sell and assign all or part of its interest hereunder and under the Loan Documents to any Person or entity (an “</w:t>
      </w:r>
      <w:r>
        <w:rPr>
          <w:rFonts w:ascii="Times New Roman" w:hAnsi="Times New Roman"/>
          <w:color w:val="000000"/>
          <w:sz w:val="22"/>
          <w:u w:val="single"/>
        </w:rPr>
        <w:t>Assignee</w:t>
      </w:r>
      <w:r>
        <w:rPr>
          <w:rFonts w:ascii="Times New Roman" w:hAnsi="Times New Roman"/>
          <w:color w:val="000000"/>
          <w:sz w:val="20"/>
        </w:rPr>
        <w:t>”</w:t>
      </w:r>
      <w:r>
        <w:rPr>
          <w:rFonts w:ascii="Times New Roman" w:hAnsi="Times New Roman"/>
          <w:color w:val="000000"/>
          <w:sz w:val="22"/>
        </w:rPr>
        <w:t>). After such assignment the term “Agent” or “Lender” as used in the Loan Documents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pStyle w:val="TextBody"/>
        <w:bidi w:val="0"/>
        <w:spacing w:before="0" w:after="240"/>
        <w:jc w:val="both"/>
        <w:rPr>
          <w:rFonts w:ascii="Times New Roman" w:hAnsi="Times New Roman"/>
          <w:sz w:val="20"/>
        </w:rPr>
      </w:pPr>
      <w:r>
        <w:rPr>
          <w:rFonts w:ascii="Times New Roman" w:hAnsi="Times New Roman"/>
          <w:color w:val="000000"/>
          <w:sz w:val="22"/>
        </w:rPr>
        <w:t>11.15</w:t>
      </w:r>
      <w:r>
        <w:rPr>
          <w:rFonts w:ascii="Times New Roman" w:hAnsi="Times New Roman"/>
          <w:color w:val="000000"/>
          <w:sz w:val="20"/>
        </w:rPr>
        <w:t xml:space="preserve"> </w:t>
      </w: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and final payment to Agent or Lenders in Cash.</w:t>
      </w:r>
    </w:p>
    <w:p>
      <w:pPr>
        <w:pStyle w:val="TextBody"/>
        <w:bidi w:val="0"/>
        <w:spacing w:before="0" w:after="240"/>
        <w:jc w:val="both"/>
        <w:rPr>
          <w:rFonts w:ascii="Times New Roman" w:hAnsi="Times New Roman"/>
          <w:sz w:val="20"/>
        </w:rPr>
      </w:pPr>
      <w:r>
        <w:rPr>
          <w:rFonts w:ascii="Times New Roman" w:hAnsi="Times New Roman"/>
          <w:color w:val="000000"/>
          <w:sz w:val="22"/>
        </w:rPr>
        <w:t>11.16</w:t>
      </w:r>
      <w:r>
        <w:rPr>
          <w:rFonts w:ascii="Times New Roman" w:hAnsi="Times New Roman"/>
          <w:color w:val="000000"/>
          <w:sz w:val="20"/>
        </w:rPr>
        <w:t xml:space="preserve"> </w:t>
      </w: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rPr>
        <w:t>11.17</w:t>
      </w:r>
      <w:r>
        <w:rPr>
          <w:rFonts w:ascii="Times New Roman" w:hAnsi="Times New Roman"/>
          <w:color w:val="000000"/>
          <w:sz w:val="20"/>
        </w:rPr>
        <w:t xml:space="preserve"> </w:t>
      </w:r>
      <w:r>
        <w:rPr>
          <w:rFonts w:ascii="Times New Roman" w:hAnsi="Times New Roman"/>
          <w:color w:val="000000"/>
          <w:sz w:val="22"/>
          <w:u w:val="single"/>
        </w:rPr>
        <w:t>No Third-Party Beneficiaries</w:t>
      </w:r>
      <w:r>
        <w:rPr>
          <w:rFonts w:ascii="Times New Roman" w:hAnsi="Times New Roman"/>
          <w:color w:val="000000"/>
          <w:sz w:val="22"/>
        </w:rPr>
        <w:t>.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will be personal and solely among Agent, Lenders and the Loan Parties party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11.18</w:t>
      </w:r>
      <w:r>
        <w:rPr>
          <w:rFonts w:ascii="Times New Roman" w:hAnsi="Times New Roman"/>
          <w:color w:val="000000"/>
          <w:sz w:val="20"/>
        </w:rPr>
        <w:t xml:space="preserve"> </w:t>
      </w:r>
      <w:r>
        <w:rPr>
          <w:rFonts w:ascii="Times New Roman" w:hAnsi="Times New Roman"/>
          <w:color w:val="000000"/>
          <w:sz w:val="22"/>
          <w:u w:val="single"/>
        </w:rPr>
        <w:t>Agency</w:t>
      </w:r>
      <w:r>
        <w:rPr>
          <w:rFonts w:ascii="Times New Roman" w:hAnsi="Times New Roman"/>
          <w:color w:val="000000"/>
          <w:sz w:val="22"/>
        </w:rPr>
        <w:t xml:space="preserve">. Agent and each Lender hereby agree to the terms and conditions set forth on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 xml:space="preserve">attached hereto. Borrower acknowledges and agrees to the terms and conditions set forth on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11.19</w:t>
      </w:r>
      <w:r>
        <w:rPr>
          <w:rFonts w:ascii="Times New Roman" w:hAnsi="Times New Roman"/>
          <w:color w:val="000000"/>
          <w:sz w:val="20"/>
        </w:rPr>
        <w:t xml:space="preserve"> </w:t>
      </w:r>
      <w:r>
        <w:rPr>
          <w:rFonts w:ascii="Times New Roman" w:hAnsi="Times New Roman"/>
          <w:color w:val="000000"/>
          <w:sz w:val="22"/>
          <w:u w:val="single"/>
        </w:rPr>
        <w:t>Publicity</w:t>
      </w:r>
      <w:r>
        <w:rPr>
          <w:rFonts w:ascii="Times New Roman" w:hAnsi="Times New Roman"/>
          <w:color w:val="000000"/>
          <w:sz w:val="22"/>
        </w:rPr>
        <w:t>. Notwithstanding anything else herein to the contrary, Borrower hereby agrees that the Agent and Lender may, at Agent’s or such Lender's sole expense, and without any prior approval by or compensation to the Borrower, make a public announcement of the transactions contemplated by this Agreement, and may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in each case to the extent such information is not deemed confidential in accordance with Section 11.13.</w:t>
      </w:r>
    </w:p>
    <w:p>
      <w:pPr>
        <w:pStyle w:val="TextBody"/>
        <w:bidi w:val="0"/>
        <w:spacing w:before="0" w:after="240"/>
        <w:jc w:val="both"/>
        <w:rPr>
          <w:rFonts w:ascii="Times New Roman" w:hAnsi="Times New Roman"/>
          <w:sz w:val="20"/>
        </w:rPr>
      </w:pPr>
      <w:r>
        <w:rPr>
          <w:rFonts w:ascii="Times New Roman" w:hAnsi="Times New Roman"/>
          <w:color w:val="000000"/>
          <w:sz w:val="22"/>
        </w:rPr>
        <w:t>11.20</w:t>
      </w:r>
      <w:r>
        <w:rPr>
          <w:rFonts w:ascii="Times New Roman" w:hAnsi="Times New Roman"/>
          <w:color w:val="000000"/>
          <w:sz w:val="20"/>
        </w:rPr>
        <w:t xml:space="preserve"> </w:t>
      </w:r>
      <w:r>
        <w:rPr>
          <w:rFonts w:ascii="Times New Roman" w:hAnsi="Times New Roman"/>
          <w:color w:val="000000"/>
          <w:sz w:val="22"/>
          <w:u w:val="single"/>
        </w:rPr>
        <w:t>Multiple Borrowers</w:t>
      </w:r>
      <w:r>
        <w:rPr>
          <w:rFonts w:ascii="Times New Roman" w:hAnsi="Times New Roman"/>
          <w:color w:val="000000"/>
          <w:sz w:val="22"/>
        </w:rPr>
        <w:t xml:space="preserve">. Each Borrower hereby agrees to the terms and conditions set forth on </w:t>
      </w:r>
      <w:r>
        <w:rPr>
          <w:rFonts w:ascii="Times New Roman" w:hAnsi="Times New Roman"/>
          <w:color w:val="000000"/>
          <w:sz w:val="22"/>
          <w:u w:val="single"/>
        </w:rPr>
        <w:t>Addendum 5</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11.21</w:t>
      </w:r>
      <w:r>
        <w:rPr>
          <w:rFonts w:ascii="Times New Roman" w:hAnsi="Times New Roman"/>
          <w:color w:val="000000"/>
          <w:sz w:val="20"/>
        </w:rPr>
        <w:t xml:space="preserve"> </w:t>
      </w:r>
      <w:r>
        <w:rPr>
          <w:rFonts w:ascii="Times New Roman" w:hAnsi="Times New Roman"/>
          <w:color w:val="000000"/>
          <w:sz w:val="22"/>
          <w:u w:val="single"/>
        </w:rPr>
        <w:t>Managerial Assistance</w:t>
      </w:r>
      <w:r>
        <w:rPr>
          <w:rFonts w:ascii="Times New Roman" w:hAnsi="Times New Roman"/>
          <w:color w:val="000000"/>
          <w:sz w:val="22"/>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 * *].</w:t>
      </w:r>
    </w:p>
    <w:p>
      <w:pPr>
        <w:pStyle w:val="TextBody"/>
        <w:bidi w:val="0"/>
        <w:spacing w:before="0" w:after="240"/>
        <w:jc w:val="both"/>
        <w:rPr>
          <w:rFonts w:ascii="Times New Roman" w:hAnsi="Times New Roman"/>
          <w:sz w:val="20"/>
        </w:rPr>
      </w:pPr>
      <w:r>
        <w:rPr>
          <w:rFonts w:ascii="Times New Roman" w:hAnsi="Times New Roman"/>
          <w:color w:val="000000"/>
          <w:sz w:val="22"/>
        </w:rPr>
        <w:t>11.22</w:t>
      </w:r>
      <w:r>
        <w:rPr>
          <w:rFonts w:ascii="Times New Roman" w:hAnsi="Times New Roman"/>
          <w:color w:val="000000"/>
          <w:sz w:val="20"/>
        </w:rPr>
        <w:t xml:space="preserve"> </w:t>
      </w:r>
      <w:r>
        <w:rPr>
          <w:rFonts w:ascii="Times New Roman" w:hAnsi="Times New Roman"/>
          <w:color w:val="000000"/>
          <w:sz w:val="22"/>
          <w:u w:val="single"/>
        </w:rPr>
        <w:t>Electronic Execution of Certain Other Documents</w:t>
      </w:r>
      <w:r>
        <w:rPr>
          <w:rFonts w:ascii="Times New Roman" w:hAnsi="Times New Roman"/>
          <w:color w:val="000000"/>
          <w:sz w:val="22"/>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Electronic Signatures and Records Act, or any state laws based on the Uniform Electronic Transactions Act.</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(SIGNATURES TO FOLLOW)</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Borrower, Agent and Lenders have duly executed and delivered this Loan and Security Agreement as of the day and year first above written.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4D MOLECULAR THERAPEUTICS, INC.</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 xml:space="preserve">/s/ Kristian Humer </w:t>
      </w:r>
      <w:r>
        <w:rPr>
          <w:rFonts w:ascii="Times New Roman" w:hAnsi="Times New Roman"/>
          <w:color w:val="000000"/>
          <w:sz w:val="22"/>
        </w:rPr>
        <w:t>___________</w:t>
      </w:r>
    </w:p>
    <w:p>
      <w:pPr>
        <w:pStyle w:val="TextBody"/>
        <w:bidi w:val="0"/>
        <w:jc w:val="left"/>
        <w:rPr>
          <w:rFonts w:ascii="Times New Roman" w:hAnsi="Times New Roman"/>
          <w:color w:val="000000"/>
          <w:sz w:val="22"/>
        </w:rPr>
      </w:pPr>
      <w:r>
        <w:rPr>
          <w:rFonts w:ascii="Times New Roman" w:hAnsi="Times New Roman"/>
          <w:color w:val="000000"/>
          <w:sz w:val="22"/>
        </w:rPr>
        <w:t>Print Name: Kristian Humer</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HERCULES CAPITAL, INC.</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LENDERS:</w:t>
      </w:r>
    </w:p>
    <w:p>
      <w:pPr>
        <w:pStyle w:val="TextBody"/>
        <w:bidi w:val="0"/>
        <w:jc w:val="left"/>
        <w:rPr>
          <w:rFonts w:ascii="Times New Roman" w:hAnsi="Times New Roman"/>
          <w:b/>
          <w:color w:val="000000"/>
          <w:sz w:val="22"/>
        </w:rPr>
      </w:pPr>
      <w:r>
        <w:rPr>
          <w:rFonts w:ascii="Times New Roman" w:hAnsi="Times New Roman"/>
          <w:b/>
          <w:color w:val="000000"/>
          <w:sz w:val="22"/>
        </w:rPr>
        <w:t>HERCULES CAPITAL,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HERCULES PRIVATE CREDIT FUND 1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Adviser LLC, its Investment Adviser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HERCULES VENTURE GROWTH CREDIT</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OPPORTUNITIES FUND I L.P.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Adviser LLC, its Investment Adviser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60</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US-DOCS\173942747.1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HERCULES GROWTH LENDING FUND IV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Growth Lending Fund IV GP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HERCULES EVERGREEN FUND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Evergreen Fund GP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HERCULES SBIC V,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Technology SBIC Management,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/s/Seth Meyer</w:t>
      </w:r>
      <w:r>
        <w:rPr>
          <w:rFonts w:ascii="Times New Roman" w:hAnsi="Times New Roman"/>
          <w:color w:val="000000"/>
          <w:sz w:val="22"/>
        </w:rPr>
        <w:t>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1: Taxes; Increased Costs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2: Delivery Instructions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3: SBA Provisions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4: Agent and Lender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5: Multiple Borrower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Exhibit A: Advance Request </w:t>
        <w:br/>
        <w:t>Attachment to Advance Request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B: Name, Locations, and Other Information for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C: Borrower’s Patents, Trademarks, Copyrights and Licenses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D: Borrower’s Deposit Accounts and Investment Accounts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E: Compliance Certificate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F: Joinder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G: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H: ACH Debit Authorization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I: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J-1: Form of U.S. Tax Compliance Certificate (For Foreign Lenders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J-2: Form of U.S. Tax Compliance Certificate (For Foreign Participants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J-3: Form of U.S. Tax Compliance Certificate (For Foreign Participants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J-4: Form of U.S. Tax Compliance Certificate (For Foreign Lenders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K: Certain Economic Terms</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1.1 Commitments</w:t>
      </w:r>
    </w:p>
    <w:p>
      <w:pPr>
        <w:pStyle w:val="TextBody"/>
        <w:bidi w:val="0"/>
        <w:jc w:val="left"/>
        <w:rPr>
          <w:rFonts w:ascii="Times New Roman" w:hAnsi="Times New Roman"/>
          <w:sz w:val="20"/>
        </w:rPr>
      </w:pPr>
      <w:r>
        <w:rPr>
          <w:rFonts w:ascii="Times New Roman" w:hAnsi="Times New Roman"/>
          <w:color w:val="000000"/>
          <w:sz w:val="22"/>
        </w:rPr>
        <w:t>Schedule 1 Subsidiaries</w:t>
        <w:br/>
        <w:t>Schedule 1A Existing Permitted Indebtedness</w:t>
        <w:br/>
      </w:r>
      <w:r>
        <w:rPr>
          <w:rFonts w:ascii="Times New Roman" w:hAnsi="Times New Roman"/>
          <w:color w:val="000000"/>
          <w:sz w:val="20"/>
        </w:rPr>
        <w:t> </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1B Existing Permitted Investments</w:t>
        <w:br/>
        <w:t>Schedule 1C Existing Permitted Liens</w:t>
        <w:br/>
        <w:t>Schedule 5.3 Consents, Etc.</w:t>
        <w:br/>
        <w:t>Schedule 5.8 Tax Matters</w:t>
        <w:br/>
        <w:t>Schedule 5.9 Intellectual Property Claims</w:t>
        <w:br/>
        <w:t>Schedule 5.10 Intellectual Property</w:t>
        <w:br/>
        <w:t>Schedule 5.11 Borrower Products</w:t>
      </w:r>
    </w:p>
    <w:p>
      <w:pPr>
        <w:pStyle w:val="TextBody"/>
        <w:bidi w:val="0"/>
        <w:jc w:val="left"/>
        <w:rPr>
          <w:rFonts w:ascii="Times New Roman" w:hAnsi="Times New Roman"/>
          <w:color w:val="000000"/>
          <w:sz w:val="22"/>
        </w:rPr>
      </w:pPr>
      <w:r>
        <w:rPr>
          <w:rFonts w:ascii="Times New Roman" w:hAnsi="Times New Roman"/>
          <w:color w:val="000000"/>
          <w:sz w:val="22"/>
        </w:rPr>
        <w:t>Schedule 5.13 Employee Loans</w:t>
        <w:br/>
        <w:t>Schedule 5.14 Capitalization</w:t>
      </w:r>
    </w:p>
    <w:p>
      <w:pPr>
        <w:pStyle w:val="TextBody"/>
        <w:bidi w:val="0"/>
        <w:jc w:val="left"/>
        <w:rPr>
          <w:rFonts w:ascii="Times New Roman" w:hAnsi="Times New Roman"/>
          <w:color w:val="000000"/>
          <w:sz w:val="22"/>
        </w:rPr>
      </w:pPr>
      <w:r>
        <w:rPr>
          <w:rFonts w:ascii="Times New Roman" w:hAnsi="Times New Roman"/>
          <w:color w:val="000000"/>
          <w:sz w:val="22"/>
        </w:rPr>
        <w:t>Schedule 7.23 Affiliate Transactions</w:t>
      </w:r>
    </w:p>
    <w:p>
      <w:pPr>
        <w:pStyle w:val="TextBody"/>
        <w:bidi w:val="0"/>
        <w:jc w:val="left"/>
        <w:rPr>
          <w:rFonts w:ascii="Times New Roman" w:hAnsi="Times New Roman"/>
          <w:color w:val="000000"/>
          <w:sz w:val="22"/>
        </w:rPr>
      </w:pPr>
      <w:r>
        <w:rPr>
          <w:rFonts w:ascii="Times New Roman" w:hAnsi="Times New Roman"/>
          <w:color w:val="000000"/>
          <w:sz w:val="22"/>
        </w:rPr>
        <w:t>Schedule 7.24 Post-Closing Obligations</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1 to LOAN AND SECURITY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TAXES; INCREASED COSTS</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b/>
          <w:color w:val="000000"/>
          <w:sz w:val="22"/>
        </w:rPr>
        <w:t>Defined Terms</w:t>
      </w:r>
      <w:r>
        <w:rPr>
          <w:rFonts w:ascii="Times New Roman" w:hAnsi="Times New Roman"/>
          <w:color w:val="000000"/>
          <w:sz w:val="22"/>
        </w:rPr>
        <w:t>. For purposes of this Addendum 1:</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b/>
          <w:color w:val="000000"/>
          <w:sz w:val="22"/>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b/>
          <w:color w:val="000000"/>
          <w:sz w:val="22"/>
        </w:rPr>
        <w:t>Foreign Lender</w:t>
      </w:r>
      <w:r>
        <w:rPr>
          <w:rFonts w:ascii="Times New Roman" w:hAnsi="Times New Roman"/>
          <w:color w:val="000000"/>
          <w:sz w:val="20"/>
        </w:rPr>
        <w:t xml:space="preserve">” </w:t>
      </w:r>
      <w:r>
        <w:rPr>
          <w:rFonts w:ascii="Times New Roman" w:hAnsi="Times New Roman"/>
          <w:color w:val="000000"/>
          <w:sz w:val="22"/>
        </w:rPr>
        <w:t>means a Lender that is not a U.S. Person.</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 xml:space="preserve">means (i) Taxes, other than Excluded Taxes, imposed on or with respect to any payment made by or on account of any obligation of Borrower under any Loan Document and (ii) to the extent not otherwise described in </w:t>
      </w:r>
      <w:r>
        <w:rPr>
          <w:rFonts w:ascii="Times New Roman" w:hAnsi="Times New Roman"/>
          <w:color w:val="000000"/>
          <w:sz w:val="22"/>
          <w:u w:val="single"/>
        </w:rPr>
        <w:t>clause (i)</w:t>
      </w:r>
      <w:r>
        <w:rPr>
          <w:rFonts w:ascii="Times New Roman" w:hAnsi="Times New Roman"/>
          <w:color w:val="000000"/>
          <w:sz w:val="22"/>
        </w:rPr>
        <w:t>, Other Taxes.</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under, or otherwise with respect to, any Loan Document, except any such Taxes that are Other Connection Taxes imposed with respect to an assignment.</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b/>
          <w:color w:val="000000"/>
          <w:sz w:val="22"/>
        </w:rPr>
        <w:t>Recipient</w:t>
      </w:r>
      <w:r>
        <w:rPr>
          <w:rFonts w:ascii="Times New Roman" w:hAnsi="Times New Roman"/>
          <w:color w:val="000000"/>
          <w:sz w:val="20"/>
        </w:rPr>
        <w:t xml:space="preserve">” </w:t>
      </w:r>
      <w:r>
        <w:rPr>
          <w:rFonts w:ascii="Times New Roman" w:hAnsi="Times New Roman"/>
          <w:color w:val="000000"/>
          <w:sz w:val="22"/>
        </w:rPr>
        <w:t>means Agent or any Lender,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Borrower and Agent.</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b/>
          <w:color w:val="000000"/>
          <w:sz w:val="22"/>
        </w:rPr>
        <w:t>Payments Free of Taxes</w:t>
      </w:r>
      <w:r>
        <w:rPr>
          <w:rFonts w:ascii="Times New Roman" w:hAnsi="Times New Roman"/>
          <w:color w:val="000000"/>
          <w:sz w:val="22"/>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of this Addendum 1)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b/>
          <w:color w:val="000000"/>
          <w:sz w:val="22"/>
        </w:rPr>
        <w:t>Payment of Other Taxes by Borrower</w:t>
      </w:r>
      <w:r>
        <w:rPr>
          <w:rFonts w:ascii="Times New Roman" w:hAnsi="Times New Roman"/>
          <w:color w:val="000000"/>
          <w:sz w:val="22"/>
        </w:rPr>
        <w:t>. Borrower shall timely pay to the relevant Governmental Authority in accordance with applicable law, or at the option of Agent timely reimburse it for the payment of, any Other Taxes.</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b/>
          <w:color w:val="000000"/>
          <w:sz w:val="22"/>
        </w:rPr>
        <w:t>Indemnification by Borrower</w:t>
      </w:r>
      <w:r>
        <w:rPr>
          <w:rFonts w:ascii="Times New Roman" w:hAnsi="Times New Roman"/>
          <w:color w:val="000000"/>
          <w:sz w:val="22"/>
        </w:rPr>
        <w:t xml:space="preserve">. Borrower shall indemnify each Recipient, within ten (10) days after demand therefor, for the full amount of any Indemnified Taxes (including Indemnified Taxes imposed or asserted on or attributable to amounts payable under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of this Addendum 1 or this </w:t>
      </w:r>
      <w:r>
        <w:rPr>
          <w:rFonts w:ascii="Times New Roman" w:hAnsi="Times New Roman"/>
          <w:color w:val="000000"/>
          <w:sz w:val="22"/>
          <w:u w:val="single"/>
        </w:rPr>
        <w:t>Section 4</w:t>
      </w:r>
      <w:r>
        <w:rPr>
          <w:rFonts w:ascii="Times New Roman" w:hAnsi="Times New Roman"/>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describing the amount of such payment or liability delivered to Borrower by a Lender (with a copy to Agent), or by Agent on its own behalf or on behalf of a Lender, shall be conclusive absent manifest error. In addition, Borrower agrees to pay, and to hold Agent and any Lender harmless from, any and all liabilities with respect to, or resulting from any delay in paying, any and all excise, sales or other similar Taxes (excluding Taxes imposed on or measured by the net income of Agent or such Lender) that may be payable or determined to be payable with respect to any of the Collateral or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b/>
          <w:color w:val="000000"/>
          <w:sz w:val="22"/>
        </w:rPr>
        <w:t>Indemnification by Lenders</w:t>
      </w:r>
      <w:r>
        <w:rPr>
          <w:rFonts w:ascii="Times New Roman" w:hAnsi="Times New Roman"/>
          <w:color w:val="000000"/>
          <w:sz w:val="22"/>
        </w:rPr>
        <w:t xml:space="preserve">. Each Lender shall severally indemnify Agent, within ten (10) days after demand therefor, for (a) any Indemnified Taxes attributable to such Lender (but only to the extent that Borrower has not already indemnified Agent for such Indemnified Taxes and without limiting the obligation of Borrower to do so), (b) any Taxes attributable to such Lender’s failure to comply with the provisions of </w:t>
      </w:r>
      <w:r>
        <w:rPr>
          <w:rFonts w:ascii="Times New Roman" w:hAnsi="Times New Roman"/>
          <w:color w:val="000000"/>
          <w:sz w:val="22"/>
          <w:u w:val="single"/>
        </w:rPr>
        <w:t>Section 11.8</w:t>
      </w:r>
      <w:r>
        <w:rPr>
          <w:rFonts w:ascii="Times New Roman" w:hAnsi="Times New Roman"/>
          <w:color w:val="000000"/>
          <w:sz w:val="20"/>
        </w:rPr>
        <w:t xml:space="preserve"> </w:t>
      </w:r>
      <w:r>
        <w:rPr>
          <w:rFonts w:ascii="Times New Roman" w:hAnsi="Times New Roman"/>
          <w:color w:val="000000"/>
          <w:sz w:val="22"/>
        </w:rPr>
        <w:t xml:space="preserve">of the Agreement relating to the maintenance of a Participant Register and (c)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w:t>
      </w:r>
      <w:r>
        <w:rPr>
          <w:rFonts w:ascii="Times New Roman" w:hAnsi="Times New Roman"/>
          <w:color w:val="000000"/>
          <w:sz w:val="22"/>
          <w:u w:val="single"/>
        </w:rPr>
        <w:t>Section 5</w:t>
      </w:r>
      <w:r>
        <w:rPr>
          <w:rFonts w:ascii="Times New Roman" w:hAnsi="Times New Roman"/>
          <w:color w:val="000000"/>
          <w:sz w:val="22"/>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b/>
          <w:color w:val="000000"/>
          <w:sz w:val="22"/>
        </w:rPr>
        <w:t>Evidence of Payments</w:t>
      </w:r>
      <w:r>
        <w:rPr>
          <w:rFonts w:ascii="Times New Roman" w:hAnsi="Times New Roman"/>
          <w:color w:val="000000"/>
          <w:sz w:val="22"/>
        </w:rPr>
        <w:t>. As soon as practicable after any payment of Taxes by Borrower to a Governmental Authority pursuant to the provisions of this Addendum 1, Borrower shall deliver to Agent the original or a certified copy of a receipt issued by such Governmental Authority evidencing such payment, a copy of the return reporting such payment or other evidence of such payment reasonably satisfactory to Agent.</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b/>
          <w:color w:val="000000"/>
          <w:sz w:val="22"/>
        </w:rPr>
        <w:t>Status of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Sections 7(b)(i)</w:t>
      </w:r>
      <w:r>
        <w:rPr>
          <w:rFonts w:ascii="Times New Roman" w:hAnsi="Times New Roman"/>
          <w:color w:val="000000"/>
          <w:sz w:val="22"/>
        </w:rPr>
        <w:t xml:space="preserve">, </w:t>
      </w:r>
      <w:r>
        <w:rPr>
          <w:rFonts w:ascii="Times New Roman" w:hAnsi="Times New Roman"/>
          <w:color w:val="000000"/>
          <w:sz w:val="22"/>
          <w:u w:val="single"/>
        </w:rPr>
        <w:t>7(b)(ii)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7(b)(iv)</w:t>
      </w:r>
      <w:r>
        <w:rPr>
          <w:rFonts w:ascii="Times New Roman" w:hAnsi="Times New Roman"/>
          <w:color w:val="000000"/>
          <w:sz w:val="20"/>
        </w:rPr>
        <w:t xml:space="preserve"> </w:t>
      </w:r>
      <w:r>
        <w:rPr>
          <w:rFonts w:ascii="Times New Roman" w:hAnsi="Times New Roman"/>
          <w:color w:val="000000"/>
          <w:sz w:val="22"/>
        </w:rPr>
        <w:t>of this Addendum 1)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Without limiting the generality of the foregoing, in the event that Borrower is a U.S. Person,</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any Lender that is a U.S. Person shall deliver to Borrower and Agent on or prior to the date on which such Lender becomes a Lender under this Agreement (and from time to time thereafter upon the reasonable request of Borrower or Agent), executed copies of IRS Form W-9 certifying that such Lender is exempt from U.S. federal backup withholding tax;</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executed copies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in the case of a Foreign Lender claiming the benefits of the exemption for portfolio interest under Section 881(c) of the Code, (x) a certificate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substantially in the form of </w:t>
      </w:r>
      <w:r>
        <w:rPr>
          <w:rFonts w:ascii="Times New Roman" w:hAnsi="Times New Roman"/>
          <w:color w:val="000000"/>
          <w:sz w:val="22"/>
          <w:u w:val="single"/>
        </w:rPr>
        <w:t>Exhibit J-1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rFonts w:ascii="Times New Roman" w:hAnsi="Times New Roman"/>
          <w:color w:val="000000"/>
          <w:sz w:val="22"/>
          <w:u w:val="single"/>
        </w:rPr>
        <w:t>U.S. Tax Compliance Certificate</w:t>
      </w:r>
      <w:r>
        <w:rPr>
          <w:rFonts w:ascii="Times New Roman" w:hAnsi="Times New Roman"/>
          <w:color w:val="000000"/>
          <w:sz w:val="20"/>
        </w:rPr>
        <w:t>”</w:t>
      </w:r>
      <w:r>
        <w:rPr>
          <w:rFonts w:ascii="Times New Roman" w:hAnsi="Times New Roman"/>
          <w:color w:val="000000"/>
          <w:sz w:val="22"/>
        </w:rPr>
        <w:t>) and (y) executed copies of IRS Form W-8BEN or IRS Form W-8BEN-E; or</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to the extent a Foreign Lender is not the beneficial owner, executed copies of IRS Form W-8IMY, accompanied by IRS Form W-8ECI, IRS Form W-8BEN, IRS Form W-8BEN-E, a U.S. Tax Compliance Certificate substantially in the form of </w:t>
      </w:r>
      <w:r>
        <w:rPr>
          <w:rFonts w:ascii="Times New Roman" w:hAnsi="Times New Roman"/>
          <w:color w:val="000000"/>
          <w:sz w:val="22"/>
          <w:u w:val="single"/>
        </w:rPr>
        <w:t>Exhibit J-2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J-3</w:t>
      </w:r>
      <w:r>
        <w:rPr>
          <w:rFonts w:ascii="Times New Roman" w:hAnsi="Times New Roman"/>
          <w:color w:val="000000"/>
          <w:sz w:val="22"/>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J-4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color w:val="000000"/>
          <w:sz w:val="22"/>
          <w:u w:val="single"/>
        </w:rPr>
        <w:t>clause (iv)</w:t>
      </w:r>
      <w:r>
        <w:rPr>
          <w:rFonts w:ascii="Times New Roman" w:hAnsi="Times New Roman"/>
          <w:color w:val="000000"/>
          <w:sz w:val="22"/>
        </w:rPr>
        <w:t>,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8.</w:t>
      </w:r>
      <w:r>
        <w:rPr>
          <w:rFonts w:ascii="Times New Roman" w:hAnsi="Times New Roman"/>
          <w:color w:val="000000"/>
          <w:sz w:val="20"/>
        </w:rPr>
        <w:t xml:space="preserve"> </w:t>
      </w:r>
      <w:r>
        <w:rPr>
          <w:rFonts w:ascii="Times New Roman" w:hAnsi="Times New Roman"/>
          <w:b/>
          <w:color w:val="000000"/>
          <w:sz w:val="22"/>
        </w:rPr>
        <w:t>Treatment of Certain Refunds</w:t>
      </w:r>
      <w:r>
        <w:rPr>
          <w:rFonts w:ascii="Times New Roman" w:hAnsi="Times New Roman"/>
          <w:color w:val="000000"/>
          <w:sz w:val="22"/>
        </w:rPr>
        <w:t>.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Section 8</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9.</w:t>
      </w:r>
      <w:r>
        <w:rPr>
          <w:rFonts w:ascii="Times New Roman" w:hAnsi="Times New Roman"/>
          <w:color w:val="000000"/>
          <w:sz w:val="20"/>
        </w:rPr>
        <w:t xml:space="preserve"> </w:t>
      </w:r>
      <w:r>
        <w:rPr>
          <w:rFonts w:ascii="Times New Roman" w:hAnsi="Times New Roman"/>
          <w:b/>
          <w:color w:val="000000"/>
          <w:sz w:val="22"/>
        </w:rPr>
        <w:t>Increased Costs</w:t>
      </w:r>
      <w:r>
        <w:rPr>
          <w:rFonts w:ascii="Times New Roman" w:hAnsi="Times New Roman"/>
          <w:color w:val="000000"/>
          <w:sz w:val="22"/>
        </w:rPr>
        <w:t xml:space="preserve">. If any change in applicable law shall subject any Recipient to any Taxes (other than (A) Indemnified Taxes, (B) Taxes described in </w:t>
      </w:r>
      <w:r>
        <w:rPr>
          <w:rFonts w:ascii="Times New Roman" w:hAnsi="Times New Roman"/>
          <w:color w:val="000000"/>
          <w:sz w:val="22"/>
          <w:u w:val="single"/>
        </w:rPr>
        <w:t>clauses (ii)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(iv)</w:t>
      </w:r>
      <w:r>
        <w:rPr>
          <w:rFonts w:ascii="Times New Roman" w:hAnsi="Times New Roman"/>
          <w:color w:val="000000"/>
          <w:sz w:val="20"/>
        </w:rPr>
        <w:t xml:space="preserve"> </w:t>
      </w:r>
      <w:r>
        <w:rPr>
          <w:rFonts w:ascii="Times New Roman" w:hAnsi="Times New Roman"/>
          <w:color w:val="000000"/>
          <w:sz w:val="22"/>
        </w:rPr>
        <w:t>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b/>
          <w:color w:val="000000"/>
          <w:sz w:val="22"/>
        </w:rPr>
        <w:t>Survival</w:t>
      </w:r>
      <w:r>
        <w:rPr>
          <w:rFonts w:ascii="Times New Roman" w:hAnsi="Times New Roman"/>
          <w:color w:val="000000"/>
          <w:sz w:val="22"/>
        </w:rPr>
        <w:t>. Each party’s obligations under the provisions of this Addendum 1 shall survive the resignation or replacement of Agent or any assignment of rights by, or the replacement of, a Lender, the termination of the Term Commitments and the repayment, satisfaction or discharge of all obligations under any Loan Document.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2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Delivery Instructions</w:t>
      </w:r>
    </w:p>
    <w:p>
      <w:pPr>
        <w:pStyle w:val="TextBody"/>
        <w:bidi w:val="0"/>
        <w:spacing w:before="0" w:after="240"/>
        <w:jc w:val="both"/>
        <w:rPr>
          <w:rFonts w:ascii="Times New Roman" w:hAnsi="Times New Roman"/>
          <w:sz w:val="20"/>
        </w:rPr>
      </w:pPr>
      <w:r>
        <w:rPr>
          <w:rFonts w:ascii="Times New Roman" w:hAnsi="Times New Roman"/>
          <w:color w:val="000000"/>
          <w:sz w:val="22"/>
        </w:rPr>
        <w:t>The Compliance Certificate shall be uploaded and executed via [* * *]</w:t>
      </w:r>
      <w:r>
        <w:rPr>
          <w:rFonts w:ascii="Times New Roman" w:hAnsi="Times New Roman"/>
          <w:color w:val="000000"/>
          <w:sz w:val="15"/>
        </w:rPr>
        <w:t>1</w:t>
      </w:r>
      <w:r>
        <w:rPr>
          <w:rFonts w:ascii="Times New Roman" w:hAnsi="Times New Roman"/>
          <w:color w:val="000000"/>
          <w:sz w:val="22"/>
        </w:rPr>
        <w:t>. All other financial reports required to be furnished to Agent pursuant to Section 7.1 shall be submitted via [* *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Compliance Certificate and other financial reports required to be furnished to Agent pursuant to Section 7.1 may be sent to [* * *] with a copy to [* * *], should access to [* * *] be temporarily unavailable.</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22"/>
        </w:rPr>
        <w:t>All references to [* * *] shall be interpreted as the Portfolio Management Software currently in use by Agent. [</w:t>
      </w:r>
      <w:r>
        <w:rPr>
          <w:rFonts w:ascii="Times New Roman" w:hAnsi="Times New Roman"/>
          <w:b/>
          <w:color w:val="000000"/>
          <w:sz w:val="22"/>
        </w:rPr>
        <w:t>* * *</w:t>
      </w:r>
      <w:r>
        <w:rPr>
          <w:rFonts w:ascii="Times New Roman" w:hAnsi="Times New Roman"/>
          <w:color w:val="000000"/>
          <w:sz w:val="22"/>
        </w:rPr>
        <w:t>] can be reached at the following URL: [</w:t>
      </w:r>
      <w:r>
        <w:rPr>
          <w:rFonts w:ascii="Times New Roman" w:hAnsi="Times New Roman"/>
          <w:b/>
          <w:color w:val="000000"/>
          <w:sz w:val="22"/>
        </w:rPr>
        <w:t>* * *</w:t>
      </w:r>
      <w:r>
        <w:rPr>
          <w:rFonts w:ascii="Times New Roman" w:hAnsi="Times New Roman"/>
          <w:color w:val="000000"/>
          <w:sz w:val="22"/>
        </w:rPr>
        <w:t>]</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3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SBA Provisions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i/>
          <w:color w:val="000000"/>
          <w:sz w:val="22"/>
        </w:rPr>
        <w:t>Borrower’s Business</w:t>
      </w:r>
      <w:r>
        <w:rPr>
          <w:rFonts w:ascii="Times New Roman" w:hAnsi="Times New Roman"/>
          <w:color w:val="000000"/>
          <w:sz w:val="22"/>
        </w:rPr>
        <w:t xml:space="preserve">. For purposes of this Addendum 3, Borrower shall be deemed to include its “affiliates” as defined in Title 13 Code of Federal Regulations Section 121.103. Borrower (i) represents and warrants to Agent and Lenders, with respect to subsection 1 below, as of the initial SBA Funding Date, and (ii) represents and warrants to Agent and Lenders, as of each SBA Funding Date and covenants to Agent and Lenders for a period of one year after each SBA Funding Date or for such longer period as set forth below with respect to </w:t>
      </w:r>
      <w:r>
        <w:rPr>
          <w:rFonts w:ascii="Times New Roman" w:hAnsi="Times New Roman"/>
          <w:color w:val="000000"/>
          <w:sz w:val="22"/>
          <w:u w:val="single"/>
        </w:rPr>
        <w:t>subsections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w:t>
      </w:r>
      <w:r>
        <w:rPr>
          <w:rFonts w:ascii="Times New Roman" w:hAnsi="Times New Roman"/>
          <w:color w:val="000000"/>
          <w:sz w:val="22"/>
          <w:u w:val="single"/>
        </w:rPr>
        <w:t>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w:t>
      </w:r>
      <w:r>
        <w:rPr>
          <w:rFonts w:ascii="Times New Roman" w:hAnsi="Times New Roman"/>
          <w:color w:val="000000"/>
          <w:sz w:val="20"/>
        </w:rPr>
        <w:t xml:space="preserve"> </w:t>
      </w:r>
      <w:r>
        <w:rPr>
          <w:rFonts w:ascii="Times New Roman" w:hAnsi="Times New Roman"/>
          <w:color w:val="000000"/>
          <w:sz w:val="22"/>
        </w:rPr>
        <w:t>below, as follows:</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Size Status. Borrower’s primary NAICS code is 541714 and has less than 1,000 employees in the aggregate (as determined in accordance with Title 13 Code of Federal Regulations Section 121.106);</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No Relender. Borrower’s primary business activity does not involve, directly or indirectly, providing funds to others, purchasing debt obligations, factoring, or long-term leasing of equipment with no provision for maintenance or repair;</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rPr>
        <w:t>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rPr>
        <w:t>No Real Estate Business. 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rPr>
        <w:t>No Project Finance.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 generally over a defined production period, where such production will constitute the majority of the activities of Borrower (e.g., motion pictures and electric generating plants).</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color w:val="000000"/>
          <w:sz w:val="22"/>
        </w:rPr>
        <w:t>No Farm Land Purchases. Borrower will not use the proceeds of the Loan to acquire farm land which is or is intended to be used for agricultural or forestry purposes, such as the production of food, fiber, or wood, or is so taxed or zoned.</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color w:val="000000"/>
          <w:sz w:val="22"/>
        </w:rPr>
        <w:t>No Foreign Investment. The proceeds of the Loan will not be used substantially for a foreign operation, passed through to a foreign business or used to acquire a foreign business. Borrower will not have, on or within one year after each SBA Funding Date and each other Loan provided by a Lender that is an SBIC more than 49 percent of its employees or tangible assets located outside the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i/>
          <w:color w:val="000000"/>
          <w:sz w:val="22"/>
        </w:rPr>
        <w:t>Small Business Administration Documentation</w:t>
      </w:r>
      <w:r>
        <w:rPr>
          <w:rFonts w:ascii="Times New Roman" w:hAnsi="Times New Roman"/>
          <w:color w:val="000000"/>
          <w:sz w:val="22"/>
        </w:rPr>
        <w:t>. Agent and Lenders acknowledge that Borrower completed, executed and delivered to Agent prior to each SBA Funding Date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Lenders (the “</w:t>
      </w:r>
      <w:r>
        <w:rPr>
          <w:rFonts w:ascii="Times New Roman" w:hAnsi="Times New Roman"/>
          <w:color w:val="000000"/>
          <w:sz w:val="22"/>
          <w:u w:val="single"/>
        </w:rPr>
        <w:t>Use of Proceeds Statement</w:t>
      </w:r>
      <w:r>
        <w:rPr>
          <w:rFonts w:ascii="Times New Roman" w:hAnsi="Times New Roman"/>
          <w:color w:val="000000"/>
          <w:sz w:val="20"/>
        </w:rPr>
        <w:t>”</w:t>
      </w:r>
      <w:r>
        <w:rPr>
          <w:rFonts w:ascii="Times New Roman" w:hAnsi="Times New Roman"/>
          <w:color w:val="000000"/>
          <w:sz w:val="22"/>
        </w:rPr>
        <w:t>). Borrower represents and warrants to Agent and Lenders that the information regarding Borrower and its affiliates set forth in the SBA Form 480, Form 652 and Form 1031 and the Use of Proceeds Statement delivered as of each SBA Funding Date is accurate and complete.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i/>
          <w:color w:val="000000"/>
          <w:sz w:val="22"/>
        </w:rPr>
        <w:t>Inspection</w:t>
      </w:r>
      <w:r>
        <w:rPr>
          <w:rFonts w:ascii="Times New Roman" w:hAnsi="Times New Roman"/>
          <w:color w:val="000000"/>
          <w:sz w:val="22"/>
        </w:rPr>
        <w:t xml:space="preserve">. The following covenants contained in this </w:t>
      </w:r>
      <w:r>
        <w:rPr>
          <w:rFonts w:ascii="Times New Roman" w:hAnsi="Times New Roman"/>
          <w:color w:val="000000"/>
          <w:sz w:val="22"/>
          <w:u w:val="single"/>
        </w:rPr>
        <w:t>Section (c)</w:t>
      </w:r>
      <w:r>
        <w:rPr>
          <w:rFonts w:ascii="Times New Roman" w:hAnsi="Times New Roman"/>
          <w:color w:val="000000"/>
          <w:sz w:val="20"/>
        </w:rPr>
        <w:t xml:space="preserve"> </w:t>
      </w:r>
      <w:r>
        <w:rPr>
          <w:rFonts w:ascii="Times New Roman" w:hAnsi="Times New Roman"/>
          <w:color w:val="000000"/>
          <w:sz w:val="22"/>
        </w:rPr>
        <w:t>are intended to supplement and not to restrict the related provisions of the Loan Documents. Subject to the preceding sentence, Borrower will permit, for so long as Lenders hold any debt or equity securities of Borrower, Agent, Lenders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as may be requested by Agent or Lenders or the SBA.</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i/>
          <w:color w:val="000000"/>
          <w:sz w:val="22"/>
        </w:rPr>
        <w:t>Annual Assessment</w:t>
      </w:r>
      <w:r>
        <w:rPr>
          <w:rFonts w:ascii="Times New Roman" w:hAnsi="Times New Roman"/>
          <w:color w:val="000000"/>
          <w:sz w:val="22"/>
        </w:rPr>
        <w:t>. Upon request of Agent or Lender, promptly after the end of each calendar year (but in any event prior to February 28 of each year) and at such other times as may be reasonably requested by Agent or Lenders, Borrower will deliver to Agent a written assessment of the economic impact of Lenders’ investment in Borrower, specifying the full-time equivalent net jobs created and total jobs created or retained in connection with the investment, the impact of the investment on the revenues and profits of Borrower’s business and on taxes paid by Borrower and its employees, and such other information as may be required regarding Borrower in connection with the filing of Lenders’ SBA Form 468. Lenders will assist Borrower with preparing</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such assessment. In addition to any other rights granted hereunder, Borrower will grant Agent and Lenders and the SBA access to Borrower’s books and records for the purpose of verifying the use of such proceeds. Borrower also will furnish or cause to be furnished to Agent and Lenders such other information regarding the business, affairs and condition of Borrower as Agent or Lenders may from time to time reasonably request, and such information shall be certified by the President, Chief Executive Officer or Chief Financial Officer of Borrower to the extent requested by Agent or Lender for compliance with the SBIC Act.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i/>
          <w:color w:val="000000"/>
          <w:sz w:val="22"/>
        </w:rPr>
        <w:t>Use of Proceeds.</w:t>
      </w:r>
      <w:r>
        <w:rPr>
          <w:rFonts w:ascii="Times New Roman" w:hAnsi="Times New Roman"/>
          <w:color w:val="000000"/>
          <w:sz w:val="20"/>
        </w:rPr>
        <w:t xml:space="preserve"> </w:t>
      </w:r>
      <w:r>
        <w:rPr>
          <w:rFonts w:ascii="Times New Roman" w:hAnsi="Times New Roman"/>
          <w:color w:val="000000"/>
          <w:sz w:val="22"/>
        </w:rPr>
        <w:t xml:space="preserve">Borrower will use the proceeds from the Loan only for purposes set forth in </w:t>
      </w:r>
      <w:r>
        <w:rPr>
          <w:rFonts w:ascii="Times New Roman" w:hAnsi="Times New Roman"/>
          <w:color w:val="000000"/>
          <w:sz w:val="22"/>
          <w:u w:val="single"/>
        </w:rPr>
        <w:t>Section 7.17</w:t>
      </w:r>
      <w:r>
        <w:rPr>
          <w:rFonts w:ascii="Times New Roman" w:hAnsi="Times New Roman"/>
          <w:color w:val="000000"/>
          <w:sz w:val="22"/>
        </w:rPr>
        <w:t xml:space="preserve">.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Lenders and the SBA to have access to any and all Borrower records and information and personnel as Agent deems necessary to verify how such proceeds have been or are being used, and to assure that the proceeds have been used for the purposes specified in </w:t>
      </w:r>
      <w:r>
        <w:rPr>
          <w:rFonts w:ascii="Times New Roman" w:hAnsi="Times New Roman"/>
          <w:color w:val="000000"/>
          <w:sz w:val="22"/>
          <w:u w:val="single"/>
        </w:rPr>
        <w:t>Section 7.17</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i/>
          <w:color w:val="000000"/>
          <w:sz w:val="22"/>
        </w:rPr>
        <w:t>Activities and Proceeds</w:t>
      </w:r>
      <w:r>
        <w:rPr>
          <w:rFonts w:ascii="Times New Roman" w:hAnsi="Times New Roman"/>
          <w:color w:val="000000"/>
          <w:sz w:val="22"/>
        </w:rPr>
        <w:t>. Neither Borrower nor any of its affiliates (if any) will engage in any activities or use directly or indirectly the proceeds from the Loan for any purpose for which a small business investment company is prohibited from providing funds by the SBIC Act, including 13 C.F.R. §107.720. Borrower shall not, nor shall it cause or permit any of its subsidiaries to, without obtaining the prior written approval of Agent, change Borrower’s or any such subsidiary’s business activities from that conducted on the date hereof to a business activity from which a licensee under the SBIC Act is prohibited from providing funds by the SBIC Act. Borrower agrees that any such change in its or any such subsidiary’s business activities without such prior written consent of Agent shall constitute a material breach of the obligations of Borrower under this Addendum 3.</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i/>
          <w:color w:val="000000"/>
          <w:sz w:val="22"/>
        </w:rPr>
        <w:t>Compliance and Resolution.</w:t>
      </w:r>
      <w:r>
        <w:rPr>
          <w:rFonts w:ascii="Times New Roman" w:hAnsi="Times New Roman"/>
          <w:color w:val="000000"/>
          <w:sz w:val="20"/>
        </w:rPr>
        <w:t xml:space="preserve"> </w:t>
      </w:r>
      <w:r>
        <w:rPr>
          <w:rFonts w:ascii="Times New Roman" w:hAnsi="Times New Roman"/>
          <w:color w:val="000000"/>
          <w:sz w:val="22"/>
        </w:rPr>
        <w:t>Borrower agrees that a failure to comply with Borrower’s obligations under this Addendum, or any other set of facts or circumstances where it has been asserted by any governmental regulatory agency (or Agent or Lenders believes that there is a substantial risk of such assertion) that Agent, Lenders and their affiliates are not entitled to hold, or exercise any significant right with respect to, any securities issued to Lenders by Borrower, will constitute a breach of the obligations of Borrower under the financing agreements among Borrower, Agent and Lenders. In the event of (i) a failure to comply with Borrower’s obligations under this Addendum; or (ii) an assertion by any governmental regulatory agency (or Agent or Lenders believe that there is a substantial risk of such assertion) of a failure to comply with Borrower’s obligations under this Addendum, then (i) Agent, Lenders and Borrower will meet and resolve any such issue in good faith to the satisfaction of Borrower, Agent, Lenders, and any governmental regulatory agency, and (ii) upon request of Lenders or Agent, Borrower will cooperate and assist with any assignment of the financing agreements among Hercules SBIC V, L.P. and Hercules Capital, Inc.</w:t>
      </w:r>
      <w:r>
        <w:rPr>
          <w:rFonts w:ascii="Times New Roman" w:hAnsi="Times New Roman"/>
          <w:color w:val="000000"/>
          <w:sz w:val="20"/>
        </w:rPr>
        <w:t xml:space="preserve"> </w:t>
      </w:r>
    </w:p>
    <w:p>
      <w:pPr>
        <w:pStyle w:val="Heading1"/>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4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Agent and Lender Terms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powers hereunder as any other Lender and may exercise the same rights and powers as though it were not performing the duties and functions delegated to it hereunder and the term “Lender” or “Lenders” or any similar term shall unless the context clearly indicates otherwise include Agent in its individual capacity.</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w:t>
      </w:r>
      <w:r>
        <w:rPr>
          <w:rFonts w:ascii="Times New Roman" w:hAnsi="Times New Roman"/>
          <w:color w:val="000000"/>
          <w:sz w:val="22"/>
          <w:u w:val="single"/>
        </w:rPr>
        <w:t>Addendum 4</w:t>
      </w:r>
      <w:r>
        <w:rPr>
          <w:rFonts w:ascii="Times New Roman" w:hAnsi="Times New Roman"/>
          <w:color w:val="000000"/>
          <w:sz w:val="22"/>
        </w:rPr>
        <w:t>,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 xml:space="preserve">To the extent not reimbursed either by Borrower or from the application of Collateral proceeds pursuant to </w:t>
      </w:r>
      <w:r>
        <w:rPr>
          <w:rFonts w:ascii="Times New Roman" w:hAnsi="Times New Roman"/>
          <w:color w:val="000000"/>
          <w:sz w:val="22"/>
          <w:u w:val="single"/>
        </w:rPr>
        <w:t>Section 10.2</w:t>
      </w:r>
      <w:r>
        <w:rPr>
          <w:rFonts w:ascii="Times New Roman" w:hAnsi="Times New Roman"/>
          <w:color w:val="000000"/>
          <w:sz w:val="22"/>
        </w:rPr>
        <w:t>, a Lender (the “</w:t>
      </w:r>
      <w:r>
        <w:rPr>
          <w:rFonts w:ascii="Times New Roman" w:hAnsi="Times New Roman"/>
          <w:color w:val="000000"/>
          <w:sz w:val="22"/>
          <w:u w:val="single"/>
        </w:rPr>
        <w:t>Indemnified Lender</w:t>
      </w:r>
      <w:r>
        <w:rPr>
          <w:rFonts w:ascii="Times New Roman" w:hAnsi="Times New Roman"/>
          <w:color w:val="000000"/>
          <w:sz w:val="20"/>
        </w:rPr>
        <w:t>”</w:t>
      </w:r>
      <w:r>
        <w:rPr>
          <w:rFonts w:ascii="Times New Roman" w:hAnsi="Times New Roman"/>
          <w:color w:val="000000"/>
          <w:sz w:val="22"/>
        </w:rPr>
        <w:t>) shall be indemnified by the other Lenders (an “</w:t>
      </w:r>
      <w:r>
        <w:rPr>
          <w:rFonts w:ascii="Times New Roman" w:hAnsi="Times New Roman"/>
          <w:color w:val="000000"/>
          <w:sz w:val="22"/>
          <w:u w:val="single"/>
        </w:rPr>
        <w:t>Indemnifying Lender</w:t>
      </w:r>
      <w:r>
        <w:rPr>
          <w:rFonts w:ascii="Times New Roman" w:hAnsi="Times New Roman"/>
          <w:color w:val="000000"/>
          <w:sz w:val="20"/>
        </w:rPr>
        <w:t>”</w:t>
      </w:r>
      <w:r>
        <w:rPr>
          <w:rFonts w:ascii="Times New Roman" w:hAnsi="Times New Roman"/>
          <w:color w:val="000000"/>
          <w:sz w:val="22"/>
        </w:rPr>
        <w:t>), on a several basis in proportion to each Lender’s pro rata portion of the Term Commitment, and each Indemnifying Lender agrees to reimburse the Indemnified Lender for the Indemnifying Lender’s pro rata share of the following items (an “</w:t>
      </w:r>
      <w:r>
        <w:rPr>
          <w:rFonts w:ascii="Times New Roman" w:hAnsi="Times New Roman"/>
          <w:color w:val="000000"/>
          <w:sz w:val="22"/>
          <w:u w:val="single"/>
        </w:rPr>
        <w:t>Indemnified Payment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all reasonable out-of-pocket costs and expenses of the Indemnified Lender incurred by the Indemnified Lender in connection with the discharge of its activities under this Agreement or the Loan Agreement, including reasonable legal expenses and attorneys’ fees; provided,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from and against any and all liabilities, obligations, losses, damages, penalties, actions, judgments, suits, costs, expenses or disbursements of any kind or nature whatsoever, which may be imposed on, incurred by or asserted against the Indemnified Lender in any way relating to or arising out of this Agreement, or any action taken or omitted by the Indemnified Lender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provided, however, that the Indemnified Lender shall not be reimbursed or indemnified for an Indemnified Payment, except to the extent that the Indemnified Lender paid more than its ratable share of such payment. All Indemnified Payments as set forth in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to an Indemnified Lender are intended to be paid ratably by the other Lender.</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u w:val="single"/>
        </w:rPr>
        <w:t>Agent in Its Individual Capacity</w:t>
      </w:r>
      <w:r>
        <w:rPr>
          <w:rFonts w:ascii="Times New Roman" w:hAnsi="Times New Roman"/>
          <w:color w:val="000000"/>
          <w:sz w:val="22"/>
        </w:rPr>
        <w:t>.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u w:val="single"/>
        </w:rPr>
        <w:t>Exculpatory Provisions</w:t>
      </w:r>
      <w:r>
        <w:rPr>
          <w:rFonts w:ascii="Times New Roman" w:hAnsi="Times New Roman"/>
          <w:color w:val="000000"/>
          <w:sz w:val="22"/>
        </w:rPr>
        <w:t>. Agent shall have no duties or obligations except those expressly set forth herein and in the other Loan Documents. Without limiting the generality of the foregoing, Agent shall not: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be subject to any fiduciary, advisory or other implied duties, regardless of whether any Default or any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have any duty to take any discretionary action or exercise any discretionary powers, except discretionary rights and powers expressly contemplated hereby or by the other Loan Documents that Agent is required to exercise as directed in writing by Lenders, provided that Agent shall not be required to take any action that, in its opinion or the opinion of its counsel, may expose Agent to liability or that is contrary to any Loan Document or applicable law; and</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attorneys-in-fact selected by it, if the selection of such agents or attorneys-in-fact was done without gross negligence or willful misconduct.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Each Lender agrees that it will make its own independent investigation of the financial condition and affairs of Borrower in connection with the making of Term Loan Advances pursuant to the Loan Agreement and has made and shall continue to make its own appraisal of the creditworthiness of Borrower. Neither Agent nor any Lender shall have any duty or responsibility either initially or on a continuing basis to make any such investigation or any such appraisal on 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5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Multiple Borrower Terms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Borrower’s Agent. Each Borrower hereby irrevocably appoints Company as its agent, attorney-in-fact and legal representative for all purposes, including requesting disbursement of the Term Loan and receiving account statements and other notices and communications to Borrowers (or any of them) from Agent or any Lender. Agent may rely, and shall be fully protected in relying, on any request for the Term Loan Advances, disbursement instruction, report, information or any other notice or communication made or given by Company, whether in its own name or on behalf of one or more of the other Borrowers, and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Waivers. Each Borrower hereby waives: (i) any right to require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Agent or any Indebtedness of Agent or any Lender to any other Borrower, or to exercise any other right or power, or pursue any other remedy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have been paid, performed, and discharged in full, nothing shall discharge or satisfy the liability of any Borrower hereunder except the full performance and payment of all of the Secured Obligations. If any claim is ever made upon Agent for repayment or recovery of any amount or amounts received by Agent in payment of or on account of any of the Secured Obligations, because of any claim that any such payment constituted a preferential transfer or fraudulent conveyance, or for any other reason whatsoever, and Agent repays all or part of said amount by reason of any judgment, decree or order of any court or administrative body having jurisdiction over Agent or any of its property, or by reason of any settlement or compromise of any such claim effected by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Agent and Lenders under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for the amount so repaid or recovered, to the same extent as if such amount had never originally been received by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Consents. Each Borrower hereby consents and agrees that, without notice to or by Borrower and without affecting or impairing in any way the obligations or liability of Borrower hereunder,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Agent determines in its sole discretion, and regardless of whether such Indebtedness is part of the Secured Obligations, is secured, or is due and payable. Each Borrower consents and agrees that Agent shall be under no obligation to marshal any assets in favor of Borrower, or against or in payment of any or all of the Secured Obligations. Each Borrower further consents and agrees that Agent shall have no duties or responsibilities whatsoever with respect to any property securing any or all of the Secured Obligations. Without limiting the generality of the foregoing, Agent shall have no obligation to monitor, verify, audit, examine, or obtain or maintain any insurance with respect to, any property securing any or all of the Secured Obligations.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to furnish to it any information now or hereafter in Agent’s possession concerning the same or any other matter.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Subordination. All Indebtedness of a Borrower now or hereafter arising held by another Borrower is subordinated to the Secured Obligations and Borrower holding the Indebtedness shall take all actions reasonably requested by Agent to effect, to enforce and to give notice of such subordination.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B</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C</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G</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H</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J-1</w:t>
      </w:r>
    </w:p>
    <w:p>
      <w:pPr>
        <w:pStyle w:val="TextBody"/>
        <w:bidi w:val="0"/>
        <w:spacing w:before="0" w:after="24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2"/>
        </w:rPr>
        <w:t>* *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J-2</w:t>
      </w:r>
    </w:p>
    <w:p>
      <w:pPr>
        <w:pStyle w:val="TextBody"/>
        <w:bidi w:val="0"/>
        <w:spacing w:before="0" w:after="24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2"/>
        </w:rPr>
        <w:t>* *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J-3</w:t>
      </w:r>
    </w:p>
    <w:p>
      <w:pPr>
        <w:pStyle w:val="TextBody"/>
        <w:bidi w:val="0"/>
        <w:spacing w:before="0" w:after="24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2"/>
        </w:rPr>
        <w:t>* *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J-4</w:t>
      </w:r>
    </w:p>
    <w:p>
      <w:pPr>
        <w:pStyle w:val="TextBody"/>
        <w:bidi w:val="0"/>
        <w:spacing w:before="0" w:after="24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2"/>
        </w:rPr>
        <w:t>* *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K</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CERTAIN ECONOMIC TERMS</w:t>
      </w:r>
    </w:p>
    <w:p>
      <w:pPr>
        <w:pStyle w:val="TextBody"/>
        <w:bidi w:val="0"/>
        <w:spacing w:before="0" w:after="240"/>
        <w:jc w:val="both"/>
        <w:rPr/>
      </w:pPr>
      <w:r>
        <w:rPr>
          <w:color w:val="000000"/>
        </w:rPr>
        <w:t>“</w:t>
      </w:r>
      <w:r>
        <w:rPr>
          <w:rFonts w:ascii="Times New Roman" w:hAnsi="Times New Roman"/>
          <w:b/>
          <w:color w:val="000000"/>
          <w:sz w:val="22"/>
        </w:rPr>
        <w:t>4FRONT-1</w:t>
      </w:r>
      <w:r>
        <w:rPr>
          <w:rFonts w:ascii="Times New Roman" w:hAnsi="Times New Roman"/>
          <w:color w:val="000000"/>
          <w:sz w:val="20"/>
        </w:rPr>
        <w:t xml:space="preserve">” </w:t>
      </w:r>
      <w:r>
        <w:rPr>
          <w:rFonts w:ascii="Times New Roman" w:hAnsi="Times New Roman"/>
          <w:color w:val="000000"/>
          <w:sz w:val="22"/>
        </w:rPr>
        <w:t>means Borrower’s phase 3 clinical trial evaluating 4D-150 in patients with macular neovascularization secondary to age-related macular degeneration, clinicaltrials.gov identifier #NCT06864988.</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4FRONT-2</w:t>
      </w:r>
      <w:r>
        <w:rPr>
          <w:rFonts w:ascii="Times New Roman" w:hAnsi="Times New Roman"/>
          <w:color w:val="000000"/>
          <w:sz w:val="20"/>
        </w:rPr>
        <w:t xml:space="preserve">” </w:t>
      </w:r>
      <w:r>
        <w:rPr>
          <w:rFonts w:ascii="Times New Roman" w:hAnsi="Times New Roman"/>
          <w:color w:val="000000"/>
          <w:sz w:val="22"/>
        </w:rPr>
        <w:t>means Borrower’s phase 3 clinical trial evaluating 4D-150 in patients with macular neovascularization secondary to age-related macular degeneration, clinicaltrials.gov identifier #NCT07064759.</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Amortization Date</w:t>
      </w:r>
      <w:r>
        <w:rPr>
          <w:rFonts w:ascii="Times New Roman" w:hAnsi="Times New Roman"/>
          <w:color w:val="000000"/>
          <w:sz w:val="20"/>
        </w:rPr>
        <w:t xml:space="preserve">” </w:t>
      </w:r>
      <w:r>
        <w:rPr>
          <w:rFonts w:ascii="Times New Roman" w:hAnsi="Times New Roman"/>
          <w:color w:val="000000"/>
          <w:sz w:val="22"/>
        </w:rPr>
        <w:t>means (a) if the Tranche 2 Milestone is satisfied, June 1, 2029, (b) if the Tranche 3 Milestone is satisfied, June 1, 2030, (c) if the Tranche 4 Milestone is satisfied, June 1, 2031, and (d) if none of the Tranche 2 Milestone, Tranche 3 Milestone or Tranche 4 Milestone is satisfied, December 1, 2028.</w:t>
      </w:r>
    </w:p>
    <w:p>
      <w:pPr>
        <w:pStyle w:val="TextBody"/>
        <w:bidi w:val="0"/>
        <w:jc w:val="both"/>
        <w:rPr/>
      </w:pPr>
      <w:r>
        <w:rPr>
          <w:color w:val="000000"/>
        </w:rPr>
        <w:t>“</w:t>
      </w:r>
      <w:r>
        <w:rPr>
          <w:rFonts w:ascii="Times New Roman" w:hAnsi="Times New Roman"/>
          <w:b/>
          <w:color w:val="000000"/>
          <w:sz w:val="22"/>
          <w:u w:val="single"/>
        </w:rPr>
        <w:t>Applicable Minimum Cash Percentage</w:t>
      </w:r>
      <w:r>
        <w:rPr>
          <w:rFonts w:ascii="Times New Roman" w:hAnsi="Times New Roman"/>
          <w:color w:val="000000"/>
          <w:sz w:val="20"/>
        </w:rPr>
        <w:t xml:space="preserve">” </w:t>
      </w:r>
      <w:r>
        <w:rPr>
          <w:rFonts w:ascii="Times New Roman" w:hAnsi="Times New Roman"/>
          <w:color w:val="000000"/>
          <w:sz w:val="22"/>
        </w:rPr>
        <w:t>means, as of any date of determination, the lowest applicable (i.e., if multiple Applicable Conditions apply, the Applicable Minimum Cash Percentage shall be the lowest of the applicable Levels) percentage set forth in the column titled “Applicable Minimum Cash Percentage” below corresponding to the row with the applicable conditions set forth in the column titled Applicable Conditions that have been satisfied as of such date of determination:</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61"/>
        <w:gridCol w:w="6545"/>
        <w:gridCol w:w="2999"/>
      </w:tblGrid>
      <w:tr>
        <w:trPr/>
        <w:tc>
          <w:tcPr>
            <w:tcW w:w="661" w:type="dxa"/>
            <w:tcBorders/>
            <w:vAlign w:val="center"/>
          </w:tcPr>
          <w:p>
            <w:pPr>
              <w:pStyle w:val="TableContents"/>
              <w:bidi w:val="0"/>
              <w:spacing w:before="0" w:after="283"/>
              <w:jc w:val="left"/>
              <w:rPr>
                <w:sz w:val="4"/>
                <w:szCs w:val="4"/>
              </w:rPr>
            </w:pPr>
            <w:r>
              <w:rPr>
                <w:sz w:val="4"/>
                <w:szCs w:val="4"/>
              </w:rPr>
            </w:r>
          </w:p>
        </w:tc>
        <w:tc>
          <w:tcPr>
            <w:tcW w:w="6545"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Level</w:t>
            </w:r>
          </w:p>
        </w:tc>
        <w:tc>
          <w:tcPr>
            <w:tcW w:w="654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Applicable Conditions</w:t>
            </w:r>
          </w:p>
        </w:tc>
        <w:tc>
          <w:tcPr>
            <w:tcW w:w="299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Applicable Minimum Cash Percentage</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w:t>
            </w:r>
          </w:p>
        </w:tc>
        <w:tc>
          <w:tcPr>
            <w:tcW w:w="65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The aggregate original principal amount of the Term Loan Advances is greater than $25,000,000</w:t>
            </w:r>
          </w:p>
        </w:tc>
        <w:tc>
          <w:tcPr>
            <w:tcW w:w="29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w:t>
            </w:r>
          </w:p>
        </w:tc>
        <w:tc>
          <w:tcPr>
            <w:tcW w:w="65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Borrower has achieved the Tranche 2 Milestone</w:t>
            </w:r>
          </w:p>
        </w:tc>
        <w:tc>
          <w:tcPr>
            <w:tcW w:w="29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III</w:t>
            </w:r>
          </w:p>
        </w:tc>
        <w:tc>
          <w:tcPr>
            <w:tcW w:w="65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Borrower has achieved the Tranche 3 Milestone</w:t>
            </w:r>
          </w:p>
        </w:tc>
        <w:tc>
          <w:tcPr>
            <w:tcW w:w="29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w:t>
            </w:r>
          </w:p>
        </w:tc>
      </w:tr>
    </w:tbl>
    <w:p>
      <w:pPr>
        <w:pStyle w:val="TextBody"/>
        <w:bidi w:val="0"/>
        <w:jc w:val="center"/>
        <w:rPr/>
      </w:pPr>
      <w:r>
        <w:rPr/>
        <w:t> </w:t>
      </w:r>
    </w:p>
    <w:p>
      <w:pPr>
        <w:pStyle w:val="TextBody"/>
        <w:bidi w:val="0"/>
        <w:jc w:val="both"/>
        <w:rPr/>
      </w:pPr>
      <w:r>
        <w:rPr>
          <w:color w:val="000000"/>
        </w:rPr>
        <w:t>“</w:t>
      </w:r>
      <w:r>
        <w:rPr>
          <w:rFonts w:ascii="Times New Roman" w:hAnsi="Times New Roman"/>
          <w:b/>
          <w:color w:val="000000"/>
          <w:sz w:val="22"/>
          <w:u w:val="single"/>
        </w:rPr>
        <w:t>Approval Milestone</w:t>
      </w:r>
      <w:r>
        <w:rPr>
          <w:rFonts w:ascii="Times New Roman" w:hAnsi="Times New Roman"/>
          <w:color w:val="000000"/>
          <w:sz w:val="20"/>
        </w:rPr>
        <w:t xml:space="preserve">” </w:t>
      </w:r>
      <w:r>
        <w:rPr>
          <w:rFonts w:ascii="Times New Roman" w:hAnsi="Times New Roman"/>
          <w:color w:val="000000"/>
          <w:sz w:val="22"/>
        </w:rPr>
        <w:t>means the satisfaction of each of the following events: (a) no Default or Event of Default shall have occurred and be continuing; and (b) Borrower shall have delivered evidence reasonably satisfactory to Agent (including supporting documents, as reasonably requested by Agent) that the FDA has approved the Biologics License Application for 4D-150 for the treatment of certain patients with wet age-related macular degeneration (“</w:t>
      </w:r>
      <w:r>
        <w:rPr>
          <w:rFonts w:ascii="Times New Roman" w:hAnsi="Times New Roman"/>
          <w:color w:val="000000"/>
          <w:sz w:val="22"/>
          <w:u w:val="single"/>
        </w:rPr>
        <w:t>wet AMD</w:t>
      </w:r>
      <w:r>
        <w:rPr>
          <w:rFonts w:ascii="Times New Roman" w:hAnsi="Times New Roman"/>
          <w:color w:val="000000"/>
          <w:sz w:val="20"/>
        </w:rPr>
        <w:t>”</w:t>
      </w:r>
      <w:r>
        <w:rPr>
          <w:rFonts w:ascii="Times New Roman" w:hAnsi="Times New Roman"/>
          <w:color w:val="000000"/>
          <w:sz w:val="22"/>
        </w:rPr>
        <w:t>) with a label claim generally consistent [* * *].</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Due Diligence Fee</w:t>
      </w:r>
      <w:r>
        <w:rPr>
          <w:rFonts w:ascii="Times New Roman" w:hAnsi="Times New Roman"/>
          <w:color w:val="000000"/>
          <w:sz w:val="20"/>
        </w:rPr>
        <w:t xml:space="preserve">” </w:t>
      </w:r>
      <w:r>
        <w:rPr>
          <w:rFonts w:ascii="Times New Roman" w:hAnsi="Times New Roman"/>
          <w:color w:val="000000"/>
          <w:sz w:val="22"/>
        </w:rPr>
        <w:t>means [* * *] Dollars ($[* *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End of Term Charge</w:t>
      </w:r>
      <w:r>
        <w:rPr>
          <w:rFonts w:ascii="Times New Roman" w:hAnsi="Times New Roman"/>
          <w:color w:val="000000"/>
          <w:sz w:val="20"/>
        </w:rPr>
        <w:t xml:space="preserve">” </w:t>
      </w:r>
      <w:r>
        <w:rPr>
          <w:rFonts w:ascii="Times New Roman" w:hAnsi="Times New Roman"/>
          <w:color w:val="000000"/>
          <w:sz w:val="22"/>
        </w:rPr>
        <w:t xml:space="preserve">means (x) the End of Term Charge Percentage </w:t>
      </w:r>
      <w:r>
        <w:rPr>
          <w:rFonts w:ascii="Times New Roman" w:hAnsi="Times New Roman"/>
          <w:i/>
          <w:color w:val="000000"/>
          <w:sz w:val="22"/>
          <w:u w:val="single"/>
        </w:rPr>
        <w:t>multiplied</w:t>
      </w:r>
      <w:r>
        <w:rPr>
          <w:rFonts w:ascii="Times New Roman" w:hAnsi="Times New Roman"/>
          <w:color w:val="000000"/>
          <w:sz w:val="20"/>
        </w:rPr>
        <w:t xml:space="preserve"> </w:t>
      </w:r>
      <w:r>
        <w:rPr>
          <w:rFonts w:ascii="Times New Roman" w:hAnsi="Times New Roman"/>
          <w:color w:val="000000"/>
          <w:sz w:val="22"/>
        </w:rPr>
        <w:t xml:space="preserve">by the aggregate original principal amount of such Term Loan Advances made hereunder, </w:t>
      </w:r>
      <w:r>
        <w:rPr>
          <w:rFonts w:ascii="Times New Roman" w:hAnsi="Times New Roman"/>
          <w:i/>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(y) the aggregate amount of payments made pursuant to </w:t>
      </w:r>
      <w:r>
        <w:rPr>
          <w:rFonts w:ascii="Times New Roman" w:hAnsi="Times New Roman"/>
          <w:color w:val="000000"/>
          <w:sz w:val="22"/>
          <w:u w:val="single"/>
        </w:rPr>
        <w:t>Section 2.6(a)</w:t>
      </w:r>
      <w:r>
        <w:rPr>
          <w:rFonts w:ascii="Times New Roman" w:hAnsi="Times New Roman"/>
          <w:color w:val="000000"/>
          <w:sz w:val="22"/>
        </w:rPr>
        <w:t>.</w:t>
        <w:br/>
      </w:r>
      <w:r>
        <w:rPr>
          <w:rFonts w:ascii="Times New Roman" w:hAnsi="Times New Roman"/>
          <w:color w:val="000000"/>
          <w:sz w:val="20"/>
        </w:rPr>
        <w:t> </w:t>
      </w:r>
    </w:p>
    <w:p>
      <w:pPr>
        <w:pStyle w:val="TextBody"/>
        <w:bidi w:val="0"/>
        <w:jc w:val="both"/>
        <w:rPr/>
      </w:pPr>
      <w:r>
        <w:rPr>
          <w:color w:val="000000"/>
        </w:rPr>
        <w:t>“</w:t>
      </w:r>
      <w:r>
        <w:rPr>
          <w:rFonts w:ascii="Times New Roman" w:hAnsi="Times New Roman"/>
          <w:b/>
          <w:color w:val="000000"/>
          <w:sz w:val="22"/>
          <w:u w:val="single"/>
        </w:rPr>
        <w:t>End of Term Charge Percentage</w:t>
      </w:r>
      <w:r>
        <w:rPr>
          <w:rFonts w:ascii="Times New Roman" w:hAnsi="Times New Roman"/>
          <w:color w:val="000000"/>
          <w:sz w:val="20"/>
        </w:rPr>
        <w:t xml:space="preserve">” </w:t>
      </w:r>
      <w:r>
        <w:rPr>
          <w:rFonts w:ascii="Times New Roman" w:hAnsi="Times New Roman"/>
          <w:color w:val="000000"/>
          <w:sz w:val="22"/>
        </w:rPr>
        <w:t>means, with respect to any End of Term Charge due and payable on any date, (a) if due and payable on or prior to June 1, 2028, three and seven-tenths percent (3.70%); (b) if due and payable after June 1, 2028 but on or prior to June 1, 2029, four and seven-tenths percent (4.70%); (c) if due and payable after June 1, 2029 but on or prior to June 1, 2030, five and seven-tenths percent (5.70%); and (d) if due and payable thereafter, six and one-half percent (6.50%).</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u w:val="single"/>
        </w:rPr>
        <w:t>Indications and Usage</w:t>
      </w:r>
      <w:r>
        <w:rPr>
          <w:rFonts w:ascii="Times New Roman" w:hAnsi="Times New Roman"/>
          <w:color w:val="000000"/>
          <w:sz w:val="20"/>
        </w:rPr>
        <w:t xml:space="preserve">” </w:t>
      </w:r>
      <w:r>
        <w:rPr>
          <w:rFonts w:ascii="Times New Roman" w:hAnsi="Times New Roman"/>
          <w:color w:val="000000"/>
          <w:sz w:val="22"/>
        </w:rPr>
        <w:t>means the section of the FDA-approved labelling for a drug or biological product that states such drug or biological product is indicated for the treatment, prevention, mitigation, cure, or diagnosis of a recognized disease or condition, or of a manifestation of a recognized disease or</w:t>
      </w:r>
      <w:r>
        <w:rPr>
          <w:rFonts w:ascii="Times New Roman" w:hAnsi="Times New Roman"/>
          <w:color w:val="000000"/>
          <w:sz w:val="20"/>
        </w:rPr>
        <w:t xml:space="preserve">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condition, or for the relief of symptoms associated with a recognized disease or condition, as set forth in [* * *].</w:t>
      </w:r>
    </w:p>
    <w:p>
      <w:pPr>
        <w:pStyle w:val="TextBody"/>
        <w:bidi w:val="0"/>
        <w:spacing w:before="0" w:after="240"/>
        <w:jc w:val="both"/>
        <w:rPr/>
      </w:pPr>
      <w:r>
        <w:rPr>
          <w:color w:val="000000"/>
        </w:rPr>
        <w:t>“</w:t>
      </w:r>
      <w:r>
        <w:rPr>
          <w:rFonts w:ascii="Times New Roman" w:hAnsi="Times New Roman"/>
          <w:b/>
          <w:color w:val="000000"/>
          <w:sz w:val="22"/>
          <w:u w:val="single"/>
        </w:rPr>
        <w:t>Initial Facility Charge</w:t>
      </w:r>
      <w:r>
        <w:rPr>
          <w:rFonts w:ascii="Times New Roman" w:hAnsi="Times New Roman"/>
          <w:color w:val="000000"/>
          <w:sz w:val="20"/>
        </w:rPr>
        <w:t xml:space="preserve">” </w:t>
      </w:r>
      <w:r>
        <w:rPr>
          <w:rFonts w:ascii="Times New Roman" w:hAnsi="Times New Roman"/>
          <w:color w:val="000000"/>
          <w:sz w:val="22"/>
        </w:rPr>
        <w:t>means Five Hundred Thousand Dollars ($500,000).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Initial Minimum Cash Test Date</w:t>
      </w:r>
      <w:r>
        <w:rPr>
          <w:rFonts w:ascii="Times New Roman" w:hAnsi="Times New Roman"/>
          <w:color w:val="000000"/>
          <w:sz w:val="20"/>
        </w:rPr>
        <w:t xml:space="preserve">” </w:t>
      </w:r>
      <w:r>
        <w:rPr>
          <w:rFonts w:ascii="Times New Roman" w:hAnsi="Times New Roman"/>
          <w:color w:val="000000"/>
          <w:sz w:val="22"/>
        </w:rPr>
        <w:t>means (a) January 1, 2028, if at any time on or prior to such date the aggregate original principal amount of the Term Loan Advances is greater than Twenty-Five Million Dollars ($25,000,000) or (b) otherwise, the first date on which the aggregate original principal amount of the Term Loan Advances is greater than Twenty-Five Million Dollars ($25,000,000); provided, that if Borrower shall have achieved the Tranche 2 Milestone, the “Initial Minimum Cash Test Date” means the later to occur of (x) July 1, 2028, if at any time on or prior to such date the aggregate original principal amount of the Term Loan Advances is or was greater than Fifty Million Dollars ($50,000,000) or (y) otherwise, the first date on which the aggregate original principal amount of the Term Loan Advances is greater than Fifty Million Dollars ($50,000,000).</w:t>
      </w:r>
    </w:p>
    <w:p>
      <w:pPr>
        <w:pStyle w:val="TextBody"/>
        <w:bidi w:val="0"/>
        <w:spacing w:before="0" w:after="240"/>
        <w:jc w:val="both"/>
        <w:rPr/>
      </w:pPr>
      <w:r>
        <w:rPr>
          <w:color w:val="000000"/>
        </w:rPr>
        <w:t>“</w:t>
      </w:r>
      <w:r>
        <w:rPr>
          <w:rFonts w:ascii="Times New Roman" w:hAnsi="Times New Roman"/>
          <w:b/>
          <w:color w:val="000000"/>
          <w:sz w:val="22"/>
          <w:u w:val="single"/>
        </w:rPr>
        <w:t>Initial Performance Covenant Test Date</w:t>
      </w:r>
      <w:r>
        <w:rPr>
          <w:rFonts w:ascii="Times New Roman" w:hAnsi="Times New Roman"/>
          <w:color w:val="000000"/>
          <w:sz w:val="20"/>
        </w:rPr>
        <w:t xml:space="preserve">” </w:t>
      </w:r>
      <w:r>
        <w:rPr>
          <w:rFonts w:ascii="Times New Roman" w:hAnsi="Times New Roman"/>
          <w:color w:val="000000"/>
          <w:sz w:val="22"/>
        </w:rPr>
        <w:t>means the last calendar day of the month that is nine (9) months following the first date on which (a) Borrower shall have achieved the Approval Milestone and (b) the aggregate original principal amount of the Term Loan Advances is greater than or equal to Seventy-Five Million Dollars ($75,000,000).</w:t>
      </w:r>
    </w:p>
    <w:p>
      <w:pPr>
        <w:pStyle w:val="TextBody"/>
        <w:bidi w:val="0"/>
        <w:spacing w:before="0" w:after="240"/>
        <w:jc w:val="both"/>
        <w:rPr/>
      </w:pPr>
      <w:r>
        <w:rPr>
          <w:color w:val="000000"/>
        </w:rPr>
        <w:t>“</w:t>
      </w:r>
      <w:r>
        <w:rPr>
          <w:rFonts w:ascii="Times New Roman" w:hAnsi="Times New Roman"/>
          <w:b/>
          <w:color w:val="000000"/>
          <w:sz w:val="22"/>
          <w:u w:val="single"/>
        </w:rPr>
        <w:t>Maximum Term Loan Amount</w:t>
      </w:r>
      <w:r>
        <w:rPr>
          <w:rFonts w:ascii="Times New Roman" w:hAnsi="Times New Roman"/>
          <w:color w:val="000000"/>
          <w:sz w:val="20"/>
        </w:rPr>
        <w:t xml:space="preserve">” </w:t>
      </w:r>
      <w:r>
        <w:rPr>
          <w:rFonts w:ascii="Times New Roman" w:hAnsi="Times New Roman"/>
          <w:color w:val="000000"/>
          <w:sz w:val="22"/>
        </w:rPr>
        <w:t>means Two Hundred Million Dollars ($200,000,000).</w:t>
      </w:r>
    </w:p>
    <w:p>
      <w:pPr>
        <w:pStyle w:val="TextBody"/>
        <w:bidi w:val="0"/>
        <w:spacing w:before="0" w:after="240"/>
        <w:jc w:val="both"/>
        <w:rPr/>
      </w:pPr>
      <w:r>
        <w:rPr>
          <w:color w:val="000000"/>
        </w:rPr>
        <w:t>“</w:t>
      </w:r>
      <w:r>
        <w:rPr>
          <w:rFonts w:ascii="Times New Roman" w:hAnsi="Times New Roman"/>
          <w:b/>
          <w:color w:val="000000"/>
          <w:sz w:val="22"/>
          <w:u w:val="single"/>
        </w:rPr>
        <w:t>Minimum Advance Amount</w:t>
      </w:r>
      <w:r>
        <w:rPr>
          <w:rFonts w:ascii="Times New Roman" w:hAnsi="Times New Roman"/>
          <w:color w:val="000000"/>
          <w:sz w:val="20"/>
        </w:rPr>
        <w:t xml:space="preserve">” </w:t>
      </w:r>
      <w:r>
        <w:rPr>
          <w:rFonts w:ascii="Times New Roman" w:hAnsi="Times New Roman"/>
          <w:color w:val="000000"/>
          <w:sz w:val="22"/>
        </w:rPr>
        <w:t>means Five Million Dollars ($5,000,000).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Performance Covenant A</w:t>
      </w:r>
      <w:r>
        <w:rPr>
          <w:rFonts w:ascii="Times New Roman" w:hAnsi="Times New Roman"/>
          <w:color w:val="000000"/>
          <w:sz w:val="20"/>
        </w:rPr>
        <w:t xml:space="preserve">” </w:t>
      </w:r>
      <w:r>
        <w:rPr>
          <w:rFonts w:ascii="Times New Roman" w:hAnsi="Times New Roman"/>
          <w:color w:val="000000"/>
          <w:sz w:val="22"/>
        </w:rPr>
        <w:t>means, as of any date of determination, (a) Company’s Market Capitalization as of such date of determination exceeds Seven Hundred Fifty Million Dollars ($750,000,000) and (b) Borrower maintains Qualified Cash in an amount greater than or equal to the aggregate outstanding Secured Obligations, multiplied by fifty percent (50%).</w:t>
      </w:r>
    </w:p>
    <w:p>
      <w:pPr>
        <w:pStyle w:val="TextBody"/>
        <w:bidi w:val="0"/>
        <w:spacing w:before="0" w:after="240"/>
        <w:jc w:val="both"/>
        <w:rPr/>
      </w:pPr>
      <w:r>
        <w:rPr>
          <w:color w:val="000000"/>
        </w:rPr>
        <w:t>“</w:t>
      </w:r>
      <w:r>
        <w:rPr>
          <w:rFonts w:ascii="Times New Roman" w:hAnsi="Times New Roman"/>
          <w:b/>
          <w:color w:val="000000"/>
          <w:sz w:val="22"/>
          <w:u w:val="single"/>
        </w:rPr>
        <w:t>Performance Covenant B</w:t>
      </w:r>
      <w:r>
        <w:rPr>
          <w:rFonts w:ascii="Times New Roman" w:hAnsi="Times New Roman"/>
          <w:color w:val="000000"/>
          <w:sz w:val="20"/>
        </w:rPr>
        <w:t xml:space="preserve">” </w:t>
      </w:r>
      <w:r>
        <w:rPr>
          <w:rFonts w:ascii="Times New Roman" w:hAnsi="Times New Roman"/>
          <w:color w:val="000000"/>
          <w:sz w:val="22"/>
        </w:rPr>
        <w:t>means, as of any date of determination, Borrower maintains Qualified Cash in an amount greater than or equal to the aggregate outstanding Secured Obligations, multiplied by one hundred twenty-five percent (125%).</w:t>
      </w:r>
    </w:p>
    <w:p>
      <w:pPr>
        <w:pStyle w:val="TextBody"/>
        <w:bidi w:val="0"/>
        <w:spacing w:before="0" w:after="240"/>
        <w:jc w:val="both"/>
        <w:rPr/>
      </w:pPr>
      <w:r>
        <w:rPr>
          <w:color w:val="000000"/>
        </w:rPr>
        <w:t>“</w:t>
      </w:r>
      <w:r>
        <w:rPr>
          <w:rFonts w:ascii="Times New Roman" w:hAnsi="Times New Roman"/>
          <w:b/>
          <w:color w:val="000000"/>
          <w:sz w:val="22"/>
          <w:u w:val="single"/>
        </w:rPr>
        <w:t>Performance Covenant C</w:t>
      </w:r>
      <w:r>
        <w:rPr>
          <w:rFonts w:ascii="Times New Roman" w:hAnsi="Times New Roman"/>
          <w:color w:val="000000"/>
          <w:sz w:val="20"/>
        </w:rPr>
        <w:t xml:space="preserve">” </w:t>
      </w:r>
      <w:r>
        <w:rPr>
          <w:rFonts w:ascii="Times New Roman" w:hAnsi="Times New Roman"/>
          <w:color w:val="000000"/>
          <w:sz w:val="22"/>
        </w:rPr>
        <w:t xml:space="preserve">means, as of the last date of the most recent calendar month for which financial statements and a Compliance Certificate have been (or were required to be) delivered under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7.1(d)</w:t>
      </w:r>
      <w:r>
        <w:rPr>
          <w:rFonts w:ascii="Times New Roman" w:hAnsi="Times New Roman"/>
          <w:color w:val="000000"/>
          <w:sz w:val="22"/>
        </w:rPr>
        <w:t>, respectively, Borrower’s Net Product Revenue, measured on a trailing six (6) month basis, is at least seventy percent (70%) of the Net Product Revenue included in the Board Approved Forecast for the trailing six (6) month period ending on the last day of such calendar month.</w:t>
      </w:r>
    </w:p>
    <w:p>
      <w:pPr>
        <w:pStyle w:val="TextBody"/>
        <w:bidi w:val="0"/>
        <w:spacing w:before="0" w:after="240"/>
        <w:jc w:val="both"/>
        <w:rPr/>
      </w:pPr>
      <w:r>
        <w:rPr>
          <w:color w:val="000000"/>
        </w:rPr>
        <w:t>“</w:t>
      </w:r>
      <w:r>
        <w:rPr>
          <w:rFonts w:ascii="Times New Roman" w:hAnsi="Times New Roman"/>
          <w:b/>
          <w:color w:val="000000"/>
          <w:sz w:val="22"/>
          <w:u w:val="single"/>
        </w:rPr>
        <w:t>Prepayment Charge</w:t>
      </w:r>
      <w:r>
        <w:rPr>
          <w:rFonts w:ascii="Times New Roman" w:hAnsi="Times New Roman"/>
          <w:color w:val="000000"/>
          <w:sz w:val="20"/>
        </w:rPr>
        <w:t xml:space="preserve">” </w:t>
      </w:r>
      <w:r>
        <w:rPr>
          <w:rFonts w:ascii="Times New Roman" w:hAnsi="Times New Roman"/>
          <w:color w:val="000000"/>
          <w:sz w:val="22"/>
        </w:rPr>
        <w:t xml:space="preserve">means (a) the outstanding principal amount of each Advance amount being prepaid, </w:t>
      </w:r>
      <w:r>
        <w:rPr>
          <w:rFonts w:ascii="Times New Roman" w:hAnsi="Times New Roman"/>
          <w:i/>
          <w:color w:val="000000"/>
          <w:sz w:val="22"/>
        </w:rPr>
        <w:t xml:space="preserve">multiplied by </w:t>
      </w:r>
      <w:r>
        <w:rPr>
          <w:rFonts w:ascii="Times New Roman" w:hAnsi="Times New Roman"/>
          <w:color w:val="000000"/>
          <w:sz w:val="22"/>
        </w:rPr>
        <w:t>(b) (i) three percent (3.00%), if the principal amount of such Advance amounts are prepaid on or prior to the date which is twelve (12) months following the Closing Date; (ii) two percent (2.00%), if the principal amount of such Advance amounts are prepaid after the date which is twelve (12) months following the Closing Date but on or prior to the date which is twenty-four (24) months following the Closing Date; and (iii) one percent (1.00%), if after the date which is twenty-four (24) months following the Closing Date through the day before the Term Loan Maturity Date.</w:t>
      </w:r>
    </w:p>
    <w:p>
      <w:pPr>
        <w:pStyle w:val="TextBody"/>
        <w:bidi w:val="0"/>
        <w:spacing w:before="0" w:after="240"/>
        <w:jc w:val="both"/>
        <w:rPr/>
      </w:pPr>
      <w:r>
        <w:rPr>
          <w:color w:val="000000"/>
        </w:rPr>
        <w:t>“</w:t>
      </w:r>
      <w:r>
        <w:rPr>
          <w:rFonts w:ascii="Times New Roman" w:hAnsi="Times New Roman"/>
          <w:b/>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 xml:space="preserve">means the “prime rate” as reported in </w:t>
      </w:r>
      <w:r>
        <w:rPr>
          <w:rFonts w:ascii="Times New Roman" w:hAnsi="Times New Roman"/>
          <w:i/>
          <w:color w:val="000000"/>
          <w:sz w:val="22"/>
        </w:rPr>
        <w:t>The</w:t>
      </w:r>
      <w:r>
        <w:rPr>
          <w:rFonts w:ascii="Times New Roman" w:hAnsi="Times New Roman"/>
          <w:color w:val="000000"/>
          <w:sz w:val="20"/>
        </w:rPr>
        <w:t xml:space="preserve"> </w:t>
      </w:r>
      <w:r>
        <w:rPr>
          <w:rFonts w:ascii="Times New Roman" w:hAnsi="Times New Roman"/>
          <w:i/>
          <w:color w:val="000000"/>
          <w:sz w:val="22"/>
        </w:rPr>
        <w:t>Wall Street Journal</w:t>
      </w:r>
      <w:r>
        <w:rPr>
          <w:rFonts w:ascii="Times New Roman" w:hAnsi="Times New Roman"/>
          <w:color w:val="000000"/>
          <w:sz w:val="20"/>
        </w:rPr>
        <w:t xml:space="preserve"> </w:t>
      </w:r>
      <w:r>
        <w:rPr>
          <w:rFonts w:ascii="Times New Roman" w:hAnsi="Times New Roman"/>
          <w:color w:val="000000"/>
          <w:sz w:val="22"/>
        </w:rPr>
        <w:t>or any successor publication thereto.</w:t>
      </w:r>
    </w:p>
    <w:p>
      <w:pPr>
        <w:pStyle w:val="TextBody"/>
        <w:bidi w:val="0"/>
        <w:spacing w:before="0" w:after="240"/>
        <w:jc w:val="both"/>
        <w:rPr/>
      </w:pPr>
      <w:r>
        <w:rPr>
          <w:color w:val="000000"/>
        </w:rPr>
        <w:t>“</w:t>
      </w:r>
      <w:r>
        <w:rPr>
          <w:rFonts w:ascii="Times New Roman" w:hAnsi="Times New Roman"/>
          <w:b/>
          <w:color w:val="000000"/>
          <w:sz w:val="22"/>
          <w:u w:val="single"/>
        </w:rPr>
        <w:t>RTI Amount</w:t>
      </w:r>
      <w:r>
        <w:rPr>
          <w:rFonts w:ascii="Times New Roman" w:hAnsi="Times New Roman"/>
          <w:color w:val="000000"/>
          <w:sz w:val="20"/>
        </w:rPr>
        <w:t xml:space="preserve">” </w:t>
      </w:r>
      <w:r>
        <w:rPr>
          <w:rFonts w:ascii="Times New Roman" w:hAnsi="Times New Roman"/>
          <w:color w:val="000000"/>
          <w:sz w:val="22"/>
        </w:rPr>
        <w:t>means [* * *] Dollars ($[* *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Subsequent Financing</w:t>
      </w:r>
      <w:r>
        <w:rPr>
          <w:rFonts w:ascii="Times New Roman" w:hAnsi="Times New Roman"/>
          <w:color w:val="000000"/>
          <w:sz w:val="20"/>
        </w:rPr>
        <w:t xml:space="preserve">” </w:t>
      </w:r>
      <w:r>
        <w:rPr>
          <w:rFonts w:ascii="Times New Roman" w:hAnsi="Times New Roman"/>
          <w:color w:val="000000"/>
          <w:sz w:val="22"/>
        </w:rPr>
        <w:t>means the closing of any Borrower financing which becomes effective after the Closing Date that is broadly marketed to multiple investors, which shall not include any Permitted Convertible Debt Financing, Permitted Bond Hedge Transaction or Permitted Warrant Transaction.</w:t>
      </w:r>
    </w:p>
    <w:p>
      <w:pPr>
        <w:pStyle w:val="TextBody"/>
        <w:bidi w:val="0"/>
        <w:spacing w:before="0" w:after="240"/>
        <w:jc w:val="both"/>
        <w:rPr/>
      </w:pPr>
      <w:r>
        <w:rPr>
          <w:color w:val="000000"/>
        </w:rPr>
        <w:t>“</w:t>
      </w:r>
      <w:r>
        <w:rPr>
          <w:rFonts w:ascii="Times New Roman" w:hAnsi="Times New Roman"/>
          <w:b/>
          <w:color w:val="000000"/>
          <w:sz w:val="22"/>
          <w:u w:val="single"/>
        </w:rPr>
        <w:t>Term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1A Commitment”, “Tranche 1B Commitment”, “Tranche 2A Commitment”, “Tranche 2B Commitment”, “Tranche 3 Commitment”, “Tranche 4 Commitment” or “Tranche 5 Commitment”, as the case may be,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Term Loan Interest Rate</w:t>
      </w:r>
      <w:r>
        <w:rPr>
          <w:rFonts w:ascii="Times New Roman" w:hAnsi="Times New Roman"/>
          <w:color w:val="000000"/>
          <w:sz w:val="20"/>
        </w:rPr>
        <w:t xml:space="preserve">” </w:t>
      </w:r>
      <w:r>
        <w:rPr>
          <w:rFonts w:ascii="Times New Roman" w:hAnsi="Times New Roman"/>
          <w:color w:val="000000"/>
          <w:sz w:val="22"/>
        </w:rPr>
        <w:t xml:space="preserve">means a per annum rate of interest equal to (a) in the case of the Tranche 1A Advance, the greater of either (i) the Prime Rate </w:t>
      </w:r>
      <w:r>
        <w:rPr>
          <w:rFonts w:ascii="Times New Roman" w:hAnsi="Times New Roman"/>
          <w:i/>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two percent (2.00%) and (ii) eight and three-quarter percent (8.75%) and (b) in the case of any Term Loan Advance (other than the Tranche 1A Advance), the greater of either (i) the Prime Rate </w:t>
      </w:r>
      <w:r>
        <w:rPr>
          <w:rFonts w:ascii="Times New Roman" w:hAnsi="Times New Roman"/>
          <w:i/>
          <w:color w:val="000000"/>
          <w:sz w:val="22"/>
          <w:u w:val="single"/>
        </w:rPr>
        <w:t>plus</w:t>
      </w:r>
      <w:r>
        <w:rPr>
          <w:rFonts w:ascii="Times New Roman" w:hAnsi="Times New Roman"/>
          <w:color w:val="000000"/>
          <w:sz w:val="20"/>
        </w:rPr>
        <w:t xml:space="preserve"> </w:t>
      </w:r>
      <w:r>
        <w:rPr>
          <w:rFonts w:ascii="Times New Roman" w:hAnsi="Times New Roman"/>
          <w:color w:val="000000"/>
          <w:sz w:val="22"/>
        </w:rPr>
        <w:t>two and one-half percent (2.50%), and (ii) nine and one-quarter percent (9.25%); provided, that in no event shall the Term Loan Interest Rate with respect to any Term Loan Advance exceed the per annum rate of interest that is three-quarters of one percent (0.75%) higher than the Term Loan Interest Rate with respect to such Term Loan Advance on the Advance Date of such Term Loan Advance.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means June 1, 2031.</w:t>
      </w:r>
    </w:p>
    <w:p>
      <w:pPr>
        <w:pStyle w:val="TextBody"/>
        <w:bidi w:val="0"/>
        <w:spacing w:before="0" w:after="240"/>
        <w:jc w:val="both"/>
        <w:rPr/>
      </w:pPr>
      <w:r>
        <w:rPr>
          <w:color w:val="000000"/>
        </w:rPr>
        <w:t>“</w:t>
      </w:r>
      <w:r>
        <w:rPr>
          <w:rFonts w:ascii="Times New Roman" w:hAnsi="Times New Roman"/>
          <w:b/>
          <w:color w:val="000000"/>
          <w:sz w:val="22"/>
          <w:u w:val="single"/>
        </w:rPr>
        <w:t>Tranche 1A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1A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Tranche 1B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1B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Tranche 1B Commitment Period</w:t>
      </w:r>
      <w:r>
        <w:rPr>
          <w:rFonts w:ascii="Times New Roman" w:hAnsi="Times New Roman"/>
          <w:color w:val="000000"/>
          <w:sz w:val="20"/>
        </w:rPr>
        <w:t xml:space="preserve">” </w:t>
      </w:r>
      <w:r>
        <w:rPr>
          <w:rFonts w:ascii="Times New Roman" w:hAnsi="Times New Roman"/>
          <w:color w:val="000000"/>
          <w:sz w:val="22"/>
        </w:rPr>
        <w:t>means the period beginning on the Closing Date and continuing through June 15, 2027.</w:t>
      </w:r>
    </w:p>
    <w:p>
      <w:pPr>
        <w:pStyle w:val="TextBody"/>
        <w:bidi w:val="0"/>
        <w:spacing w:before="0" w:after="240"/>
        <w:jc w:val="both"/>
        <w:rPr/>
      </w:pPr>
      <w:r>
        <w:rPr>
          <w:color w:val="000000"/>
        </w:rPr>
        <w:t>“</w:t>
      </w:r>
      <w:r>
        <w:rPr>
          <w:rFonts w:ascii="Times New Roman" w:hAnsi="Times New Roman"/>
          <w:b/>
          <w:color w:val="000000"/>
          <w:sz w:val="22"/>
          <w:u w:val="single"/>
        </w:rPr>
        <w:t>Tranche 2A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2A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Tranche 2A Commitment Period</w:t>
      </w:r>
      <w:r>
        <w:rPr>
          <w:rFonts w:ascii="Times New Roman" w:hAnsi="Times New Roman"/>
          <w:color w:val="000000"/>
          <w:sz w:val="20"/>
        </w:rPr>
        <w:t xml:space="preserve">” </w:t>
      </w:r>
      <w:r>
        <w:rPr>
          <w:rFonts w:ascii="Times New Roman" w:hAnsi="Times New Roman"/>
          <w:color w:val="000000"/>
          <w:sz w:val="22"/>
        </w:rPr>
        <w:t>means the period beginning on the first date on which (x) Borrower shall have achieved the Tranche 2 Early Draw Milestone and (y) Borrower shall have drawn the entire amount of the Tranche 1A Commitment and the Tranche 1B Commitment and continuing through the date that is five (5) Business Days after the date on which Borrower shall have achieved the Tranche 2 Early Draw Milestone.</w:t>
      </w:r>
    </w:p>
    <w:p>
      <w:pPr>
        <w:pStyle w:val="TextBody"/>
        <w:bidi w:val="0"/>
        <w:spacing w:before="0" w:after="240"/>
        <w:jc w:val="both"/>
        <w:rPr/>
      </w:pPr>
      <w:r>
        <w:rPr>
          <w:color w:val="000000"/>
        </w:rPr>
        <w:t>“</w:t>
      </w:r>
      <w:r>
        <w:rPr>
          <w:rFonts w:ascii="Times New Roman" w:hAnsi="Times New Roman"/>
          <w:b/>
          <w:color w:val="000000"/>
          <w:sz w:val="22"/>
          <w:u w:val="single"/>
        </w:rPr>
        <w:t>Tranche 2B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sum of (a) the amount set forth under the heading Tranche 2B Commitment opposite such Lender’s name on </w:t>
      </w:r>
      <w:r>
        <w:rPr>
          <w:rFonts w:ascii="Times New Roman" w:hAnsi="Times New Roman"/>
          <w:color w:val="000000"/>
          <w:sz w:val="22"/>
          <w:u w:val="single"/>
        </w:rPr>
        <w:t>Schedule 1.1</w:t>
      </w:r>
      <w:r>
        <w:rPr>
          <w:rFonts w:ascii="Times New Roman" w:hAnsi="Times New Roman"/>
          <w:color w:val="000000"/>
          <w:sz w:val="20"/>
        </w:rPr>
        <w:t xml:space="preserve"> </w:t>
      </w:r>
      <w:r>
        <w:rPr>
          <w:rFonts w:ascii="Times New Roman" w:hAnsi="Times New Roman"/>
          <w:color w:val="000000"/>
          <w:sz w:val="22"/>
        </w:rPr>
        <w:t>and (b) the aggregate amount of the unfunded Tranche 2A Commitment as of any date of determination.</w:t>
      </w:r>
    </w:p>
    <w:p>
      <w:pPr>
        <w:pStyle w:val="TextBody"/>
        <w:bidi w:val="0"/>
        <w:spacing w:before="0" w:after="240"/>
        <w:jc w:val="both"/>
        <w:rPr/>
      </w:pPr>
      <w:r>
        <w:rPr>
          <w:color w:val="000000"/>
        </w:rPr>
        <w:t>“</w:t>
      </w:r>
      <w:r>
        <w:rPr>
          <w:rFonts w:ascii="Times New Roman" w:hAnsi="Times New Roman"/>
          <w:b/>
          <w:color w:val="000000"/>
          <w:sz w:val="22"/>
          <w:u w:val="single"/>
        </w:rPr>
        <w:t>Tranche 2B Commitment Period</w:t>
      </w:r>
      <w:r>
        <w:rPr>
          <w:rFonts w:ascii="Times New Roman" w:hAnsi="Times New Roman"/>
          <w:color w:val="000000"/>
          <w:sz w:val="20"/>
        </w:rPr>
        <w:t xml:space="preserve">” </w:t>
      </w:r>
      <w:r>
        <w:rPr>
          <w:rFonts w:ascii="Times New Roman" w:hAnsi="Times New Roman"/>
          <w:color w:val="000000"/>
          <w:sz w:val="22"/>
        </w:rPr>
        <w:t>means the period beginning on the first date on which Borrower shall have achieved the Tranche 2 Milestone and continuing through December 15, 2027.</w:t>
      </w:r>
    </w:p>
    <w:p>
      <w:pPr>
        <w:pStyle w:val="TextBody"/>
        <w:bidi w:val="0"/>
        <w:spacing w:before="0" w:after="240"/>
        <w:jc w:val="both"/>
        <w:rPr/>
      </w:pPr>
      <w:r>
        <w:rPr>
          <w:color w:val="000000"/>
        </w:rPr>
        <w:t>“</w:t>
      </w:r>
      <w:r>
        <w:rPr>
          <w:rFonts w:ascii="Times New Roman" w:hAnsi="Times New Roman"/>
          <w:b/>
          <w:color w:val="000000"/>
          <w:sz w:val="22"/>
          <w:u w:val="single"/>
        </w:rPr>
        <w:t>Tranche 2 Early Draw Milestone</w:t>
      </w:r>
      <w:r>
        <w:rPr>
          <w:rFonts w:ascii="Times New Roman" w:hAnsi="Times New Roman"/>
          <w:color w:val="000000"/>
          <w:sz w:val="20"/>
        </w:rPr>
        <w:t xml:space="preserve">” </w:t>
      </w:r>
      <w:r>
        <w:rPr>
          <w:rFonts w:ascii="Times New Roman" w:hAnsi="Times New Roman"/>
          <w:color w:val="000000"/>
          <w:sz w:val="22"/>
        </w:rPr>
        <w:t>means the satisfaction of the following events: (a) no Default or Event of Default shall have occurred; (b) Borrower shall have achieved and reported the [* * *] with respect to 4FRONT-1, which together support the Borrower’s target product profile for 4D-150 and the</w:t>
      </w:r>
      <w:r>
        <w:rPr>
          <w:rFonts w:ascii="Times New Roman" w:hAnsi="Times New Roman"/>
          <w:color w:val="000000"/>
          <w:sz w:val="20"/>
        </w:rPr>
        <w:t xml:space="preserve">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submission of a Biologics License Application to the FDA as the next immediate step in development, as determined by Borrower, subject to reasonable verification by Agent in its reasonable discretion (including supporting documentation reasonably requested by Agent); and (c) either (i) Company shall have delivered to Agent evidence in form and substance reasonably acceptable to Agent that, after Closing Date and prior to initial Advance Date with respect to a Tranche 2A Advance, Company has received greater than or equal to [* * *] Dollars ($[* * *]) in unrestricted (including, not subject to any redemption, clawback, escrow or similar encumbrance or restriction) Qualified Equity Issuance Net Proceeds, subject to verification by Agent in its reasonable discretion (including supporting documentation reasonably requested by Agent); provided, that in no event shall any Qualified Equity Issuance Net Proceeds attributable to Permitted Convertible Debt be included for purposes of this clause (c)(i); or (ii) Company’s Market Capitalization shall be greater than or equal to [* * *] Dollars ($[* * *]) for [* * *] consecutive Trading Days following Borrower’s announcement of 4FRONT-1 topline data.</w:t>
      </w:r>
    </w:p>
    <w:p>
      <w:pPr>
        <w:pStyle w:val="TextBody"/>
        <w:bidi w:val="0"/>
        <w:jc w:val="both"/>
        <w:rPr/>
      </w:pPr>
      <w:r>
        <w:rPr>
          <w:color w:val="000000"/>
        </w:rPr>
        <w:t>“</w:t>
      </w:r>
      <w:r>
        <w:rPr>
          <w:rFonts w:ascii="Times New Roman" w:hAnsi="Times New Roman"/>
          <w:b/>
          <w:color w:val="000000"/>
          <w:sz w:val="22"/>
          <w:u w:val="single"/>
        </w:rPr>
        <w:t>Tranche 2 Milestone</w:t>
      </w:r>
      <w:r>
        <w:rPr>
          <w:rFonts w:ascii="Times New Roman" w:hAnsi="Times New Roman"/>
          <w:color w:val="000000"/>
          <w:sz w:val="20"/>
        </w:rPr>
        <w:t xml:space="preserve">” </w:t>
      </w:r>
      <w:r>
        <w:rPr>
          <w:rFonts w:ascii="Times New Roman" w:hAnsi="Times New Roman"/>
          <w:color w:val="000000"/>
          <w:sz w:val="22"/>
        </w:rPr>
        <w:t>means the satisfaction of the following events: (a) no Default or Event of Default shall have occurred; (b) Borrower shall have achieved and reported the [* * *] with respect to 4FRONT-1 and 4FRONT-2, which together support the Borrower’s target product profile for 4D-150 and the submission of a Biologics License Application to the FDA as the next immediate step in development of 4D-150, as determined by Borrower subject to reasonable verification by Agent in its reasonable discretion (including supporting documentation reasonably requested by Agent); and (c) either (i) Company shall have delivered to Agent evidence in form and substance reasonably acceptable to Agent that, after Closing Date and prior to December 15, 2027, Company has received greater than or equal to $[* * *] in unrestricted (including, not subject to any redemption, clawback, escrow or similar encumbrance or restriction) Qualified Equity Issuance Net Proceeds, subject to verification by Agent in its reasonable discretion (including supporting documentation reasonably requested by Agent); provided that no more than [* * *] Dollars ($[* * *]) of Qualified Equity Issuance Net Proceeds attributable to Permitted Convertible Debt shall be included for purposes of this clause (c)(i); or (ii) Company’s Market Capitalization shall be greater than or equal to [* * *] Dollars ($[* * *]) for [* * *] consecutive Trading Days following Borrower’s announcement of 4FRONT-2 topline data.</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3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if any, to make a Term Loan Advance to Borrower in a principal amount not to exceed the amount set forth under the heading Tranche 3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3 Commitment Period</w:t>
      </w:r>
      <w:r>
        <w:rPr>
          <w:rFonts w:ascii="Times New Roman" w:hAnsi="Times New Roman"/>
          <w:color w:val="000000"/>
          <w:sz w:val="20"/>
        </w:rPr>
        <w:t xml:space="preserve">” </w:t>
      </w:r>
      <w:r>
        <w:rPr>
          <w:rFonts w:ascii="Times New Roman" w:hAnsi="Times New Roman"/>
          <w:color w:val="000000"/>
          <w:sz w:val="22"/>
        </w:rPr>
        <w:t>means the period beginning on the first date on which (i) Borrower shall have achieved the Tranche 3 Milestone and (ii) Borrower shall have drawn the entire amount of the Tranche 2A Commitment and the Tranche 2B Commitment or the Tranche 2A Commitment and the Tranche 2B Commitment shall have expired, and continuing through March 15, 2029.</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3 Milestone</w:t>
      </w:r>
      <w:r>
        <w:rPr>
          <w:rFonts w:ascii="Times New Roman" w:hAnsi="Times New Roman"/>
          <w:color w:val="000000"/>
          <w:sz w:val="20"/>
        </w:rPr>
        <w:t xml:space="preserve">” </w:t>
      </w:r>
      <w:r>
        <w:rPr>
          <w:rFonts w:ascii="Times New Roman" w:hAnsi="Times New Roman"/>
          <w:color w:val="000000"/>
          <w:sz w:val="22"/>
        </w:rPr>
        <w:t>means the satisfaction of the following events: (a) no Default or Event of Default shall have occurred; (b) Borrower shall have achieved the Approval Milestone; and (c) either (i) Company shall have delivered to Agent evidence in form and substance reasonably acceptable to Agent that, after Closing Date and prior to December 15, 2028, Company has received greater than or equal to [* * *] in unrestricted (including, not subject to any redemption, clawback, escrow or similar encumbrance or restriction) Qualified Equity Issuance Net Proceeds, subject to verification by Agent in its reasonable discretion (including supporting documentation reasonably requested by Agent); provided that no more than [* * *] Dollars ($[* * *]) of Qualified Equity Issuance Net Proceeds attributable to Permitted Convertible Debt (on a cumulative basis, inclusive of any amounts counted toward satisfaction of the Tranche 2 Milestone or Tranche 2 Early Draw Milestone) shall be included for purposes of this clause (c)(i) or (ii) Company’s Market Capitalization shall be greater than or equal to [* * *] Dollars ($[* * *]) for [* * *] consecutive Trading Days following Borrower’s announcement of its achievement of the Approval Milestone.</w:t>
      </w:r>
    </w:p>
    <w:p>
      <w:pPr>
        <w:pStyle w:val="TextBody"/>
        <w:bidi w:val="0"/>
        <w:jc w:val="both"/>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both"/>
        <w:rPr/>
      </w:pPr>
      <w:r>
        <w:rPr>
          <w:color w:val="000000"/>
        </w:rPr>
        <w:t>“</w:t>
      </w:r>
      <w:r>
        <w:rPr>
          <w:rFonts w:ascii="Times New Roman" w:hAnsi="Times New Roman"/>
          <w:b/>
          <w:color w:val="000000"/>
          <w:sz w:val="22"/>
          <w:u w:val="single"/>
        </w:rPr>
        <w:t>Tranche 4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4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4 Commitment Period</w:t>
      </w:r>
      <w:r>
        <w:rPr>
          <w:rFonts w:ascii="Times New Roman" w:hAnsi="Times New Roman"/>
          <w:color w:val="000000"/>
          <w:sz w:val="20"/>
        </w:rPr>
        <w:t xml:space="preserve">” </w:t>
      </w:r>
      <w:r>
        <w:rPr>
          <w:rFonts w:ascii="Times New Roman" w:hAnsi="Times New Roman"/>
          <w:color w:val="000000"/>
          <w:sz w:val="22"/>
        </w:rPr>
        <w:t>means the period beginning on the first date on which (i) Borrower shall have achieved the Tranche 4 Milestone and (ii) Borrower shall have drawn the entire amount of the Tranche 3 Commitment or the Tranche 3 Commitment shall have expired, and continuing through December 15, 2029.</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4 Milestone</w:t>
      </w:r>
      <w:r>
        <w:rPr>
          <w:rFonts w:ascii="Times New Roman" w:hAnsi="Times New Roman"/>
          <w:color w:val="000000"/>
          <w:sz w:val="20"/>
        </w:rPr>
        <w:t xml:space="preserve">” </w:t>
      </w:r>
      <w:r>
        <w:rPr>
          <w:rFonts w:ascii="Times New Roman" w:hAnsi="Times New Roman"/>
          <w:color w:val="000000"/>
          <w:sz w:val="22"/>
        </w:rPr>
        <w:t>means the satisfaction of the following events: (a) no Default or Event of Default shall have occurred; (b) Borrower shall have achieved the Approval Milestone; (c) either (i) Company shall have delivered to Agent evidence in form and substance reasonably acceptable to Agent that, after Closing Date, Company has received greater than or equal to [* * *] in unrestricted (including, not subject to any redemption, clawback, escrow or similar encumbrance or restriction) Qualified Equity Issuance Net Proceeds, subject to verification by Agent in its reasonable discretion (including supporting documentation reasonably requested by Agent); provided that no more than [* * *] Dollars ($[* * *)] of Qualified Equity Issuance Net Proceeds attributable to Permitted Convertible Debt shall be included for purposes of this clause (c)(i); or (ii) Company’s Market Capitalization shall be greater than or equal to [* * *] Dollars ($[* * *)] for [* * *] consecutive Trading Days following Borrower’s announcement of its achievement of the Approval Milestone; and (d) Borrower shall have achieved Net Product Revenue from the sale of 4D-150 in the United States, measured on a trailing three (3) month basis, of greater than or equal to [* * *Dollars ($[* * *]) for any reporting period ending on or prior to October 31, 2029.</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5 Commitment</w:t>
      </w:r>
      <w:r>
        <w:rPr>
          <w:rFonts w:ascii="Times New Roman" w:hAnsi="Times New Roman"/>
          <w:color w:val="000000"/>
          <w:sz w:val="20"/>
        </w:rPr>
        <w:t xml:space="preserve">” </w:t>
      </w:r>
      <w:r>
        <w:rPr>
          <w:rFonts w:ascii="Times New Roman" w:hAnsi="Times New Roman"/>
          <w:color w:val="000000"/>
          <w:sz w:val="22"/>
        </w:rPr>
        <w:t xml:space="preserve">means the obligation, if any, of any Lender to make a Term Loan Advance to Borrower in a principal amount not to exceed the amount set forth under the heading Tranche 5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5 Commitment Period</w:t>
      </w:r>
      <w:r>
        <w:rPr>
          <w:rFonts w:ascii="Times New Roman" w:hAnsi="Times New Roman"/>
          <w:color w:val="000000"/>
          <w:sz w:val="20"/>
        </w:rPr>
        <w:t xml:space="preserve">” </w:t>
      </w:r>
      <w:r>
        <w:rPr>
          <w:rFonts w:ascii="Times New Roman" w:hAnsi="Times New Roman"/>
          <w:color w:val="000000"/>
          <w:sz w:val="22"/>
        </w:rPr>
        <w:t>the period beginning on Closing Date and continuing through the day immediately preceding the Amortization Date.</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u w:val="single"/>
        </w:rPr>
        <w:t>Tranche Facility Charge</w:t>
      </w:r>
      <w:r>
        <w:rPr>
          <w:rFonts w:ascii="Times New Roman" w:hAnsi="Times New Roman"/>
          <w:color w:val="000000"/>
          <w:sz w:val="20"/>
        </w:rPr>
        <w:t xml:space="preserve">” </w:t>
      </w:r>
      <w:r>
        <w:rPr>
          <w:rFonts w:ascii="Times New Roman" w:hAnsi="Times New Roman"/>
          <w:color w:val="000000"/>
          <w:sz w:val="22"/>
        </w:rPr>
        <w:t>means one percent (1.00%) of any Advance (other than a Tranche 1A Advance or Tranche 1B Advance).</w:t>
      </w:r>
    </w:p>
    <w:p>
      <w:pPr>
        <w:pStyle w:val="TextBody"/>
        <w:bidi w:val="0"/>
        <w:jc w:val="both"/>
        <w:rPr/>
      </w:pPr>
      <w:r>
        <w:rPr/>
        <w:t> </w:t>
      </w:r>
    </w:p>
    <w:p>
      <w:pPr>
        <w:pStyle w:val="TextBody"/>
        <w:bidi w:val="0"/>
        <w:jc w:val="both"/>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COMMITMENTS</w:t>
      </w:r>
    </w:p>
    <w:tbl>
      <w:tblPr>
        <w:tblW w:w="10688" w:type="dxa"/>
        <w:jc w:val="left"/>
        <w:tblInd w:w="0" w:type="dxa"/>
        <w:tblLayout w:type="fixed"/>
        <w:tblCellMar>
          <w:top w:w="28" w:type="dxa"/>
          <w:left w:w="28" w:type="dxa"/>
          <w:bottom w:w="28" w:type="dxa"/>
          <w:right w:w="28" w:type="dxa"/>
        </w:tblCellMar>
      </w:tblPr>
      <w:tblGrid>
        <w:gridCol w:w="1381"/>
        <w:gridCol w:w="1306"/>
        <w:gridCol w:w="1306"/>
        <w:gridCol w:w="1306"/>
        <w:gridCol w:w="1366"/>
        <w:gridCol w:w="1306"/>
        <w:gridCol w:w="1306"/>
        <w:gridCol w:w="1411"/>
      </w:tblGrid>
      <w:tr>
        <w:trPr/>
        <w:tc>
          <w:tcPr>
            <w:tcW w:w="13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LENDERS</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TRANCHE 1A COMMITMENT</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TRANCHE 1B COMMITMENT</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TRANCHE 2A COMMITMENT</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sz w:val="16"/>
              </w:rPr>
            </w:pPr>
            <w:r>
              <w:rPr>
                <w:rFonts w:ascii="Times New Roman" w:hAnsi="Times New Roman"/>
                <w:b/>
                <w:color w:val="000000"/>
                <w:sz w:val="16"/>
              </w:rPr>
              <w:t>TRANCHE 2B COMMITMENT</w:t>
            </w:r>
            <w:r>
              <w:rPr>
                <w:rFonts w:ascii="Times New Roman" w:hAnsi="Times New Roman"/>
                <w:b/>
                <w:color w:val="000000"/>
                <w:sz w:val="11"/>
              </w:rPr>
              <w:t>2</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TRANCHE 3 COMMITMENT</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16"/>
              </w:rPr>
            </w:pPr>
            <w:r>
              <w:rPr>
                <w:rFonts w:ascii="Times New Roman" w:hAnsi="Times New Roman"/>
                <w:b/>
                <w:color w:val="000000"/>
                <w:sz w:val="16"/>
              </w:rPr>
              <w:t>TRANCHE 4 COMMITMENT</w:t>
            </w:r>
          </w:p>
        </w:tc>
        <w:tc>
          <w:tcPr>
            <w:tcW w:w="14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sz w:val="16"/>
              </w:rPr>
            </w:pPr>
            <w:r>
              <w:rPr>
                <w:rFonts w:ascii="Times New Roman" w:hAnsi="Times New Roman"/>
                <w:b/>
                <w:color w:val="000000"/>
                <w:sz w:val="16"/>
              </w:rPr>
              <w:t>TRANCHE 5 COMMITMENT</w:t>
            </w:r>
            <w:r>
              <w:rPr>
                <w:rFonts w:ascii="Times New Roman" w:hAnsi="Times New Roman"/>
                <w:b/>
                <w:color w:val="000000"/>
                <w:sz w:val="11"/>
              </w:rPr>
              <w:t>3</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16"/>
              </w:rPr>
              <w:t>[</w:t>
            </w:r>
            <w:r>
              <w:rPr>
                <w:rFonts w:ascii="Times New Roman" w:hAnsi="Times New Roman"/>
                <w:color w:val="000000"/>
                <w:sz w:val="22"/>
              </w:rPr>
              <w:t>* * *</w:t>
            </w:r>
            <w:r>
              <w:rPr>
                <w:rFonts w:ascii="Times New Roman" w:hAnsi="Times New Roman"/>
                <w:color w:val="000000"/>
                <w:sz w:val="16"/>
              </w:rPr>
              <w:t>]</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16"/>
              </w:rPr>
            </w:pPr>
            <w:r>
              <w:rPr>
                <w:rFonts w:ascii="Times New Roman" w:hAnsi="Times New Roman"/>
                <w:color w:val="000000"/>
                <w:sz w:val="16"/>
              </w:rPr>
              <w:t>TOTAL COMMITMENTS</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$20,000,000.00</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$30,000,000.00</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$12,500,000.00</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$12,500,000.00</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$50,000,000.00</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$25,000,000.00</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40"/>
              <w:jc w:val="center"/>
              <w:rPr>
                <w:rFonts w:ascii="Times New Roman" w:hAnsi="Times New Roman"/>
                <w:b/>
                <w:color w:val="000000"/>
                <w:sz w:val="16"/>
              </w:rPr>
            </w:pPr>
            <w:r>
              <w:rPr>
                <w:rFonts w:ascii="Times New Roman" w:hAnsi="Times New Roman"/>
                <w:b/>
                <w:color w:val="000000"/>
                <w:sz w:val="16"/>
              </w:rPr>
              <w:t>$50,000,000.00</w:t>
            </w:r>
          </w:p>
        </w:tc>
      </w:tr>
    </w:tbl>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 Tranche 2B Commitment for each Lender is the Tranche 2B Commitment amount set forth above plus the aggregate amount of the unfunded Tranche 2A Commitment for such Lender as of any date of determination.</w:t>
      </w:r>
    </w:p>
    <w:p>
      <w:pPr>
        <w:pStyle w:val="TextBody"/>
        <w:bidi w:val="0"/>
        <w:spacing w:before="0" w:after="24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Conditioned on approval by Lenders’ investment committee in its sole and unfettered discretion.</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7.24</w:t>
      </w:r>
    </w:p>
    <w:p>
      <w:pPr>
        <w:pStyle w:val="TextBody"/>
        <w:bidi w:val="0"/>
        <w:spacing w:before="0" w:after="240"/>
        <w:jc w:val="center"/>
        <w:rPr>
          <w:rFonts w:ascii="Times New Roman" w:hAnsi="Times New Roman"/>
          <w:sz w:val="20"/>
        </w:rPr>
      </w:pPr>
      <w:r>
        <w:rPr>
          <w:rFonts w:ascii="Times New Roman" w:hAnsi="Times New Roman"/>
          <w:b/>
          <w:color w:val="000000"/>
          <w:sz w:val="22"/>
        </w:rPr>
        <w:t>[* * *</w:t>
      </w:r>
      <w:r>
        <w:rPr>
          <w:rFonts w:ascii="Times New Roman" w:hAnsi="Times New Roman"/>
          <w:color w:val="000000"/>
          <w:sz w:val="22"/>
        </w:rPr>
        <w: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fdmt-ex31_1.htm"/>
      <w:bookmarkStart w:id="27" w:name="ksfdmtex31_1"/>
      <w:bookmarkEnd w:id="26"/>
      <w:bookmarkEnd w:id="27"/>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Times New Roman" w:hAnsi="Times New Roman"/>
          <w:sz w:val="20"/>
        </w:rPr>
      </w:pPr>
      <w:r>
        <w:rPr>
          <w:rFonts w:ascii="Arial" w:hAnsi="Arial"/>
          <w:b/>
          <w:color w:val="000000"/>
          <w:sz w:val="20"/>
        </w:rPr>
        <w:t>PURSUANT TO RULES 13a-14(a)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15d-14(a) UNDER THE EXCHANGE ACT OF 1934,</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David Kirn,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2176"/>
        <w:gridCol w:w="451"/>
        <w:gridCol w:w="3436"/>
      </w:tblGrid>
      <w:tr>
        <w:trPr/>
        <w:tc>
          <w:tcPr>
            <w:tcW w:w="21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Dated: August 13,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David Kirn</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Kirn</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mt-ex31_2.htm"/>
      <w:bookmarkStart w:id="29" w:name="ksfdmtex31_2"/>
      <w:bookmarkEnd w:id="28"/>
      <w:bookmarkEnd w:id="29"/>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Times New Roman" w:hAnsi="Times New Roman"/>
          <w:sz w:val="20"/>
        </w:rPr>
      </w:pPr>
      <w:r>
        <w:rPr>
          <w:rFonts w:ascii="Arial" w:hAnsi="Arial"/>
          <w:b/>
          <w:color w:val="000000"/>
          <w:sz w:val="20"/>
        </w:rPr>
        <w:t>PURSUANT TO EXCHANGE ACT RULES 13a-14(a) AND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Kristian Humer,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Quarterly Report on Form 10-Q of 4D Molecular Therapeutics,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2176"/>
        <w:gridCol w:w="451"/>
        <w:gridCol w:w="3916"/>
      </w:tblGrid>
      <w:tr>
        <w:trPr/>
        <w:tc>
          <w:tcPr>
            <w:tcW w:w="21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Dated: August 13,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Kristian Humer</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Kristian Humer</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Chief Financial Officer</w:t>
              <w:b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mt-ex32_1.htm"/>
      <w:bookmarkStart w:id="31" w:name="ksfdmtex32_1"/>
      <w:bookmarkEnd w:id="30"/>
      <w:bookmarkEnd w:id="31"/>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CERTIFICATIONS OF PRINCIPAL EXECUTIVE OFFICER AND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w:t>
      </w:r>
    </w:p>
    <w:p>
      <w:pPr>
        <w:pStyle w:val="TextBody"/>
        <w:bidi w:val="0"/>
        <w:jc w:val="center"/>
        <w:rPr>
          <w:rFonts w:ascii="Arial" w:hAnsi="Arial"/>
          <w:b/>
          <w:color w:val="000000"/>
          <w:sz w:val="20"/>
        </w:rPr>
      </w:pPr>
      <w:r>
        <w:rPr>
          <w:rFonts w:ascii="Arial" w:hAnsi="Arial"/>
          <w:b/>
          <w:color w:val="000000"/>
          <w:sz w:val="20"/>
        </w:rPr>
        <w:t>AS ADOPTED PURSUANT TO SECTION 906</w:t>
      </w:r>
    </w:p>
    <w:p>
      <w:pPr>
        <w:pStyle w:val="TextBody"/>
        <w:bidi w:val="0"/>
        <w:jc w:val="center"/>
        <w:rPr>
          <w:rFonts w:ascii="Arial" w:hAnsi="Arial"/>
          <w:b/>
          <w:color w:val="000000"/>
          <w:sz w:val="20"/>
        </w:rPr>
      </w:pPr>
      <w:r>
        <w:rPr>
          <w:rFonts w:ascii="Arial" w:hAnsi="Arial"/>
          <w:b/>
          <w:color w:val="000000"/>
          <w:sz w:val="20"/>
        </w:rPr>
        <w:t>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Quarterly Report on Form 10-Q (the “Report”) of 4D Molecular Therapeutics, Inc. (the “Company”) for the period ended June 30, 2026, David Kirn, as President and Chief Executive Officer of the Company, and Kristian Humer, as Chief Financial Officer of the Company, each hereby certify, pursuant to 18 U.S.C. Section 1350, as adopted pursuant to Section 906 of the Sarbanes-Oxley Act of 2002, that, to the best of his knowledge: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 xml:space="preserve">the Company’s Report for the period ended June 30, 2026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the information contained in such Report fairly presents, in all material respects, the financial condition and results of operations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Dated: August 13, 2026</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421"/>
        <w:gridCol w:w="3436"/>
      </w:tblGrid>
      <w:tr>
        <w:trPr/>
        <w:tc>
          <w:tcPr>
            <w:tcW w:w="42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Kirn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Kirn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Dated: August 13, 2026</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421"/>
        <w:gridCol w:w="3916"/>
      </w:tblGrid>
      <w:tr>
        <w:trPr/>
        <w:tc>
          <w:tcPr>
            <w:tcW w:w="42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Kristian Humer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Kristian Humer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0648/000119312520318186/d13863dex31.htm" TargetMode="External"/><Relationship Id="rId3" Type="http://schemas.openxmlformats.org/officeDocument/2006/relationships/hyperlink" Target="https://www.sec.gov/Archives/edgar/data/1650648/000119312525228289/fdmt-ex3_1.htm" TargetMode="External"/><Relationship Id="rId4" Type="http://schemas.openxmlformats.org/officeDocument/2006/relationships/hyperlink" Target="https://www.sec.gov/Archives/edgar/data/1650648/000119312526114075/fdmt-ex4_1.htm" TargetMode="External"/><Relationship Id="rId5" Type="http://schemas.openxmlformats.org/officeDocument/2006/relationships/hyperlink" Target="https://www.sec.gov/Archives/edgar/data/1650648/000119312520311111/d69563dex42.htm" TargetMode="External"/><Relationship Id="rId6" Type="http://schemas.openxmlformats.org/officeDocument/2006/relationships/hyperlink" Target="https://www.sec.gov/Archives/edgar/data/1650648/000119312524030203/d185041dex41.htm" TargetMode="External"/><Relationship Id="rId7" Type="http://schemas.openxmlformats.org/officeDocument/2006/relationships/hyperlink" Target="https://www.sec.gov/Archives/edgar/data/1650648/000095017024126370/fdmt-ex4_4.htm" TargetMode="External"/><Relationship Id="rId8" Type="http://schemas.openxmlformats.org/officeDocument/2006/relationships/hyperlink" Target="https://www.sec.gov/Archives/edgar/data/1650648/000095017024135381/fdmt-ex4_1.htm" TargetMode="External"/><Relationship Id="rId9" Type="http://schemas.openxmlformats.org/officeDocument/2006/relationships/hyperlink" Target="https://www.sec.gov/Archives/edgar/data/1650648/000119312525272286/d89818dex41.htm" TargetMode="External"/><Relationship Id="rId10" Type="http://schemas.openxmlformats.org/officeDocument/2006/relationships/hyperlink" Target="https://www.sec.gov/Archives/edgar/data/1650648/000119312526022559/fdmt-ex4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114592</Words>
  <Characters>627930</Characters>
  <CharactersWithSpaces>742730</CharactersWithSpaces>
  <Paragraphs>7724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