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4D MOLECULAR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JERSEY</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5,247,151.00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5,247,151.00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5,247,151.00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4D MOLECULAR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5858 HORTON STREET #455 EMERYVILLE, CA 94608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Bishopsgate EC2M 3AE, United Kingdom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Y9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80"/>
        <w:spacing w:after="0" w:line="246" w:lineRule="auto"/>
        <w:rPr>
          <w:sz w:val="20"/>
          <w:szCs w:val="20"/>
          <w:color w:val="auto"/>
        </w:rPr>
      </w:pPr>
      <w:r>
        <w:rPr>
          <w:rFonts w:ascii="Times New Roman" w:cs="Times New Roman" w:eastAsia="Times New Roman" w:hAnsi="Times New Roman"/>
          <w:sz w:val="21"/>
          <w:szCs w:val="21"/>
          <w:color w:val="auto"/>
        </w:rPr>
        <w:t>Janus Henderson Group plc (JHG) is the ultimate parent of a number of SEC-registered investment advisers and foreign equivalents thereof, including but not limited to Janus Henderson Investors US LLC, Janus Henderson Investors UK Limited, Janus Henderson Investors Australia Institutional Funds Management Limited, Janus Henderson Investors Middle East Limited, Janus Henderson Investors (Jersey) Limited, Janus Henderson Investors (Japan) Limited, Janus Henderson Investors (Singapore) Limited, Kapstream Capital Pty Limited, Privacore Capital</w:t>
      </w:r>
    </w:p>
    <w:p>
      <w:pPr>
        <w:spacing w:after="0" w:line="1" w:lineRule="exact"/>
        <w:rPr>
          <w:sz w:val="20"/>
          <w:szCs w:val="20"/>
          <w:color w:val="auto"/>
        </w:rPr>
      </w:pPr>
    </w:p>
    <w:p>
      <w:pPr>
        <w:ind w:left="920" w:right="20" w:hanging="912"/>
        <w:spacing w:after="0" w:line="232"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Advisors LLC, Tabula Investment Management Limited, and Victory Park Capital Advisors LLC (each, an Asset Manager and together, the Asset Managers). The Asset Managers generally exercise investment and/or voting discretion on behalf of their clients which include investment companies, other investment advisers, institutional separate accounts and retail separate accounts (collectively referred to herein as Managed Portfolios). As a result of their exercise of investment and/or voting discretion on behalf of the Managed Portfolios, the Asset Managers may be deemed to be the beneficial owner of 5,247,151 common stock of 4D Molecular Therapeutics, Inc. However, the Asset Managers do not have the right to receive any dividends from, or the proceeds from the sale of, the securities held in the Managed Portfolios and disclaim any ownership associated with such rights.</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10.3 %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1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5247151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5247151</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120"/>
        <w:spacing w:after="0" w:line="244" w:lineRule="auto"/>
        <w:rPr>
          <w:sz w:val="20"/>
          <w:szCs w:val="20"/>
          <w:color w:val="auto"/>
        </w:rPr>
      </w:pPr>
      <w:r>
        <w:rPr>
          <w:rFonts w:ascii="Times New Roman" w:cs="Times New Roman" w:eastAsia="Times New Roman" w:hAnsi="Times New Roman"/>
          <w:sz w:val="22"/>
          <w:szCs w:val="22"/>
          <w:color w:val="auto"/>
        </w:rPr>
        <w:t>The Managed Portfolios have the right to receive all dividends from, and the proceeds from the sale of, the securities held in their respective accounts. Of the Managed Portfolios, none own more than five percent of the common stock of 4D Molecular Therapeutics, Inc.</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ectPr>
          <w:pgSz w:w="11900" w:h="16838" w:orient="portrait"/>
          <w:cols w:equalWidth="0" w:num="2">
            <w:col w:w="620" w:space="300"/>
            <w:col w:w="10220"/>
          </w:cols>
          <w:pgMar w:left="360" w:top="126" w:right="399" w:bottom="101"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Please refer to Exhibit 99.</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152"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pacing w:after="0" w:line="4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Name/Title: Head of North America Compliance</w:t>
      </w:r>
    </w:p>
    <w:p>
      <w:pPr>
        <w:spacing w:after="0" w:line="44"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04/07/2026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Janus Henderson Group plc ("the Company"),</w:t>
      </w:r>
    </w:p>
    <w:p>
      <w:pPr>
        <w:spacing w:after="0" w:line="31" w:lineRule="exact"/>
        <w:rPr>
          <w:sz w:val="20"/>
          <w:szCs w:val="20"/>
          <w:color w:val="auto"/>
        </w:rPr>
      </w:pPr>
    </w:p>
    <w:p>
      <w:pPr>
        <w:ind w:right="3279"/>
        <w:spacing w:after="0" w:line="269" w:lineRule="auto"/>
        <w:rPr>
          <w:sz w:val="20"/>
          <w:szCs w:val="20"/>
          <w:color w:val="auto"/>
        </w:rPr>
      </w:pPr>
      <w:r>
        <w:rPr>
          <w:rFonts w:ascii="Courier New" w:cs="Courier New" w:eastAsia="Courier New" w:hAnsi="Courier New"/>
          <w:sz w:val="16"/>
          <w:szCs w:val="16"/>
          <w:color w:val="auto"/>
        </w:rPr>
        <w:t>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w:t>
      </w:r>
    </w:p>
    <w:p>
      <w:pPr>
        <w:spacing w:after="0" w:line="200" w:lineRule="exact"/>
        <w:rPr>
          <w:sz w:val="20"/>
          <w:szCs w:val="20"/>
          <w:color w:val="auto"/>
        </w:rPr>
      </w:pPr>
    </w:p>
    <w:p>
      <w:pPr>
        <w:spacing w:after="0" w:line="391" w:lineRule="exact"/>
        <w:rPr>
          <w:sz w:val="20"/>
          <w:szCs w:val="20"/>
          <w:color w:val="auto"/>
        </w:rPr>
      </w:pPr>
    </w:p>
    <w:p>
      <w:pPr>
        <w:ind w:right="4119"/>
        <w:spacing w:after="0" w:line="238" w:lineRule="auto"/>
        <w:rPr>
          <w:sz w:val="20"/>
          <w:szCs w:val="20"/>
          <w:color w:val="auto"/>
        </w:rPr>
      </w:pPr>
      <w:r>
        <w:rPr>
          <w:rFonts w:ascii="Courier New" w:cs="Courier New" w:eastAsia="Courier New" w:hAnsi="Courier New"/>
          <w:sz w:val="18"/>
          <w:szCs w:val="18"/>
          <w:color w:val="auto"/>
        </w:rPr>
        <w:t>be an employee of the Company or one of its affiliates. IN WITNESS WHEREOF, the undersigned has caused this power of attorney to be executed as of this 9th day of December, 2022. Janus Henderson Group plc By: /s/ Michelle Rosenberg</w:t>
      </w:r>
    </w:p>
    <w:p>
      <w:pPr>
        <w:spacing w:after="0"/>
        <w:rPr>
          <w:sz w:val="20"/>
          <w:szCs w:val="20"/>
          <w:color w:val="auto"/>
        </w:rPr>
      </w:pPr>
      <w:r>
        <w:rPr>
          <w:rFonts w:ascii="Courier New" w:cs="Courier New" w:eastAsia="Courier New" w:hAnsi="Courier New"/>
          <w:sz w:val="18"/>
          <w:szCs w:val="18"/>
          <w:color w:val="auto"/>
        </w:rPr>
        <w:t>Name: Michelle Rosenberg</w:t>
      </w:r>
    </w:p>
    <w:p>
      <w:pPr>
        <w:spacing w:after="0"/>
        <w:rPr>
          <w:sz w:val="20"/>
          <w:szCs w:val="20"/>
          <w:color w:val="auto"/>
        </w:rPr>
      </w:pPr>
      <w:r>
        <w:rPr>
          <w:rFonts w:ascii="Courier New" w:cs="Courier New" w:eastAsia="Courier New" w:hAnsi="Courier New"/>
          <w:sz w:val="18"/>
          <w:szCs w:val="18"/>
          <w:color w:val="auto"/>
        </w:rPr>
        <w:t>Title: General Counsel and Company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The Asset Managers on whose behalf JHG is reporting include: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Investors US LLC (IA)</w:t>
      </w:r>
    </w:p>
    <w:p>
      <w:pPr>
        <w:spacing w:after="0" w:line="238" w:lineRule="auto"/>
        <w:rPr>
          <w:sz w:val="20"/>
          <w:szCs w:val="20"/>
          <w:color w:val="auto"/>
        </w:rPr>
      </w:pPr>
      <w:r>
        <w:rPr>
          <w:rFonts w:ascii="Courier New" w:cs="Courier New" w:eastAsia="Courier New" w:hAnsi="Courier New"/>
          <w:sz w:val="18"/>
          <w:szCs w:val="18"/>
          <w:color w:val="auto"/>
        </w:rPr>
        <w:t>Janus Henderson Investors UK Limited (FI)</w:t>
      </w:r>
    </w:p>
    <w:p>
      <w:pPr>
        <w:spacing w:after="0"/>
        <w:rPr>
          <w:sz w:val="20"/>
          <w:szCs w:val="20"/>
          <w:color w:val="auto"/>
        </w:rPr>
      </w:pPr>
      <w:r>
        <w:rPr>
          <w:rFonts w:ascii="Courier New" w:cs="Courier New" w:eastAsia="Courier New" w:hAnsi="Courier New"/>
          <w:sz w:val="16"/>
          <w:szCs w:val="16"/>
          <w:color w:val="auto"/>
        </w:rPr>
        <w:t>Janus Henderson Investors Australia Institutional Funds Management Limited (FI)</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Investors International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Middle East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(Jersey) Limited (FI)</w:t>
      </w:r>
    </w:p>
    <w:p>
      <w:pPr>
        <w:spacing w:after="0"/>
        <w:rPr>
          <w:sz w:val="20"/>
          <w:szCs w:val="20"/>
          <w:color w:val="auto"/>
        </w:rPr>
      </w:pPr>
      <w:r>
        <w:rPr>
          <w:rFonts w:ascii="Courier New" w:cs="Courier New" w:eastAsia="Courier New" w:hAnsi="Courier New"/>
          <w:sz w:val="18"/>
          <w:szCs w:val="18"/>
          <w:color w:val="auto"/>
        </w:rPr>
        <w:t>Janus Henderson Investors (Japan)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(Singapore) Limited (FI)</w:t>
      </w:r>
    </w:p>
    <w:p>
      <w:pPr>
        <w:spacing w:after="0" w:line="238" w:lineRule="auto"/>
        <w:rPr>
          <w:sz w:val="20"/>
          <w:szCs w:val="20"/>
          <w:color w:val="auto"/>
        </w:rPr>
      </w:pPr>
      <w:r>
        <w:rPr>
          <w:rFonts w:ascii="Courier New" w:cs="Courier New" w:eastAsia="Courier New" w:hAnsi="Courier New"/>
          <w:sz w:val="18"/>
          <w:szCs w:val="18"/>
          <w:color w:val="auto"/>
        </w:rPr>
        <w:t>Kapstream Capital Pty Limited (FI)</w:t>
      </w:r>
    </w:p>
    <w:p>
      <w:pPr>
        <w:spacing w:after="0"/>
        <w:rPr>
          <w:sz w:val="20"/>
          <w:szCs w:val="20"/>
          <w:color w:val="auto"/>
        </w:rPr>
      </w:pPr>
      <w:r>
        <w:rPr>
          <w:rFonts w:ascii="Courier New" w:cs="Courier New" w:eastAsia="Courier New" w:hAnsi="Courier New"/>
          <w:sz w:val="18"/>
          <w:szCs w:val="18"/>
          <w:color w:val="auto"/>
        </w:rPr>
        <w:t>Privacore Capital Advisors LLC (FI)</w:t>
      </w:r>
    </w:p>
    <w:p>
      <w:pPr>
        <w:spacing w:after="0" w:line="238" w:lineRule="auto"/>
        <w:rPr>
          <w:sz w:val="20"/>
          <w:szCs w:val="20"/>
          <w:color w:val="auto"/>
        </w:rPr>
      </w:pPr>
      <w:r>
        <w:rPr>
          <w:rFonts w:ascii="Courier New" w:cs="Courier New" w:eastAsia="Courier New" w:hAnsi="Courier New"/>
          <w:sz w:val="18"/>
          <w:szCs w:val="18"/>
          <w:color w:val="auto"/>
        </w:rPr>
        <w:t>Tabula Investment Management Limited (FI)</w:t>
      </w:r>
    </w:p>
    <w:p>
      <w:pPr>
        <w:spacing w:after="0"/>
        <w:rPr>
          <w:sz w:val="20"/>
          <w:szCs w:val="20"/>
          <w:color w:val="auto"/>
        </w:rPr>
      </w:pPr>
      <w:r>
        <w:rPr>
          <w:rFonts w:ascii="Courier New" w:cs="Courier New" w:eastAsia="Courier New" w:hAnsi="Courier New"/>
          <w:sz w:val="18"/>
          <w:szCs w:val="18"/>
          <w:color w:val="auto"/>
        </w:rPr>
        <w:t>Victory Park Capital Advisors LLC (FI)</w:t>
      </w:r>
    </w:p>
    <w:p>
      <w:pPr>
        <w:spacing w:after="0" w:line="169" w:lineRule="exact"/>
        <w:rPr>
          <w:sz w:val="20"/>
          <w:szCs w:val="20"/>
          <w:color w:val="auto"/>
        </w:rPr>
      </w:pPr>
    </w:p>
    <w:p>
      <w:pPr>
        <w:ind w:right="1699"/>
        <w:spacing w:after="0" w:line="346" w:lineRule="auto"/>
        <w:rPr>
          <w:sz w:val="20"/>
          <w:szCs w:val="20"/>
          <w:color w:val="auto"/>
        </w:rPr>
      </w:pPr>
      <w:r>
        <w:rPr>
          <w:rFonts w:ascii="Courier New" w:cs="Courier New" w:eastAsia="Courier New" w:hAnsi="Courier New"/>
          <w:sz w:val="18"/>
          <w:szCs w:val="18"/>
          <w:color w:val="auto"/>
        </w:rPr>
        <w:t>Please note that not every Asset Manager has investment and/or voting discretion over the securities reported herein.</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2026-04-07T14:49:59Z</dcterms:created>
  <dcterms:modified xsi:type="dcterms:W3CDTF">2026-04-07T14:49:59Z</dcterms:modified>
</cp:coreProperties>
</file>