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920" w:right="2760" w:hanging="3899"/>
        <w:spacing w:after="0" w:line="271"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jc w:val="center"/>
        <w:ind w:right="40"/>
        <w:spacing w:after="0"/>
        <w:rPr>
          <w:sz w:val="20"/>
          <w:szCs w:val="20"/>
          <w:color w:val="auto"/>
        </w:rPr>
      </w:pPr>
      <w:r>
        <w:rPr>
          <w:rFonts w:ascii="Arial" w:cs="Arial" w:eastAsia="Arial" w:hAnsi="Arial"/>
          <w:sz w:val="16"/>
          <w:szCs w:val="16"/>
          <w:b w:val="1"/>
          <w:bCs w:val="1"/>
          <w:color w:val="auto"/>
        </w:rPr>
        <w:t>OR</w:t>
      </w:r>
    </w:p>
    <w:p>
      <w:pPr>
        <w:ind w:left="480" w:hanging="459"/>
        <w:spacing w:after="0" w:line="184" w:lineRule="auto"/>
        <w:tabs>
          <w:tab w:leader="none" w:pos="480" w:val="left"/>
        </w:tabs>
        <w:numPr>
          <w:ilvl w:val="0"/>
          <w:numId w:val="2"/>
        </w:numPr>
        <w:rPr>
          <w:rFonts w:ascii="MS PGothic" w:cs="MS PGothic" w:eastAsia="MS PGothic" w:hAnsi="MS PGothic"/>
          <w:sz w:val="7"/>
          <w:szCs w:val="7"/>
          <w:color w:val="auto"/>
          <w:highlight w:val="black"/>
        </w:rPr>
      </w:pPr>
      <w:r>
        <w:rPr>
          <w:rFonts w:ascii="Arial" w:cs="Arial" w:eastAsia="Arial" w:hAnsi="Arial"/>
          <w:sz w:val="7"/>
          <w:szCs w:val="7"/>
          <w:b w:val="1"/>
          <w:bCs w:val="1"/>
          <w:color w:val="auto"/>
        </w:rPr>
        <w:t>TRANSITION REPORT PURSUANT TO SECTION 13 OR 15(d) OF THE SECURITIES EXCHANGE ACT OF 1934 FOR THE TRANSITION</w:t>
      </w:r>
    </w:p>
    <w:p>
      <w:pPr>
        <w:spacing w:after="0" w:line="146"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4D Molecular Therapeutics, Inc.</w:t>
      </w:r>
    </w:p>
    <w:p>
      <w:pPr>
        <w:spacing w:after="0" w:line="38"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6020" w:type="dxa"/>
            <w:vAlign w:val="bottom"/>
          </w:tcPr>
          <w:p>
            <w:pPr>
              <w:ind w:left="216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6020" w:type="dxa"/>
            <w:vAlign w:val="bottom"/>
          </w:tcPr>
          <w:p>
            <w:pPr>
              <w:jc w:val="center"/>
              <w:ind w:right="3588"/>
              <w:spacing w:after="0"/>
              <w:rPr>
                <w:sz w:val="20"/>
                <w:szCs w:val="20"/>
                <w:color w:val="auto"/>
              </w:rPr>
            </w:pPr>
            <w:r>
              <w:rPr>
                <w:rFonts w:ascii="Arial" w:cs="Arial" w:eastAsia="Arial" w:hAnsi="Arial"/>
                <w:sz w:val="16"/>
                <w:szCs w:val="16"/>
                <w:b w:val="1"/>
                <w:bCs w:val="1"/>
                <w:color w:val="auto"/>
              </w:rPr>
              <w:t>Delaware</w:t>
            </w:r>
          </w:p>
        </w:tc>
        <w:tc>
          <w:tcPr>
            <w:tcW w:w="1300" w:type="dxa"/>
            <w:vAlign w:val="bottom"/>
          </w:tcPr>
          <w:p>
            <w:pPr>
              <w:jc w:val="right"/>
              <w:ind w:right="30"/>
              <w:spacing w:after="0"/>
              <w:rPr>
                <w:sz w:val="20"/>
                <w:szCs w:val="20"/>
                <w:color w:val="auto"/>
              </w:rPr>
            </w:pPr>
            <w:r>
              <w:rPr>
                <w:rFonts w:ascii="Arial" w:cs="Arial" w:eastAsia="Arial" w:hAnsi="Arial"/>
                <w:sz w:val="16"/>
                <w:szCs w:val="16"/>
                <w:b w:val="1"/>
                <w:bCs w:val="1"/>
                <w:color w:val="auto"/>
              </w:rPr>
              <w:t>47-3506994</w:t>
            </w:r>
          </w:p>
        </w:tc>
        <w:tc>
          <w:tcPr>
            <w:tcW w:w="0" w:type="dxa"/>
            <w:vAlign w:val="bottom"/>
          </w:tcPr>
          <w:p>
            <w:pPr>
              <w:spacing w:after="0"/>
              <w:rPr>
                <w:sz w:val="1"/>
                <w:szCs w:val="1"/>
                <w:color w:val="auto"/>
              </w:rPr>
            </w:pPr>
          </w:p>
        </w:tc>
      </w:tr>
      <w:tr>
        <w:trPr>
          <w:trHeight w:val="130"/>
        </w:trPr>
        <w:tc>
          <w:tcPr>
            <w:tcW w:w="6020" w:type="dxa"/>
            <w:vAlign w:val="bottom"/>
          </w:tcPr>
          <w:p>
            <w:pPr>
              <w:jc w:val="center"/>
              <w:ind w:right="3588"/>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jc w:val="center"/>
              <w:ind w:left="170"/>
              <w:spacing w:after="0" w:line="130"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44"/>
        </w:trPr>
        <w:tc>
          <w:tcPr>
            <w:tcW w:w="6020" w:type="dxa"/>
            <w:vAlign w:val="bottom"/>
          </w:tcPr>
          <w:p>
            <w:pPr>
              <w:jc w:val="center"/>
              <w:ind w:right="3588"/>
              <w:spacing w:after="0" w:line="144" w:lineRule="exact"/>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jc w:val="center"/>
              <w:ind w:left="170"/>
              <w:spacing w:after="0" w:line="144" w:lineRule="exact"/>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67"/>
        </w:trPr>
        <w:tc>
          <w:tcPr>
            <w:tcW w:w="6020" w:type="dxa"/>
            <w:vAlign w:val="bottom"/>
          </w:tcPr>
          <w:p>
            <w:pPr>
              <w:jc w:val="center"/>
              <w:ind w:right="3588"/>
              <w:spacing w:after="0" w:line="167" w:lineRule="exact"/>
              <w:rPr>
                <w:sz w:val="20"/>
                <w:szCs w:val="20"/>
                <w:color w:val="auto"/>
              </w:rPr>
            </w:pPr>
            <w:r>
              <w:rPr>
                <w:rFonts w:ascii="Arial" w:cs="Arial" w:eastAsia="Arial" w:hAnsi="Arial"/>
                <w:sz w:val="16"/>
                <w:szCs w:val="16"/>
                <w:b w:val="1"/>
                <w:bCs w:val="1"/>
                <w:color w:val="auto"/>
              </w:rPr>
              <w:t>5858 Horton Street #455</w:t>
            </w:r>
          </w:p>
        </w:tc>
        <w:tc>
          <w:tcPr>
            <w:tcW w:w="1300" w:type="dxa"/>
            <w:vAlign w:val="bottom"/>
            <w:vMerge w:val="restart"/>
          </w:tcPr>
          <w:p>
            <w:pPr>
              <w:jc w:val="right"/>
              <w:ind w:right="230"/>
              <w:spacing w:after="0"/>
              <w:rPr>
                <w:sz w:val="20"/>
                <w:szCs w:val="20"/>
                <w:color w:val="auto"/>
              </w:rPr>
            </w:pPr>
            <w:r>
              <w:rPr>
                <w:rFonts w:ascii="Arial" w:cs="Arial" w:eastAsia="Arial" w:hAnsi="Arial"/>
                <w:sz w:val="16"/>
                <w:szCs w:val="16"/>
                <w:b w:val="1"/>
                <w:bCs w:val="1"/>
                <w:color w:val="auto"/>
              </w:rPr>
              <w:t>94608</w:t>
            </w:r>
          </w:p>
        </w:tc>
        <w:tc>
          <w:tcPr>
            <w:tcW w:w="0" w:type="dxa"/>
            <w:vAlign w:val="bottom"/>
          </w:tcPr>
          <w:p>
            <w:pPr>
              <w:spacing w:after="0"/>
              <w:rPr>
                <w:sz w:val="1"/>
                <w:szCs w:val="1"/>
                <w:color w:val="auto"/>
              </w:rPr>
            </w:pPr>
          </w:p>
        </w:tc>
      </w:tr>
      <w:tr>
        <w:trPr>
          <w:trHeight w:val="181"/>
        </w:trPr>
        <w:tc>
          <w:tcPr>
            <w:tcW w:w="6020" w:type="dxa"/>
            <w:vAlign w:val="bottom"/>
          </w:tcPr>
          <w:p>
            <w:pPr>
              <w:jc w:val="center"/>
              <w:ind w:right="3608"/>
              <w:spacing w:after="0" w:line="181" w:lineRule="exact"/>
              <w:rPr>
                <w:sz w:val="20"/>
                <w:szCs w:val="20"/>
                <w:color w:val="auto"/>
              </w:rPr>
            </w:pPr>
            <w:r>
              <w:rPr>
                <w:rFonts w:ascii="Arial" w:cs="Arial" w:eastAsia="Arial" w:hAnsi="Arial"/>
                <w:sz w:val="16"/>
                <w:szCs w:val="16"/>
                <w:b w:val="1"/>
                <w:bCs w:val="1"/>
                <w:color w:val="auto"/>
              </w:rPr>
              <w:t>Emeryville, CA</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20" w:type="dxa"/>
            <w:vAlign w:val="bottom"/>
          </w:tcPr>
          <w:p>
            <w:pPr>
              <w:jc w:val="center"/>
              <w:ind w:right="358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jc w:val="center"/>
              <w:ind w:left="170"/>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 (510) 505-2680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201"/>
        </w:trPr>
        <w:tc>
          <w:tcPr>
            <w:tcW w:w="4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0"/>
        </w:trPr>
        <w:tc>
          <w:tcPr>
            <w:tcW w:w="4360" w:type="dxa"/>
            <w:vAlign w:val="bottom"/>
          </w:tcPr>
          <w:p>
            <w:pPr>
              <w:ind w:left="20"/>
              <w:spacing w:after="0"/>
              <w:rPr>
                <w:sz w:val="20"/>
                <w:szCs w:val="20"/>
                <w:color w:val="auto"/>
              </w:rPr>
            </w:pPr>
            <w:r>
              <w:rPr>
                <w:rFonts w:ascii="Arial" w:cs="Arial" w:eastAsia="Arial" w:hAnsi="Arial"/>
                <w:sz w:val="14"/>
                <w:szCs w:val="14"/>
                <w:color w:val="auto"/>
              </w:rPr>
              <w:t>Common Stock, par value $0.0001 per share</w:t>
            </w: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rPr>
              <w:t>FDMT</w:t>
            </w: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r>
        <w:trPr>
          <w:trHeight w:val="216"/>
        </w:trPr>
        <w:tc>
          <w:tcPr>
            <w:tcW w:w="436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r>
    </w:tbl>
    <w:p>
      <w:pPr>
        <w:ind w:right="2820"/>
        <w:spacing w:after="0" w:line="21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2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1"/>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8"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2021 was $444,521,977</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28, 2022 was 32,237,496</w:t>
      </w:r>
    </w:p>
    <w:p>
      <w:pPr>
        <w:spacing w:after="0" w:line="42"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jc w:val="both"/>
        <w:ind w:right="140"/>
        <w:spacing w:after="0" w:line="249"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8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1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2"/>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8"/>
            <w:vMerge w:val="restart"/>
          </w:tcPr>
          <w:p>
            <w:pPr>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020" w:type="dxa"/>
            <w:vAlign w:val="bottom"/>
            <w:gridSpan w:val="4"/>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Unresolved</w:t>
              </w:r>
            </w:hyperlink>
          </w:p>
        </w:tc>
        <w:tc>
          <w:tcPr>
            <w:tcW w:w="8180" w:type="dxa"/>
            <w:vAlign w:val="bottom"/>
            <w:gridSpan w:val="1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260" w:type="dxa"/>
            <w:vAlign w:val="bottom"/>
            <w:gridSpan w:val="10"/>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Properties</w:t>
              </w:r>
            </w:hyperlink>
          </w:p>
        </w:tc>
        <w:tc>
          <w:tcPr>
            <w:tcW w:w="9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120"/>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2"/>
          </w:tcPr>
          <w:p>
            <w:pPr>
              <w:spacing w:after="0" w:line="176" w:lineRule="exact"/>
              <w:rPr>
                <w:rFonts w:ascii="Arial" w:cs="Arial" w:eastAsia="Arial" w:hAnsi="Arial"/>
                <w:sz w:val="18"/>
                <w:szCs w:val="18"/>
                <w:color w:val="0000FF"/>
              </w:rPr>
            </w:pPr>
            <w:hyperlink w:anchor="page120">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880" w:type="dxa"/>
            <w:vAlign w:val="bottom"/>
            <w:gridSpan w:val="21"/>
          </w:tcPr>
          <w:p>
            <w:pPr>
              <w:spacing w:after="0" w:line="169" w:lineRule="exact"/>
              <w:rPr>
                <w:rFonts w:ascii="Arial" w:cs="Arial" w:eastAsia="Arial" w:hAnsi="Arial"/>
                <w:sz w:val="18"/>
                <w:szCs w:val="18"/>
                <w:color w:val="0000FF"/>
              </w:rPr>
            </w:pPr>
            <w:hyperlink w:anchor="page121">
              <w:r>
                <w:rPr>
                  <w:rFonts w:ascii="Arial" w:cs="Arial" w:eastAsia="Arial" w:hAnsi="Arial"/>
                  <w:sz w:val="18"/>
                  <w:szCs w:val="18"/>
                  <w:color w:val="0000FF"/>
                </w:rPr>
                <w:t>[Reserved]</w:t>
              </w:r>
            </w:hyperlink>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9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22">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080" w:type="dxa"/>
            <w:vAlign w:val="bottom"/>
            <w:gridSpan w:val="18"/>
          </w:tcPr>
          <w:p>
            <w:pPr>
              <w:spacing w:after="0" w:line="169" w:lineRule="exact"/>
              <w:rPr>
                <w:rFonts w:ascii="Arial" w:cs="Arial" w:eastAsia="Arial" w:hAnsi="Arial"/>
                <w:sz w:val="18"/>
                <w:szCs w:val="18"/>
                <w:color w:val="0000FF"/>
              </w:rPr>
            </w:pPr>
            <w:hyperlink w:anchor="page134">
              <w:r>
                <w:rPr>
                  <w:rFonts w:ascii="Arial" w:cs="Arial" w:eastAsia="Arial" w:hAnsi="Arial"/>
                  <w:sz w:val="18"/>
                  <w:szCs w:val="18"/>
                  <w:color w:val="0000FF"/>
                </w:rPr>
                <w:t>Quantitative and Qualitative Disclosures About Market Risk</w:t>
              </w:r>
            </w:hyperlink>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100" w:type="dxa"/>
            <w:vAlign w:val="bottom"/>
            <w:gridSpan w:val="2"/>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720" w:type="dxa"/>
            <w:vAlign w:val="bottom"/>
            <w:gridSpan w:val="15"/>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Financial Statements and Supplementary Data</w:t>
              </w:r>
            </w:hyperlink>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180" w:type="dxa"/>
            <w:vAlign w:val="bottom"/>
            <w:gridSpan w:val="19"/>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Controls and Procedures</w:t>
              </w:r>
            </w:hyperlink>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4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00" w:type="dxa"/>
            <w:vAlign w:val="bottom"/>
            <w:gridSpan w:val="9"/>
          </w:tcPr>
          <w:p>
            <w:pPr>
              <w:spacing w:after="0" w:line="169" w:lineRule="exact"/>
              <w:rPr>
                <w:rFonts w:ascii="Arial" w:cs="Arial" w:eastAsia="Arial" w:hAnsi="Arial"/>
                <w:sz w:val="18"/>
                <w:szCs w:val="18"/>
                <w:color w:val="0000FF"/>
              </w:rPr>
            </w:pPr>
            <w:hyperlink w:anchor="page136">
              <w:r>
                <w:rPr>
                  <w:rFonts w:ascii="Arial" w:cs="Arial" w:eastAsia="Arial" w:hAnsi="Arial"/>
                  <w:sz w:val="18"/>
                  <w:szCs w:val="18"/>
                  <w:color w:val="0000FF"/>
                </w:rPr>
                <w:t>Other Information</w:t>
              </w:r>
            </w:hyperlink>
          </w:p>
        </w:tc>
        <w:tc>
          <w:tcPr>
            <w:tcW w:w="11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9C.</w:t>
            </w:r>
          </w:p>
        </w:tc>
        <w:tc>
          <w:tcPr>
            <w:tcW w:w="142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36">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120"/>
              <w:spacing w:after="0" w:line="176" w:lineRule="exact"/>
              <w:rPr>
                <w:sz w:val="20"/>
                <w:szCs w:val="20"/>
                <w:color w:val="auto"/>
              </w:rPr>
            </w:pPr>
            <w:r>
              <w:rPr>
                <w:rFonts w:ascii="Arial" w:cs="Arial" w:eastAsia="Arial" w:hAnsi="Arial"/>
                <w:sz w:val="18"/>
                <w:szCs w:val="18"/>
                <w:color w:val="auto"/>
              </w:rPr>
              <w:t>Item 10.</w:t>
            </w:r>
          </w:p>
        </w:tc>
        <w:tc>
          <w:tcPr>
            <w:tcW w:w="9200" w:type="dxa"/>
            <w:vAlign w:val="bottom"/>
            <w:gridSpan w:val="22"/>
          </w:tcPr>
          <w:p>
            <w:pPr>
              <w:spacing w:after="0" w:line="176" w:lineRule="exact"/>
              <w:rPr>
                <w:rFonts w:ascii="Arial" w:cs="Arial" w:eastAsia="Arial" w:hAnsi="Arial"/>
                <w:sz w:val="18"/>
                <w:szCs w:val="18"/>
                <w:color w:val="0000FF"/>
              </w:rPr>
            </w:pPr>
            <w:hyperlink w:anchor="page137">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7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500" w:type="dxa"/>
            <w:vAlign w:val="bottom"/>
            <w:gridSpan w:val="14"/>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Executive Compensation</w:t>
              </w:r>
            </w:hyperlink>
          </w:p>
        </w:tc>
        <w:tc>
          <w:tcPr>
            <w:tcW w:w="158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7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7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20" w:type="dxa"/>
            <w:vAlign w:val="bottom"/>
            <w:gridSpan w:val="20"/>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Certain Relationships and Related Transactions, and Director Independence</w:t>
              </w:r>
            </w:hyperlink>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7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080" w:type="dxa"/>
            <w:vAlign w:val="bottom"/>
            <w:gridSpan w:val="17"/>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Principal Accounting Fees and Services</w:t>
              </w:r>
            </w:hyperlink>
          </w:p>
        </w:tc>
        <w:tc>
          <w:tcPr>
            <w:tcW w:w="312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120"/>
              <w:spacing w:after="0" w:line="176" w:lineRule="exact"/>
              <w:rPr>
                <w:sz w:val="20"/>
                <w:szCs w:val="20"/>
                <w:color w:val="auto"/>
              </w:rPr>
            </w:pPr>
            <w:r>
              <w:rPr>
                <w:rFonts w:ascii="Arial" w:cs="Arial" w:eastAsia="Arial" w:hAnsi="Arial"/>
                <w:sz w:val="18"/>
                <w:szCs w:val="18"/>
                <w:color w:val="auto"/>
              </w:rPr>
              <w:t>Item 15.</w:t>
            </w:r>
          </w:p>
        </w:tc>
        <w:tc>
          <w:tcPr>
            <w:tcW w:w="9200" w:type="dxa"/>
            <w:vAlign w:val="bottom"/>
            <w:gridSpan w:val="22"/>
          </w:tcPr>
          <w:p>
            <w:pPr>
              <w:spacing w:after="0" w:line="176" w:lineRule="exact"/>
              <w:rPr>
                <w:rFonts w:ascii="Arial" w:cs="Arial" w:eastAsia="Arial" w:hAnsi="Arial"/>
                <w:sz w:val="18"/>
                <w:szCs w:val="18"/>
                <w:color w:val="0000FF"/>
              </w:rPr>
            </w:pPr>
            <w:hyperlink w:anchor="page138">
              <w:r>
                <w:rPr>
                  <w:rFonts w:ascii="Arial" w:cs="Arial" w:eastAsia="Arial" w:hAnsi="Arial"/>
                  <w:sz w:val="18"/>
                  <w:szCs w:val="18"/>
                  <w:color w:val="0000FF"/>
                </w:rPr>
                <w:t>Exhibits, Financial Statement Schedules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70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220" w:type="dxa"/>
            <w:vAlign w:val="bottom"/>
            <w:gridSpan w:val="12"/>
          </w:tcPr>
          <w:p>
            <w:pPr>
              <w:spacing w:after="0" w:line="169" w:lineRule="exact"/>
              <w:rPr>
                <w:rFonts w:ascii="Arial" w:cs="Arial" w:eastAsia="Arial" w:hAnsi="Arial"/>
                <w:sz w:val="18"/>
                <w:szCs w:val="18"/>
                <w:color w:val="0000FF"/>
              </w:rPr>
            </w:pPr>
            <w:hyperlink w:anchor="page140">
              <w:r>
                <w:rPr>
                  <w:rFonts w:ascii="Arial" w:cs="Arial" w:eastAsia="Arial" w:hAnsi="Arial"/>
                  <w:sz w:val="18"/>
                  <w:szCs w:val="18"/>
                  <w:color w:val="0000FF"/>
                </w:rPr>
                <w:t>Form 10-K Summary</w:t>
              </w:r>
            </w:hyperlink>
          </w:p>
        </w:tc>
        <w:tc>
          <w:tcPr>
            <w:tcW w:w="598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140" w:firstLine="636"/>
        <w:spacing w:after="0" w:line="253"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3" w:lineRule="exact"/>
        <w:rPr>
          <w:sz w:val="20"/>
          <w:szCs w:val="20"/>
          <w:color w:val="auto"/>
        </w:rPr>
      </w:pPr>
    </w:p>
    <w:p>
      <w:pPr>
        <w:ind w:left="900" w:right="6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clinical trials for 4D-310, 4D-150, 4D-125, 4D-110 and 4D-710</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IND-enabling studies and results from such studies;</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lead optimization for our product candidates in lead optimization;</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03" w:lineRule="exact"/>
        <w:rPr>
          <w:rFonts w:ascii="Arial" w:cs="Arial" w:eastAsia="Arial" w:hAnsi="Arial"/>
          <w:sz w:val="18"/>
          <w:szCs w:val="18"/>
          <w:color w:val="auto"/>
        </w:rPr>
      </w:pPr>
    </w:p>
    <w:p>
      <w:pPr>
        <w:ind w:left="900" w:right="68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our planned clinical trials, and what regulatory authorities may require to obtain marketing approval</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preclinical and clinical programs and business;</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03" w:lineRule="exact"/>
        <w:rPr>
          <w:rFonts w:ascii="Arial" w:cs="Arial" w:eastAsia="Arial" w:hAnsi="Arial"/>
          <w:sz w:val="18"/>
          <w:szCs w:val="18"/>
          <w:color w:val="auto"/>
        </w:rPr>
      </w:pPr>
    </w:p>
    <w:p>
      <w:pPr>
        <w:ind w:left="900" w:right="30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develop and commercialize our product candidates;</w:t>
      </w:r>
    </w:p>
    <w:p>
      <w:pPr>
        <w:spacing w:after="0" w:line="115" w:lineRule="exact"/>
        <w:rPr>
          <w:rFonts w:ascii="Arial" w:cs="Arial" w:eastAsia="Arial" w:hAnsi="Arial"/>
          <w:sz w:val="17"/>
          <w:szCs w:val="17"/>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03" w:lineRule="exact"/>
        <w:rPr>
          <w:rFonts w:ascii="Arial" w:cs="Arial" w:eastAsia="Arial" w:hAnsi="Arial"/>
          <w:sz w:val="18"/>
          <w:szCs w:val="18"/>
          <w:color w:val="auto"/>
        </w:rPr>
      </w:pPr>
    </w:p>
    <w:p>
      <w:pPr>
        <w:ind w:left="900" w:right="42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3" w:lineRule="exact"/>
        <w:rPr>
          <w:rFonts w:ascii="Arial" w:cs="Arial" w:eastAsia="Arial" w:hAnsi="Arial"/>
          <w:sz w:val="18"/>
          <w:szCs w:val="18"/>
          <w:color w:val="auto"/>
        </w:rPr>
      </w:pPr>
    </w:p>
    <w:p>
      <w:pPr>
        <w:ind w:left="900" w:right="20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03" w:lineRule="exact"/>
        <w:rPr>
          <w:rFonts w:ascii="Arial" w:cs="Arial" w:eastAsia="Arial" w:hAnsi="Arial"/>
          <w:sz w:val="18"/>
          <w:szCs w:val="18"/>
          <w:color w:val="auto"/>
        </w:rPr>
      </w:pPr>
    </w:p>
    <w:p>
      <w:pPr>
        <w:ind w:left="900" w:right="40" w:hanging="263"/>
        <w:spacing w:after="0" w:line="274"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expected potential benefits of strategic collaboration agreements, including our relationships with uniQure and Cystic Fibrosis Foundation ("CFF"), and our ability to attract collaborators with development, regulatory and commercialization expertise;</w:t>
      </w:r>
    </w:p>
    <w:p>
      <w:pPr>
        <w:spacing w:after="0" w:line="66" w:lineRule="exact"/>
        <w:rPr>
          <w:rFonts w:ascii="Arial" w:cs="Arial" w:eastAsia="Arial" w:hAnsi="Arial"/>
          <w:sz w:val="17"/>
          <w:szCs w:val="17"/>
          <w:color w:val="auto"/>
        </w:rPr>
      </w:pPr>
    </w:p>
    <w:p>
      <w:pPr>
        <w:ind w:left="900" w:right="120" w:hanging="26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8"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 w:name="page4"/>
    <w:bookmarkEnd w:id="3"/>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capital requirements and needs for additional financing;</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98" w:lineRule="exact"/>
        <w:rPr>
          <w:sz w:val="20"/>
          <w:szCs w:val="20"/>
          <w:color w:val="auto"/>
        </w:rPr>
      </w:pPr>
    </w:p>
    <w:p>
      <w:pPr>
        <w:ind w:firstLine="635"/>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the section titled “Risk Factors” and elsewhere in this Annual Report on Form 10-K. Potential investors are urged to consider these factors carefully in evaluating the forward-looking statements. These forward-looking statements speak only as of the date of this Annual Report on Form 10-K. Except as required by law, we assume no obligation to update or revise these forward -looking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We believe key features of our targeted and evolved vectors will help us to potentially create targeted gene therapy product candidates with improved therapeutic profiles, and to address a broad range of both rare and large market diseases, including those that other gene therapies are unable to address.</w:t>
      </w:r>
    </w:p>
    <w:p>
      <w:pPr>
        <w:spacing w:after="0" w:line="205"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We have built a deep portfolio of gene therapy product candidates, with five product candidates in clinical trials: 4D-125 for the treatment of X-linked retinitis pigmentosa ("XLRP"), 4D-150 for the treatment of wet age-related macular degeneration ("wet AMD"), 4D-110 for the treatment of choroideremia, 4D-310 for the treatment of Fabry disease, and 4D-710 for the treatment of cystic fibrosis lung disease.</w:t>
      </w:r>
    </w:p>
    <w:p>
      <w:pPr>
        <w:spacing w:after="0" w:line="203" w:lineRule="exact"/>
        <w:rPr>
          <w:sz w:val="20"/>
          <w:szCs w:val="20"/>
          <w:color w:val="auto"/>
        </w:rPr>
      </w:pPr>
    </w:p>
    <w:p>
      <w:pPr>
        <w:ind w:right="280" w:firstLine="644"/>
        <w:spacing w:after="0" w:line="246" w:lineRule="auto"/>
        <w:rPr>
          <w:sz w:val="20"/>
          <w:szCs w:val="20"/>
          <w:color w:val="auto"/>
        </w:rPr>
      </w:pPr>
      <w:r>
        <w:rPr>
          <w:rFonts w:ascii="Arial" w:cs="Arial" w:eastAsia="Arial" w:hAnsi="Arial"/>
          <w:sz w:val="18"/>
          <w:szCs w:val="18"/>
          <w:color w:val="auto"/>
        </w:rPr>
        <w:t>We believe we are positioned to create, develop, manufacture and, if approved, effectively commercialize targeted gene therapies that could transform the lives of patients suffering from debilitating diseases.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34" w:lineRule="exact"/>
        <w:rPr>
          <w:sz w:val="20"/>
          <w:szCs w:val="20"/>
          <w:color w:val="auto"/>
        </w:rPr>
      </w:pPr>
    </w:p>
    <w:p>
      <w:pPr>
        <w:ind w:right="240" w:firstLine="644"/>
        <w:spacing w:after="0" w:line="238" w:lineRule="auto"/>
        <w:rPr>
          <w:sz w:val="20"/>
          <w:szCs w:val="20"/>
          <w:color w:val="auto"/>
        </w:rPr>
      </w:pPr>
      <w:r>
        <w:rPr>
          <w:rFonts w:ascii="Arial" w:cs="Arial" w:eastAsia="Arial" w:hAnsi="Arial"/>
          <w:sz w:val="18"/>
          <w:szCs w:val="18"/>
          <w:color w:val="auto"/>
        </w:rPr>
        <w:t>We are developing a diverse pipeline of product candidates for both rare and large market diseases, including patient populations that other gene therapies are unable to address. Our initial product candidates are focused on the following therapeutic areas: ophthalmology, cardiology and pulmonology. Each of our product candidates leverages a targeted and evolved vector we invented through our Therapeutic Vector Evolution platform. Below is a summary of our wholly-owned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147955</wp:posOffset>
            </wp:positionV>
            <wp:extent cx="5349240" cy="2400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Ophthalmology Pipeline: Intravitreal Product Candidates</w:t>
      </w:r>
    </w:p>
    <w:p>
      <w:pPr>
        <w:spacing w:after="0" w:line="112" w:lineRule="exact"/>
        <w:rPr>
          <w:sz w:val="20"/>
          <w:szCs w:val="20"/>
          <w:color w:val="auto"/>
        </w:rPr>
      </w:pPr>
    </w:p>
    <w:p>
      <w:pPr>
        <w:ind w:right="20" w:firstLine="636"/>
        <w:spacing w:after="0" w:line="227" w:lineRule="auto"/>
        <w:rPr>
          <w:sz w:val="20"/>
          <w:szCs w:val="20"/>
          <w:color w:val="auto"/>
        </w:rPr>
      </w:pPr>
      <w:r>
        <w:rPr>
          <w:rFonts w:ascii="Arial" w:cs="Arial" w:eastAsia="Arial" w:hAnsi="Arial"/>
          <w:sz w:val="18"/>
          <w:szCs w:val="18"/>
          <w:color w:val="auto"/>
        </w:rPr>
        <w:t>With our ophthalmology product strategy we plan to treat diseases that affect tissues throughout the retina. We are developing product candidates to treat tissues throughout the retina. Our retina product candidates, 4D-125, 4D-150 and 4D-110 utilize our targeted and evolved AAV vector, R100, which was invented for routine intravitreal injection, leading to transgene expression across the entire surface area of the retina and in the major cell layers of the retina.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 Pipeline: Intravenous Product Candidates</w:t>
      </w:r>
    </w:p>
    <w:p>
      <w:pPr>
        <w:spacing w:after="0" w:line="126"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With our cardiology product strategy, we plan to treat patient populations in both primary cardiomyopathies, that involve the heart only, as well as cardiomyopathies that are secondary to systemic diseases, such as lysosomal storage diseases. Our cardiology product candidate, 4D-310, utilizes our targeted and evolved AAV vector, C102, which was invented for routine low dose intravenous administration and delivery to the heart, leading to transgene expression in heart muscle cells throughout the organ. For lysosomal storage diseases involving the heart and other organs, including Fabry disease, our product candidates are designed for transgene expression both within the heart and in other targeted tissues.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Pipeline: Aerosol Delivery Product Candidates</w:t>
      </w:r>
    </w:p>
    <w:p>
      <w:pPr>
        <w:spacing w:after="0" w:line="12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With our pulmonology product strategy, we plan to treat diseases that affect the lungs. Our pulmonology product candidate, 4D-710, utilizes our targeted and evolved vector, A101, which was invented for aerosol delivery to all major regions within the lung, including airways and alveoli, and penetration of the mucus barrier for transduction of lung airway cells, overcoming potential barriers such as pre-existing AAV antibodies and other inhibitory proteins within the mucus barrier. A101 was designed to enable efficient airway and alveolar cell transduction and transgene expression.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4DMT Therapeutic Vector Evolution Platform: Evolved Vectors for Targeted Gene Therapy</w:t>
      </w:r>
    </w:p>
    <w:p>
      <w:pPr>
        <w:spacing w:after="0" w:line="126" w:lineRule="exact"/>
        <w:rPr>
          <w:sz w:val="20"/>
          <w:szCs w:val="20"/>
          <w:color w:val="auto"/>
        </w:rPr>
      </w:pPr>
    </w:p>
    <w:p>
      <w:pPr>
        <w:ind w:right="60" w:firstLine="636"/>
        <w:spacing w:after="0" w:line="253" w:lineRule="auto"/>
        <w:rPr>
          <w:sz w:val="20"/>
          <w:szCs w:val="20"/>
          <w:color w:val="auto"/>
        </w:rPr>
      </w:pPr>
      <w:r>
        <w:rPr>
          <w:rFonts w:ascii="Arial" w:cs="Arial" w:eastAsia="Arial" w:hAnsi="Arial"/>
          <w:sz w:val="17"/>
          <w:szCs w:val="17"/>
          <w:color w:val="auto"/>
        </w:rPr>
        <w:t>Gene therapy holds tremendous promise as a transformative therapeutic class. However, the majority of gene therapies have encountered limitations such as inflammation and toxicity, high dose requirements, limited efficacy and neutralization by pre-existing antibodies, due in part to their utilization of conventional AAV vectors that are naturally occurring and non-targeted. Through our Therapeutic Vector Evolution Platform we apply the principles of directed evolution to invent targeted and evolved vectors for the delivery of genes to specific tissue types to treat diseases involving those same target tissue(s). Our product candidates are designed and engineered to utilize our targeted and evolved vectors to potentially address the limitations encountered with gene therapies utilizing conventional AAV vectors.</w:t>
      </w:r>
    </w:p>
    <w:p>
      <w:pPr>
        <w:spacing w:after="0" w:line="195"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The first step of directed evolution involves the generation of massively diverse libraries of biological variants. Leveraging a wide range of molecular biology techniques, we have developed a collection of 40 distinct libraries that are comprised of approximately one billion synthetic capsid sequences. We next define a Target Vector Profile that identifies the optimal vector features for the specific tissue type(s) and related set of diseases we seek to target, with the goal of overcoming limitations encountered by conventional AAVs. We then deploy Therapeutic Vector Evolution with our capsid libraries in non-human primates ("NHPs") and use competitive selection to identify targeted and evolved vectors from our libraries that demonstrate the strongest match to the Target Vector Profile. Subsequently, we characterize and evaluate a lead targeted and evolved vector for delivery and transgene expression through extensive studies in NHPs and human cell and organotypic tissue assays.</w:t>
      </w:r>
    </w:p>
    <w:p>
      <w:pPr>
        <w:spacing w:after="0" w:line="208" w:lineRule="exact"/>
        <w:rPr>
          <w:sz w:val="20"/>
          <w:szCs w:val="20"/>
          <w:color w:val="auto"/>
        </w:rPr>
      </w:pPr>
    </w:p>
    <w:p>
      <w:pPr>
        <w:ind w:right="260" w:firstLine="644"/>
        <w:spacing w:after="0" w:line="246" w:lineRule="auto"/>
        <w:rPr>
          <w:sz w:val="20"/>
          <w:szCs w:val="20"/>
          <w:color w:val="auto"/>
        </w:rPr>
      </w:pPr>
      <w:r>
        <w:rPr>
          <w:rFonts w:ascii="Arial" w:cs="Arial" w:eastAsia="Arial" w:hAnsi="Arial"/>
          <w:sz w:val="18"/>
          <w:szCs w:val="18"/>
          <w:color w:val="auto"/>
        </w:rPr>
        <w:t>We believe our proprietary vectors will allow us to overcome known limitations of conventional AAV vectors, and to potentially address a broad range of diseases that affect both rare and large patient populations that cannot be addressed with conventional vectors.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6" w:name="page7"/>
    <w:bookmarkEnd w:id="6"/>
    <w:p>
      <w:pPr>
        <w:ind w:right="120" w:firstLine="644"/>
        <w:spacing w:after="0" w:line="246" w:lineRule="auto"/>
        <w:rPr>
          <w:sz w:val="20"/>
          <w:szCs w:val="20"/>
          <w:color w:val="auto"/>
        </w:rPr>
      </w:pPr>
      <w:r>
        <w:rPr>
          <w:rFonts w:ascii="Arial" w:cs="Arial" w:eastAsia="Arial" w:hAnsi="Arial"/>
          <w:sz w:val="18"/>
          <w:szCs w:val="18"/>
          <w:color w:val="auto"/>
        </w:rPr>
        <w:t>Our proprietary Therapeutic Vector Evolution Platform is based on the principles of directed evolution. Directed evolution is a high-throughput platform approach that harnesses the power of evolution in order to create biologics with new and desirable characteristics.</w:t>
      </w:r>
    </w:p>
    <w:p>
      <w:pPr>
        <w:spacing w:after="0" w:line="287" w:lineRule="exact"/>
        <w:rPr>
          <w:sz w:val="20"/>
          <w:szCs w:val="20"/>
          <w:color w:val="auto"/>
        </w:rPr>
      </w:pPr>
    </w:p>
    <w:p>
      <w:pPr>
        <w:jc w:val="center"/>
        <w:ind w:left="400"/>
        <w:spacing w:after="0" w:line="250" w:lineRule="auto"/>
        <w:rPr>
          <w:sz w:val="20"/>
          <w:szCs w:val="20"/>
          <w:color w:val="auto"/>
        </w:rPr>
      </w:pPr>
      <w:r>
        <w:rPr>
          <w:rFonts w:ascii="Arial" w:cs="Arial" w:eastAsia="Arial" w:hAnsi="Arial"/>
          <w:sz w:val="18"/>
          <w:szCs w:val="18"/>
          <w:i w:val="1"/>
          <w:iCs w:val="1"/>
          <w:color w:val="auto"/>
        </w:rPr>
        <w:t>The first step in directed evolution is to generate massive genetic diversity. Starting with the genomes of multiple naturally occurring AAV variants, and their ancestral predecessors, we employ numerous molecular biology techniques to create our 40 distinct libraries comprising approximately one billion synthetic capsid 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141605</wp:posOffset>
            </wp:positionV>
            <wp:extent cx="5186045" cy="225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8604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7" w:name="page8"/>
    <w:bookmarkEnd w:id="7"/>
    <w:p>
      <w:pPr>
        <w:jc w:val="center"/>
        <w:ind w:right="40"/>
        <w:spacing w:after="0" w:line="242" w:lineRule="auto"/>
        <w:rPr>
          <w:sz w:val="20"/>
          <w:szCs w:val="20"/>
          <w:color w:val="auto"/>
        </w:rPr>
      </w:pPr>
      <w:r>
        <w:rPr>
          <w:rFonts w:ascii="Arial" w:cs="Arial" w:eastAsia="Arial" w:hAnsi="Arial"/>
          <w:sz w:val="18"/>
          <w:szCs w:val="18"/>
          <w:i w:val="1"/>
          <w:iCs w:val="1"/>
          <w:color w:val="auto"/>
        </w:rPr>
        <w:t>Starting with our 40 distinct libraries comprising approximately one billion synthetic capsid sequences, we conduct Therapeutic Vector Evolution, including competitive selection, to identify targeted and evolved vectors that fit a Target Vector Profile. The illustration below highlights the Target Vector Profile design and subsequent selection process whereby competitive pressure is applied over a varying number of selection rounds for each program. Capsids with the best fitness for the Target Vector Profile are enriched at each round and are designated lead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146685</wp:posOffset>
            </wp:positionV>
            <wp:extent cx="5246370" cy="283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4637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36"/>
        <w:spacing w:after="0" w:line="223" w:lineRule="auto"/>
        <w:rPr>
          <w:sz w:val="20"/>
          <w:szCs w:val="20"/>
          <w:color w:val="auto"/>
        </w:rPr>
      </w:pPr>
      <w:r>
        <w:rPr>
          <w:rFonts w:ascii="Arial" w:cs="Arial" w:eastAsia="Arial" w:hAnsi="Arial"/>
          <w:sz w:val="18"/>
          <w:szCs w:val="18"/>
          <w:color w:val="auto"/>
        </w:rPr>
        <w:t>Our co-founder Dr. David Schaffer, pioneered the use of directed evolution to create improved AAV capsids for use as gene therapy vectors at U.C. Berkeley over 20 years ago. Since the company's founding in 2013, we have developed and industrialized our Therapeutic Vector Evolution Platform to invent targeted and evolved vectors for use in human therapeutic products. In addition to the foundational libraries we in-licensed from U.C. Berkeley, we have created over 30 new libraries, which comprise approximately one billion proprietary synthetic capsid sequences. In addition, we have developed significant experience in performing Therapeutic Vector Evolution programs in NHPs, with over 14 capsid selections completed to date. We believe this will help us to develop product candidates to address a broad swath of diseases in rare and large patient populations, including those other gene therapies cannot address.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Diverse Libraries of Synthetic Capsid Sequences</w:t>
      </w:r>
    </w:p>
    <w:p>
      <w:pPr>
        <w:spacing w:after="0" w:line="122"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Each 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We also apply bioinformatics, emerging technologies, and experience and know-how resulting from previous discovery programs to continually improve and expand our libraries and improve our ability to select customized targeted and evolved vectors.</w:t>
      </w:r>
    </w:p>
    <w:p>
      <w:pPr>
        <w:spacing w:after="0" w:line="202" w:lineRule="exact"/>
        <w:rPr>
          <w:sz w:val="20"/>
          <w:szCs w:val="20"/>
          <w:color w:val="auto"/>
        </w:rPr>
      </w:pPr>
    </w:p>
    <w:p>
      <w:pPr>
        <w:ind w:right="100" w:firstLine="636"/>
        <w:spacing w:after="0" w:line="246" w:lineRule="auto"/>
        <w:rPr>
          <w:sz w:val="20"/>
          <w:szCs w:val="20"/>
          <w:color w:val="auto"/>
        </w:rPr>
      </w:pPr>
      <w:r>
        <w:rPr>
          <w:rFonts w:ascii="Arial" w:cs="Arial" w:eastAsia="Arial" w:hAnsi="Arial"/>
          <w:sz w:val="18"/>
          <w:szCs w:val="18"/>
          <w:color w:val="auto"/>
        </w:rPr>
        <w:t>We believe the size and diversity of our proprietary synthetic capsid libraries represent a differentiating competitive advantage for us in the field of gene therapy.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The Target Vector Profile Followed by Competitive Vector Selection</w:t>
      </w:r>
    </w:p>
    <w:p>
      <w:pPr>
        <w:spacing w:after="0" w:line="122"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We employ a rigorous approach to inventing targeted and evolved vectors based on what we consider an optimal vector and product profile, which we term the Target Vector Profile. For any set of target diseases that affect the same tissue(s), this profile includes any combination of the following: the optimal route of administration for targeting the specific tissue(s), the optimal dose range, the desired distribution of vector transduction within the target organs, overall biodistribution and/or antibody resistance.</w:t>
      </w:r>
    </w:p>
    <w:p>
      <w:pPr>
        <w:spacing w:after="0" w:line="205"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 xml:space="preserve">We use our Therapeutic Vector Evolution Platform to select the “fittest” targeted and evolved capsid that best matches our Target Vector Profile. We achieve this through serial rounds of “selection”, or discovery, with each round of selection filtering down to fewer and fewer synthetic capsids from the original library. This funneling process is achieved by applying selective pressures—forcing competition— among all synthetic capsid variants in the library to achieve delivery to the target cells as defined in the Target Vector Profile. Each round is performed in a primate </w:t>
      </w:r>
      <w:r>
        <w:rPr>
          <w:rFonts w:ascii="Arial" w:cs="Arial" w:eastAsia="Arial" w:hAnsi="Arial"/>
          <w:sz w:val="18"/>
          <w:szCs w:val="18"/>
          <w:i w:val="1"/>
          <w:iCs w:val="1"/>
          <w:color w:val="auto"/>
        </w:rPr>
        <w:t>in vivo</w:t>
      </w:r>
      <w:r>
        <w:rPr>
          <w:rFonts w:ascii="Arial" w:cs="Arial" w:eastAsia="Arial" w:hAnsi="Arial"/>
          <w:sz w:val="18"/>
          <w:szCs w:val="18"/>
          <w:color w:val="auto"/>
        </w:rPr>
        <w:t>, sometimes in the presence of human antibodies.</w:t>
      </w:r>
    </w:p>
    <w:p>
      <w:pPr>
        <w:spacing w:after="0" w:line="202"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 xml:space="preserve">By the end of a typical Therapeutic Vector Evolution process, we will have identified approximately two to four targeted and evolved vectors, or hits, based on their frequency in the final pool of synthetic capsid sequences, in addition to numerous sequences present at lower frequencies. We believe this deliberate approach to selection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NHPs and in human tissues should lead to identification of targeted and evolved vectors with a higher likelihood of therapeutic benefit in humans.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Invention Results to Date</w:t>
      </w:r>
    </w:p>
    <w:p>
      <w:pPr>
        <w:spacing w:after="0" w:line="122"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We have completed unique vector selection programs or “selection processes” for specific proprietary synthetic capsids with specific Target Vector Profiles. Across our clinical development and discovery portfolio, we have utilized four different routes of administration: intravenous, intravitreal, aerosol, and intrathecal administrations. We have completed discovery programs targeting a diverse array of tissue types including various retinal cell types, heart and skeletal muscle tissues, different lung cell types, liver, brain, dorsal root ganglia, and synovial joints, resulting in over 300 unique targeted and evolved vectors.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Characterization of Novel Vector Variant “Hits” and “Leads”</w:t>
      </w:r>
    </w:p>
    <w:p>
      <w:pPr>
        <w:spacing w:after="0" w:line="122"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Vector hits are typically characterized by three major criteria: manufacturing, human cell and human organotypic model transduction, and delivery to tissues in NHPs by the designated route of administration. Vector hits may also be evaluated for transduction in the presence of human antibodies. In order to perform characterization studies, vectors are armed with marker gene payloads such as enhanced green fluorescent protein (“EGFP”). After these hits have been evaluated, a lead vector is selected.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Directed Evolution-Based Promoter and Transgene Discovery Platforms</w:t>
      </w:r>
    </w:p>
    <w:p>
      <w:pPr>
        <w:spacing w:after="0" w:line="122"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color w:val="auto"/>
        </w:rPr>
        <w:t>To complement our Therapeutic Vector Evolution Platform and modular development approach, we are generating next-generation optimized promoter elements and transgenes using a combination of directed evolution and proprietary algorithms.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9" w:name="page10"/>
    <w:bookmarkEnd w:id="9"/>
    <w:p>
      <w:pPr>
        <w:ind w:right="180" w:firstLine="644"/>
        <w:spacing w:after="0" w:line="237" w:lineRule="auto"/>
        <w:rPr>
          <w:sz w:val="20"/>
          <w:szCs w:val="20"/>
          <w:color w:val="auto"/>
        </w:rPr>
      </w:pPr>
      <w:r>
        <w:rPr>
          <w:rFonts w:ascii="Arial" w:cs="Arial" w:eastAsia="Arial" w:hAnsi="Arial"/>
          <w:sz w:val="18"/>
          <w:szCs w:val="18"/>
          <w:color w:val="auto"/>
        </w:rPr>
        <w:t>Currently available promoters may lack sufficient strength of expression and selectivity for clinical benefit of AAV gene therapies. In addition, for some AAV gene therapy products a smaller promoter region may be essential for the gene payload to fit in the AAV. Therefore, we believe there is a need for better promoters for many AAV products to enable or enhance their therapeutic benefit. We generate Target Promoter Profiles for any given product and disease target. This promoter profile includes target cell specificity and strength in order to maximize tolerability and/or biologic activity, as well as to account for any necessary size constraints. Our libraries of novel and diverse synthetic promoters have been engineered and currently comprise approximately ten million unique sequences. Our discovery platform identifies the best promoters within the libraries for a specific Target Promoter Profile.</w:t>
      </w:r>
    </w:p>
    <w:p>
      <w:pPr>
        <w:spacing w:after="0" w:line="203"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In addition to our synthetic promoters, we are developing next-generation optimized transgenes. Our discovery platform uses a high-throughput approach, harnessing both directed evolution and rational design algorithms, to identify novel transgenes that express therapeutic proteins. For example, we have developed transgenes to express RNAi in target cells of interest for treatment of disease. These transgene-expressed RNAi molecules, or ddRNAi, are anchored by a microRNA backbone that not only enhances stability and limits off-target effects, but also facilitates high expression within target cells and thereby may increase efficacy. Our technology allows us to knock down disease-causing transcripts, combining a design for a high degree of selectivity with the goal of long-term expression afforded by AAV-based gene therapy.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140335</wp:posOffset>
            </wp:positionV>
            <wp:extent cx="5349240" cy="2400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22" w:lineRule="exact"/>
        <w:rPr>
          <w:sz w:val="20"/>
          <w:szCs w:val="20"/>
          <w:color w:val="auto"/>
        </w:rPr>
      </w:pPr>
    </w:p>
    <w:p>
      <w:pPr>
        <w:ind w:firstLine="636"/>
        <w:spacing w:after="0" w:line="257" w:lineRule="auto"/>
        <w:rPr>
          <w:sz w:val="20"/>
          <w:szCs w:val="20"/>
          <w:color w:val="auto"/>
        </w:rPr>
      </w:pPr>
      <w:r>
        <w:rPr>
          <w:rFonts w:ascii="Arial" w:cs="Arial" w:eastAsia="Arial" w:hAnsi="Arial"/>
          <w:sz w:val="17"/>
          <w:szCs w:val="17"/>
          <w:color w:val="auto"/>
        </w:rPr>
        <w:t>We are developing product candidates to treat severe ophthalmologic diseases. Our targeted and evolved vector, R100, is used in all three of our ophthalmology clinical stage product candidates and was invented for routine intravitreal injection, leading to transgene expression across the entire surface area of the retina, and in the major cell layers of the retina. We believe that the ability to use the same novel vector in all three product candidates will help inform the clinical development of subsequent product candidates using the same vector.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4D-125 for X-Linked Retinitis Pigmentosa (“XLRP”)</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80" w:firstLine="644"/>
        <w:spacing w:after="0" w:line="236" w:lineRule="auto"/>
        <w:rPr>
          <w:sz w:val="20"/>
          <w:szCs w:val="20"/>
          <w:color w:val="auto"/>
        </w:rPr>
      </w:pPr>
      <w:r>
        <w:rPr>
          <w:rFonts w:ascii="Arial" w:cs="Arial" w:eastAsia="Arial" w:hAnsi="Arial"/>
          <w:sz w:val="18"/>
          <w:szCs w:val="18"/>
          <w:color w:val="auto"/>
        </w:rPr>
        <w:t>XLRP is a rare inherited X-linked recessive genetic disorder that causes progressive vision loss and blindness. There are currently no approved therapies for XLRP. Seventy percent of cases are caused by mutations in the retinitis pigmentosa GTPase regulator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The estimated worldwide prevalence of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variants is approximately one in 25,600 people, which represents approximately 24,000 patients in the United States, and France, Germany, Italy, Spain and the United Kingdom (together, EU-5). It is characterized by dysfunction and degeneration of photoreceptors in the retina. Loss of </w:t>
      </w:r>
      <w:r>
        <w:rPr>
          <w:rFonts w:ascii="Arial" w:cs="Arial" w:eastAsia="Arial" w:hAnsi="Arial"/>
          <w:sz w:val="18"/>
          <w:szCs w:val="18"/>
          <w:i w:val="1"/>
          <w:iCs w:val="1"/>
          <w:color w:val="auto"/>
        </w:rPr>
        <w:t>RPGR</w:t>
      </w:r>
      <w:r>
        <w:rPr>
          <w:rFonts w:ascii="Arial" w:cs="Arial" w:eastAsia="Arial" w:hAnsi="Arial"/>
          <w:sz w:val="18"/>
          <w:szCs w:val="18"/>
          <w:color w:val="auto"/>
        </w:rPr>
        <w:t xml:space="preserve"> function in retinal cells causes the progressive loss of rod and cone photoreceptors, leading to the progressive loss of vision. Symptoms of XLRP are initially night blindness, followed by loss of peripheral visual field, decreasing visual acuity and eventually blindness. While males are usually the most affected, approximately 25% of heterozygous females experience loss of vision.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86" w:lineRule="exact"/>
        <w:rPr>
          <w:sz w:val="20"/>
          <w:szCs w:val="20"/>
          <w:color w:val="auto"/>
        </w:rPr>
      </w:pPr>
    </w:p>
    <w:p>
      <w:pPr>
        <w:ind w:right="80" w:firstLine="636"/>
        <w:spacing w:after="0" w:line="241" w:lineRule="auto"/>
        <w:rPr>
          <w:sz w:val="20"/>
          <w:szCs w:val="20"/>
          <w:color w:val="auto"/>
        </w:rPr>
      </w:pPr>
      <w:r>
        <w:rPr>
          <w:rFonts w:ascii="Arial" w:cs="Arial" w:eastAsia="Arial" w:hAnsi="Arial"/>
          <w:sz w:val="18"/>
          <w:szCs w:val="18"/>
          <w:color w:val="auto"/>
        </w:rPr>
        <w:t xml:space="preserve">We are developing 4D-125 for the treatment of patients with XLRP with </w:t>
      </w:r>
      <w:r>
        <w:rPr>
          <w:rFonts w:ascii="Arial" w:cs="Arial" w:eastAsia="Arial" w:hAnsi="Arial"/>
          <w:sz w:val="18"/>
          <w:szCs w:val="18"/>
          <w:i w:val="1"/>
          <w:iCs w:val="1"/>
          <w:color w:val="auto"/>
        </w:rPr>
        <w:t>RPGR</w:t>
      </w:r>
      <w:r>
        <w:rPr>
          <w:rFonts w:ascii="Arial" w:cs="Arial" w:eastAsia="Arial" w:hAnsi="Arial"/>
          <w:sz w:val="18"/>
          <w:szCs w:val="18"/>
          <w:color w:val="auto"/>
        </w:rPr>
        <w:t xml:space="preserve"> mutations. 4D-125 is designed to benefit patients at all stages of XLRP, including early stage patients whose entire viable retinas are not adequately treated by subretinal surgery. This product candidate is comprised of R100 and a codon-optimized </w:t>
      </w:r>
      <w:r>
        <w:rPr>
          <w:rFonts w:ascii="Arial" w:cs="Arial" w:eastAsia="Arial" w:hAnsi="Arial"/>
          <w:sz w:val="18"/>
          <w:szCs w:val="18"/>
          <w:i w:val="1"/>
          <w:iCs w:val="1"/>
          <w:color w:val="auto"/>
        </w:rPr>
        <w:t>RPGR</w:t>
      </w:r>
      <w:r>
        <w:rPr>
          <w:rFonts w:ascii="Arial" w:cs="Arial" w:eastAsia="Arial" w:hAnsi="Arial"/>
          <w:sz w:val="18"/>
          <w:szCs w:val="18"/>
          <w:color w:val="auto"/>
        </w:rPr>
        <w:t xml:space="preserve"> transgene engineered for expression within human photoreceptors. In NHP models, we have observed widespread transduction and transgene expression across the entire retinal surface. We believe that 4D-125 has the potential to successfully treat XLRP patients at the earliest stages of their disease progression and ideally, slow or prevent progression and retain vision.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XLRP</w:t>
      </w:r>
    </w:p>
    <w:p>
      <w:pPr>
        <w:spacing w:after="0" w:line="104"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Several companies are developing subretinal AAV gene therapies for patients with XLRP. In Phase 1 and 2 trials, investigators have reported improvements in visual field function within the localized retina area receiving the treatment bleb in a subset of patients. These AAV gene therapies require invasive subretinal surgery, which has been associated with subretinal surgery-related adverse events. In addition, subretinal surgery results in transduction and direct treatment of only a small fraction of the retina and is, therefore, limited to patients with more advanced disease with a small remaining area of viable retinal cells.</w:t>
      </w:r>
    </w:p>
    <w:p>
      <w:pPr>
        <w:spacing w:after="0" w:line="202"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We believe 4D-125 has the potential to be differentiated from other AAV gene therapies in clinical development, to our knowledge, on the basis of four features:</w:t>
      </w:r>
    </w:p>
    <w:p>
      <w:pPr>
        <w:spacing w:after="0" w:line="89" w:lineRule="exact"/>
        <w:rPr>
          <w:sz w:val="20"/>
          <w:szCs w:val="20"/>
          <w:color w:val="auto"/>
        </w:rPr>
      </w:pPr>
    </w:p>
    <w:p>
      <w:pPr>
        <w:ind w:left="900" w:right="40" w:hanging="248"/>
        <w:spacing w:after="0" w:line="23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Product candidates that utilize conventional AAV vectors such as AAV2, must be administered by subretinal surgery for XLRP. Unlike those product candidates, R100, which is included in our product candidate 4D-125, was specifically invented for intravitreal injection. This easier and widely used route of administration may result in faster clinical trial enrollment and better efficacy.</w:t>
      </w:r>
    </w:p>
    <w:p>
      <w:pPr>
        <w:spacing w:after="0" w:line="96" w:lineRule="exact"/>
        <w:rPr>
          <w:rFonts w:ascii="Arial" w:cs="Arial" w:eastAsia="Arial" w:hAnsi="Arial"/>
          <w:sz w:val="18"/>
          <w:szCs w:val="18"/>
          <w:color w:val="auto"/>
        </w:rPr>
      </w:pPr>
    </w:p>
    <w:p>
      <w:pPr>
        <w:ind w:left="900" w:right="20" w:hanging="24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Unlike conventional AAV vectors administered by subretinal surgery, which treat only a small fraction of the retinal surface, 4D-125 can be used to treat the entire retinal surface following intravitreal injection, potentially broadening its therapeutic applicability.</w:t>
      </w:r>
    </w:p>
    <w:p>
      <w:pPr>
        <w:spacing w:after="0" w:line="94" w:lineRule="exact"/>
        <w:rPr>
          <w:rFonts w:ascii="Arial" w:cs="Arial" w:eastAsia="Arial" w:hAnsi="Arial"/>
          <w:sz w:val="18"/>
          <w:szCs w:val="18"/>
          <w:color w:val="auto"/>
        </w:rPr>
      </w:pPr>
    </w:p>
    <w:p>
      <w:pPr>
        <w:ind w:left="900" w:right="40" w:hanging="248"/>
        <w:spacing w:after="0" w:line="23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We believe it will be feasible to safely treat early stage patients before they start to lose their retinal function. 4D-125 is designed to treat the entire surface of the retina, including the periphery where degenerative diseases like XLRP start. In addition, intravitreal injection is recognized as a safe, simple and routinely used method of administering therapeutics.</w:t>
      </w:r>
    </w:p>
    <w:p>
      <w:pPr>
        <w:spacing w:after="0" w:line="96" w:lineRule="exact"/>
        <w:rPr>
          <w:rFonts w:ascii="Arial" w:cs="Arial" w:eastAsia="Arial" w:hAnsi="Arial"/>
          <w:sz w:val="18"/>
          <w:szCs w:val="18"/>
          <w:color w:val="auto"/>
        </w:rPr>
      </w:pPr>
    </w:p>
    <w:p>
      <w:pPr>
        <w:ind w:left="900" w:right="360" w:hanging="248"/>
        <w:spacing w:after="0" w:line="27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Commercial opportunity</w:t>
      </w:r>
      <w:r>
        <w:rPr>
          <w:rFonts w:ascii="Arial" w:cs="Arial" w:eastAsia="Arial" w:hAnsi="Arial"/>
          <w:sz w:val="17"/>
          <w:szCs w:val="17"/>
          <w:color w:val="auto"/>
        </w:rPr>
        <w:t>: Intravitreal injections are widely adopted by many practicing ophthalmologists and used to treat a number of ophthalmological indications. As a result, we believe 4D-125 has the potential for rapid market uptake, if approved.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completed a single dose IND-enabling toxicology and biodistribution study in 30 NHPs with 4D-125. 4D-125 was administered at doses of 1E11 vg/eye or 1E12 vg/eye by intravitreal injection. Animals were sacrificed at three weeks, three months or six months. No meaningful toxicities were reported anywhere in the body, including specifically within the retina. Mild, transient uveitis was observed, but no chronic inflammation was reported; all animals were under systemic immunosuppression during the study. We detected vector genomes and XLRP transgene RNA expression in all treated retinas at both dose levels; the genome and RNA levels were higher in the high dose animals.</w:t>
      </w:r>
    </w:p>
    <w:p>
      <w:pPr>
        <w:spacing w:after="0" w:line="184" w:lineRule="exact"/>
        <w:rPr>
          <w:sz w:val="20"/>
          <w:szCs w:val="20"/>
          <w:color w:val="auto"/>
        </w:rPr>
      </w:pPr>
    </w:p>
    <w:p>
      <w:pPr>
        <w:ind w:right="160" w:firstLine="636"/>
        <w:spacing w:after="0" w:line="245"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the disease, XLRP patient photoreceptors were derived from XLRP-diseased white blood cells that had been reprogrammed into induced pluripotent stem cells. Diseased photoreceptors were transduced with 4D-125 and protein lysates were harvested 30 days post-transduction. 4D-125 transduced cells expressed significantly more transgene product (hRPGRorf15) than control cells. Moreover, this expressed protein was shown to be active as measured by glutamylation (GT335).</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4D-125 is currently being evaluated in a first-in-human, on-going Phase 1/2 dose escalation and dose expansion clinical trial. The primary objectives of this trial are to evaluate the safety and maximum tolerated dose of 4D-125. Secondary endpoints include assessments of biologic activity, including both visual field function and anatomical endpoints.</w:t>
      </w:r>
    </w:p>
    <w:p>
      <w:pPr>
        <w:spacing w:after="0" w:line="203"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We reported initial clinical data on this program in October 2021. As of the data cutoff date of September 1, 2021, eight patients with clinically advanced XLRP due to RPGR gene mutation had been treated. A standard 3+3 dose escalation was used. Patients were enrolled in one of three dose cohorts: dose-escalation cohort 1 (3E11 vg/eye; n=3), dose-escalation cohort 2 (1E12 vg/eye n=3) and the dose expansion cohort (1E12vg/eye; n=2). Patients enrolled in the dose escalation cohorts of this first-in-human clinical trial had clinically-advanced XLRP, with patients having limited or no measurable remaining photoreceptor area or retinal sensitivity.</w:t>
      </w:r>
    </w:p>
    <w:p>
      <w:pPr>
        <w:spacing w:after="0" w:line="202"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Two dose escalation patients (n=1 at 3E11 vg/eye; n=1 at 1E12 vg/eye) were evaluable for clinical activity defined as having both measurable ellipsoid-zone area ("EZ Area") by spectral domain optical coherence tomography ("SD-OCT") and retinal sensitivity by microperimetry in both the treated and untreated control eye with at least six months follow-up; dose expansion cohort patients (n=2) had not yet reached six months of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62230</wp:posOffset>
            </wp:positionV>
            <wp:extent cx="5349240" cy="1937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*Month 4 – Patient 5 unable to fixate in untreated eye at Month 6.</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 w:name="page13"/>
    <w:bookmarkEnd w:id="12"/>
    <w:p>
      <w:pPr>
        <w:ind w:right="180" w:firstLine="644"/>
        <w:spacing w:after="0"/>
        <w:rPr>
          <w:sz w:val="20"/>
          <w:szCs w:val="20"/>
          <w:color w:val="auto"/>
        </w:rPr>
      </w:pPr>
      <w:r>
        <w:rPr>
          <w:rFonts w:ascii="Arial" w:cs="Arial" w:eastAsia="Arial" w:hAnsi="Arial"/>
          <w:sz w:val="18"/>
          <w:szCs w:val="18"/>
          <w:color w:val="auto"/>
        </w:rPr>
        <w:t>4D-125 was well-tolerated and did not result in dose-limiting toxicities. No serious adverse events were reported. Enrollment in the dose-expansion cohort is ongoing. We expect to enroll patients with less advanced disease than those enrolled in dose escalation, and whom we expect to be evaluable for clinical activity based on central reading center confirmation at screening.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4D-150 for Wet AMD and Diabetic Retinopathy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Wet AMD is a type of macular degeneration where abnormal blood vessels (choroidal neovascularization or "CNV") grow into the macula, the central area of the retina. As a consequence, CNV causes retina swelling and edema, and bleeding can occur and cause visual distortion and reduced acuity. The proliferation of abnormal blood vessels in the retina is stimulated by VEGF. This process distorts and can potentially destroy central vision and may progress to blindness without treatment. There are on average 200,000 new incidences of wet AMD per year in the United States alone. Wet AMD accounts for approximately 10% of all diagnosed cases of AMD, but it results in an estimated 90% of the legal blindness caused by all types of AMD. High expression levels of VEGF appear to play a causal role in the symptoms of wet AMD.</w:t>
      </w:r>
    </w:p>
    <w:p>
      <w:pPr>
        <w:spacing w:after="0" w:line="203" w:lineRule="exact"/>
        <w:rPr>
          <w:sz w:val="20"/>
          <w:szCs w:val="20"/>
          <w:color w:val="auto"/>
        </w:rPr>
      </w:pPr>
    </w:p>
    <w:p>
      <w:pPr>
        <w:ind w:right="180" w:firstLine="636"/>
        <w:spacing w:after="0" w:line="237" w:lineRule="auto"/>
        <w:rPr>
          <w:sz w:val="20"/>
          <w:szCs w:val="20"/>
          <w:color w:val="auto"/>
        </w:rPr>
      </w:pPr>
      <w:r>
        <w:rPr>
          <w:rFonts w:ascii="Arial" w:cs="Arial" w:eastAsia="Arial" w:hAnsi="Arial"/>
          <w:sz w:val="18"/>
          <w:szCs w:val="18"/>
          <w:color w:val="auto"/>
        </w:rPr>
        <w:t>Diabetes mellitus affects approximately 400 million adults worldwide and the prevalence is expected to increase by approximately 45% in the next decade. Diabetic eye disease, primarily diabetic retinopathy (“DR”), is a leading cause of vision loss and blindness in working-age adults and occurs due to the development of diabetic macular edema (“DME”; swelling, edema and hemorrhage in the central vision) and complications arising from proliferative diabetic retinopathy ("PDR"; retinal neovascularization causing bleeding and retinal detachment). The prevalence of diabetic retinopathy is high, affecting almost one-third of adults over 40 years of age with diabetes. In the United States approximately 4.2 million adults have DR and 655,000 have vision-threatening DR.</w:t>
      </w:r>
    </w:p>
    <w:p>
      <w:pPr>
        <w:spacing w:after="0" w:line="205"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The current treatment paradigm for wet AMD and diabetic retinopathy, including DME, is intravitreal injection of patients with anti-VEGF proteins that inhibit the proliferation of new blood vessels, reducing edema and bleeding and allowing some visual acuity to be recovered. Most anti-VEGF therapies require repeated intravitreal injections in the office every few weeks to every few months to obtain full efficacy. When patients miss doses, they may experience accelerated vision decline. Based on current clinical experience, after several years of treatment, the early vision gains are frequently lost, and acuity declines are observed for reasons that may include variable treatment regimens and poor patient compliance.</w:t>
      </w:r>
    </w:p>
    <w:p>
      <w:pPr>
        <w:spacing w:after="0" w:line="205"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We believe these major retinal diseases are ideal candidate applications for gene therapy. There are multiple products on the market that validate the anti-VEGF therapeutic approach, and emerging randomized clinical trial data suggest that inhibiting additional molecular targets can extend the efficacy and durability of anti-VEGF alone. Delivering intravitreal therapies to the eye is routine, and there is an advantage for a single dose gene therapy that can provide long-term efficacy in patients for whom compliance, or treatment resistance, is a problem.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4D-150 is a dual-transgene, intravitreal gene therapy designed to inhibit four distinct angiogenic factors to prevent angiogenesis and reduce vascular permeability for the treatment of angiogenic diseases of the retina. These angiogenic diseases of the retina, including wet AMD and diabetic retinopathy, represent therapeutic markets of over $9.7 billion in annual global sales.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13" w:name="page14"/>
    <w:bookmarkEnd w:id="13"/>
    <w:p>
      <w:pPr>
        <w:ind w:right="160" w:firstLine="644"/>
        <w:spacing w:after="0" w:line="238" w:lineRule="auto"/>
        <w:rPr>
          <w:sz w:val="20"/>
          <w:szCs w:val="20"/>
          <w:color w:val="auto"/>
        </w:rPr>
      </w:pPr>
      <w:r>
        <w:rPr>
          <w:rFonts w:ascii="Arial" w:cs="Arial" w:eastAsia="Arial" w:hAnsi="Arial"/>
          <w:sz w:val="18"/>
          <w:szCs w:val="18"/>
          <w:color w:val="auto"/>
        </w:rPr>
        <w:t>4D-150 is engineered for efficient intravitreal delivery to the retina of a payload expressing two transgenes that has the potential for greater efficacy and/or lower required doses versus therapies that target a single VEGF factor, including in patients refractory to currently approved anti-VEGF therapies. Intravitreal delivery of biologics to the eye is routine, and a single dose intravitreal gene therapy that could provide long-term efficacy in patients would be an advantage for patients who struggle with treatment burden and/or treatment resistance.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wet AMD and Diabetic Retinopathy</w:t>
      </w:r>
    </w:p>
    <w:p>
      <w:pPr>
        <w:spacing w:after="0" w:line="104"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 xml:space="preserve">AAV gene therapy approaches are being developed by several companies to treat wet AMD by delivering a functional copy of an anti-angiogenic transgene by either subretinal or suprachoroidal injection with a conventional AAV vector, or intravitreal administration with a mouse-evolved vector. It remains to be demonstrated whether conventional AAVs or mouse-evolved vectors can deliver significant retinal coverage while limiting off-target effects. In comparison, our targeted and evolved vectors are designed and tested in NHPs whose eyes more closely resemble the anatomy of the human eye than mouse eyes. We believe this provides comprehensive retinal coverage through less invasive and more commonly used intravitreal injections while delivering an improved tolerability profile with limited inflammation. To our knowledge, 4D-150 is the only AAV gene therapy asset in wet AMD and DR to utilize an intravitreal vector (such as R100) discovered through directed evolution in NHP. In addition, </w:t>
      </w:r>
      <w:r>
        <w:rPr>
          <w:rFonts w:ascii="Arial" w:cs="Arial" w:eastAsia="Arial" w:hAnsi="Arial"/>
          <w:sz w:val="18"/>
          <w:szCs w:val="18"/>
          <w:i w:val="1"/>
          <w:iCs w:val="1"/>
          <w:color w:val="auto"/>
        </w:rPr>
        <w:t>in vitro</w:t>
      </w:r>
      <w:r>
        <w:rPr>
          <w:rFonts w:ascii="Arial" w:cs="Arial" w:eastAsia="Arial" w:hAnsi="Arial"/>
          <w:sz w:val="18"/>
          <w:szCs w:val="18"/>
          <w:color w:val="auto"/>
        </w:rPr>
        <w:t>studies of R100 versus AAV2 have shown superior transduction by R100 in human retinal cells. We have not compared R100 to AAV2 in patients in clinical studies. R100 has been associated with a low inflammation profile and lack of adverse findings in 91 NHP eyes injected in GLP toxicology studies.</w:t>
      </w:r>
    </w:p>
    <w:p>
      <w:pPr>
        <w:spacing w:after="0" w:line="206" w:lineRule="exact"/>
        <w:rPr>
          <w:sz w:val="20"/>
          <w:szCs w:val="20"/>
          <w:color w:val="auto"/>
        </w:rPr>
      </w:pPr>
    </w:p>
    <w:p>
      <w:pPr>
        <w:ind w:right="620" w:firstLine="636"/>
        <w:spacing w:after="0" w:line="238" w:lineRule="auto"/>
        <w:rPr>
          <w:sz w:val="20"/>
          <w:szCs w:val="20"/>
          <w:color w:val="auto"/>
        </w:rPr>
      </w:pPr>
      <w:r>
        <w:rPr>
          <w:rFonts w:ascii="Arial" w:cs="Arial" w:eastAsia="Arial" w:hAnsi="Arial"/>
          <w:sz w:val="18"/>
          <w:szCs w:val="18"/>
          <w:color w:val="auto"/>
        </w:rPr>
        <w:t>In addition, to our knowledge, 4D-150 is the first gene therapy product candidate for the eye designed to implement three mechanisms of action by directly inhibiting four different angiogenic growth factor targets, including VEGF-A, -B and C- and PlGF. We therefore believe there is significant differentiation between our gene therapy product candidate and other AAV gene therapeutics in development in this therapeutic area.</w:t>
      </w:r>
    </w:p>
    <w:p>
      <w:pPr>
        <w:spacing w:after="0" w:line="205" w:lineRule="exact"/>
        <w:rPr>
          <w:sz w:val="20"/>
          <w:szCs w:val="20"/>
          <w:color w:val="auto"/>
        </w:rPr>
      </w:pPr>
    </w:p>
    <w:p>
      <w:pPr>
        <w:ind w:right="60" w:firstLine="636"/>
        <w:spacing w:after="0" w:line="246" w:lineRule="auto"/>
        <w:rPr>
          <w:sz w:val="20"/>
          <w:szCs w:val="20"/>
          <w:color w:val="auto"/>
        </w:rPr>
      </w:pPr>
      <w:r>
        <w:rPr>
          <w:rFonts w:ascii="Arial" w:cs="Arial" w:eastAsia="Arial" w:hAnsi="Arial"/>
          <w:sz w:val="18"/>
          <w:szCs w:val="18"/>
          <w:color w:val="auto"/>
        </w:rPr>
        <w:t>We believe 4D-150 has the potential to be differentiated from approved agents, and those in clinical development, to our knowledge, on the basis of five features:</w:t>
      </w:r>
    </w:p>
    <w:p>
      <w:pPr>
        <w:spacing w:after="0" w:line="89" w:lineRule="exact"/>
        <w:rPr>
          <w:sz w:val="20"/>
          <w:szCs w:val="20"/>
          <w:color w:val="auto"/>
        </w:rPr>
      </w:pPr>
    </w:p>
    <w:p>
      <w:pPr>
        <w:ind w:left="900" w:hanging="248"/>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Four distinct mechanisms-of-action</w:t>
      </w:r>
      <w:r>
        <w:rPr>
          <w:rFonts w:ascii="Arial" w:cs="Arial" w:eastAsia="Arial" w:hAnsi="Arial"/>
          <w:sz w:val="18"/>
          <w:szCs w:val="18"/>
          <w:color w:val="auto"/>
          <w:highlight w:val="white"/>
        </w:rPr>
        <w:t>: An intravitreal dose of 4D-150 should result in sustained anti-angiogenic effects through three</w:t>
      </w:r>
      <w:r>
        <w:rPr>
          <w:rFonts w:ascii="Arial" w:cs="Arial" w:eastAsia="Arial" w:hAnsi="Arial"/>
          <w:sz w:val="18"/>
          <w:szCs w:val="18"/>
          <w:color w:val="auto"/>
        </w:rPr>
        <w:t xml:space="preserve"> distinct mechanisms of action.</w:t>
      </w:r>
    </w:p>
    <w:p>
      <w:pPr>
        <w:spacing w:after="0" w:line="88" w:lineRule="exact"/>
        <w:rPr>
          <w:rFonts w:ascii="Arial" w:cs="Arial" w:eastAsia="Arial" w:hAnsi="Arial"/>
          <w:sz w:val="18"/>
          <w:szCs w:val="18"/>
          <w:color w:val="auto"/>
        </w:rPr>
      </w:pPr>
    </w:p>
    <w:p>
      <w:pPr>
        <w:ind w:left="900" w:right="200" w:hanging="248"/>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intravitreal protein therapeutics that require repeat dosing every few weeks for a patient’s lifetime, 4D-150 is designed as a one-time dose.</w:t>
      </w:r>
    </w:p>
    <w:p>
      <w:pPr>
        <w:spacing w:after="0" w:line="88" w:lineRule="exact"/>
        <w:rPr>
          <w:rFonts w:ascii="Arial" w:cs="Arial" w:eastAsia="Arial" w:hAnsi="Arial"/>
          <w:sz w:val="18"/>
          <w:szCs w:val="18"/>
          <w:color w:val="auto"/>
        </w:rPr>
      </w:pPr>
    </w:p>
    <w:p>
      <w:pPr>
        <w:ind w:left="900" w:right="440" w:hanging="24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Novel vector evolved in NHPs for efficient intravitreal delivery</w:t>
      </w:r>
      <w:r>
        <w:rPr>
          <w:rFonts w:ascii="Arial" w:cs="Arial" w:eastAsia="Arial" w:hAnsi="Arial"/>
          <w:sz w:val="18"/>
          <w:szCs w:val="18"/>
          <w:color w:val="auto"/>
          <w:highlight w:val="white"/>
        </w:rPr>
        <w:t>: Unlike conventional AAV vectors such as AAV2 or the mouse-</w:t>
      </w:r>
      <w:r>
        <w:rPr>
          <w:rFonts w:ascii="Arial" w:cs="Arial" w:eastAsia="Arial" w:hAnsi="Arial"/>
          <w:sz w:val="18"/>
          <w:szCs w:val="18"/>
          <w:color w:val="auto"/>
        </w:rPr>
        <w:t>evolved AAV vector 7m8, R100 was specifically selected in NHPs from our collection of over one billion synthetic capsid sequences for use in humans.</w:t>
      </w:r>
    </w:p>
    <w:p>
      <w:pPr>
        <w:spacing w:after="0" w:line="94" w:lineRule="exact"/>
        <w:rPr>
          <w:rFonts w:ascii="Arial" w:cs="Arial" w:eastAsia="Arial" w:hAnsi="Arial"/>
          <w:sz w:val="18"/>
          <w:szCs w:val="18"/>
          <w:color w:val="auto"/>
        </w:rPr>
      </w:pPr>
    </w:p>
    <w:p>
      <w:pPr>
        <w:ind w:left="900" w:right="160" w:hanging="248"/>
        <w:spacing w:after="0" w:line="23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Low inflammation profile design</w:t>
      </w:r>
      <w:r>
        <w:rPr>
          <w:rFonts w:ascii="Arial" w:cs="Arial" w:eastAsia="Arial" w:hAnsi="Arial"/>
          <w:sz w:val="18"/>
          <w:szCs w:val="18"/>
          <w:color w:val="auto"/>
          <w:highlight w:val="white"/>
        </w:rPr>
        <w:t>: Following intravitreal injection, R100 has shown a low inflammation profile and no significant</w:t>
      </w:r>
      <w:r>
        <w:rPr>
          <w:rFonts w:ascii="Arial" w:cs="Arial" w:eastAsia="Arial" w:hAnsi="Arial"/>
          <w:sz w:val="18"/>
          <w:szCs w:val="18"/>
          <w:color w:val="auto"/>
        </w:rPr>
        <w:t xml:space="preserve"> adverse findings in three GLP toxicology studies, involving 91 NHP eyes, with two different 4DMT products utilizing the R100 vector (4D-110 and 4D-125). In addition, R100 vector-based product candidates 4D-125 and 4D-110 have been administered to patients at doses up to 1E12 vg/eye without dose-limiting toxicities observed to date. With respect to 4D-110 at the 1E12 vg/eye dose, pigment dispersion (iris transillumination) was observed in three patients in the 1E12 vg/eye cohort approximately 7 to 9 months following treatment. Two cases were asymptomatic and one patient reported mild glare. In each case the investigator described this as a Serious Adverse Event, but no hospitalization or medical intervention was initiated.</w:t>
      </w:r>
    </w:p>
    <w:p>
      <w:pPr>
        <w:spacing w:after="0" w:line="94" w:lineRule="exact"/>
        <w:rPr>
          <w:rFonts w:ascii="Arial" w:cs="Arial" w:eastAsia="Arial" w:hAnsi="Arial"/>
          <w:sz w:val="18"/>
          <w:szCs w:val="18"/>
          <w:color w:val="auto"/>
        </w:rPr>
      </w:pPr>
    </w:p>
    <w:p>
      <w:pPr>
        <w:ind w:left="900" w:right="120" w:hanging="248"/>
        <w:spacing w:after="0" w:line="23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highlight w:val="white"/>
        </w:rPr>
        <w:t>: Intravitreal injections are widely adopted by many practicing ophthalmologists and used to treat a</w:t>
      </w:r>
      <w:r>
        <w:rPr>
          <w:rFonts w:ascii="Arial" w:cs="Arial" w:eastAsia="Arial" w:hAnsi="Arial"/>
          <w:sz w:val="18"/>
          <w:szCs w:val="18"/>
          <w:color w:val="auto"/>
        </w:rPr>
        <w:t xml:space="preserve"> number of ophthalmological indications. As a result, we believe 4D-150 has the potential for rapid market uptake, if approved. Additionally, the low inflammation profile we have observed in our R100-based GLP toxicology studies, if reproduced in the clinic with 4D-150, may promote broad product adoption, if approved.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We carried out a proof-of-concept efficacy study in NHPs with 4D-150. In this study using the retinal laser-induced CNV model, we treated animals with intravitreal 4D-150 at doses of 1E11, 3E11 and 1E12 vg per eye. Animals received steroid treatment for 28 days following IVT administration of 4D-150 and remained off steroids for the remainder of the study. No adverse findings were reported. We demonstrated 100% suppression of CNV lesions 4-weeks after laser administration, the primary endpoint of the study, including at the lowest dose tested of 1E11 vg/eye. No uveitis or retinal abnormalities were reported at this 1E11 vg/eye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60325</wp:posOffset>
            </wp:positionV>
            <wp:extent cx="3926205" cy="3180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2620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0" w:firstLine="644"/>
        <w:spacing w:after="0" w:line="274" w:lineRule="auto"/>
        <w:rPr>
          <w:sz w:val="20"/>
          <w:szCs w:val="20"/>
          <w:color w:val="auto"/>
        </w:rPr>
      </w:pPr>
      <w:r>
        <w:rPr>
          <w:rFonts w:ascii="Arial" w:cs="Arial" w:eastAsia="Arial" w:hAnsi="Arial"/>
          <w:sz w:val="17"/>
          <w:szCs w:val="17"/>
          <w:color w:val="auto"/>
        </w:rPr>
        <w:t>In an acute biodistribution study of 4D-150 in NHP, a single intravitreal injection resulted in both high levels of ocular aflibercept expression and VEGF-C miRNA expression within the retina at 4 weeks, with no evidence of uveitis or retinal abnormalities observed.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4D-150 is currently being evaluated in a first-in-human, on-going Phase 1/2 dose-escalation and randomized, controlled, masked</w:t>
      </w:r>
    </w:p>
    <w:p>
      <w:pPr>
        <w:spacing w:after="0" w:line="234" w:lineRule="auto"/>
        <w:rPr>
          <w:sz w:val="20"/>
          <w:szCs w:val="20"/>
          <w:color w:val="auto"/>
        </w:rPr>
      </w:pPr>
      <w:r>
        <w:rPr>
          <w:rFonts w:ascii="Arial" w:cs="Arial" w:eastAsia="Arial" w:hAnsi="Arial"/>
          <w:sz w:val="18"/>
          <w:szCs w:val="18"/>
          <w:color w:val="auto"/>
        </w:rPr>
        <w:t>expansion trial and is expected to enroll approximately 60 adults with wet AMD. In the dose-escalation phase, multiple dose levels of 4D-150</w:t>
      </w:r>
    </w:p>
    <w:p>
      <w:pPr>
        <w:spacing w:after="0" w:line="235" w:lineRule="auto"/>
        <w:rPr>
          <w:sz w:val="20"/>
          <w:szCs w:val="20"/>
          <w:color w:val="auto"/>
        </w:rPr>
      </w:pPr>
      <w:r>
        <w:rPr>
          <w:rFonts w:ascii="Arial" w:cs="Arial" w:eastAsia="Arial" w:hAnsi="Arial"/>
          <w:sz w:val="18"/>
          <w:szCs w:val="18"/>
          <w:color w:val="auto"/>
        </w:rPr>
        <w:t>will be examined in an open-label, 3+3 design with an initial dose of 3E10 vg/eye. In dose expansion, patients (n=50) will be randomized</w:t>
      </w:r>
    </w:p>
    <w:p>
      <w:pPr>
        <w:spacing w:after="0" w:line="235" w:lineRule="auto"/>
        <w:rPr>
          <w:sz w:val="20"/>
          <w:szCs w:val="20"/>
          <w:color w:val="auto"/>
        </w:rPr>
      </w:pPr>
      <w:r>
        <w:rPr>
          <w:rFonts w:ascii="Arial" w:cs="Arial" w:eastAsia="Arial" w:hAnsi="Arial"/>
          <w:sz w:val="18"/>
          <w:szCs w:val="18"/>
          <w:color w:val="auto"/>
        </w:rPr>
        <w:t>2:2:1 to receive one of 2 dose levels of 4D-150 (n=20 for each dose level) or aflibercept (n=10). The primary endpoints of the study are safety</w:t>
      </w:r>
    </w:p>
    <w:p>
      <w:pPr>
        <w:spacing w:after="0" w:line="235" w:lineRule="auto"/>
        <w:rPr>
          <w:sz w:val="20"/>
          <w:szCs w:val="20"/>
          <w:color w:val="auto"/>
        </w:rPr>
      </w:pPr>
      <w:r>
        <w:rPr>
          <w:rFonts w:ascii="Arial" w:cs="Arial" w:eastAsia="Arial" w:hAnsi="Arial"/>
          <w:sz w:val="18"/>
          <w:szCs w:val="18"/>
          <w:color w:val="auto"/>
        </w:rPr>
        <w:t>and tolerability. Secondary endpoints include the number of supplemental aflibercept injections received and change from baseline in best</w:t>
      </w:r>
    </w:p>
    <w:p>
      <w:pPr>
        <w:spacing w:after="0"/>
        <w:rPr>
          <w:sz w:val="20"/>
          <w:szCs w:val="20"/>
          <w:color w:val="auto"/>
        </w:rPr>
      </w:pPr>
      <w:r>
        <w:rPr>
          <w:rFonts w:ascii="Arial" w:cs="Arial" w:eastAsia="Arial" w:hAnsi="Arial"/>
          <w:sz w:val="18"/>
          <w:szCs w:val="18"/>
          <w:color w:val="auto"/>
        </w:rPr>
        <w:t>corrected visual acuity ("BCVA") over time. In January 2022, we announced the dosing of the first patient in this trial.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4D-110 for Choroideremia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 xml:space="preserve">Choroideremia is a monogenic blinding disease, affecting approximately 13,000 patients in the United States and EU-5. No products are approved currently for the treatment of this disease in the United States or European Union. This X-linked, progressive degenerative disease of the retina and choroid is caused exclusively by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that encodes for the REP1 protein. While choroideremia primarily affects men, some heterozygous females also suffer variable visual loss from the condition.</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 xml:space="preserve">Choroideremia initially manifests as night-blindness and peripheral visual field defects, usually starting in the first two decades of life. The visual field begins to constrict relatively early in the disease’s progression, which hinders patients’ ability to conduct daily activities such as driving. Many patients become blind by 30 years of age. A patient with advanced disease will be legally blind by virtue of poor visual acuity and minimal preserved visual field. Almost all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result in production of a non-functional REP1 protein. REP1 is essential for the activation (prenylation) of Ras-associated binding (“Rab”) proteins involved in intracellular vesicle trafficking.</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 xml:space="preserve">We are developing 4D-110 for the treatment of choroideremia. 4D-110 is designed for a single intravitreal injection and to benefit patients at all stages of disease, including early-stage patients whose entire viable retinas are not adequately treated by subretinal injection. 4D-110 contains the R100 vector and is engineered to deliver the </w:t>
      </w:r>
      <w:r>
        <w:rPr>
          <w:rFonts w:ascii="Arial" w:cs="Arial" w:eastAsia="Arial" w:hAnsi="Arial"/>
          <w:sz w:val="18"/>
          <w:szCs w:val="18"/>
          <w:i w:val="1"/>
          <w:iCs w:val="1"/>
          <w:color w:val="auto"/>
        </w:rPr>
        <w:t>CHM</w:t>
      </w:r>
      <w:r>
        <w:rPr>
          <w:rFonts w:ascii="Arial" w:cs="Arial" w:eastAsia="Arial" w:hAnsi="Arial"/>
          <w:sz w:val="18"/>
          <w:szCs w:val="18"/>
          <w:color w:val="auto"/>
        </w:rPr>
        <w:t>transgene, the dysfunctional gene in choroideremia, to human RPE cells safely. We believe that 4D-110 has the potential, if approved, to successfully treat choroideremia patients at the earliest stages of their disease progression and ideally, slow or prevent progression and retain vision.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Choroideremia</w:t>
      </w:r>
    </w:p>
    <w:p>
      <w:pPr>
        <w:spacing w:after="0" w:line="104"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Previously, subretinal conventional AAV gene therapy approaches were being developed to treat choroideremia. With the recent discontinuation of BIIB111, there is currently no direct competition for the choroideremia market. Subretinal administration requires an invasive surgical procedure, which has been associated with subretinal surgery-related adverse events. In addition, subretinal surgery results in transduction of only a small fraction of the retina and is therefore limited to patients with more advanced disease who have a small remaining area of viable retinal cells.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color w:val="auto"/>
        </w:rPr>
        <w:t>A total of 44 NHPs have been treated with 4D-110 on two GLP toxicology and biodistribution studies. No significant adverse effects or toxicities were reported.</w:t>
      </w:r>
    </w:p>
    <w:p>
      <w:pPr>
        <w:spacing w:after="0" w:line="197" w:lineRule="exact"/>
        <w:rPr>
          <w:sz w:val="20"/>
          <w:szCs w:val="20"/>
          <w:color w:val="auto"/>
        </w:rPr>
      </w:pPr>
    </w:p>
    <w:p>
      <w:pPr>
        <w:ind w:right="40" w:firstLine="644"/>
        <w:spacing w:after="0" w:line="237" w:lineRule="auto"/>
        <w:rPr>
          <w:sz w:val="20"/>
          <w:szCs w:val="20"/>
          <w:color w:val="auto"/>
        </w:rPr>
      </w:pPr>
      <w:r>
        <w:rPr>
          <w:rFonts w:ascii="Arial" w:cs="Arial" w:eastAsia="Arial" w:hAnsi="Arial"/>
          <w:sz w:val="18"/>
          <w:szCs w:val="18"/>
          <w:color w:val="auto"/>
        </w:rPr>
        <w:t xml:space="preserve">We completed a single dose IND-enabling toxicology and biodistribution study in 27 NHPs dosed with 4D-110. 4D-110 was administered at doses of 1E11 vg/eye or 1E12 vg/eye by intravitreal injection. Animals were sacrificed at three weeks, three months or six months. No meaningful toxicities were reported anywhere in the body, including specifically within the retina. Mild, transient cortico-steroid responsive anterior uveitis was reported in a minority of treated NHP.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 xml:space="preserve"> transgene RNA expression in all treated retinas at both dose levels; the genome and RNA levels were higher in the high dose animals.</w:t>
      </w:r>
    </w:p>
    <w:p>
      <w:pPr>
        <w:spacing w:after="0" w:line="205"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We subsequently completed a bilateral intravitreal 4D-110 GLP toxicology and biodistribution study in 17 NHPs dosed with 4D-110. 4D-110 was administered at doses of 3E11 vg/eye or 1E12 vg/eye by intravitreal injection. Animals were sacrificed at three weeks, 13 weeks and 26 weeks. No meaningful toxicities were reported anywhere in the body, including specifically within the retina.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6" w:name="page17"/>
    <w:bookmarkEnd w:id="16"/>
    <w:p>
      <w:pPr>
        <w:jc w:val="both"/>
        <w:ind w:right="260" w:firstLine="644"/>
        <w:spacing w:after="0"/>
        <w:rPr>
          <w:sz w:val="20"/>
          <w:szCs w:val="20"/>
          <w:color w:val="auto"/>
        </w:rPr>
      </w:pPr>
      <w:r>
        <w:rPr>
          <w:rFonts w:ascii="Arial" w:cs="Arial" w:eastAsia="Arial" w:hAnsi="Arial"/>
          <w:sz w:val="18"/>
          <w:szCs w:val="18"/>
          <w:color w:val="auto"/>
        </w:rPr>
        <w:t xml:space="preserve">Transient cortico-steroid responsive uveitis was reported.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transgene RNA expression in treated retinas at both dose levels.</w:t>
      </w:r>
    </w:p>
    <w:p>
      <w:pPr>
        <w:spacing w:after="0" w:line="203"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In preclinical pharmacology studies involving human choroideremia patient-derived RPE cells, 4D-110 led to functional REP1 protein expression that corrected RAB27A trafficking from the cytoplasm to the cell membrane. In similar fashion to normal RPE cells, 4D-110-treated diseased RPE cells derived from choroideremia patients had RAB27A protein associated with their cell membranes; this finding confirmed the functionality of the REP1 protein expressed from 4D-110. In contrast, in untreated diseased cells, RAB27A was demonstrated diffusely throughout the cytoplasm.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180" w:firstLine="644"/>
        <w:spacing w:after="0"/>
        <w:rPr>
          <w:sz w:val="20"/>
          <w:szCs w:val="20"/>
          <w:color w:val="auto"/>
        </w:rPr>
      </w:pPr>
      <w:r>
        <w:rPr>
          <w:rFonts w:ascii="Arial" w:cs="Arial" w:eastAsia="Arial" w:hAnsi="Arial"/>
          <w:sz w:val="18"/>
          <w:szCs w:val="18"/>
          <w:color w:val="auto"/>
        </w:rPr>
        <w:t>4D-110 is currently being studied in an ongoing Phase 1/2 dose escalation clinical trial in patients with choroideremia. The primary objectives of this trial are to evaluate the safety and maximum tolerated dose of 4D-110. Secondary endpoints include assessments of biologic activity, including both visual field function and anatomical endpoints.</w:t>
      </w:r>
    </w:p>
    <w:p>
      <w:pPr>
        <w:spacing w:after="0" w:line="203"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We reported initial clinical data on this program in October 2021. As of the October 2021 data disclosure, six patients with clinically advanced choroideremia were treated. A standard 3+3 dose escalation design was used. Patients were enrolled in one of two dose cohorts: 3E11 vg/eye (cohort 1; n=3) and 1E12 vg/eye (cohort 2; 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60325</wp:posOffset>
            </wp:positionV>
            <wp:extent cx="5349240" cy="164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60" w:hanging="99"/>
        <w:spacing w:after="0"/>
        <w:tabs>
          <w:tab w:leader="none" w:pos="40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Rate of progression normalized for same # months</w:t>
      </w:r>
    </w:p>
    <w:p>
      <w:pPr>
        <w:spacing w:after="0" w:line="15" w:lineRule="exact"/>
        <w:rPr>
          <w:rFonts w:ascii="Arial" w:cs="Arial" w:eastAsia="Arial" w:hAnsi="Arial"/>
          <w:sz w:val="14"/>
          <w:szCs w:val="14"/>
          <w:i w:val="1"/>
          <w:iCs w:val="1"/>
          <w:color w:val="auto"/>
        </w:rPr>
      </w:pPr>
    </w:p>
    <w:p>
      <w:pPr>
        <w:ind w:left="4320" w:hanging="126"/>
        <w:spacing w:after="0"/>
        <w:tabs>
          <w:tab w:leader="none" w:pos="4320" w:val="left"/>
        </w:tabs>
        <w:numPr>
          <w:ilvl w:val="1"/>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Patient 2 latest evaluable scans 10 months</w:t>
      </w:r>
    </w:p>
    <w:p>
      <w:pPr>
        <w:spacing w:after="0" w:line="103"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At the 3E11 vg/eye dose (Cohort 1), 4D-110 was well-tolerated with no dose-limiting toxicities or serious adverse events. Initial signals of clinical activity were observed at this dose, through anatomical measurements of the retinal pigment epithelium ("RPE") by fundus autofluorescence area and photoreceptors by ellipsoid zone area. At the 1E12 vg/eye dose, pigment dispersion (iris transillumination) was observed in three patients in the 1E12 vg/eye cohort approximately 7 to 9 months following treatment. Two cases were asymptomatic and one patient reported mild glare. In each case the investigator described this as a Serious Adverse Event, but no hospitalization or medical intervention was initiated.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Enrollment in the clinical trial is on-going at the 3E11 vg/eye dose level.</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Cardiology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08" w:lineRule="exact"/>
        <w:rPr>
          <w:sz w:val="20"/>
          <w:szCs w:val="20"/>
          <w:color w:val="auto"/>
        </w:rPr>
      </w:pPr>
    </w:p>
    <w:p>
      <w:pPr>
        <w:ind w:firstLine="636"/>
        <w:spacing w:after="0" w:line="223" w:lineRule="auto"/>
        <w:rPr>
          <w:sz w:val="20"/>
          <w:szCs w:val="20"/>
          <w:color w:val="auto"/>
        </w:rPr>
      </w:pPr>
      <w:r>
        <w:rPr>
          <w:rFonts w:ascii="Arial" w:cs="Arial" w:eastAsia="Arial" w:hAnsi="Arial"/>
          <w:sz w:val="18"/>
          <w:szCs w:val="18"/>
          <w:color w:val="auto"/>
        </w:rPr>
        <w:t>We are developing product candidates to treat cardiomyopathies. These target indications may include both primary cardiomyopathies that involve the heart exclusively, as with hypertrophic cardiomyopathies, or secondary cardiomyopathies that occur in the context of a systemic disease, as with lysosomal storage diseases. In the context of secondary cardiomyopathies, such as Fabry disease, we design and engineer the product to treat all diseased organs including the high unmet medical need in the heart. Our targeted and evolved vector, C102, used in all of our cardiology product candidates, was invented for low dose intravenous infusion, leading to transgene expression throughout the myocardium. We believe that this modular product approach, utilizing C102 for all of our cardiology product candidates, and switching the therapeutic transgene inserts, will help inform the clinical development of subsequent product candidates using the same vector.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4D-310 for Fabry Disease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72" w:lineRule="exact"/>
        <w:rPr>
          <w:sz w:val="20"/>
          <w:szCs w:val="20"/>
          <w:color w:val="auto"/>
        </w:rPr>
      </w:pPr>
    </w:p>
    <w:p>
      <w:pPr>
        <w:ind w:right="60" w:firstLine="636"/>
        <w:spacing w:after="0" w:line="226" w:lineRule="auto"/>
        <w:rPr>
          <w:sz w:val="20"/>
          <w:szCs w:val="20"/>
          <w:color w:val="auto"/>
        </w:rPr>
      </w:pPr>
      <w:r>
        <w:rPr>
          <w:rFonts w:ascii="Arial" w:cs="Arial" w:eastAsia="Arial" w:hAnsi="Arial"/>
          <w:sz w:val="18"/>
          <w:szCs w:val="18"/>
          <w:color w:val="auto"/>
        </w:rPr>
        <w:t xml:space="preserve">Fabry disease is a monogenic disease caused by mutations in the </w:t>
      </w:r>
      <w:r>
        <w:rPr>
          <w:rFonts w:ascii="Arial" w:cs="Arial" w:eastAsia="Arial" w:hAnsi="Arial"/>
          <w:sz w:val="18"/>
          <w:szCs w:val="18"/>
          <w:i w:val="1"/>
          <w:iCs w:val="1"/>
          <w:color w:val="auto"/>
        </w:rPr>
        <w:t>GLA</w:t>
      </w:r>
      <w:r>
        <w:rPr>
          <w:rFonts w:ascii="Arial" w:cs="Arial" w:eastAsia="Arial" w:hAnsi="Arial"/>
          <w:sz w:val="18"/>
          <w:szCs w:val="18"/>
          <w:color w:val="auto"/>
        </w:rPr>
        <w:t xml:space="preserve"> gene which encodes for the alpha-galactosidase A (“AGA”) enzyme, that result in the body’s inability to produce sufficient AGA enzyme activity, causing the accumulation of toxic levels of sphingolipids, such as the substrate globotriaosylceramide-3 (“lyso-Gb3”), in critical organs, including the heart, kidney and blood vessels. The cardiomyopathy in Fabry disease is the leading cause of death, accounting for 54% of deaths. Substrate accumulation in the heart can lead to life-threatening heart failure, arrhythmias, and vascular blockages. Fabry disease is progressive and fatal, with an average life expectancy of approximately 50 years. Progression of the disease causes significant reduction in the quality of life and significant economic burden associated with greater patient needs for supportive care.</w:t>
      </w:r>
    </w:p>
    <w:p>
      <w:pPr>
        <w:spacing w:after="0" w:line="193" w:lineRule="exact"/>
        <w:rPr>
          <w:sz w:val="20"/>
          <w:szCs w:val="20"/>
          <w:color w:val="auto"/>
        </w:rPr>
      </w:pPr>
    </w:p>
    <w:p>
      <w:pPr>
        <w:ind w:right="20" w:firstLine="644"/>
        <w:spacing w:after="0" w:line="224" w:lineRule="auto"/>
        <w:rPr>
          <w:sz w:val="20"/>
          <w:szCs w:val="20"/>
          <w:color w:val="auto"/>
        </w:rPr>
      </w:pPr>
      <w:r>
        <w:rPr>
          <w:rFonts w:ascii="Arial" w:cs="Arial" w:eastAsia="Arial" w:hAnsi="Arial"/>
          <w:sz w:val="18"/>
          <w:szCs w:val="18"/>
          <w:color w:val="auto"/>
        </w:rPr>
        <w:t xml:space="preserve">Annual worldwide sales of Fabry medicines were approximately $1.8 billion in 2021. We estimate the potential initial addressable male Fabry patient population in the United States and EU-5 to be up to 19,000 individuals, 57% of whom suffer from Classic Fabry disease. Of note, we estimate the prevalence of individuals with Fabry disease-associated </w:t>
      </w:r>
      <w:r>
        <w:rPr>
          <w:rFonts w:ascii="Arial" w:cs="Arial" w:eastAsia="Arial" w:hAnsi="Arial"/>
          <w:sz w:val="18"/>
          <w:szCs w:val="18"/>
          <w:i w:val="1"/>
          <w:iCs w:val="1"/>
          <w:color w:val="auto"/>
        </w:rPr>
        <w:t>GLA</w:t>
      </w:r>
      <w:r>
        <w:rPr>
          <w:rFonts w:ascii="Arial" w:cs="Arial" w:eastAsia="Arial" w:hAnsi="Arial"/>
          <w:sz w:val="18"/>
          <w:szCs w:val="18"/>
          <w:color w:val="auto"/>
        </w:rPr>
        <w:t xml:space="preserve"> mutations in the United States and EU-5 falls between 50,000 and 70,000 in the United States and the EU-5 based on recent newborn screening. Pre-treatment antibody titers to gene therapy, including 4D-310, may result in a reduction in the addressable patient population, if antibody titers at baseline are shown to be predictive of treatment response and/or tolerability.</w:t>
      </w:r>
    </w:p>
    <w:p>
      <w:pPr>
        <w:spacing w:after="0" w:line="204" w:lineRule="exact"/>
        <w:rPr>
          <w:sz w:val="20"/>
          <w:szCs w:val="20"/>
          <w:color w:val="auto"/>
        </w:rPr>
      </w:pPr>
    </w:p>
    <w:p>
      <w:pPr>
        <w:ind w:right="260" w:firstLine="636"/>
        <w:spacing w:after="0"/>
        <w:rPr>
          <w:sz w:val="20"/>
          <w:szCs w:val="20"/>
          <w:color w:val="auto"/>
        </w:rPr>
      </w:pPr>
      <w:r>
        <w:rPr>
          <w:rFonts w:ascii="Arial" w:cs="Arial" w:eastAsia="Arial" w:hAnsi="Arial"/>
          <w:sz w:val="18"/>
          <w:szCs w:val="18"/>
          <w:color w:val="auto"/>
        </w:rPr>
        <w:t>The current treatment paradigm for Fabry disease is bi-weekly infusion of AGA enzyme, a class of therapies broadly referred to as enzyme replacement therapies (“ERT”). For example, Fabrazyme received accelerated regulatory approval in 2003 in the United States based on improvements in a kidney interstitial capillary substrate biopsy endpoint, and received full approval in 2021.</w:t>
      </w:r>
    </w:p>
    <w:p>
      <w:pPr>
        <w:spacing w:after="0" w:line="203"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In addition to high burdens of therapy due to the short-half life in the blood, patients on ERTs lack therapeutic concentrations of AGA in their blood for the majority of time between infusions, potentially limiting clinical benefit. AGA is normally produced within target cells themselves, but ERTs reportedly lack efficient uptake by parenchymal cells including cardiomyocytes. As a result, patients remain at risk of cardiac complications including death. Finally, antibodies develop to AGA in the majority of Classic Fabry disease patients after ERT which can reduce the therapeutic effect of ERT, leading to worse clinical outcomes than those patients on ERT who don't develop anti-AGA antibodies.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Therefore, we believe cardiac-targeted treatment of Fabry disease is still an unmet medical need.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 xml:space="preserve">We are developing 4D-310 for the comprehensive systemic treatment of Fabry disease. 4D-310 is designed for an efficient, single low dose IV administration to benefit classic and late onset patients, including those who have previously received ERT. 4D-310 is comprised of C102 and is engineered with a codon-optimized </w:t>
      </w:r>
      <w:r>
        <w:rPr>
          <w:rFonts w:ascii="Arial" w:cs="Arial" w:eastAsia="Arial" w:hAnsi="Arial"/>
          <w:sz w:val="18"/>
          <w:szCs w:val="18"/>
          <w:i w:val="1"/>
          <w:iCs w:val="1"/>
          <w:color w:val="auto"/>
        </w:rPr>
        <w:t>GLA</w:t>
      </w:r>
      <w:r>
        <w:rPr>
          <w:rFonts w:ascii="Arial" w:cs="Arial" w:eastAsia="Arial" w:hAnsi="Arial"/>
          <w:sz w:val="18"/>
          <w:szCs w:val="18"/>
          <w:color w:val="auto"/>
        </w:rPr>
        <w:t xml:space="preserve"> transgene under control of a ubiquitous promoter. 4D-310 is designed to generate both high, stable AGA activity in the blood, potentially resulting in cross correction of a broad range of critical organs, and to generate AGA activity via intracellular production within diseased cells including cardiomyocytes.</w:t>
      </w:r>
    </w:p>
    <w:p>
      <w:pPr>
        <w:spacing w:after="0" w:line="202" w:lineRule="exact"/>
        <w:rPr>
          <w:sz w:val="20"/>
          <w:szCs w:val="20"/>
          <w:color w:val="auto"/>
        </w:rPr>
      </w:pPr>
    </w:p>
    <w:p>
      <w:pPr>
        <w:jc w:val="both"/>
        <w:ind w:right="40" w:firstLine="636"/>
        <w:spacing w:after="0" w:line="238" w:lineRule="auto"/>
        <w:rPr>
          <w:sz w:val="20"/>
          <w:szCs w:val="20"/>
          <w:color w:val="auto"/>
        </w:rPr>
      </w:pPr>
      <w:r>
        <w:rPr>
          <w:rFonts w:ascii="Arial" w:cs="Arial" w:eastAsia="Arial" w:hAnsi="Arial"/>
          <w:sz w:val="18"/>
          <w:szCs w:val="18"/>
          <w:color w:val="auto"/>
        </w:rPr>
        <w:t>We believe 4D-310 has the potential for “mutation independent” treatment of both “classic” (early onset, severe) as well as late-onset Fabry disease, both of which are often associated with cardiomyopathy. We believe reducing substrate in cardiomyocytes would represent a strategic advantage and significant opportunity in the treatment of Fabry-associated cardiomyopathy, which we believe remains a significant unmet medical need and is a leading cause of death in Fabry disease patients.</w:t>
      </w:r>
    </w:p>
    <w:p>
      <w:pPr>
        <w:spacing w:after="0" w:line="205" w:lineRule="exact"/>
        <w:rPr>
          <w:sz w:val="20"/>
          <w:szCs w:val="20"/>
          <w:color w:val="auto"/>
        </w:rPr>
      </w:pPr>
    </w:p>
    <w:p>
      <w:pPr>
        <w:ind w:right="340" w:firstLine="644"/>
        <w:spacing w:after="0" w:line="238" w:lineRule="auto"/>
        <w:rPr>
          <w:sz w:val="20"/>
          <w:szCs w:val="20"/>
          <w:color w:val="auto"/>
        </w:rPr>
      </w:pPr>
      <w:r>
        <w:rPr>
          <w:rFonts w:ascii="Arial" w:cs="Arial" w:eastAsia="Arial" w:hAnsi="Arial"/>
          <w:sz w:val="18"/>
          <w:szCs w:val="18"/>
          <w:color w:val="auto"/>
        </w:rPr>
        <w:t>In addition, AGA produced by 4D-310 within target cells themselves will not be exposed to serum antibodies against AGA. These antibodies develop following ERT in approximately 80% of Classic Fabry disease patients. We therefore have the potential to treat this patient population via intracellular production of AGA, in contrast to approaches that rely exclusively on delivery of AGA through the bloodstream.</w:t>
      </w:r>
    </w:p>
    <w:p>
      <w:pPr>
        <w:spacing w:after="0" w:line="205" w:lineRule="exact"/>
        <w:rPr>
          <w:sz w:val="20"/>
          <w:szCs w:val="20"/>
          <w:color w:val="auto"/>
        </w:rPr>
      </w:pPr>
    </w:p>
    <w:p>
      <w:pPr>
        <w:ind w:right="300" w:firstLine="644"/>
        <w:spacing w:after="0" w:line="246" w:lineRule="auto"/>
        <w:rPr>
          <w:sz w:val="20"/>
          <w:szCs w:val="20"/>
          <w:color w:val="auto"/>
        </w:rPr>
      </w:pPr>
      <w:r>
        <w:rPr>
          <w:rFonts w:ascii="Arial" w:cs="Arial" w:eastAsia="Arial" w:hAnsi="Arial"/>
          <w:sz w:val="18"/>
          <w:szCs w:val="18"/>
          <w:color w:val="auto"/>
        </w:rPr>
        <w:t>Finally, single dose gene therapy treatment with 4D-310 may obviate biweekly ERT infusions in these patients, and/or every other day small molecule medicines for patients amenable to AGA chaperone therapy.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and Gene Therapy for Fabry Disease</w:t>
      </w:r>
    </w:p>
    <w:p>
      <w:pPr>
        <w:spacing w:after="0" w:line="10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Companies are developing liver-expressing AAV gene therapy for Fabry disease using conventional AAVs designed for expression from the liver only using liver-specific promoters. These product candidates are designed for the production and secretion of AGA enzyme for activity in the blood, as with ERT, but with more stable blood levels than achieved with intermittent ERT infusions. When administered as ERT in patients, the AGA protein has not been shown definitively to enter cardiomyocytes or other affected parenchymal cells. It is therefore unclear whether gene therapy-induced production of AGA from the liver, with secretion into the bloodstream, would result in effective correction in cardiac muscle cells or other affected parenchymal cells such as in the kidney.</w:t>
      </w:r>
    </w:p>
    <w:p>
      <w:pPr>
        <w:spacing w:after="0" w:line="205" w:lineRule="exact"/>
        <w:rPr>
          <w:sz w:val="20"/>
          <w:szCs w:val="20"/>
          <w:color w:val="auto"/>
        </w:rPr>
      </w:pPr>
    </w:p>
    <w:p>
      <w:pPr>
        <w:ind w:right="200" w:firstLine="636"/>
        <w:spacing w:after="0" w:line="246" w:lineRule="auto"/>
        <w:rPr>
          <w:sz w:val="20"/>
          <w:szCs w:val="20"/>
          <w:color w:val="auto"/>
        </w:rPr>
      </w:pPr>
      <w:r>
        <w:rPr>
          <w:rFonts w:ascii="Arial" w:cs="Arial" w:eastAsia="Arial" w:hAnsi="Arial"/>
          <w:sz w:val="18"/>
          <w:szCs w:val="18"/>
          <w:color w:val="auto"/>
        </w:rPr>
        <w:t>We believe 4D-310 is the only gene therapy candidate designed specifically to express the AGA enzyme in cardiac tissues, as well as in other affected tissues in these patients, potentially addressing a major unmet medical need.</w:t>
      </w:r>
    </w:p>
    <w:p>
      <w:pPr>
        <w:spacing w:after="0" w:line="197" w:lineRule="exact"/>
        <w:rPr>
          <w:sz w:val="20"/>
          <w:szCs w:val="20"/>
          <w:color w:val="auto"/>
        </w:rPr>
      </w:pPr>
    </w:p>
    <w:p>
      <w:pPr>
        <w:ind w:right="140" w:firstLine="636"/>
        <w:spacing w:after="0" w:line="246" w:lineRule="auto"/>
        <w:rPr>
          <w:sz w:val="20"/>
          <w:szCs w:val="20"/>
          <w:color w:val="auto"/>
        </w:rPr>
      </w:pPr>
      <w:r>
        <w:rPr>
          <w:rFonts w:ascii="Arial" w:cs="Arial" w:eastAsia="Arial" w:hAnsi="Arial"/>
          <w:sz w:val="18"/>
          <w:szCs w:val="18"/>
          <w:color w:val="auto"/>
        </w:rPr>
        <w:t>We believe 4D-310 has the potential to be differentiated from approved agents and those in clinical development, to our knowledge, on the basis of four features:</w:t>
      </w:r>
    </w:p>
    <w:p>
      <w:pPr>
        <w:spacing w:after="0" w:line="89" w:lineRule="exact"/>
        <w:rPr>
          <w:sz w:val="20"/>
          <w:szCs w:val="20"/>
          <w:color w:val="auto"/>
        </w:rPr>
      </w:pPr>
    </w:p>
    <w:p>
      <w:pPr>
        <w:ind w:left="900" w:right="60" w:hanging="248"/>
        <w:spacing w:after="0" w:line="23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Dual mechanisms-of-action</w:t>
      </w:r>
      <w:r>
        <w:rPr>
          <w:rFonts w:ascii="Arial" w:cs="Arial" w:eastAsia="Arial" w:hAnsi="Arial"/>
          <w:sz w:val="18"/>
          <w:szCs w:val="18"/>
          <w:color w:val="auto"/>
        </w:rPr>
        <w:t>: An IV dose of 4D-310 is designed to generate both stable sustained levels of AGA enzyme activity in blood and endothelial cells following secretion from the liver, plus high AGA levels directly within muscle cells throughout the heart. Preclinical data also suggest cells within the kidney, blood vessels and small intestine also produce intracellular AGA after 4D-310 treatment, albeit at significantly lower levels than in the heart.</w:t>
      </w:r>
    </w:p>
    <w:p>
      <w:pPr>
        <w:spacing w:after="0" w:line="96" w:lineRule="exact"/>
        <w:rPr>
          <w:rFonts w:ascii="Arial" w:cs="Arial" w:eastAsia="Arial" w:hAnsi="Arial"/>
          <w:sz w:val="18"/>
          <w:szCs w:val="18"/>
          <w:color w:val="auto"/>
        </w:rPr>
      </w:pPr>
    </w:p>
    <w:p>
      <w:pPr>
        <w:ind w:left="900" w:right="160" w:hanging="248"/>
        <w:spacing w:after="0" w:line="24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AGA chaperones that require dosing every other day for a patient’s life, or IV ERT every two weeks for life, 4D-310 is designed as a single dose therapy.</w:t>
      </w:r>
    </w:p>
    <w:p>
      <w:pPr>
        <w:spacing w:after="0" w:line="88" w:lineRule="exact"/>
        <w:rPr>
          <w:rFonts w:ascii="Arial" w:cs="Arial" w:eastAsia="Arial" w:hAnsi="Arial"/>
          <w:sz w:val="18"/>
          <w:szCs w:val="18"/>
          <w:color w:val="auto"/>
        </w:rPr>
      </w:pPr>
    </w:p>
    <w:p>
      <w:pPr>
        <w:ind w:left="900" w:right="580" w:hanging="248"/>
        <w:spacing w:after="0" w:line="24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AGA mutation-independent biologic activity</w:t>
      </w:r>
      <w:r>
        <w:rPr>
          <w:rFonts w:ascii="Arial" w:cs="Arial" w:eastAsia="Arial" w:hAnsi="Arial"/>
          <w:sz w:val="18"/>
          <w:szCs w:val="18"/>
          <w:color w:val="auto"/>
        </w:rPr>
        <w:t>: Unlike AGA chaperones that are only effective against specific AGA mutations present in a minority of Fabry patients, 4D-310 is designed to treat Fabry patients with any AGA mutation.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left="900" w:hanging="248"/>
        <w:spacing w:after="0" w:line="23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Resistance to AGA antibodies</w:t>
      </w:r>
      <w:r>
        <w:rPr>
          <w:rFonts w:ascii="Arial" w:cs="Arial" w:eastAsia="Arial" w:hAnsi="Arial"/>
          <w:sz w:val="18"/>
          <w:szCs w:val="18"/>
          <w:color w:val="auto"/>
        </w:rPr>
        <w:t>: We believe that 4D-310 may be able to treat patients that have anti-AGA antibodies. Those antibodies develop in approximately 80% of Classic Fabry disease patients (early onset, severe disease) treated with ERT. This is in contrast to competing approaches that rely exclusively on AGA delivery through the bloodstream, that may be inhibited by these antibodies since AGA comes into contact with anti-AGA antibodies in the bloodstream that may inhibit delivery to target organs. Unlike ERT and gene therapies that are designed to rely exclusively on AGA production and secretion from the liver into the blood, 4D-310 is designed to include intracellular AGA production in target tissues themselves, thus avoiding AGA antibody contact and inhibition. We therefore plan to evaluate the treatment of patients with pre-existing AGA antibodies, potentially resulting in a larger addressable patient population.</w:t>
      </w:r>
    </w:p>
    <w:p>
      <w:pPr>
        <w:spacing w:after="0" w:line="176" w:lineRule="exact"/>
        <w:rPr>
          <w:sz w:val="20"/>
          <w:szCs w:val="20"/>
          <w:color w:val="auto"/>
        </w:rPr>
      </w:pPr>
    </w:p>
    <w:p>
      <w:pPr>
        <w:jc w:val="center"/>
        <w:ind w:right="20"/>
        <w:spacing w:after="0" w:line="267" w:lineRule="auto"/>
        <w:rPr>
          <w:sz w:val="20"/>
          <w:szCs w:val="20"/>
          <w:color w:val="auto"/>
        </w:rPr>
      </w:pPr>
      <w:r>
        <w:rPr>
          <w:rFonts w:ascii="Arial" w:cs="Arial" w:eastAsia="Arial" w:hAnsi="Arial"/>
          <w:sz w:val="18"/>
          <w:szCs w:val="18"/>
          <w:i w:val="1"/>
          <w:iCs w:val="1"/>
          <w:color w:val="auto"/>
        </w:rPr>
        <w:t>The target product profile for 4D-310 is compared to competing technologies below. Many aspects of this profile have been supported by data generated to date with either the C102 vector or with 4D-310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105410</wp:posOffset>
            </wp:positionV>
            <wp:extent cx="5349240" cy="2743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We completed an IND-enabling GLP toxicology and biodistribution study of 4D-310 in normal mice. No meaningful toxicity was reported at doses up to 1.5E14 vg/kg, based both on in-life and histopathology assessments. This dose is 300% of the highest planned dose in our Phase 1/2 clinical trial. 4D-310-mediated AGA expression and/or AGA enzyme activity was observed in all target tissues tested, including heart, kidney, blood vessels, small intestine and blood.</w:t>
      </w:r>
    </w:p>
    <w:p>
      <w:pPr>
        <w:spacing w:after="0" w:line="205"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Pharmacology studies have been completed in Fabry disease knock-out mice. We observed that a single IV treatment with 4D-310 resulted in high stable blood concentrations and durable AGA production in target tissues, including the heart and kidney, and that toxic lyso-Gb3 metabolites were reduced significantly in all evaluated target tissues versus vehicle control. Efficacy was demonstrated with doses as low as 1E12 vg/kg. No adverse findings were observed in these knock-out animals at doses as high as 5E13 vg/kg.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firstLine="644"/>
        <w:spacing w:after="0" w:line="237" w:lineRule="auto"/>
        <w:rPr>
          <w:sz w:val="20"/>
          <w:szCs w:val="20"/>
          <w:color w:val="auto"/>
        </w:rPr>
      </w:pPr>
      <w:r>
        <w:rPr>
          <w:rFonts w:ascii="Arial" w:cs="Arial" w:eastAsia="Arial" w:hAnsi="Arial"/>
          <w:sz w:val="18"/>
          <w:szCs w:val="18"/>
          <w:color w:val="auto"/>
        </w:rPr>
        <w:t xml:space="preserve">We performed a dose-ranging toxicity and biodistribution study in NHPs. Doses of 3E12, 1E13 and 5E13 vg/kg were well-tolerated and resulted in AGA activity concentrations in blood equal to </w:t>
      </w:r>
      <w:r>
        <w:rPr>
          <w:rFonts w:ascii="Arial" w:cs="Arial" w:eastAsia="Arial" w:hAnsi="Arial"/>
          <w:sz w:val="18"/>
          <w:szCs w:val="18"/>
          <w:i w:val="1"/>
          <w:iCs w:val="1"/>
          <w:color w:val="auto"/>
        </w:rPr>
        <w:t>1.9-fold, 3.4-fold and 70-fold</w:t>
      </w:r>
      <w:r>
        <w:rPr>
          <w:rFonts w:ascii="Arial" w:cs="Arial" w:eastAsia="Arial" w:hAnsi="Arial"/>
          <w:sz w:val="18"/>
          <w:szCs w:val="18"/>
          <w:color w:val="auto"/>
        </w:rPr>
        <w:t xml:space="preserve"> higher than pretreatment blood levels, respectively, within 14 days after treatment. NHPs used in this study were healthy and had normal baseline levels of AGA activity. No meaningful toxicity was noted clinically or with blood testing. Histopathology assessments were normal. Tissue analyses demonstrated dose-related 4D-310 genome delivery, RNA expression and AGA activity throughout the heart, especially within the left ventricle which is the key target tissue. AGA expression and enzymatic activity were also demonstrated within the kidney.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We are currently studying 4D-310 in an on-going Phase 1/2 dose-escalation and dose-expansion clinical program assessing intravenous 4D-310, 4DMT’s targeted and evolved C102 vector-based product candidate designed for Fabry disease. The primary endpoint of these trials is safety and tolerability. Key secondary endpoints include change from baseline in serum AGA activity and serum lyso-Gb3. Exploratory endpoints include markers of biologic activity in the heart, including cardiac imaging parameters and quality of life. In the Asia-Pacific portion of the program, cardiac biopsies will also be assessed.</w:t>
      </w:r>
    </w:p>
    <w:p>
      <w:pPr>
        <w:spacing w:after="0" w:line="94" w:lineRule="exact"/>
        <w:rPr>
          <w:sz w:val="20"/>
          <w:szCs w:val="20"/>
          <w:color w:val="auto"/>
        </w:rPr>
      </w:pPr>
    </w:p>
    <w:p>
      <w:pPr>
        <w:ind w:right="240" w:firstLine="644"/>
        <w:spacing w:after="0"/>
        <w:rPr>
          <w:sz w:val="20"/>
          <w:szCs w:val="20"/>
          <w:color w:val="auto"/>
        </w:rPr>
      </w:pPr>
      <w:r>
        <w:rPr>
          <w:rFonts w:ascii="Arial" w:cs="Arial" w:eastAsia="Arial" w:hAnsi="Arial"/>
          <w:sz w:val="18"/>
          <w:szCs w:val="18"/>
          <w:color w:val="auto"/>
        </w:rPr>
        <w:t>In February 2022, we reported updated interim Phase 1/2 data from the on-going clinical trial. All three patients enrolled were patients with Classic Fabry disease, defined as having AGA activity &lt;5% of mean normal in peripheral blood white cells and having one or more clinical characteristics such as acroparesthesia, hypohidrosis, angiokeratoma or cornea verticillata.</w:t>
      </w:r>
    </w:p>
    <w:p>
      <w:pPr>
        <w:spacing w:after="0" w:line="95" w:lineRule="exact"/>
        <w:rPr>
          <w:sz w:val="20"/>
          <w:szCs w:val="20"/>
          <w:color w:val="auto"/>
        </w:rPr>
      </w:pPr>
    </w:p>
    <w:p>
      <w:pPr>
        <w:ind w:right="400" w:firstLine="644"/>
        <w:spacing w:after="0" w:line="246" w:lineRule="auto"/>
        <w:rPr>
          <w:sz w:val="20"/>
          <w:szCs w:val="20"/>
          <w:color w:val="auto"/>
        </w:rPr>
      </w:pPr>
      <w:r>
        <w:rPr>
          <w:rFonts w:ascii="Arial" w:cs="Arial" w:eastAsia="Arial" w:hAnsi="Arial"/>
          <w:sz w:val="18"/>
          <w:szCs w:val="18"/>
          <w:color w:val="auto"/>
        </w:rPr>
        <w:t>Consistent with the Classic Fabry disease phenotype, all three patients had serum AGA activity below mean normal at baseline, ranging from 0 – 0.42 nmol/hr/mL (population normal range: 4.44 – 27.42 nmol/hr/mL; population mean normal 9.9 nmol/hr/mL).</w:t>
      </w:r>
    </w:p>
    <w:p>
      <w:pPr>
        <w:spacing w:after="0" w:line="8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All three patients had prior experience on enzyme replacement therapy ("ERT"). Patients 1 and 3 were enrolled while receiving ERT (ON-ERT). Patient 2 had prior experience with ERT but was not receiving ERT (OFF-ERT) for approximately 13 months prior to dosing. Consistent with prior ERT use, each patient had positive baseline anti-AGA antibody titers: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1: Baseline anti-AGA antibody titer 1:947</w:t>
      </w:r>
    </w:p>
    <w:p>
      <w:pPr>
        <w:ind w:left="520"/>
        <w:spacing w:after="0" w:line="234" w:lineRule="auto"/>
        <w:rPr>
          <w:sz w:val="20"/>
          <w:szCs w:val="20"/>
          <w:color w:val="auto"/>
        </w:rPr>
      </w:pPr>
      <w:r>
        <w:rPr>
          <w:rFonts w:ascii="Arial" w:cs="Arial" w:eastAsia="Arial" w:hAnsi="Arial"/>
          <w:sz w:val="18"/>
          <w:szCs w:val="18"/>
          <w:color w:val="auto"/>
        </w:rPr>
        <w:t>Patient 2: Baseline anti-AGA antibody titer 1:99,900</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3: Baseline anti-AGA antibody titer 1:13,900</w:t>
      </w:r>
    </w:p>
    <w:p>
      <w:pPr>
        <w:spacing w:after="0" w:line="198" w:lineRule="exact"/>
        <w:rPr>
          <w:sz w:val="20"/>
          <w:szCs w:val="20"/>
          <w:color w:val="auto"/>
        </w:rPr>
      </w:pPr>
    </w:p>
    <w:p>
      <w:pPr>
        <w:ind w:right="560" w:firstLine="644"/>
        <w:spacing w:after="0"/>
        <w:rPr>
          <w:sz w:val="20"/>
          <w:szCs w:val="20"/>
          <w:color w:val="auto"/>
        </w:rPr>
      </w:pPr>
      <w:r>
        <w:rPr>
          <w:rFonts w:ascii="Arial" w:cs="Arial" w:eastAsia="Arial" w:hAnsi="Arial"/>
          <w:sz w:val="18"/>
          <w:szCs w:val="18"/>
          <w:color w:val="auto"/>
        </w:rPr>
        <w:t>Following 4D-310 infusion, mean serum AGA enzyme activity was within, or significantly above, the normal range in all three patients, despite pre-treatment anti-AGA antibody titer positivity in all patients. Lyso-Gb3 substrate concentrations in serum decreased significantly in Patient 2, who enrolled in the trial OFF-ERT and therefore with an elevated lyso-Gb3 level.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220" w:firstLine="644"/>
        <w:spacing w:after="0" w:line="246" w:lineRule="auto"/>
        <w:rPr>
          <w:sz w:val="20"/>
          <w:szCs w:val="20"/>
          <w:color w:val="auto"/>
        </w:rPr>
      </w:pPr>
      <w:r>
        <w:rPr>
          <w:rFonts w:ascii="Arial" w:cs="Arial" w:eastAsia="Arial" w:hAnsi="Arial"/>
          <w:sz w:val="18"/>
          <w:szCs w:val="18"/>
          <w:color w:val="auto"/>
        </w:rPr>
        <w:t>Patients 1 and 3 demonstrated an increase in serum AGA enzyme activity significantly above the normal range at all timepoints through last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57150</wp:posOffset>
            </wp:positionV>
            <wp:extent cx="5349240" cy="2228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4"/>
          <w:szCs w:val="14"/>
          <w:i w:val="1"/>
          <w:iCs w:val="1"/>
          <w:color w:val="auto"/>
        </w:rPr>
        <w:t>Serum AGA activity: mean normal = 9.9 nmol/hr/ml; normal range: 4.44 – 27.42 nmol/hr/mL</w:t>
      </w:r>
    </w:p>
    <w:p>
      <w:pPr>
        <w:spacing w:after="0" w:line="11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Patient 2 entered the trial OFF-ERT but had prior ERT treatment that was stopped approximately 13 months prior to dosing. As a result, Patient 2 had a high baseline lyso-Gb3 level (101 ng/mL). Patient 2 also had the highest pre-treatment anti-AGA antibody titer of all three patients treated and of all patients screened to date (1:99,900). Patient 2 demonstrated a significant increase in serum AGA enzyme activity into the normal range. Lyso-Gb3 decreased significantly (&gt;50%) within the first four weeks and remained stable through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62230</wp:posOffset>
            </wp:positionV>
            <wp:extent cx="5349240" cy="2177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i w:val="1"/>
          <w:iCs w:val="1"/>
          <w:color w:val="auto"/>
        </w:rPr>
        <w:t>Serum AGA activity: mean normal = 9.9 nmol/hr/ml; normal range: 4.44 – 27.42 nmol/hr/mL;</w:t>
      </w:r>
    </w:p>
    <w:p>
      <w:pPr>
        <w:jc w:val="center"/>
        <w:ind w:right="-279"/>
        <w:spacing w:after="0"/>
        <w:rPr>
          <w:sz w:val="20"/>
          <w:szCs w:val="20"/>
          <w:color w:val="auto"/>
        </w:rPr>
      </w:pPr>
      <w:r>
        <w:rPr>
          <w:rFonts w:ascii="Arial" w:cs="Arial" w:eastAsia="Arial" w:hAnsi="Arial"/>
          <w:sz w:val="16"/>
          <w:szCs w:val="16"/>
          <w:i w:val="1"/>
          <w:iCs w:val="1"/>
          <w:color w:val="auto"/>
        </w:rPr>
        <w:t>Lyso-Gb3 normal range: &lt; 1.0 ng/mL</w:t>
      </w:r>
    </w:p>
    <w:p>
      <w:pPr>
        <w:ind w:left="3180" w:hanging="116"/>
        <w:spacing w:after="0"/>
        <w:tabs>
          <w:tab w:leader="none" w:pos="31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Patient 2 week 6 lyso-Gb3 datapoint not evaluable due to hemolysis</w:t>
      </w:r>
    </w:p>
    <w:p>
      <w:pPr>
        <w:spacing w:after="0" w:line="218" w:lineRule="exact"/>
        <w:rPr>
          <w:rFonts w:ascii="Arial" w:cs="Arial" w:eastAsia="Arial" w:hAnsi="Arial"/>
          <w:sz w:val="16"/>
          <w:szCs w:val="16"/>
          <w:i w:val="1"/>
          <w:iCs w:val="1"/>
          <w:color w:val="auto"/>
        </w:rPr>
      </w:pPr>
    </w:p>
    <w:p>
      <w:pPr>
        <w:ind w:left="5520"/>
        <w:spacing w:after="0"/>
        <w:rPr>
          <w:rFonts w:ascii="Arial" w:cs="Arial" w:eastAsia="Arial" w:hAnsi="Arial"/>
          <w:sz w:val="16"/>
          <w:szCs w:val="16"/>
          <w:i w:val="1"/>
          <w:iCs w:val="1"/>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22" w:name="page23"/>
    <w:bookmarkEnd w:id="22"/>
    <w:p>
      <w:pPr>
        <w:ind w:left="260" w:right="40" w:firstLine="432"/>
        <w:spacing w:after="0" w:line="249" w:lineRule="auto"/>
        <w:rPr>
          <w:sz w:val="20"/>
          <w:szCs w:val="20"/>
          <w:color w:val="auto"/>
        </w:rPr>
      </w:pPr>
      <w:r>
        <w:rPr>
          <w:rFonts w:ascii="Arial" w:cs="Arial" w:eastAsia="Arial" w:hAnsi="Arial"/>
          <w:sz w:val="17"/>
          <w:szCs w:val="17"/>
          <w:color w:val="auto"/>
        </w:rPr>
        <w:t>Preliminary clinical data evaluating biologic activity in the heart were also reported. Patient 1, who was the only patient who reached the initial 6-month cardiac MRI assessment, demonstrated encouraging signals of biologic activity in the heart on Native T1 and Global</w:t>
      </w:r>
    </w:p>
    <w:p>
      <w:pPr>
        <w:ind w:left="640"/>
        <w:spacing w:after="0"/>
        <w:rPr>
          <w:sz w:val="20"/>
          <w:szCs w:val="20"/>
          <w:color w:val="auto"/>
        </w:rPr>
      </w:pPr>
      <w:r>
        <w:rPr>
          <w:rFonts w:ascii="Arial" w:cs="Arial" w:eastAsia="Arial" w:hAnsi="Arial"/>
          <w:sz w:val="18"/>
          <w:szCs w:val="18"/>
          <w:color w:val="auto"/>
        </w:rPr>
        <w:t>Longitudinal Strain.</w:t>
      </w:r>
      <w:r>
        <w:rPr>
          <w:sz w:val="1"/>
          <w:szCs w:val="1"/>
          <w:color w:val="auto"/>
        </w:rPr>
        <w:drawing>
          <wp:inline distT="0" distB="0" distL="0" distR="0">
            <wp:extent cx="5349240" cy="32829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282950"/>
                    </a:xfrm>
                    <a:prstGeom prst="rect">
                      <a:avLst/>
                    </a:prstGeom>
                    <a:noFill/>
                    <a:ln>
                      <a:noFill/>
                    </a:ln>
                  </pic:spPr>
                </pic:pic>
              </a:graphicData>
            </a:graphic>
          </wp:inline>
        </w:drawing>
      </w:r>
    </w:p>
    <w:p>
      <w:pPr>
        <w:spacing w:after="0" w:line="245"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4D-310 demonstrated a manageable safety profile in all three patients. No dose-limiting toxicities were observed and no serious adverse events were reported with Patient 1 and 3, and these patients did not have either atypical hemolytic uremic syndrome ("aHUS") or liver toxicity, which are the two primary class-related toxicities associated with systemically administered AAV. Patient 2 developed transient, self-limited aHUS within approximately one week following treatment and was admitted to the hospital for observation and hydration and was discharged after four days. As a result of hospitalization, this event was classified as a serious adverse event.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Enrollment is on-going in both the Phase 1/2 dose-escalation and dose-expansion clinical program.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08" w:lineRule="exact"/>
        <w:rPr>
          <w:sz w:val="20"/>
          <w:szCs w:val="20"/>
          <w:color w:val="auto"/>
        </w:rPr>
      </w:pPr>
    </w:p>
    <w:p>
      <w:pPr>
        <w:ind w:firstLine="636"/>
        <w:spacing w:after="0" w:line="225" w:lineRule="auto"/>
        <w:rPr>
          <w:sz w:val="20"/>
          <w:szCs w:val="20"/>
          <w:color w:val="auto"/>
        </w:rPr>
      </w:pPr>
      <w:r>
        <w:rPr>
          <w:rFonts w:ascii="Arial" w:cs="Arial" w:eastAsia="Arial" w:hAnsi="Arial"/>
          <w:sz w:val="18"/>
          <w:szCs w:val="18"/>
          <w:color w:val="auto"/>
        </w:rPr>
        <w:t>We are developing product candidates to treat lung diseases. Our targeted and evolved vector, A101, is used in all of our pulmonology disease product candidates and was invented for aerosol delivery, leading to transgene expression throughout all regions of the lung airways and alveoli, as well as resistance to pre-existing antibodies. We believe that this modular product approach, utilizing A101 for multiple product candidates by switching the therapeutic transgene insert, will help inform the clinical development of subsequent product candidates using the same vector.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 w:name="page24"/>
    <w:bookmarkEnd w:id="23"/>
    <w:p>
      <w:pPr>
        <w:ind w:right="100" w:firstLine="644"/>
        <w:spacing w:after="0" w:line="238" w:lineRule="auto"/>
        <w:rPr>
          <w:sz w:val="20"/>
          <w:szCs w:val="20"/>
          <w:color w:val="auto"/>
        </w:rPr>
      </w:pPr>
      <w:r>
        <w:rPr>
          <w:rFonts w:ascii="Arial" w:cs="Arial" w:eastAsia="Arial" w:hAnsi="Arial"/>
          <w:sz w:val="18"/>
          <w:szCs w:val="18"/>
          <w:color w:val="auto"/>
        </w:rPr>
        <w:t>Our first pulmonology product candidate is 4D-710 for cystic fibrosis lung disease. This IND candidate has completed a non-GLP dose-ranging toxicology and biodistribution study in NHPs by aerosol delivery. No notable adverse effects were reported, and widespread biodistribution and transgene expression were observed throughout all lung segments tested in all NHPs. We have initiated an IND-enabling GLP toxicology and biodistribution study in NHPs. We are currently enrolling a Phase 1/2 clinical trial in patients with cystic fibrosis.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4D-710 for Cystic Fibrosis Lung Disease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90" w:lineRule="exact"/>
        <w:rPr>
          <w:sz w:val="20"/>
          <w:szCs w:val="20"/>
          <w:color w:val="auto"/>
        </w:rPr>
      </w:pPr>
    </w:p>
    <w:p>
      <w:pPr>
        <w:ind w:right="80" w:firstLine="644"/>
        <w:spacing w:after="0" w:line="224" w:lineRule="auto"/>
        <w:rPr>
          <w:sz w:val="20"/>
          <w:szCs w:val="20"/>
          <w:color w:val="auto"/>
        </w:rPr>
      </w:pPr>
      <w:r>
        <w:rPr>
          <w:rFonts w:ascii="Arial" w:cs="Arial" w:eastAsia="Arial" w:hAnsi="Arial"/>
          <w:sz w:val="18"/>
          <w:szCs w:val="18"/>
          <w:color w:val="auto"/>
        </w:rPr>
        <w:t>Cystic fibrosis is the most common fatal inherited disease in the United States and results from mutations in the cystic fibrosis transmembrane conductance regulator (“CFTR”) gene. Cystic fibrosis causes impaired lung function, inflammation and bronchiectasis and is commonly associated with repeat and persistent lung infections due to the inability to clear thickened mucus from the lung, often resulting in frequent exacerbations and hospitalizations and eventual end-stage respiratory failure. There is no cure for cystic fibrosis, and the median age of death for patients is approximately 40 years in developed countries. Cystic fibrosis is considered a rare, or orphan, disease by both the FDA and the EMA.</w:t>
      </w:r>
    </w:p>
    <w:p>
      <w:pPr>
        <w:spacing w:after="0" w:line="191" w:lineRule="exact"/>
        <w:rPr>
          <w:sz w:val="20"/>
          <w:szCs w:val="20"/>
          <w:color w:val="auto"/>
        </w:rPr>
      </w:pPr>
    </w:p>
    <w:p>
      <w:pPr>
        <w:ind w:right="120" w:firstLine="644"/>
        <w:spacing w:after="0" w:line="225" w:lineRule="auto"/>
        <w:rPr>
          <w:sz w:val="20"/>
          <w:szCs w:val="20"/>
          <w:color w:val="auto"/>
        </w:rPr>
      </w:pPr>
      <w:r>
        <w:rPr>
          <w:rFonts w:ascii="Arial" w:cs="Arial" w:eastAsia="Arial" w:hAnsi="Arial"/>
          <w:sz w:val="18"/>
          <w:szCs w:val="18"/>
          <w:color w:val="auto"/>
        </w:rPr>
        <w:t>According to the Cystic Fibrosis Foundation, more than 30,000 people in the United States and more than 70,000 people worldwide are living with cystic fibrosis, and approximately 1,000 new cases of cystic fibrosis are diagnosed in the United States each year. Patients with cystic fibrosis require lifelong treatment with multiple daily medications, frequent hospitalizations and, ultimately, lung transplants in some end-stage patients. The quality of life for cystic fibrosis patients is further compromised as a result of spending significant time on self-care every day and frequent outpatient doctor visits and hospitalizations.</w:t>
      </w:r>
    </w:p>
    <w:p>
      <w:pPr>
        <w:spacing w:after="0" w:line="191" w:lineRule="exact"/>
        <w:rPr>
          <w:sz w:val="20"/>
          <w:szCs w:val="20"/>
          <w:color w:val="auto"/>
        </w:rPr>
      </w:pPr>
    </w:p>
    <w:p>
      <w:pPr>
        <w:ind w:right="500" w:firstLine="636"/>
        <w:spacing w:after="0" w:line="229" w:lineRule="auto"/>
        <w:rPr>
          <w:sz w:val="20"/>
          <w:szCs w:val="20"/>
          <w:color w:val="auto"/>
        </w:rPr>
      </w:pPr>
      <w:r>
        <w:rPr>
          <w:rFonts w:ascii="Arial" w:cs="Arial" w:eastAsia="Arial" w:hAnsi="Arial"/>
          <w:sz w:val="18"/>
          <w:szCs w:val="18"/>
          <w:color w:val="auto"/>
        </w:rPr>
        <w:t>Until recently, approved therapies to treat cystic fibrosis patients were only designed to treat the symptoms of cystic fibrosis, for example by preventing and controlling infections that occur in the lungs, rather than addressing the underlying cause of the disease. Accordingly, antibiotics are frequently used along with mucus-thinning drugs.</w:t>
      </w:r>
    </w:p>
    <w:p>
      <w:pPr>
        <w:spacing w:after="0" w:line="191" w:lineRule="exact"/>
        <w:rPr>
          <w:sz w:val="20"/>
          <w:szCs w:val="20"/>
          <w:color w:val="auto"/>
        </w:rPr>
      </w:pPr>
    </w:p>
    <w:p>
      <w:pPr>
        <w:ind w:firstLine="636"/>
        <w:spacing w:after="0" w:line="223" w:lineRule="auto"/>
        <w:rPr>
          <w:sz w:val="20"/>
          <w:szCs w:val="20"/>
          <w:color w:val="auto"/>
        </w:rPr>
      </w:pPr>
      <w:r>
        <w:rPr>
          <w:rFonts w:ascii="Arial" w:cs="Arial" w:eastAsia="Arial" w:hAnsi="Arial"/>
          <w:sz w:val="18"/>
          <w:szCs w:val="18"/>
          <w:color w:val="auto"/>
        </w:rPr>
        <w:t>More recently, a new class of drugs called modulators target CFTR for patients with certain gene mutations. Several therapies from Vertex Pharmaceuticals Inc. have been approved for marketing in the United States and the European Union based on their ability to improve lung function in genetically defined subsets of cystic fibrosis patients. In 2019, the FDA approved triple drug therapy with Trikafta (elexacaftor/ivacaftor/tezacaftor), which Vertex believes would be applicable for up to 90% of cystic fibrosis patients, leaving at least 10% with no CFTR-targeted options. While these therapies improve lung function, reduce exacerbations and have extrapulmonary benefits, the magnitude of lung function improvement is variable, and these chronic therapies require daily dosing for the patient’s lifetime. In addition, the existing cystic fibrosis drugs have been associated with tolerability issues, thus limiting their use.</w:t>
      </w:r>
    </w:p>
    <w:p>
      <w:pPr>
        <w:spacing w:after="0" w:line="193" w:lineRule="exact"/>
        <w:rPr>
          <w:sz w:val="20"/>
          <w:szCs w:val="20"/>
          <w:color w:val="auto"/>
        </w:rPr>
      </w:pPr>
    </w:p>
    <w:p>
      <w:pPr>
        <w:ind w:right="40" w:firstLine="636"/>
        <w:spacing w:after="0" w:line="224" w:lineRule="auto"/>
        <w:rPr>
          <w:sz w:val="20"/>
          <w:szCs w:val="20"/>
          <w:color w:val="auto"/>
        </w:rPr>
      </w:pPr>
      <w:r>
        <w:rPr>
          <w:rFonts w:ascii="Arial" w:cs="Arial" w:eastAsia="Arial" w:hAnsi="Arial"/>
          <w:sz w:val="18"/>
          <w:szCs w:val="18"/>
          <w:color w:val="auto"/>
        </w:rPr>
        <w:t>We believe there is a clinical need and market opportunity for a durable aerosolized therapy, delivered by breath-actuated nebulizer, that can restore normal CFTR function across all cystic fibrosis patient subgroups, including patients who are receiving combination CFTR-modulator therapies and/or do not have appreciable CFTR protein expression and are therefore not amenable to CFTR modulators. We expect to explore single agent therapy with 4D-710 initially in patients who are not amenable to CFTR modulators (estimated to include approximately 10% of all cystic fibrosis patients), and to explore single agent or combination therapy with CFTR modulators for the remaining approximately 90% of patients with cystic fibrosis.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Solution</w:t>
      </w:r>
    </w:p>
    <w:p>
      <w:pPr>
        <w:spacing w:after="0" w:line="86"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 xml:space="preserve">We are developing 4D-710 for the treatment of a broad range of patients with cystic fibrosis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4D-710 is designed for efficient single dose aerosol delivery to the proximal and distal airways and alveoli, subsequent mucus barrier penetration, lung epithelial cell transduction, and resistance to pre-existing antibodies in humans. The intended result is to achieve CFTR expression within lung airway epithelial cells for correction of cystic fibrosis lung disease. 4D-710 is comprised of our targeted and evolved vector, A101, and a codon-optimized version of a synthetic truncated </w:t>
      </w:r>
      <w:r>
        <w:rPr>
          <w:rFonts w:ascii="Arial" w:cs="Arial" w:eastAsia="Arial" w:hAnsi="Arial"/>
          <w:sz w:val="18"/>
          <w:szCs w:val="18"/>
          <w:i w:val="1"/>
          <w:iCs w:val="1"/>
          <w:color w:val="auto"/>
        </w:rPr>
        <w:t>CFTR</w:t>
      </w:r>
      <w:r>
        <w:rPr>
          <w:rFonts w:ascii="Arial" w:cs="Arial" w:eastAsia="Arial" w:hAnsi="Arial"/>
          <w:sz w:val="18"/>
          <w:szCs w:val="18"/>
          <w:color w:val="auto"/>
        </w:rPr>
        <w:t xml:space="preserve"> transgene </w:t>
      </w:r>
      <w:r>
        <w:rPr>
          <w:rFonts w:ascii="Arial" w:cs="Arial" w:eastAsia="Arial" w:hAnsi="Arial"/>
          <w:sz w:val="18"/>
          <w:szCs w:val="18"/>
          <w:i w:val="1"/>
          <w:iCs w:val="1"/>
          <w:color w:val="auto"/>
        </w:rPr>
        <w:t>deltaR-CFTR</w:t>
      </w:r>
      <w:r>
        <w:rPr>
          <w:rFonts w:ascii="Arial" w:cs="Arial" w:eastAsia="Arial" w:hAnsi="Arial"/>
          <w:sz w:val="18"/>
          <w:szCs w:val="18"/>
          <w:color w:val="auto"/>
        </w:rPr>
        <w:t xml:space="preserve">, which we refer to as </w:t>
      </w:r>
      <w:r>
        <w:rPr>
          <w:rFonts w:ascii="Arial" w:cs="Arial" w:eastAsia="Arial" w:hAnsi="Arial"/>
          <w:sz w:val="18"/>
          <w:szCs w:val="18"/>
          <w:i w:val="1"/>
          <w:iCs w:val="1"/>
          <w:color w:val="auto"/>
        </w:rPr>
        <w:t>microCFTR</w:t>
      </w:r>
      <w:r>
        <w:rPr>
          <w:rFonts w:ascii="Arial" w:cs="Arial" w:eastAsia="Arial" w:hAnsi="Arial"/>
          <w:sz w:val="18"/>
          <w:szCs w:val="18"/>
          <w:color w:val="auto"/>
        </w:rPr>
        <w:t>.</w:t>
      </w:r>
      <w:r>
        <w:rPr>
          <w:rFonts w:ascii="Arial" w:cs="Arial" w:eastAsia="Arial" w:hAnsi="Arial"/>
          <w:sz w:val="18"/>
          <w:szCs w:val="18"/>
          <w:i w:val="1"/>
          <w:iCs w:val="1"/>
          <w:color w:val="auto"/>
        </w:rPr>
        <w:t xml:space="preserve"> microCFTR </w:t>
      </w:r>
      <w:r>
        <w:rPr>
          <w:rFonts w:ascii="Arial" w:cs="Arial" w:eastAsia="Arial" w:hAnsi="Arial"/>
          <w:sz w:val="18"/>
          <w:szCs w:val="18"/>
          <w:color w:val="auto"/>
        </w:rPr>
        <w:t>is a construct that retains the most critical functional components of the full-size</w:t>
      </w:r>
      <w:r>
        <w:rPr>
          <w:rFonts w:ascii="Arial" w:cs="Arial" w:eastAsia="Arial" w:hAnsi="Arial"/>
          <w:sz w:val="18"/>
          <w:szCs w:val="18"/>
          <w:i w:val="1"/>
          <w:iCs w:val="1"/>
          <w:color w:val="auto"/>
        </w:rPr>
        <w:t xml:space="preserve"> CFTR </w:t>
      </w:r>
      <w:r>
        <w:rPr>
          <w:rFonts w:ascii="Arial" w:cs="Arial" w:eastAsia="Arial" w:hAnsi="Arial"/>
          <w:sz w:val="18"/>
          <w:szCs w:val="18"/>
          <w:color w:val="auto"/>
        </w:rPr>
        <w:t>gene and is small enough to</w:t>
      </w:r>
      <w:r>
        <w:rPr>
          <w:rFonts w:ascii="Arial" w:cs="Arial" w:eastAsia="Arial" w:hAnsi="Arial"/>
          <w:sz w:val="18"/>
          <w:szCs w:val="18"/>
          <w:i w:val="1"/>
          <w:iCs w:val="1"/>
          <w:color w:val="auto"/>
        </w:rPr>
        <w:t xml:space="preserve"> </w:t>
      </w:r>
      <w:r>
        <w:rPr>
          <w:rFonts w:ascii="Arial" w:cs="Arial" w:eastAsia="Arial" w:hAnsi="Arial"/>
          <w:sz w:val="18"/>
          <w:szCs w:val="18"/>
          <w:color w:val="auto"/>
        </w:rPr>
        <w:t>fit within AAV vector packaging constraints.</w:t>
      </w:r>
    </w:p>
    <w:p>
      <w:pPr>
        <w:spacing w:after="0" w:line="185" w:lineRule="exact"/>
        <w:rPr>
          <w:sz w:val="20"/>
          <w:szCs w:val="20"/>
          <w:color w:val="auto"/>
        </w:rPr>
      </w:pPr>
    </w:p>
    <w:p>
      <w:pPr>
        <w:ind w:right="100" w:firstLine="644"/>
        <w:spacing w:after="0" w:line="241" w:lineRule="auto"/>
        <w:rPr>
          <w:sz w:val="20"/>
          <w:szCs w:val="20"/>
          <w:color w:val="auto"/>
        </w:rPr>
      </w:pPr>
      <w:r>
        <w:rPr>
          <w:rFonts w:ascii="Arial" w:cs="Arial" w:eastAsia="Arial" w:hAnsi="Arial"/>
          <w:sz w:val="18"/>
          <w:szCs w:val="18"/>
          <w:color w:val="auto"/>
        </w:rPr>
        <w:t xml:space="preserve">We believe 4D-710 has the potential to treat a broad range of patients with cystic fibrosis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Initially we plan to focus on the approximately 10% of all patients who are not amenable to existing medicines targeting the CFTR protein as we believe these patients have the highest unmet medical need. In patients with CFTR mutations that are amenable to modulator medicines, while therapies demonstrate improvements in lung function, these modulators do not restore normal lung function in most patients. Further, these chronic therapies require daily dosing for the patient’s lifetime. We therefore expect to eventually develop 4D-710 in this patient population, as a single agent and/or in combination with these CFTR modulator small molecule medicines.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Cystic Fibrosis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 number of biotechnology companies have pursued gene therapy solutions to treat cystic fibrosis. We believe these prior attempts to deliver AAV gene therapy to the lungs of cystic fibrosis patients have failed due to an inability of conventional AAV vectors to penetrate through the lung mucus barrier and transduce lung cells efficiently. Further, we believe antibody neutralization of AAV likely also played a role in the lack of efficacy, as the mucosal immune system actively transports large quantities of antibodies into all mucus secretions, including on the lung mucosa.</w:t>
      </w:r>
    </w:p>
    <w:p>
      <w:pPr>
        <w:spacing w:after="0" w:line="202" w:lineRule="exact"/>
        <w:rPr>
          <w:sz w:val="20"/>
          <w:szCs w:val="20"/>
          <w:color w:val="auto"/>
        </w:rPr>
      </w:pPr>
    </w:p>
    <w:p>
      <w:pPr>
        <w:ind w:right="200" w:firstLine="636"/>
        <w:spacing w:after="0" w:line="237" w:lineRule="auto"/>
        <w:rPr>
          <w:sz w:val="20"/>
          <w:szCs w:val="20"/>
          <w:color w:val="auto"/>
        </w:rPr>
      </w:pPr>
      <w:r>
        <w:rPr>
          <w:rFonts w:ascii="Arial" w:cs="Arial" w:eastAsia="Arial" w:hAnsi="Arial"/>
          <w:sz w:val="18"/>
          <w:szCs w:val="18"/>
          <w:color w:val="auto"/>
        </w:rPr>
        <w:t>While a number of companies are currently pursuing other gene therapy solutions utilizing liposomes, herpesvirus, lentivirus or conventional AAV vectors, these product candidates are in early stages of development. Moreover, they are not, to our knowledge, comprised of AAV vectors evolved in NHPs for aerosol delivery diffusely throughout the lung airways and alveoli. In addition, we believe these products were not designed for resistance to pre-existing antibodies to conventional AAVs, which is potentially a key requirement for successful delivery in the lung. As a result, to our knowledge, 4D-710 is the only AAV gene therapy product candidate in development designed specifically with a vector selected for aerosol delivery in NHPs, including humans, and with resistance to antibodies in the human population.</w:t>
      </w:r>
    </w:p>
    <w:p>
      <w:pPr>
        <w:spacing w:after="0" w:line="203" w:lineRule="exact"/>
        <w:rPr>
          <w:sz w:val="20"/>
          <w:szCs w:val="20"/>
          <w:color w:val="auto"/>
        </w:rPr>
      </w:pPr>
    </w:p>
    <w:p>
      <w:pPr>
        <w:ind w:right="120" w:firstLine="636"/>
        <w:spacing w:after="0" w:line="246" w:lineRule="auto"/>
        <w:rPr>
          <w:sz w:val="20"/>
          <w:szCs w:val="20"/>
          <w:color w:val="auto"/>
        </w:rPr>
      </w:pPr>
      <w:r>
        <w:rPr>
          <w:rFonts w:ascii="Arial" w:cs="Arial" w:eastAsia="Arial" w:hAnsi="Arial"/>
          <w:sz w:val="18"/>
          <w:szCs w:val="18"/>
          <w:color w:val="auto"/>
        </w:rPr>
        <w:t>We believe 4D-710 has the potential to be differentiated from approved agents, and those in clinical development to our knowledge, on the basis of four features:</w:t>
      </w:r>
    </w:p>
    <w:p>
      <w:pPr>
        <w:spacing w:after="0" w:line="89" w:lineRule="exact"/>
        <w:rPr>
          <w:sz w:val="20"/>
          <w:szCs w:val="20"/>
          <w:color w:val="auto"/>
        </w:rPr>
      </w:pPr>
    </w:p>
    <w:p>
      <w:pPr>
        <w:ind w:left="900" w:hanging="248"/>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Corrective mechanism-of-action</w:t>
      </w:r>
      <w:r>
        <w:rPr>
          <w:rFonts w:ascii="Arial" w:cs="Arial" w:eastAsia="Arial" w:hAnsi="Arial"/>
          <w:sz w:val="18"/>
          <w:szCs w:val="18"/>
          <w:color w:val="auto"/>
        </w:rPr>
        <w:t>: An aerosol dose of 4D-710 is designed to result in therapeutic levels of the CFTR protein directly within target cells lining the airway and alveoli. 4D-710 comprises a targeted and evolved vector invented for aerosol delivery, mucus barrier penetration and transduction of epithelial cells within the airways and alveoli of NHPs and humans.</w:t>
      </w:r>
    </w:p>
    <w:p>
      <w:pPr>
        <w:spacing w:after="0" w:line="94" w:lineRule="exact"/>
        <w:rPr>
          <w:rFonts w:ascii="Arial" w:cs="Arial" w:eastAsia="Arial" w:hAnsi="Arial"/>
          <w:sz w:val="18"/>
          <w:szCs w:val="18"/>
          <w:color w:val="auto"/>
        </w:rPr>
      </w:pPr>
    </w:p>
    <w:p>
      <w:pPr>
        <w:ind w:left="900" w:right="220" w:hanging="248"/>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CFTR-targeted small molecules that require daily dosing for a patient’s entire life, 4D-710 is designed for single or significantly less frequent dosing.</w:t>
      </w:r>
    </w:p>
    <w:p>
      <w:pPr>
        <w:spacing w:after="0" w:line="88" w:lineRule="exact"/>
        <w:rPr>
          <w:rFonts w:ascii="Arial" w:cs="Arial" w:eastAsia="Arial" w:hAnsi="Arial"/>
          <w:sz w:val="18"/>
          <w:szCs w:val="18"/>
          <w:color w:val="auto"/>
        </w:rPr>
      </w:pPr>
    </w:p>
    <w:p>
      <w:pPr>
        <w:ind w:left="900" w:right="100" w:hanging="248"/>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CFTR mutation-independent efficacy</w:t>
      </w:r>
      <w:r>
        <w:rPr>
          <w:rFonts w:ascii="Arial" w:cs="Arial" w:eastAsia="Arial" w:hAnsi="Arial"/>
          <w:sz w:val="18"/>
          <w:szCs w:val="18"/>
          <w:color w:val="auto"/>
        </w:rPr>
        <w:t>: Unlike CFTR-targeted small molecules that are only effective against specific mutations, 4D-710 is designed to be used in cystic fibrosis patients with any mutation, including in the approximately 10% of patients whose disease is not amenable to currently available medical therapy.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ind w:left="900" w:right="520" w:hanging="248"/>
        <w:spacing w:after="0" w:line="24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Resistance to AAV antibodies</w:t>
      </w:r>
      <w:r>
        <w:rPr>
          <w:rFonts w:ascii="Arial" w:cs="Arial" w:eastAsia="Arial" w:hAnsi="Arial"/>
          <w:sz w:val="18"/>
          <w:szCs w:val="18"/>
          <w:color w:val="auto"/>
        </w:rPr>
        <w:t>: Unlike conventional AAV vectors, which are sensitive to anti-AAV antibody inhibition, 4D-710 utilizes A101, a vector invented for resistance to human antibody inhibition.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Preclinical Proof-of-Concept Study with Evolved AAV for Aerosol Delivery in the Cystic Fibrosis Pig Model</w:t>
      </w:r>
    </w:p>
    <w:p>
      <w:pPr>
        <w:spacing w:after="0" w:line="104"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 xml:space="preserve">Preclinical proof-of-concept studies have been conducted utilizing directed evolution to discover vectors for delivering a corrective </w:t>
      </w:r>
      <w:r>
        <w:rPr>
          <w:rFonts w:ascii="Arial" w:cs="Arial" w:eastAsia="Arial" w:hAnsi="Arial"/>
          <w:sz w:val="18"/>
          <w:szCs w:val="18"/>
          <w:i w:val="1"/>
          <w:iCs w:val="1"/>
          <w:color w:val="auto"/>
        </w:rPr>
        <w:t xml:space="preserve">CFTR </w:t>
      </w:r>
      <w:r>
        <w:rPr>
          <w:rFonts w:ascii="Arial" w:cs="Arial" w:eastAsia="Arial" w:hAnsi="Arial"/>
          <w:sz w:val="18"/>
          <w:szCs w:val="18"/>
          <w:color w:val="auto"/>
        </w:rPr>
        <w:t>gene construct to cystic fibrosis lung tissue in a large animal model of cystic fibrosis, and in a human cystic fibrosis patient lung tissue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model. Building on these previous proof-of-concept studies, our product candidate 4D-710 utilizes a vector, A101, that was evolved and selected in NHPs, which we believe is more relevant for human use. The product was designed to package the same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transgene payload in this vector that was customized for use in humans.</w:t>
      </w:r>
    </w:p>
    <w:p>
      <w:pPr>
        <w:spacing w:after="0" w:line="184" w:lineRule="exact"/>
        <w:rPr>
          <w:sz w:val="20"/>
          <w:szCs w:val="20"/>
          <w:color w:val="auto"/>
        </w:rPr>
      </w:pPr>
    </w:p>
    <w:p>
      <w:pPr>
        <w:ind w:right="160" w:firstLine="636"/>
        <w:spacing w:after="0" w:line="245" w:lineRule="auto"/>
        <w:rPr>
          <w:sz w:val="20"/>
          <w:szCs w:val="20"/>
          <w:color w:val="auto"/>
        </w:rPr>
      </w:pPr>
      <w:r>
        <w:rPr>
          <w:rFonts w:ascii="Arial" w:cs="Arial" w:eastAsia="Arial" w:hAnsi="Arial"/>
          <w:sz w:val="18"/>
          <w:szCs w:val="18"/>
          <w:color w:val="auto"/>
        </w:rPr>
        <w:t xml:space="preserve">In addition, directed evolution was used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organotypic air-liquid interface model of lung epithelium to select AAV2.5T, which we in-licensed with exclusive worldwide rights. In preclinical studies, AAV2.5T carrying </w:t>
      </w:r>
      <w:r>
        <w:rPr>
          <w:rFonts w:ascii="Arial" w:cs="Arial" w:eastAsia="Arial" w:hAnsi="Arial"/>
          <w:sz w:val="18"/>
          <w:szCs w:val="18"/>
          <w:i w:val="1"/>
          <w:iCs w:val="1"/>
          <w:color w:val="auto"/>
        </w:rPr>
        <w:t>micro</w:t>
      </w:r>
      <w:r>
        <w:rPr>
          <w:rFonts w:ascii="Arial" w:cs="Arial" w:eastAsia="Arial" w:hAnsi="Arial"/>
          <w:sz w:val="18"/>
          <w:szCs w:val="18"/>
          <w:color w:val="auto"/>
        </w:rPr>
        <w:t>CFTR transduced human lung epithelial tissue and resulted in expression of functional protein as suggested by increased chloride ion transport as compared to untreated control.</w:t>
      </w:r>
    </w:p>
    <w:p>
      <w:pPr>
        <w:spacing w:after="0" w:line="199" w:lineRule="exact"/>
        <w:rPr>
          <w:sz w:val="20"/>
          <w:szCs w:val="20"/>
          <w:color w:val="auto"/>
        </w:rPr>
      </w:pPr>
    </w:p>
    <w:p>
      <w:pPr>
        <w:ind w:right="260" w:firstLine="636"/>
        <w:spacing w:after="0"/>
        <w:rPr>
          <w:sz w:val="20"/>
          <w:szCs w:val="20"/>
          <w:color w:val="auto"/>
        </w:rPr>
      </w:pPr>
      <w:r>
        <w:rPr>
          <w:rFonts w:ascii="Arial" w:cs="Arial" w:eastAsia="Arial" w:hAnsi="Arial"/>
          <w:sz w:val="18"/>
          <w:szCs w:val="18"/>
          <w:color w:val="auto"/>
        </w:rPr>
        <w:t>We believe that these results demonstrate that a targeted and evolved vector can penetrate the mucus layer of diseased cystic fibrosis lungs and deliver functional CFTR protein in a well-validated large animal model of the disease, as well as in human cystic fibrosis patient-derived organotypic lung models.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 xml:space="preserve">In our NHP study of a single aerosol delivered dose of 4D-710 at two different dose levels, treatment resulted in widespread distribution, CFTR transgene expression throughout both proximal and distal airways and alveoli. No meaningful inflammation or adverse findings were reported on in-life examinations, hematology or clinical chemistry analyses, or lung histology analyses.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demonstrated highly significant resistance to neutralization by human pooled antibody preparations, with human IVIG pooled from over 1,000 individuals.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20" w:firstLine="644"/>
        <w:spacing w:after="0" w:line="237" w:lineRule="auto"/>
        <w:rPr>
          <w:sz w:val="20"/>
          <w:szCs w:val="20"/>
          <w:color w:val="auto"/>
        </w:rPr>
      </w:pPr>
      <w:r>
        <w:rPr>
          <w:rFonts w:ascii="Arial" w:cs="Arial" w:eastAsia="Arial" w:hAnsi="Arial"/>
          <w:sz w:val="18"/>
          <w:szCs w:val="18"/>
          <w:color w:val="auto"/>
        </w:rPr>
        <w:t>In October 2021, we received clearance from the U.S. Food and Drug Administration ("FDA") of an Investigational New Drug Application ("IND") for 4D-710. We expect to dose the first patient in our Phase 1/2 clinical trial for 4D-710 in the first half of 2022. The Phase 1/2 clinical trial is a multicenter, open-label, dose-escalation and dose-expansion trial of 4D-710 in patients (n=~18) with cystic fibrosis who are ineligible for CFTR modulator therapy or who have discontinued therapy due to adverse effects. The primary endpoint of the study is safety and tolerability. Secondary endpoints include assessments of clinical activity including lung function, plus transgene transfer and microCFTR expression as measured within bronchoscopic biopsies and brushings.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200" w:firstLine="636"/>
        <w:spacing w:after="0" w:line="238" w:lineRule="auto"/>
        <w:rPr>
          <w:sz w:val="20"/>
          <w:szCs w:val="20"/>
          <w:color w:val="auto"/>
        </w:rPr>
      </w:pPr>
      <w:r>
        <w:rPr>
          <w:rFonts w:ascii="Arial" w:cs="Arial" w:eastAsia="Arial" w:hAnsi="Arial"/>
          <w:sz w:val="18"/>
          <w:szCs w:val="18"/>
          <w:color w:val="auto"/>
        </w:rPr>
        <w:t>We are aware of several companies focused on developing gene therapies in various indications as well as companies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205" w:lineRule="exact"/>
        <w:rPr>
          <w:sz w:val="20"/>
          <w:szCs w:val="20"/>
          <w:color w:val="auto"/>
        </w:rPr>
      </w:pPr>
    </w:p>
    <w:p>
      <w:pPr>
        <w:ind w:right="560" w:firstLine="636"/>
        <w:spacing w:after="0" w:line="261" w:lineRule="auto"/>
        <w:rPr>
          <w:sz w:val="20"/>
          <w:szCs w:val="20"/>
          <w:color w:val="auto"/>
        </w:rPr>
      </w:pPr>
      <w:r>
        <w:rPr>
          <w:rFonts w:ascii="Arial" w:cs="Arial" w:eastAsia="Arial" w:hAnsi="Arial"/>
          <w:sz w:val="17"/>
          <w:szCs w:val="17"/>
          <w:color w:val="auto"/>
        </w:rPr>
        <w:t>With respect to 4D-125 for the treatment of XLRP, we consider our most direct AAV gene therapy competitors to be as follows: Applied Genetic Technologies Corporation (candidate administered by subretinal surgery in a Phase 1/2 clinical trial), Janssen Pharmaceuticals Inc. / MeiraGTx Holdings Plc (candidate administered by subretinal surgery enrolling a Phase 3 clinical trial).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140" w:firstLine="636"/>
        <w:spacing w:after="0" w:line="246" w:lineRule="auto"/>
        <w:rPr>
          <w:sz w:val="20"/>
          <w:szCs w:val="20"/>
          <w:color w:val="auto"/>
        </w:rPr>
      </w:pPr>
      <w:r>
        <w:rPr>
          <w:rFonts w:ascii="Arial" w:cs="Arial" w:eastAsia="Arial" w:hAnsi="Arial"/>
          <w:sz w:val="18"/>
          <w:szCs w:val="18"/>
          <w:color w:val="auto"/>
        </w:rPr>
        <w:t>With respect to 4D-110 for the treatment of choroideremia, we currently believe there are no gene therapies in development for this disease.</w:t>
      </w:r>
    </w:p>
    <w:p>
      <w:pPr>
        <w:spacing w:after="0" w:line="197" w:lineRule="exact"/>
        <w:rPr>
          <w:sz w:val="20"/>
          <w:szCs w:val="20"/>
          <w:color w:val="auto"/>
        </w:rPr>
      </w:pPr>
    </w:p>
    <w:p>
      <w:pPr>
        <w:ind w:right="160" w:firstLine="636"/>
        <w:spacing w:after="0" w:line="237" w:lineRule="auto"/>
        <w:rPr>
          <w:sz w:val="20"/>
          <w:szCs w:val="20"/>
          <w:color w:val="auto"/>
        </w:rPr>
      </w:pPr>
      <w:r>
        <w:rPr>
          <w:rFonts w:ascii="Arial" w:cs="Arial" w:eastAsia="Arial" w:hAnsi="Arial"/>
          <w:sz w:val="18"/>
          <w:szCs w:val="18"/>
          <w:color w:val="auto"/>
        </w:rPr>
        <w:t>We consider our most direct competitors with respect to 4D-150 for the treatment of diabetic retinopathy and wet AMD to be Eylea (aflibercept) from Regeneron Pharmaceuticals Inc., which is the current wet AMD standard of care, and a combination of antibody-based programs including, but not limited to, Lucentis, Susvimo and Vabysmo from Roche, KSI-301 from Kodiak Sciences Inc. (missed primary endpoint in wet AMD), and OPT-302 from Opthea Limited, and gene-therapy based programs including ADVM-022 from Adverum Biotechnologies (discontinued in diabetic populations) and RGX-314 from RegenxBio Inc., which are both AAV-based programs in Phase 2 and Phase 3 studies, respectively.</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consider our most direct competitors with respect to 4D-310 for the treatment of Fabry disease to be Amicus Therapeutics, which has Galafold (migalastat) approved as a small molecule chaperone for specific mutations, and several gene therapy companies including Freeline Therapeutics Holdings Plc, which is in Phase 1 development of AAVS2-based FLT-190, and Sangamo, which is in Phase 1/2 development of AAV2/6-based ST-920. Other competitors include Sanofi Genzyme, Takeda Pharmaceutical Company Limited and Protalix BioTherapeutics, all of which either commercialize or develop enzyme replacement therapy for the treatment of Fabry disease.</w:t>
      </w:r>
    </w:p>
    <w:p>
      <w:pPr>
        <w:spacing w:after="0" w:line="202"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We consider our most direct competitors with respect to 4D-710 for the treatment of cystic fibrosis lung disease to be Vertex, which has several approved CFTR modulators, as well as other gene therapy companies in preclinical development of cystic fibrosis programs, including Krystal Biotech Inc., Abeona Therapeutics Inc., Spirovant Sciences Inc. and Editas Medicine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CMC Strategy</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order to fulfill our strategy to maximize the robustness and internal control of our manufacturing processes from discovery and process development through to clinical-grade cGMP manufacturing, we have designed and are continually developing and scaling a robust in-house manufacturing platform for both GMP and non-GMP manufacturing. While many companies in the AAV gene therapy field in-license clinical trial material or manufacturing technologies from other companies or academic manufacturing centers, in contrast, our manufacturing processes were developed internally using internal technology transfers from our own process development labs. Our current in-house manufacturing capabilities include GMP manufacturing (upstream, downstream and fill/finish), production capabilities for clinical trials, IND-enabling GLP toxicology studies and research candidate production. In addition to our internal activities, we also collaborate with Contract Manufacturing Organizations ("CMOs").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Good Manufacturing Practices (“cGMP”) Capabilities</w:t>
      </w:r>
    </w:p>
    <w:p>
      <w:pPr>
        <w:spacing w:after="0" w:line="112" w:lineRule="exact"/>
        <w:rPr>
          <w:sz w:val="20"/>
          <w:szCs w:val="20"/>
          <w:color w:val="auto"/>
        </w:rPr>
      </w:pPr>
    </w:p>
    <w:p>
      <w:pPr>
        <w:ind w:right="80" w:firstLine="636"/>
        <w:spacing w:after="0" w:line="223" w:lineRule="auto"/>
        <w:rPr>
          <w:sz w:val="20"/>
          <w:szCs w:val="20"/>
          <w:color w:val="auto"/>
        </w:rPr>
      </w:pPr>
      <w:r>
        <w:rPr>
          <w:rFonts w:ascii="Arial" w:cs="Arial" w:eastAsia="Arial" w:hAnsi="Arial"/>
          <w:sz w:val="18"/>
          <w:szCs w:val="18"/>
          <w:color w:val="auto"/>
        </w:rPr>
        <w:t>Our team has extensive experience with the manufacturing and analytical testing of numerous unique AAV capsids. Our team has internally manufactured over 150 unique AAV vectors, including both proprietary evolved 4DMT capsid variants and naturally occurring capsids. Our team has manufactured over 240 total lots of AAV vectors for research or clinical use. We have in-house cGMP manufacturing capabilities for clinical trial material production. Our manufacturing team has completed and released multiple lots of clinical trial material for our five product candidates in clinical development. This total also includes 15 lots of product candidate material for GLP toxicology and biodistribution studies. Leveraging internal testing capabilities in addition to qualified contract testing laboratories, we fully test and release our GLP and GMP lots for use in toxicology and clinical trials, respectively. We have developed and qualified assays for characterization, in-process testing and release and stability testing of our internally and externally manufactured proprietary AAV vectors.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Process Development Capabilities</w:t>
      </w:r>
    </w:p>
    <w:p>
      <w:pPr>
        <w:spacing w:after="0" w:line="112" w:lineRule="exact"/>
        <w:rPr>
          <w:sz w:val="20"/>
          <w:szCs w:val="20"/>
          <w:color w:val="auto"/>
        </w:rPr>
      </w:pPr>
    </w:p>
    <w:p>
      <w:pPr>
        <w:ind w:right="20" w:firstLine="636"/>
        <w:spacing w:after="0" w:line="223" w:lineRule="auto"/>
        <w:rPr>
          <w:sz w:val="20"/>
          <w:szCs w:val="20"/>
          <w:color w:val="auto"/>
        </w:rPr>
      </w:pPr>
      <w:r>
        <w:rPr>
          <w:rFonts w:ascii="Arial" w:cs="Arial" w:eastAsia="Arial" w:hAnsi="Arial"/>
          <w:sz w:val="18"/>
          <w:szCs w:val="18"/>
          <w:color w:val="auto"/>
        </w:rPr>
        <w:t>We use robust, scalable and transferable manufacturing unit operations throughout both the vector characterization process and product development, which are both platform-specific and product-specific. The upstream manufacturing step involves triple plasmid transfections in an adherent HEK293 mammalian production cell line. Downstream manufacturing steps for purification and concentration include multiple orthogonal column chromatography steps and tangential flow filtration. The downstream purification columns used in our process are from stable sources including General Electric. Using internally developed manufacturing processes and testing, we characterize our novel capsids and payloads. In addition, leveraging internal expertise and capabilities, we package and test our novel vectors with payloads using internally developed manufacturing processes.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Facilities</w:t>
      </w:r>
    </w:p>
    <w:p>
      <w:pPr>
        <w:spacing w:after="0" w:line="112" w:lineRule="exact"/>
        <w:rPr>
          <w:sz w:val="20"/>
          <w:szCs w:val="20"/>
          <w:color w:val="auto"/>
        </w:rPr>
      </w:pPr>
    </w:p>
    <w:p>
      <w:pPr>
        <w:ind w:right="40" w:firstLine="636"/>
        <w:spacing w:after="0" w:line="224" w:lineRule="auto"/>
        <w:rPr>
          <w:sz w:val="20"/>
          <w:szCs w:val="20"/>
          <w:color w:val="auto"/>
        </w:rPr>
      </w:pPr>
      <w:r>
        <w:rPr>
          <w:rFonts w:ascii="Arial" w:cs="Arial" w:eastAsia="Arial" w:hAnsi="Arial"/>
          <w:sz w:val="18"/>
          <w:szCs w:val="18"/>
          <w:color w:val="auto"/>
        </w:rPr>
        <w:t>Our manufacturing facilities are on site at company headquarters in Emeryville, California and include process development labs, an analytical development lab, and a cGMP manufacturing facility. These manufacturing facilities are also designed for production of material for GLP toxicology and biodistribution studies. In addition, we are currently building a second manufacturing facility to enable commercial-scale lot sizes under cGMP. Our cGMP facilities will be able to provide additional capacity for production of Phase 1 through Phase 3 clinical trials material. We expect to utilize commercial-scale bioreactors that are designed to manufacture higher titer clinical trial material lots. Our manufacturing facilities are also designed for production of material for GLP toxicology and biodistribution studies.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Team</w:t>
      </w:r>
    </w:p>
    <w:p>
      <w:pPr>
        <w:spacing w:after="0" w:line="112" w:lineRule="exact"/>
        <w:rPr>
          <w:sz w:val="20"/>
          <w:szCs w:val="20"/>
          <w:color w:val="auto"/>
        </w:rPr>
      </w:pPr>
    </w:p>
    <w:p>
      <w:pPr>
        <w:ind w:firstLine="636"/>
        <w:spacing w:after="0" w:line="223" w:lineRule="auto"/>
        <w:rPr>
          <w:sz w:val="20"/>
          <w:szCs w:val="20"/>
          <w:color w:val="auto"/>
        </w:rPr>
      </w:pPr>
      <w:r>
        <w:rPr>
          <w:rFonts w:ascii="Arial" w:cs="Arial" w:eastAsia="Arial" w:hAnsi="Arial"/>
          <w:sz w:val="18"/>
          <w:szCs w:val="18"/>
          <w:color w:val="auto"/>
        </w:rPr>
        <w:t>Our team of approximately 40 highly trained individuals is led by our Chief Technical Officer and Chief Operating Officer, Dr. Fred Kamal, and includes Ph.D. scientists. Collectively, they have significant experience in viral vector manufacturing, chemistry-manufacturing-controls (“CMC”), regulatory affairs, analytical and process development, and quality assurance and controls. As of December 31, 2021, our team has submitted five INDs all of which have been granted clearance by the FDA enabling our clinical candidates to advance to Phase 1/2 clinical development. Our team also has experience prior to 4DMT with manufacturing multiple viral vectors from preclinical studies through to multiple Phase 3 trials. For example, Dr. Kamal helped to write and compile the AAV gene therapy BLA for Zolgensma ("Novartis"), the first AAV gene therapy approved for intravenous administration in infants and babies.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right="120" w:firstLine="636"/>
        <w:spacing w:after="0" w:line="223"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In particular, our patent strategy includes the filing of patent applications covering unique gene sequences selected through our Therapeutic Vector Evolution process. We also rely on trade secrets, know-how, continuing technological innovation and potential in-licensing opportunities to develop and maintain our proprietary position.</w:t>
      </w:r>
    </w:p>
    <w:p>
      <w:pPr>
        <w:spacing w:after="0" w:line="206"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product and lead optimization candidates were discovered by us utilizing our proprietary technology. We have filed several non-provisional and provisional patent applications, all owned by us, relating to our product and lead optimization candidates in the United States, certain foreign countries, and the World Intellectual Property Organization that are directed to compositions-of-matter, dosage unit forms, methods-of-treatment and medical use. We have also licensed several non-provisional patent applications, granted patents and international patent applications relating to our targeted and evolved vector, A101, which is used in 4D-710, and to other AAV-based technologies from U.C. Berkeley.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8" w:name="page29"/>
    <w:bookmarkEnd w:id="28"/>
    <w:p>
      <w:pPr>
        <w:ind w:right="40" w:firstLine="644"/>
        <w:spacing w:after="0" w:line="236" w:lineRule="auto"/>
        <w:rPr>
          <w:sz w:val="20"/>
          <w:szCs w:val="20"/>
          <w:color w:val="auto"/>
        </w:rPr>
      </w:pPr>
      <w:r>
        <w:rPr>
          <w:rFonts w:ascii="Arial" w:cs="Arial" w:eastAsia="Arial" w:hAnsi="Arial"/>
          <w:sz w:val="18"/>
          <w:szCs w:val="18"/>
          <w:color w:val="auto"/>
        </w:rPr>
        <w:t>As of December 31, 2021, our solely owned patent portfolio includes four granted U.S. patents and twenty-one granted foreign patents; each of these patents is expected to expire between May 2037 and April 2041, excluding any additional term from patent term adjustment or patent term extension if appropriate maintenance and other governmental fees are paid. Our solely owned patent portfolio also includes eight pending U.S. non-provisional applications and sixty-three pending foreign applications. We expect that United States and European patents, if issued from pending applications in our solely owned portfolio, would expire between May 2037 and August 2041, excluding any additional term from patent term adjustment or patent term extension if appropriate maintenance and other governmental fees are paid. Additional patent term for the presently issued or later issued U.S. patents may be awarded as a result of the patent term extension provision of the Hatch-Waxman Amendments of 1984. In the European Union member countries, a supplementary protection certificate, if obtained, provides a maximum five years of market exclusivity. Our solely owned patent portfolio also includes one pending U.S. provisional patent application.</w:t>
      </w:r>
    </w:p>
    <w:p>
      <w:pPr>
        <w:spacing w:after="0" w:line="206" w:lineRule="exact"/>
        <w:rPr>
          <w:sz w:val="20"/>
          <w:szCs w:val="20"/>
          <w:color w:val="auto"/>
        </w:rPr>
      </w:pPr>
    </w:p>
    <w:p>
      <w:pPr>
        <w:ind w:right="20" w:firstLine="686"/>
        <w:spacing w:after="0" w:line="236" w:lineRule="auto"/>
        <w:rPr>
          <w:sz w:val="20"/>
          <w:szCs w:val="20"/>
          <w:color w:val="auto"/>
        </w:rPr>
      </w:pPr>
      <w:r>
        <w:rPr>
          <w:rFonts w:ascii="Arial" w:cs="Arial" w:eastAsia="Arial" w:hAnsi="Arial"/>
          <w:sz w:val="18"/>
          <w:szCs w:val="18"/>
          <w:color w:val="auto"/>
        </w:rPr>
        <w:t>In other jurisdictions (currently, Australia, Bahrain, Brazil, Canada, Chile, China, Colombia, Costa Rica, Egypt, India, Indonesia, Iran, Israel, Japan, Korea, Kuwait, Malaysia, Mexico, New Zealand, Oman, Peru, Philippines, Qatar, Russia, Saudi Arabia, Singapore, South Africa, Taiwan, Thailand, United Arab Emirates, Ukraine and Vietnam), patents, if issued on pending applications in our solely owned patent portfolio, where applicable, relating to our product and lead optimization candidates, including composition of matter, dosage unit form, method-of-treatment and medical use, are expected to expire between May 2037 and August 2041,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7"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As of December 31, 2021, our in-licensed patent portfolio includes five granted U.S. patents and six granted foreign patents; each of these patents is expected to expire between June 2024 and May 2034, excluding any additional term from patent term adjustment or patent term extension if appropriate maintenance and other governmental fees are paid. Our in-licensed patent portfolio also includes four pending U.S. non-provisional patent applications and twenty-two pending foreign patent applications. We expect that United States and European patents, if issued from applications in our in-licensed portfolio would expire between June 2024 and June 2038, excluding any additional term from patent term adjustment or patent term extension if appropriate maintenance and other governmental fees are paid.</w:t>
      </w:r>
    </w:p>
    <w:p>
      <w:pPr>
        <w:spacing w:after="0" w:line="205" w:lineRule="exact"/>
        <w:rPr>
          <w:sz w:val="20"/>
          <w:szCs w:val="20"/>
          <w:color w:val="auto"/>
        </w:rPr>
      </w:pPr>
    </w:p>
    <w:p>
      <w:pPr>
        <w:ind w:right="140" w:firstLine="644"/>
        <w:spacing w:after="0" w:line="237" w:lineRule="auto"/>
        <w:rPr>
          <w:sz w:val="20"/>
          <w:szCs w:val="20"/>
          <w:color w:val="auto"/>
        </w:rPr>
      </w:pPr>
      <w:r>
        <w:rPr>
          <w:rFonts w:ascii="Arial" w:cs="Arial" w:eastAsia="Arial" w:hAnsi="Arial"/>
          <w:sz w:val="18"/>
          <w:szCs w:val="18"/>
          <w:color w:val="auto"/>
        </w:rPr>
        <w:t>In other jurisdictions (currently, Australia, Brazil, Canada, China, Hong Kong, India, Japan, Korea and Mexico), patents, if issued on pending applications in our in-licensed patent portfolio, where applicable, relating to our product and lead optimization candidates, including composition of matter and various other patents, including dosage unit form, method-of-treatment and medical use patents are expected to expire between June 2024 and June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right="20" w:firstLine="644"/>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effective for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also protect our trade secrets and other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2" w:lineRule="exact"/>
        <w:rPr>
          <w:sz w:val="20"/>
          <w:szCs w:val="20"/>
          <w:color w:val="auto"/>
        </w:rPr>
      </w:pPr>
    </w:p>
    <w:p>
      <w:pPr>
        <w:ind w:right="280" w:firstLine="636"/>
        <w:spacing w:after="0" w:line="238" w:lineRule="auto"/>
        <w:rPr>
          <w:sz w:val="20"/>
          <w:szCs w:val="20"/>
          <w:color w:val="auto"/>
        </w:rPr>
      </w:pPr>
      <w:r>
        <w:rPr>
          <w:rFonts w:ascii="Arial" w:cs="Arial" w:eastAsia="Arial" w:hAnsi="Arial"/>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failure to obtain a license to proprietary rights that we may require to develop or commercialize our future drugs may have a material adverse impact on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F. Hoffmann-La Roche Ltd and Hoffmann-La Roche Inc.</w:t>
      </w:r>
    </w:p>
    <w:p>
      <w:pPr>
        <w:spacing w:after="0" w:line="126"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In November 2017, we entered into a Collaboration and License Agreement (the “2017 Roche Agreement”), with F. Hoffmann-La Roche Ltd and Hoffmann-La Roche Inc., collectively referred to as Roche. Under the Roche Agreement, we granted Roche an exclusive, sublicensable, worldwide license under certain intellectual property rights to research, develop, make, use, import, export, and sell products and constructs using our proprietary AAV vectors to treat ophthalmological diseases and disorders, excluding treatment and prevention of cancer and central nervous system conditions (but not retinal nerves) and delivery of DNA-directed RNA interference (the “Roche Field”).</w:t>
      </w:r>
    </w:p>
    <w:p>
      <w:pPr>
        <w:spacing w:after="0" w:line="202" w:lineRule="exact"/>
        <w:rPr>
          <w:sz w:val="20"/>
          <w:szCs w:val="20"/>
          <w:color w:val="auto"/>
        </w:rPr>
      </w:pPr>
    </w:p>
    <w:p>
      <w:pPr>
        <w:ind w:right="60" w:firstLine="644"/>
        <w:spacing w:after="0" w:line="238" w:lineRule="auto"/>
        <w:rPr>
          <w:sz w:val="20"/>
          <w:szCs w:val="20"/>
          <w:color w:val="auto"/>
        </w:rPr>
      </w:pPr>
      <w:r>
        <w:rPr>
          <w:rFonts w:ascii="Arial" w:cs="Arial" w:eastAsia="Arial" w:hAnsi="Arial"/>
          <w:sz w:val="18"/>
          <w:szCs w:val="18"/>
          <w:color w:val="auto"/>
        </w:rPr>
        <w:t>At the effective date of the 2017 Roche Agreement, choroideremia was designated a Roche product class and the 4D-110 product was licensed to Roche. We were responsible for conducting research and development services prior to pivotal clinical studies, and Roche was responsible for conducting subsequent development and commercialization activities. In addition, Roche agreed to pay for research and development services we incur at an agreed upon full-time employee rate and certain third party costs, excluding costs associated with the manufacturing work for choroideremia.</w:t>
      </w:r>
    </w:p>
    <w:p>
      <w:pPr>
        <w:spacing w:after="0" w:line="202" w:lineRule="exact"/>
        <w:rPr>
          <w:sz w:val="20"/>
          <w:szCs w:val="20"/>
          <w:color w:val="auto"/>
        </w:rPr>
      </w:pPr>
    </w:p>
    <w:p>
      <w:pPr>
        <w:ind w:right="620" w:firstLine="644"/>
        <w:spacing w:after="0" w:line="246" w:lineRule="auto"/>
        <w:rPr>
          <w:sz w:val="20"/>
          <w:szCs w:val="20"/>
          <w:color w:val="auto"/>
        </w:rPr>
      </w:pPr>
      <w:r>
        <w:rPr>
          <w:rFonts w:ascii="Arial" w:cs="Arial" w:eastAsia="Arial" w:hAnsi="Arial"/>
          <w:sz w:val="18"/>
          <w:szCs w:val="18"/>
          <w:color w:val="auto"/>
        </w:rPr>
        <w:t>Under the 2017 Roche Agreement, Roche had an option exercisable prior to pivotal clinical studies, to license 4D-125 (for the treatment of XLRP), which was not exercised.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firstLine="636"/>
        <w:spacing w:after="0" w:line="236" w:lineRule="auto"/>
        <w:rPr>
          <w:sz w:val="20"/>
          <w:szCs w:val="20"/>
          <w:color w:val="auto"/>
        </w:rPr>
      </w:pPr>
      <w:r>
        <w:rPr>
          <w:rFonts w:ascii="Arial" w:cs="Arial" w:eastAsia="Arial" w:hAnsi="Arial"/>
          <w:sz w:val="18"/>
          <w:szCs w:val="18"/>
          <w:color w:val="auto"/>
        </w:rPr>
        <w:t>Pursuant to the 2017 Roche Agreement, we received a non-refundable upfront payment of $ 21.0 million as consideration. In addition, we were entitled to contingent payments including (i) $1.0 million for each Roche nominated product beyond the first three, (ii) up to $30.0 million upon exercise of the option to convert a product we nominated and developed prior to pivotal clinical studies, (iii) development milestone payments of up to $223.0 million, of which $86.0 million related to choroideremia and the rest related to other licensed products; and (iv) sales-based milestones of up to $123.0 million in connection with licensed products. Through December 31, 2021, we received $10.0 million for development milestone payments that are non-refundable. The 2017 Roche Agreement also included provisions that entitled us to receive royalty payments ranging from the mid-single digits to the mid-teens for the net sales of the licensed products, in each case subject to the reductions in accordance with the terms of the agreement.</w:t>
      </w:r>
    </w:p>
    <w:p>
      <w:pPr>
        <w:spacing w:after="0" w:line="208"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In its accounting treatment, we identified a single combined performance obligation for the license, research services and participation in the joint steering committee and concluded that Roche’s option did not represent a material right. We determined that the 2017 Roche Agreement did not include a significant financing component. We further concluded that the transaction price should not include the variable consideration related to the development milestones, which were considered to be constrained, as it was probable that the inclusion of such variable consideration could result in a significant reversal of cumulative revenue in the future. We excluded any consideration related to sales-based milestones, including royalties, which would be recognized when the related sales occur. The transaction price and estimated period of performance are re-evaluated at each reporting period and adjusted as needed to reflect changes in the scope of the project, reimbursable expenses and other conditions affecting variable consideration.</w:t>
      </w:r>
    </w:p>
    <w:p>
      <w:pPr>
        <w:spacing w:after="0" w:line="20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June 2021, we received from Roche notice of termination without cause of the 2017 Roche Agreement. The licenses granted by us to Roche under the 2017 Roche Agreement terminated in their entirety on September 16, 2021. Therefore, as of September 16, 2021, Roche no longer has a license for 4D-110 for the treatment of choroideremia or any other product class, and we are no longer entitled to receive any further milestones or royalties from Roche. In July 2021, we notified Roche of our election to continue development of choroideremia. As a result, in accordance with the terms of the agreement, all rights to 4D-110 data and intellectual property generated under the collaboration reverted to us. Under the 2017 Roche Agreement, if we are required to initiate a new Phase 1/2a clinical trial for 4D-110, we would not owe any royalty to Roche on net sales of 4D-110 following regulatory approval and commercialization. If, however, we obtain regulatory approval for and commercializes 4D-110, without being required to conduct a new Phase 1/2a clinical trial, we must pay Roche a mid-single digits percentage royalty on the net sales of 4D-110.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Agreements with uniQure biopharma B.V.</w:t>
      </w:r>
    </w:p>
    <w:p>
      <w:pPr>
        <w:spacing w:after="0" w:line="126" w:lineRule="exact"/>
        <w:rPr>
          <w:sz w:val="20"/>
          <w:szCs w:val="20"/>
          <w:color w:val="auto"/>
        </w:rPr>
      </w:pPr>
    </w:p>
    <w:p>
      <w:pPr>
        <w:ind w:right="440" w:firstLine="636"/>
        <w:spacing w:after="0"/>
        <w:rPr>
          <w:sz w:val="20"/>
          <w:szCs w:val="20"/>
          <w:color w:val="auto"/>
        </w:rPr>
      </w:pPr>
      <w:r>
        <w:rPr>
          <w:rFonts w:ascii="Arial" w:cs="Arial" w:eastAsia="Arial" w:hAnsi="Arial"/>
          <w:sz w:val="18"/>
          <w:szCs w:val="18"/>
          <w:color w:val="auto"/>
        </w:rPr>
        <w:t>In August 2019, we entered into an Amended and Restated Collaboration and License Agreement (the “Amended and Restated uniQure Agreement”) with uniQure biopharma B.V., now uniQure N.V. (“uniQure”), which amended and restated the Collaboration and License Agreement that we entered into with uniQure in January 2014.</w:t>
      </w:r>
    </w:p>
    <w:p>
      <w:pPr>
        <w:spacing w:after="0" w:line="203"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Under the Amended and Restated uniQure Agreement, we granted uniQure an exclusive, sublicensable, worldwide license under certain of our intellectual property rights, and other rights, to research, develop, make, use, and commercialize pre-selected AAV capsid variants (“Selected Variants”), and compounds and products containing such Selected Variants, using our proprietary AAV technology for delivery of gene therapy constructs to cells in the central nervous system and the liver (the “uniQure Field”). uniQure is solely responsible, at its cost and expense, to develop and commercialize the compounds and products containing the Selected Variants in accordance with the terms of the Amended and Restated uniQure Agreement. We retain all rights to all other AAV capsid variants, and compounds and products containing such AAV capsid variants, in the uniQure Field.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40" w:firstLine="636"/>
        <w:spacing w:after="0" w:line="236" w:lineRule="auto"/>
        <w:rPr>
          <w:sz w:val="20"/>
          <w:szCs w:val="20"/>
          <w:color w:val="auto"/>
        </w:rPr>
      </w:pPr>
      <w:r>
        <w:rPr>
          <w:rFonts w:ascii="Arial" w:cs="Arial" w:eastAsia="Arial" w:hAnsi="Arial"/>
          <w:sz w:val="18"/>
          <w:szCs w:val="18"/>
          <w:color w:val="auto"/>
        </w:rPr>
        <w:t>Also in August 2019, we entered into a separate Collaboration and License Agreement with uniQure (“Second uniQure Agreement”). Under the Second uniQure Agreement, the parties agreed to research and develop new AAV capsid variants that are not Selected Variants (New Variants) using our proprietary AAV technology for delivery of transgene constructs that affect certain targets (“uniQure Targets”) in the uniQure Field. We are responsible for the research of the New Variants, and uniQure is responsible for the development and commercialization of a certain number of compounds and products containing New Variants, that affect the uniQure Targets (“Licensed Products”). We granted uniQure an exclusive, sublicensable, worldwide license under certain of our intellectual property rights, and other rights, to research, develop, make, use, and commercialize the Licensed Products. We retain all rights to New Variants in the uniQure Field that affect targets other than the uniQure Targets. We also retain all rights to any new AAV capsid variants developed under the agreements that are not New Variants, and compounds and products containing such variants.</w:t>
      </w:r>
    </w:p>
    <w:p>
      <w:pPr>
        <w:spacing w:after="0" w:line="207"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us royalties on worldwide annual net sales of licensed products at a mid-single digit percentage rate, subject to certain specified reductions. These royalties are payable on a product-by-product and country-by-country basis until the latest of ten years after the date of the first commercial sale of such product in such country, the expiration of the last-to-expire licensed patent right covering such product in such country (of which there are none), and the expiration of any applicable exclusivity granted by a regulatory authority in such country for such product (the “uniQure Royalty Term”). uniQure will also be required to pay us a portion of the amounts it receives for licensing or sublicensing to third parties our intellectual property rights licensed or other rights otherwise granted under the Amended and Restated uniQure Agreement, and a portion of the amounts it receives for licensing to third parties our intellectual property rights granted under the Second uniQure Agreement, each at a rate between mid-single digit to mid-twenties percentages, depending on the stage of development at which such third-party grant occurs.</w:t>
      </w:r>
    </w:p>
    <w:p>
      <w:pPr>
        <w:spacing w:after="0" w:line="206"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under certain circumstances, we may propose to uniQure, and uniQure may grant to us, a non-exclusive right for us to develop and commercialize certain licensed products based on Selected Variants in the uniQure Field, or the New Variants in the uniQure Field to deliver transgene constructs that affect the uniQure Targets (“4DMT Proposed Products”). Pursuant to the Second uniQure Agreement, under certain circumstances, uniQure may propose to us, and we may grant to uniQure a non -exclusive right for uniQure to develop and commercialize certain licensed products using any new AAV capsid variants developed under the agreement that are not New Variants in the uniQure Field to deliver transgene constructs that affect targets other than the uniQure Targets (“uniQure Proposed Products”). If either party obtains the rights to develop and commercialize a 4DMT Proposed Product or a uniQure Proposed Product, as applicable, such party will be required to pay the other party royalties on worldwide annual net sales of such products at a mid-single digit percentage rate, subject to specified reductions. These royalties will be payable on a product-by-product basis during the uniQure Royalty Term for such products. The party receiving such license will also be required to pay the other party a portion of the amounts that it may receive for licensing or sublicensing to third parties rights for such 4DMT Proposed Products or uniQure Proposed Products, as applicable, at a rate between mid-single digit to mid-twenties percentages depending on the stage of development at which the sublicense is granted.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2" w:name="page33"/>
    <w:bookmarkEnd w:id="32"/>
    <w:p>
      <w:pPr>
        <w:ind w:right="120" w:firstLine="636"/>
        <w:spacing w:after="0" w:line="236" w:lineRule="auto"/>
        <w:rPr>
          <w:sz w:val="20"/>
          <w:szCs w:val="20"/>
          <w:color w:val="auto"/>
        </w:rPr>
      </w:pPr>
      <w:r>
        <w:rPr>
          <w:rFonts w:ascii="Arial" w:cs="Arial" w:eastAsia="Arial" w:hAnsi="Arial"/>
          <w:sz w:val="18"/>
          <w:szCs w:val="18"/>
          <w:color w:val="auto"/>
        </w:rPr>
        <w:t>Each of the Amended and Restated uniQure Agreement and the Second uniQure Agreement will expire on the expiration of all payment obligations of the parties under such agreement. Each party may terminate either agreement for the other party’s insolvency or bankruptcy. Each party may also terminate either agreement in its entirety in some circumstances or on an indication-by-indication basis if the other party fails to cure its material breach under the applicable agreement within 90 days of receiving notice, subject to an additional cure period in accordance with the terms of such agreement. uniQure may terminate either agreement upon 90 days’ prior written notice. If we terminate either agreement for uniQure’s material breach, insolvency or bankruptcy or if uniQure terminates either agreement for convenience, the rights to the Selected Variants, and compounds and products containing such Selected Variants, or the uniQure New Variants, and compounds and products containing such uniQure New Variants, as applicable, generally revert back to us. If uniQure terminates either agreement for our material breach under the applicable agreement, insolvency or bankruptcy, uniQure may retain its rights to the intellectual property license grant under such agreement and uniQure’s payment obligations will survive.</w:t>
      </w:r>
    </w:p>
    <w:p>
      <w:pPr>
        <w:spacing w:after="0" w:line="292"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Exclusive License and Agreements with The Regents of the University of California and The Trustees of the University of Pennsylvania</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December 2013, we entered into two Exclusive License and Bailment Agreements (the “2013 UC Agreements”) with The Regents of the University of California (the “UC Regents”) with one of the agreements covering AAV2 capsid mutants with novel properties for enhanced performance in gene therapy and the other covering AAV for enhanced gene delivery in the presence of neutralizing antibodies. Under both 2013 UC Agreements, the UC Regents granted us an exclusive, sublicensable license under certain patent rights to make, use, sell, offer to sell, and import products and services, and to practice methods in the United States and foreign countries where the licensed patent rights exist. The license grant under one of the 2013 UC Agreements is in all fields of use and the license grant under the other 2013 UC Agreement is in all fields of use, with the exception of the ophthalmic field. We agreed to certain general and specific diligence obligations under both 2013 UC Agreements in connection with the development, manufacture and sales of the licensed products, services and methods.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firstLine="644"/>
        <w:spacing w:after="0" w:line="235" w:lineRule="auto"/>
        <w:rPr>
          <w:sz w:val="20"/>
          <w:szCs w:val="20"/>
          <w:color w:val="auto"/>
        </w:rPr>
      </w:pPr>
      <w:r>
        <w:rPr>
          <w:rFonts w:ascii="Arial" w:cs="Arial" w:eastAsia="Arial" w:hAnsi="Arial"/>
          <w:sz w:val="18"/>
          <w:szCs w:val="18"/>
          <w:color w:val="auto"/>
        </w:rPr>
        <w:t>Under each 2013 UC Agreement, we paid the UC Regents an upfront payment of $5,000. Further, at the closing of our Series A financing that was a qualified financing pursuant to the 2013 UC Agreements, we issued 311,812 shares of our common stock in aggregate under both agreements. Under each 2013 UC Agreement, we agreed to pay the UC Regents a specified annual license maintenance fee in each year in which we do not owe royalties to the UC Regents. We also agreed to pay the UC Regents a mid -teens to mid-twenties percentage range of any consideration, including royalties, we receive for the grant of a sublicense under the licensed patent rights under each 2013 UC Agreement, with the consideration payable to the UC Regents to not exceed such percentage range in the aggregate under both 2013 UC Agreements for the same sublicense grant. We may reduce any such sublicense consideration payable to UC Regents if we sublicense any of our own or third-party patent rights under the sublicense grant based on the relative value of the sublicensed patents. Upon the achievement of specified development and regulatory milestones by the first licensed product or method, we will be required to pay the UC Regents up to $3.1 million under each 2013 UC Agreement. We will also be required to pay the UC Regents a royalty on net sales of licensed products, services and methods covered by the patents licensed under the 2013 UC Agreements at a percentage in the low single-digit percentage rate, subject to certain specified reductions. Under the UC Agreements,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both UC Agreements. Under each UC Agreement, royalties are payable until the expiration of the last-to-expire licensed patent right covering the licensed product, service or method, at which time the agreement shall expire. The UC Regents may terminate each of the 2013 UC Agreements if we fail to cure a breach of such UC Agreement within 60 days of notice. If we fail to meet our diligence obligations, the UC Regents has the right, under each 2013 UC Agreement, to either terminate the agreement or to reduce our exclusive license to a non-exclusive license, after giving us 60 days to cure or request arbitration. We may terminate either 2013 UC Agreement at-will in its entirety or with respect to any portion of the licensed patent rights upon 90 days prior written notice.</w:t>
      </w:r>
    </w:p>
    <w:p>
      <w:pPr>
        <w:spacing w:after="0" w:line="213" w:lineRule="exact"/>
        <w:rPr>
          <w:sz w:val="20"/>
          <w:szCs w:val="20"/>
          <w:color w:val="auto"/>
        </w:rPr>
      </w:pPr>
    </w:p>
    <w:p>
      <w:pPr>
        <w:ind w:right="40" w:firstLine="644"/>
        <w:spacing w:after="0" w:line="237" w:lineRule="auto"/>
        <w:rPr>
          <w:sz w:val="20"/>
          <w:szCs w:val="20"/>
          <w:color w:val="auto"/>
        </w:rPr>
      </w:pPr>
      <w:r>
        <w:rPr>
          <w:rFonts w:ascii="Arial" w:cs="Arial" w:eastAsia="Arial" w:hAnsi="Arial"/>
          <w:sz w:val="18"/>
          <w:szCs w:val="18"/>
          <w:color w:val="auto"/>
        </w:rPr>
        <w:t>In January 2019, the Company entered into an Exclusive License and Bailment Agreement (“the 2019 UC Agreement”) with the UC Regents to license patent rights related to certain retinal AAV variants. The UC Regents granted us an exclusive, sublicensable license to make, use, sell, offer to sell, and import products and services, and to practice methods in the United States and foreign countries where the licensed patent rights exist. The license grant under the 2019 UC Agreement is in all fields of use. We agreed to certain general and specific diligence obligations under the 2019 UC Agreement in connection with the development, manufacture and sales of the licensed products, services and methods.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4" w:name="page35"/>
    <w:bookmarkEnd w:id="34"/>
    <w:p>
      <w:pPr>
        <w:ind w:firstLine="644"/>
        <w:spacing w:after="0" w:line="235" w:lineRule="auto"/>
        <w:rPr>
          <w:sz w:val="20"/>
          <w:szCs w:val="20"/>
          <w:color w:val="auto"/>
        </w:rPr>
      </w:pPr>
      <w:r>
        <w:rPr>
          <w:rFonts w:ascii="Arial" w:cs="Arial" w:eastAsia="Arial" w:hAnsi="Arial"/>
          <w:sz w:val="18"/>
          <w:szCs w:val="18"/>
          <w:color w:val="auto"/>
        </w:rPr>
        <w:t>Under the 2019 UC Agreement, we paid the UC Regents an upfront payment of $50,000 and agreed to pay a specified annual license maintenance fee in each year in which we do not owe royalties to the UC Regents. We also agreed to pay the UC Regents a mid-teens to mid-twenties percentage range of any consideration, including royalties, we receive for the grant of a sublicense under the licensed patent rights under the 2019 UC Agreement. We may reduce any such sublicense consideration payable to UC Regents if we sublicense any of our own or third-party patent rights under the sublicense grant based on the relative value of the sublicensed patents. Upon the achievement of specified development and regulatory milestones by the first licensed product or method, we will be required to pay the UC Regents up to $3.1 million under the 2019 UC Agreement. We will also be required to pay the UC Regents a royalty on net sales of licensed products, services and methods covered by the patents licensed under the 2019 UC Agreements at a percentage in the low single-digit percentage rate, subject to certain specified reductions. Under the 2019 UC Agreement,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the 2019 UC Agreement, royalties are payable until the expiration of the last-to-expire licensed patent right covering the licensed product, service or method, at which time the agreement shall expire. The UC Regents may terminate the 2019 UC Agreement if we fail to cure a breach of the agreement within 60 days of notice. If we fail to meet our diligence obligations, the UC Regents has the right to either terminate the agreement or to reduce our exclusive license to a non-exclusive license, after giving us 60 days to cure or request arbitration. We may terminate either 2019 UC Agreement at-will in its entirety or with respect to any portion of the licensed patent rights upon 90 days prior written notice.</w:t>
      </w:r>
    </w:p>
    <w:p>
      <w:pPr>
        <w:spacing w:after="0" w:line="213" w:lineRule="exact"/>
        <w:rPr>
          <w:sz w:val="20"/>
          <w:szCs w:val="20"/>
          <w:color w:val="auto"/>
        </w:rPr>
      </w:pPr>
    </w:p>
    <w:p>
      <w:pPr>
        <w:ind w:right="20" w:firstLine="644"/>
        <w:spacing w:after="0" w:line="234" w:lineRule="auto"/>
        <w:rPr>
          <w:sz w:val="20"/>
          <w:szCs w:val="20"/>
          <w:color w:val="auto"/>
        </w:rPr>
      </w:pPr>
      <w:r>
        <w:rPr>
          <w:rFonts w:ascii="Arial" w:cs="Arial" w:eastAsia="Arial" w:hAnsi="Arial"/>
          <w:sz w:val="18"/>
          <w:szCs w:val="18"/>
          <w:color w:val="auto"/>
        </w:rPr>
        <w:t>In July 2021, the Company entered into an Exclusive License Agreement (the "UC/UPenn Agreement") with the UC Regents and the Trustees of the University of Pennsylvania ("UPenn") to license intellectual property related to certain AAV vectors. The UC Regents and UPenn granted us an exclusive, sublicensable license to make, use, sell, offer to sell, and import products and services, and to practice methods in the United States and foreign countries where the licensed patent rights exist. The license grant under the UC/UPenn Agreement is in all therapeutic and prophylactic fields of use and excludes diagnostic uses. We agreed to certain general and specific diligence obligations under the UC/UPenn Agreement in connection with the development, manufacture and sales of the licensed products, services and methods. In July 2021, the Company paid a non-refundable license fee of $100,000 to the UC Regents upon execution of the agreement. The Company is obligated to pay a non-refundable license maintenance fee of $10,000 on the one-year anniversary of the contract effective date and each year thereafter, except years for which the Company has paid royalties on the net sales of a licensed product. In addition, the Company is obligated to make certain contingent payments including (i) development sales milestones up to $3.9 million, (ii) low single digit percentage rate royalties on the net sales of its licensed products that consists of a minimum annual royalty of up to $0.1 million per year for the term of the Agreement beginning in the first calendar year after the year in which net sales first occurred and</w:t>
      </w:r>
    </w:p>
    <w:p>
      <w:pPr>
        <w:spacing w:after="0" w:line="8" w:lineRule="exact"/>
        <w:rPr>
          <w:sz w:val="20"/>
          <w:szCs w:val="20"/>
          <w:color w:val="auto"/>
        </w:rPr>
      </w:pPr>
    </w:p>
    <w:p>
      <w:pPr>
        <w:ind w:right="80" w:firstLine="8"/>
        <w:spacing w:after="0" w:line="236"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sublicense consideration in the mid-single digits to the low twenties percentage rate range on any future sublicensing arrangements the Company may enter into with third-party licensees, which we may reduce if we sublicense any of our own or third-party patent rights under the sublicense grant based on the relative value of the sublicensed patents. Under the UC/UPenn Agreement, royalties are payable until the expiration of the last-to-expire licensed patent right covering the licensed product, services or method, at which time the agreement shall expire. The UC Regents or UPenn may terminate the UC/UPenn Agreement if we fail to cure a breach of the agreement within 60 days of notice. If we fail to meet our diligence obligations, the UC Regents has the right to either terminate the agreement or to reduce our exclusive license to a non-exclusive license, after giving us 60 days to cure or request arbitration. We may terminate the UC/UPenn Agreement at-will in its entirety or with respect to any portion of the licensed patent rights upon 90 days prior written notice.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Cystic Fibrosis Foundation</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In 2016, we received a grant from Cystic Fibrosis Foundation (“CFF”) in the amount of $525,000 to support discovery and development of product candidates to treat cystic fibrosis. The grant was increased to $3.5 million in 2017 and was subsequently amended to allocate the $3.5 million to different milestones. The grant provides for repayment to CFF upon the commercialization of any product developed under the grant. The repayment is capped at nine times the grant actually paid to us.</w:t>
      </w:r>
    </w:p>
    <w:p>
      <w:pPr>
        <w:spacing w:after="0" w:line="205" w:lineRule="exact"/>
        <w:rPr>
          <w:sz w:val="20"/>
          <w:szCs w:val="20"/>
          <w:color w:val="auto"/>
        </w:rPr>
      </w:pPr>
    </w:p>
    <w:p>
      <w:pPr>
        <w:ind w:right="180" w:firstLine="636"/>
        <w:spacing w:after="0" w:line="236" w:lineRule="auto"/>
        <w:rPr>
          <w:sz w:val="20"/>
          <w:szCs w:val="20"/>
          <w:color w:val="auto"/>
        </w:rPr>
      </w:pPr>
      <w:r>
        <w:rPr>
          <w:rFonts w:ascii="Arial" w:cs="Arial" w:eastAsia="Arial" w:hAnsi="Arial"/>
          <w:sz w:val="18"/>
          <w:szCs w:val="18"/>
          <w:color w:val="auto"/>
        </w:rPr>
        <w:t>In April 2020, CFF made a $10.0 million investment in our Series C redeemable convertible preferred stock financing. In return for the investment, CFF received shares of our Series C redeemable convertible preferred stock, and we and CFF entered into a Funding Agreement (the Funding Agreement). Pursuant to the terms of the Funding Agreement, we agreed to use the proceeds of the CFF investment to support development of 4D-710, our product candidate for the treatment of cystic fibrosis, and to match CFF’s support for the product candidate. As provided under the Funding Agreement, following acceptance by the FDA in October 2021 of our IND for 4D-710 ("Acceptance"), CFF made an additional $4.0 million investment (the "Subsequent Investment"), in exchange for 125,715 shares of the Company's common stock. We have agreed to use the additional $4.0 million from the Subsequent Investment to support development of 4D-710 and to match CFF's support of the product candidate. Under the terms of the Funding Agreement, neither the $ 10.0 million investment in the Series C redeemable convertible preferred stock nor the $4.0 million of funding upon Acceptance are restricted as to withdrawal or usage.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We, along with third -party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26"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95" w:lineRule="exact"/>
        <w:rPr>
          <w:sz w:val="20"/>
          <w:szCs w:val="20"/>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103" w:lineRule="exact"/>
        <w:rPr>
          <w:rFonts w:ascii="Arial" w:cs="Arial" w:eastAsia="Arial" w:hAnsi="Arial"/>
          <w:sz w:val="18"/>
          <w:szCs w:val="18"/>
          <w:color w:val="auto"/>
        </w:rPr>
      </w:pPr>
    </w:p>
    <w:p>
      <w:pPr>
        <w:ind w:left="900" w:right="520" w:hanging="256"/>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6" w:name="page37"/>
    <w:bookmarkEnd w:id="36"/>
    <w:p>
      <w:pPr>
        <w:ind w:left="900" w:right="20" w:hanging="256"/>
        <w:spacing w:after="0" w:line="23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(“GCPs”); and</w:t>
      </w:r>
    </w:p>
    <w:p>
      <w:pPr>
        <w:spacing w:after="0" w:line="96" w:lineRule="exact"/>
        <w:rPr>
          <w:rFonts w:ascii="Arial" w:cs="Arial" w:eastAsia="Arial" w:hAnsi="Arial"/>
          <w:sz w:val="18"/>
          <w:szCs w:val="18"/>
          <w:color w:val="auto"/>
        </w:rPr>
      </w:pPr>
    </w:p>
    <w:p>
      <w:pPr>
        <w:ind w:left="900" w:right="60" w:hanging="256"/>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97"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In addition to the submission of an IND to the FDA, under the National Institutes of Health, or NIH, Guidelines for Research Involving Recombinant DNA Molecules (NIH Guidelines), supervision of certain human gene transfer trials may also require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assessment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8"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ind w:right="640" w:firstLine="636"/>
        <w:spacing w:after="0" w:line="246"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89" w:lineRule="exact"/>
        <w:rPr>
          <w:sz w:val="20"/>
          <w:szCs w:val="20"/>
          <w:color w:val="auto"/>
        </w:rPr>
      </w:pPr>
    </w:p>
    <w:p>
      <w:pPr>
        <w:ind w:left="900" w:right="260" w:hanging="256"/>
        <w:spacing w:after="0" w:line="23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6" w:lineRule="exact"/>
        <w:rPr>
          <w:rFonts w:ascii="Arial" w:cs="Arial" w:eastAsia="Arial" w:hAnsi="Arial"/>
          <w:sz w:val="18"/>
          <w:szCs w:val="18"/>
          <w:color w:val="auto"/>
        </w:rPr>
      </w:pPr>
    </w:p>
    <w:p>
      <w:pPr>
        <w:ind w:left="900" w:right="120" w:hanging="256"/>
        <w:spacing w:after="0" w:line="23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6" w:lineRule="exact"/>
        <w:rPr>
          <w:rFonts w:ascii="Arial" w:cs="Arial" w:eastAsia="Arial" w:hAnsi="Arial"/>
          <w:sz w:val="18"/>
          <w:szCs w:val="18"/>
          <w:color w:val="auto"/>
        </w:rPr>
      </w:pPr>
    </w:p>
    <w:p>
      <w:pPr>
        <w:ind w:left="900" w:right="280" w:hanging="248"/>
        <w:spacing w:after="0" w:line="23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5" w:lineRule="exact"/>
        <w:rPr>
          <w:sz w:val="20"/>
          <w:szCs w:val="20"/>
          <w:color w:val="auto"/>
        </w:rPr>
      </w:pPr>
    </w:p>
    <w:p>
      <w:pPr>
        <w:ind w:right="340" w:firstLine="636"/>
        <w:spacing w:after="0" w:line="24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197" w:lineRule="exact"/>
        <w:rPr>
          <w:sz w:val="20"/>
          <w:szCs w:val="20"/>
          <w:color w:val="auto"/>
        </w:rPr>
      </w:pPr>
    </w:p>
    <w:p>
      <w:pPr>
        <w:jc w:val="both"/>
        <w:ind w:right="40" w:firstLine="644"/>
        <w:spacing w:after="0" w:line="238" w:lineRule="auto"/>
        <w:rPr>
          <w:sz w:val="20"/>
          <w:szCs w:val="20"/>
          <w:color w:val="auto"/>
        </w:rPr>
      </w:pPr>
      <w:r>
        <w:rPr>
          <w:rFonts w:ascii="Arial" w:cs="Arial" w:eastAsia="Arial" w:hAnsi="Arial"/>
          <w:sz w:val="18"/>
          <w:szCs w:val="18"/>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202"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 annual program fee. A waiver of user fees may be obtained under certain limited circumstances. Additionally, no user fees are assessed on BLAs for products designated as orphan drugs, unless the product also includes a non-orphan indication.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60" w:firstLine="636"/>
        <w:spacing w:after="0" w:line="236"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filing date. Priority review designation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20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IV post-market studies and surveillance to further assess and monitor the product’s safety and effectiveness after commercialization, and may limit further marketing of the product based on the results of these post-marketing studies.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biological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For a fast track product candidate,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product candidate may also qualify for priority review, under which the FDA sets the target date for FDA action on the BLA at six months after the FDA accepts the application for filing.</w:t>
      </w:r>
    </w:p>
    <w:p>
      <w:pPr>
        <w:spacing w:after="0" w:line="205"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3" w:lineRule="exact"/>
        <w:rPr>
          <w:sz w:val="20"/>
          <w:szCs w:val="20"/>
          <w:color w:val="auto"/>
        </w:rPr>
      </w:pPr>
    </w:p>
    <w:p>
      <w:pPr>
        <w:ind w:right="80" w:firstLine="644"/>
        <w:spacing w:after="0" w:line="236" w:lineRule="auto"/>
        <w:rPr>
          <w:sz w:val="20"/>
          <w:szCs w:val="20"/>
          <w:color w:val="auto"/>
        </w:rPr>
      </w:pPr>
      <w:r>
        <w:rPr>
          <w:rFonts w:ascii="Arial" w:cs="Arial" w:eastAsia="Arial" w:hAnsi="Arial"/>
          <w:sz w:val="18"/>
          <w:szCs w:val="18"/>
          <w:color w:val="auto"/>
        </w:rPr>
        <w:t>In 2017, the FDA established the regenerative medicine advanced therapy (“RMAT”) designation as part of its implementation of the 21st Century Cures Act. The RMAT designation program is intended to fulfill the 21st Century Cures Act requirement that the FDA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 (iii) 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0" w:name="page41"/>
    <w:bookmarkEnd w:id="40"/>
    <w:p>
      <w:pPr>
        <w:ind w:firstLine="644"/>
        <w:spacing w:after="0" w:line="235"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RMAT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biologic or indication approved under accelerated approval on an expedited basis if, for example, the sponsor fails to conduct required post-marketing trials in a timely manner or if such trials fail to verify the predicted clinical benefit of the product.</w:t>
      </w:r>
    </w:p>
    <w:p>
      <w:pPr>
        <w:spacing w:after="0" w:line="213" w:lineRule="exact"/>
        <w:rPr>
          <w:sz w:val="20"/>
          <w:szCs w:val="20"/>
          <w:color w:val="auto"/>
        </w:rPr>
      </w:pPr>
    </w:p>
    <w:p>
      <w:pPr>
        <w:ind w:right="240" w:firstLine="636"/>
        <w:spacing w:after="0" w:line="238" w:lineRule="auto"/>
        <w:rPr>
          <w:sz w:val="20"/>
          <w:szCs w:val="20"/>
          <w:color w:val="auto"/>
        </w:rPr>
      </w:pPr>
      <w:r>
        <w:rPr>
          <w:rFonts w:ascii="Arial" w:cs="Arial" w:eastAsia="Arial" w:hAnsi="Arial"/>
          <w:sz w:val="18"/>
          <w:szCs w:val="18"/>
          <w:color w:val="auto"/>
        </w:rPr>
        <w:t>Fast Track designation, priority review, accelerated approval, RMAT designation and breakthrough therapy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26"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205"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firstLine="636"/>
        <w:spacing w:after="0" w:line="23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We have obtained orphan drug designation for 4D-110 for the treatment of Choroideremia and for 4D-310 for the treatment of Fabry disease, and we plan to seek additional orphan drug designations for some or all of our product candidates in specific orphan indications in which there is a medically plausible basis for the use of these products.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220" w:firstLine="644"/>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7" w:lineRule="exact"/>
        <w:rPr>
          <w:sz w:val="20"/>
          <w:szCs w:val="20"/>
          <w:color w:val="auto"/>
        </w:rPr>
      </w:pPr>
    </w:p>
    <w:p>
      <w:pPr>
        <w:ind w:left="900" w:right="420" w:hanging="256"/>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03" w:lineRule="exact"/>
        <w:rPr>
          <w:rFonts w:ascii="Arial" w:cs="Arial" w:eastAsia="Arial" w:hAnsi="Arial"/>
          <w:sz w:val="18"/>
          <w:szCs w:val="18"/>
          <w:color w:val="auto"/>
        </w:rPr>
      </w:pPr>
    </w:p>
    <w:p>
      <w:pPr>
        <w:ind w:left="900" w:right="440" w:hanging="256"/>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03" w:lineRule="exact"/>
        <w:rPr>
          <w:rFonts w:ascii="Arial" w:cs="Arial" w:eastAsia="Arial" w:hAnsi="Arial"/>
          <w:sz w:val="18"/>
          <w:szCs w:val="18"/>
          <w:color w:val="auto"/>
        </w:rPr>
      </w:pPr>
    </w:p>
    <w:p>
      <w:pPr>
        <w:ind w:left="900" w:right="100" w:hanging="256"/>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2" w:name="page43"/>
    <w:bookmarkEnd w:id="42"/>
    <w:p>
      <w:pPr>
        <w:ind w:firstLine="636"/>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The Affordable Care Act, signed into law in 2010, includes a subtitle called the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7"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5"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data privacy and security, and transparency laws and regulations as well as similar foreign laws in the jurisdictions outside the U.S. 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certain other health care professionals beginning in 2022, and teaching hospitals, and applicable manufacturers and applicable group purchasing organizations to report annually to CMS ownership and investment interests held by physicians and their immediate family members.</w:t>
      </w:r>
    </w:p>
    <w:p>
      <w:pPr>
        <w:spacing w:after="0" w:line="212"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 healthcare programs and imprisonment.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Pharmaceutical companies may be subject to domestic and foreign privacy, security and data breach notification laws, which are rapidly evolving in many jurisdictions worldwide. In the United States, federal and state health information laws may govern the collection, use, disclosure and protection of health-related and other personal information. HIPAA, as amended by the Health Information Technology for Economic and Clinical Health Act of 2009, and regulations implemented thereunder,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or protected health information ("PHI"). State laws may be more stringent, broader in scope or offer greater individual rights with respect to health-related information than HIPAA and state laws may differ from each other, which may complicate compliance efforts. For example, California enacted the California Consumer Privacy Act (the “CCPA”) on June 28, 2018, which went into effect on January 1, 2020. The CCPA gives California residents expanded rights regarding their personal information. Although CCPA contains certain exceptions for health-related information, including PHI, such exceptions may not apply to all of our operations and processing activities.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Virginia and Colorado have also enacted similar legislation to California increasing complexity of compliance with privacy laws. The majority of the provisions for these laws will go into effect in 2023, and additional compliance investment and potential business process changes may be required. Entities that are found to be in violation of HIPAA as the result of a breach of unsecured PHI, a complaint about privacy practices or an audit by the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2"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European Union member states, the United Kingdom ("UK"), Switzerland and other jurisdictions have also adopted data protection laws and regulations, which impose significant compliance obligations. For example, the processing of personal data is governed in the European Economic Area (“EEA”) by the General Data Protection Regulation, or EU GDPR, and in the UK, by the UK data protection regime consisting primarily of the UK General Data Protection Regulation, or UK GDPR, and the UK Data Protection Act 2018, (collectively, the “GDPR”). The GDPR, together with national legislation, regulations and guidelines of the European Union and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The law is also developing rapidly and, in July 2020, the Court of Justice of the European Union ("CJEU") limited how organizations could lawfully transfer personal data from the EEA to the U.S. European data protection authorities may interpret the GDPR and national laws differently and impose additional requirements, which add to the complexity of processing personal data in or from the EEA or UK. Guidance on implementation and compliance practices are often updated or otherwise revised.</w:t>
      </w:r>
    </w:p>
    <w:p>
      <w:pPr>
        <w:spacing w:after="0" w:line="203"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particularly for gene therapy products where the Centers for Medicare &amp; Medicaid Services (“CMS”) and other third-party payors in the United States have not yet established a uniform policy of coverage and reimbursement. Therefore, decisions.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3"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ind w:right="100" w:firstLine="644"/>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us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203"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3" w:lineRule="exact"/>
        <w:rPr>
          <w:sz w:val="20"/>
          <w:szCs w:val="20"/>
          <w:color w:val="auto"/>
        </w:rPr>
      </w:pPr>
    </w:p>
    <w:p>
      <w:pPr>
        <w:jc w:val="both"/>
        <w:ind w:right="20" w:firstLine="636"/>
        <w:spacing w:after="0"/>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which will remain in effect through 2030, with the exception of a temporary suspension from May 1, 2020 through March 31, 2022, absent additional Congressional action.</w:t>
      </w:r>
    </w:p>
    <w:p>
      <w:pPr>
        <w:spacing w:after="0" w:line="203"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w:t>
      </w:r>
    </w:p>
    <w:p>
      <w:pPr>
        <w:spacing w:after="0" w:line="205"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As of December 31, 2021, we had 124 full-time employees. Of these employees, 92 are engaged in research and development. Our employees are not represented by labor unions or covered by collective bargaining agreements. We consider our relationship with our employees to be good.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47" w:name="page48"/>
    <w:bookmarkEnd w:id="47"/>
    <w:p>
      <w:pPr>
        <w:ind w:right="460" w:firstLine="636"/>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jc w:val="both"/>
        <w:ind w:right="380" w:firstLine="749"/>
        <w:spacing w:after="0"/>
        <w:rPr>
          <w:sz w:val="20"/>
          <w:szCs w:val="20"/>
          <w:color w:val="auto"/>
        </w:rPr>
      </w:pPr>
      <w:r>
        <w:rPr>
          <w:rFonts w:ascii="Arial" w:cs="Arial" w:eastAsia="Arial" w:hAnsi="Arial"/>
          <w:sz w:val="18"/>
          <w:szCs w:val="18"/>
          <w:color w:val="auto"/>
        </w:rPr>
        <w:t>We lease approximately 54,000 square feet of office and laboratory space in Emeryville, California under leases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Our website address is www.4dmoleculartherapeutics.com. The information on, or that can be accessed through, our website is not part of this Annual Report on Form 10-K. The U.S. Securities and Exchange Commission (“SEC”) maintains an Internet site that contains reports, proxy and information statements, and other information regarding issuers that file electronically with the SEC at 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as soon as reasonably practicable after we electronically file such material with, or furnish it to, the SEC.</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and the section of this Annual Report on Form 10-K “Management’s Discussion and Analysis of Financial Condition and Results of Operations,” before deciding whether to invest in our common stock. If any of the following risks actually occur,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revenue, future prospects and stock price. If our business is seriously harmed, the market price of our common stock could decline, and you could lose part or all of your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6"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 following is a summary of the principal risks that could seriously harm our business, all of which are more fully described below. This summary should be read in conjunction with the other risk factors included in this “Risk Factors” section and should not be relied upon as an exhaustive summary of the material risks facing our business.</w:t>
      </w:r>
    </w:p>
    <w:p>
      <w:pPr>
        <w:spacing w:after="0" w:line="97" w:lineRule="exact"/>
        <w:rPr>
          <w:sz w:val="20"/>
          <w:szCs w:val="20"/>
          <w:color w:val="auto"/>
        </w:rPr>
      </w:pPr>
    </w:p>
    <w:p>
      <w:pPr>
        <w:ind w:left="760" w:right="40" w:hanging="378"/>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88"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had recurring net losses, and we expect to continue to incur significant net losses for the foreseeable future.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94" w:lineRule="exact"/>
        <w:rPr>
          <w:rFonts w:ascii="Arial" w:cs="Arial" w:eastAsia="Arial" w:hAnsi="Arial"/>
          <w:sz w:val="18"/>
          <w:szCs w:val="18"/>
          <w:color w:val="auto"/>
        </w:rPr>
      </w:pPr>
    </w:p>
    <w:p>
      <w:pPr>
        <w:ind w:left="760" w:right="160" w:hanging="378"/>
        <w:spacing w:after="0" w:line="23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96" w:lineRule="exact"/>
        <w:rPr>
          <w:rFonts w:ascii="Arial" w:cs="Arial" w:eastAsia="Arial" w:hAnsi="Arial"/>
          <w:sz w:val="18"/>
          <w:szCs w:val="18"/>
          <w:color w:val="auto"/>
        </w:rPr>
      </w:pPr>
    </w:p>
    <w:p>
      <w:pPr>
        <w:ind w:left="760" w:right="220" w:hanging="378"/>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88"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 therapy technology may negatively impact the developmental progress or commercial success of products that we develop alone or with collaborators.</w:t>
      </w:r>
    </w:p>
    <w:p>
      <w:pPr>
        <w:spacing w:after="0" w:line="88" w:lineRule="exact"/>
        <w:rPr>
          <w:rFonts w:ascii="Arial" w:cs="Arial" w:eastAsia="Arial" w:hAnsi="Arial"/>
          <w:sz w:val="18"/>
          <w:szCs w:val="18"/>
          <w:color w:val="auto"/>
        </w:rPr>
      </w:pPr>
    </w:p>
    <w:p>
      <w:pPr>
        <w:ind w:left="760" w:right="340" w:hanging="378"/>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commercialization.</w:t>
      </w:r>
    </w:p>
    <w:p>
      <w:pPr>
        <w:spacing w:after="0" w:line="88" w:lineRule="exact"/>
        <w:rPr>
          <w:rFonts w:ascii="Arial" w:cs="Arial" w:eastAsia="Arial" w:hAnsi="Arial"/>
          <w:sz w:val="18"/>
          <w:szCs w:val="18"/>
          <w:color w:val="auto"/>
        </w:rPr>
      </w:pPr>
    </w:p>
    <w:p>
      <w:pPr>
        <w:ind w:left="760" w:right="24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49" w:name="page50"/>
    <w:bookmarkEnd w:id="49"/>
    <w:p>
      <w:pPr>
        <w:ind w:left="760" w:right="140" w:hanging="378"/>
        <w:spacing w:after="0" w:line="246"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88"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03" w:lineRule="exact"/>
        <w:rPr>
          <w:rFonts w:ascii="Arial" w:cs="Arial" w:eastAsia="Arial" w:hAnsi="Arial"/>
          <w:sz w:val="18"/>
          <w:szCs w:val="18"/>
          <w:color w:val="auto"/>
        </w:rPr>
      </w:pPr>
    </w:p>
    <w:p>
      <w:pPr>
        <w:jc w:val="both"/>
        <w:ind w:left="760" w:right="12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04" w:lineRule="exact"/>
        <w:rPr>
          <w:sz w:val="20"/>
          <w:szCs w:val="20"/>
          <w:color w:val="auto"/>
        </w:rPr>
      </w:pPr>
    </w:p>
    <w:p>
      <w:pPr>
        <w:ind w:right="780"/>
        <w:spacing w:after="0" w:line="301" w:lineRule="auto"/>
        <w:rPr>
          <w:sz w:val="20"/>
          <w:szCs w:val="20"/>
          <w:color w:val="auto"/>
        </w:rPr>
      </w:pPr>
      <w:r>
        <w:rPr>
          <w:rFonts w:ascii="Arial" w:cs="Arial" w:eastAsia="Arial" w:hAnsi="Arial"/>
          <w:sz w:val="17"/>
          <w:szCs w:val="17"/>
          <w:b w:val="1"/>
          <w:bCs w:val="1"/>
          <w:i w:val="1"/>
          <w:iCs w:val="1"/>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45"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product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recurring net losses, and we expect to continue to incur significant net losses for the foreseeable future.</w:t>
      </w:r>
    </w:p>
    <w:p>
      <w:pPr>
        <w:spacing w:after="0" w:line="126" w:lineRule="exact"/>
        <w:rPr>
          <w:sz w:val="20"/>
          <w:szCs w:val="20"/>
          <w:color w:val="auto"/>
        </w:rPr>
      </w:pPr>
    </w:p>
    <w:p>
      <w:pPr>
        <w:ind w:right="420" w:firstLine="636"/>
        <w:spacing w:after="0" w:line="246" w:lineRule="auto"/>
        <w:rPr>
          <w:sz w:val="20"/>
          <w:szCs w:val="20"/>
          <w:color w:val="auto"/>
        </w:rPr>
      </w:pPr>
      <w:r>
        <w:rPr>
          <w:rFonts w:ascii="Arial" w:cs="Arial" w:eastAsia="Arial" w:hAnsi="Arial"/>
          <w:sz w:val="18"/>
          <w:szCs w:val="18"/>
          <w:color w:val="auto"/>
        </w:rPr>
        <w:t>We have incurred recurring net losses, including net losses of $71.3 million and $56.7 million for the years ended December 31, 2021 and 2020, respectively. As of December 31, 2021, we had an accumulated deficit of $207.0 million.</w:t>
      </w:r>
    </w:p>
    <w:p>
      <w:pPr>
        <w:spacing w:after="0" w:line="197"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have devoted substantially all of our financial resources and efforts on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205" w:lineRule="exact"/>
        <w:rPr>
          <w:sz w:val="20"/>
          <w:szCs w:val="20"/>
          <w:color w:val="auto"/>
        </w:rPr>
      </w:pPr>
    </w:p>
    <w:p>
      <w:pPr>
        <w:ind w:right="460" w:firstLine="636"/>
        <w:spacing w:after="0" w:line="246"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89" w:lineRule="exact"/>
        <w:rPr>
          <w:sz w:val="20"/>
          <w:szCs w:val="20"/>
          <w:color w:val="auto"/>
        </w:rPr>
      </w:pPr>
    </w:p>
    <w:p>
      <w:pPr>
        <w:ind w:left="900" w:hanging="248"/>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03" w:lineRule="exact"/>
        <w:rPr>
          <w:rFonts w:ascii="Arial" w:cs="Arial" w:eastAsia="Arial" w:hAnsi="Arial"/>
          <w:sz w:val="18"/>
          <w:szCs w:val="18"/>
          <w:color w:val="auto"/>
        </w:rPr>
      </w:pPr>
    </w:p>
    <w:p>
      <w:pPr>
        <w:ind w:left="900" w:right="120" w:hanging="248"/>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delays in our preclinical studies and clinical trials, whether current or planned, due to the novel coronavirus (“COVID-19”) pandemic, or other factors;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left="900" w:right="360" w:hanging="248"/>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manufacturing facilities and work with our contract manufacturers to scale up the manufacturing processes for our product candidates;</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our Therapeutic Vector Evolution platform;</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adversely impacted by general economic conditions, such as rising inflation;</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 and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the impact of the COVID-19 pandemic, which may exacerbate the magnitude of the factors discussed above.</w:t>
      </w:r>
    </w:p>
    <w:p>
      <w:pPr>
        <w:spacing w:after="0" w:line="21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p>
    <w:p>
      <w:pPr>
        <w:spacing w:after="0" w:line="28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3"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additional product candidates in preclinical development that may enter clinical development. Developing our product candidates is expensive, and we expect to continue to spend substantial amounts as we fund our early 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2021, we had $315.4 million in cash and cash equivalents and marketable securities.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140" w:firstLine="636"/>
        <w:spacing w:after="0"/>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will allow us to fund our planned operations for at least one year from the date of the issuance of the financial statements included in this Annual Report on Form 10-K.</w:t>
      </w:r>
    </w:p>
    <w:p>
      <w:pPr>
        <w:spacing w:after="0" w:line="203"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Our ability to raise additional capital may be adversely impacted if global economic conditions worsen or if the COVID-19 pandemic, including the spread of any variant thereof, causes disruptions and volatility to credit and financial markets. If adequate funds are not available to us on a timely basis, we may be required to:</w:t>
      </w:r>
    </w:p>
    <w:p>
      <w:pPr>
        <w:spacing w:after="0" w:line="97" w:lineRule="exact"/>
        <w:rPr>
          <w:sz w:val="20"/>
          <w:szCs w:val="20"/>
          <w:color w:val="auto"/>
        </w:rPr>
      </w:pPr>
    </w:p>
    <w:p>
      <w:pPr>
        <w:ind w:left="900" w:right="160" w:hanging="248"/>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88" w:lineRule="exact"/>
        <w:rPr>
          <w:rFonts w:ascii="Arial" w:cs="Arial" w:eastAsia="Arial" w:hAnsi="Arial"/>
          <w:sz w:val="18"/>
          <w:szCs w:val="18"/>
          <w:color w:val="auto"/>
        </w:rPr>
      </w:pPr>
    </w:p>
    <w:p>
      <w:pPr>
        <w:ind w:left="900" w:right="120" w:hanging="248"/>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our product candidates, or reduce our flexibility in developing or maintaining our sales and marketing strategy.</w:t>
      </w:r>
    </w:p>
    <w:p>
      <w:pPr>
        <w:spacing w:after="0" w:line="203"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p>
    <w:p>
      <w:pPr>
        <w:spacing w:after="0" w:line="205" w:lineRule="exact"/>
        <w:rPr>
          <w:sz w:val="20"/>
          <w:szCs w:val="20"/>
          <w:color w:val="auto"/>
        </w:rPr>
      </w:pPr>
    </w:p>
    <w:p>
      <w:pPr>
        <w:ind w:right="100" w:firstLine="636"/>
        <w:spacing w:after="0" w:line="236" w:lineRule="auto"/>
        <w:rPr>
          <w:sz w:val="20"/>
          <w:szCs w:val="20"/>
          <w:color w:val="auto"/>
        </w:rPr>
      </w:pPr>
      <w:r>
        <w:rPr>
          <w:rFonts w:ascii="Arial" w:cs="Arial" w:eastAsia="Arial" w:hAnsi="Arial"/>
          <w:sz w:val="18"/>
          <w:szCs w:val="18"/>
          <w:color w:val="auto"/>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8"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00" w:firstLine="4"/>
        <w:spacing w:after="0" w:line="247"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ophthalmology, cardiology and pulmonology diseases,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8" w:lineRule="exact"/>
        <w:rPr>
          <w:sz w:val="20"/>
          <w:szCs w:val="20"/>
          <w:color w:val="auto"/>
        </w:rPr>
      </w:pPr>
    </w:p>
    <w:p>
      <w:pPr>
        <w:ind w:right="340" w:firstLine="636"/>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5" w:lineRule="exact"/>
        <w:rPr>
          <w:sz w:val="20"/>
          <w:szCs w:val="20"/>
          <w:color w:val="auto"/>
        </w:rPr>
      </w:pPr>
    </w:p>
    <w:p>
      <w:pPr>
        <w:ind w:left="900" w:right="26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94" w:lineRule="exact"/>
        <w:rPr>
          <w:rFonts w:ascii="Arial" w:cs="Arial" w:eastAsia="Arial" w:hAnsi="Arial"/>
          <w:sz w:val="18"/>
          <w:szCs w:val="18"/>
          <w:color w:val="auto"/>
        </w:rPr>
      </w:pPr>
    </w:p>
    <w:p>
      <w:pPr>
        <w:ind w:left="900" w:right="40" w:hanging="248"/>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receipt of approvals from regulatory authorities in the United States and internationally;</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status of enrollment and safety and efficacy readouts for our clinical trials;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w:t>
      </w:r>
    </w:p>
    <w:p>
      <w:pPr>
        <w:spacing w:after="0" w:line="94" w:lineRule="exact"/>
        <w:rPr>
          <w:rFonts w:ascii="Arial" w:cs="Arial" w:eastAsia="Arial" w:hAnsi="Arial"/>
          <w:sz w:val="18"/>
          <w:szCs w:val="18"/>
          <w:color w:val="auto"/>
        </w:rPr>
      </w:pPr>
    </w:p>
    <w:p>
      <w:pPr>
        <w:ind w:left="900" w:right="360" w:hanging="248"/>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amount of any option, milestone, royalty or other payments due under any current or future collaboration or license agreement;</w:t>
      </w:r>
    </w:p>
    <w:p>
      <w:pPr>
        <w:spacing w:after="0" w:line="88" w:lineRule="exact"/>
        <w:rPr>
          <w:rFonts w:ascii="Arial" w:cs="Arial" w:eastAsia="Arial" w:hAnsi="Arial"/>
          <w:sz w:val="18"/>
          <w:szCs w:val="18"/>
          <w:color w:val="auto"/>
        </w:rPr>
      </w:pPr>
    </w:p>
    <w:p>
      <w:pPr>
        <w:ind w:left="900" w:right="720" w:hanging="248"/>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gene therapy product candidates and potential future drugs that compete with our products, if approved;</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53" w:name="page54"/>
    <w:bookmarkEnd w:id="53"/>
    <w:p>
      <w:pPr>
        <w:ind w:left="900" w:hanging="248"/>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demand for our gene therapy products, if approved, which may vary significantly over time; and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ind w:right="440" w:firstLine="636"/>
        <w:spacing w:after="0" w:line="238" w:lineRule="auto"/>
        <w:rPr>
          <w:sz w:val="20"/>
          <w:szCs w:val="20"/>
          <w:color w:val="auto"/>
        </w:rPr>
      </w:pPr>
      <w:r>
        <w:rPr>
          <w:rFonts w:ascii="Arial" w:cs="Arial" w:eastAsia="Arial" w:hAnsi="Arial"/>
          <w:sz w:val="18"/>
          <w:szCs w:val="18"/>
          <w:color w:val="auto"/>
        </w:rPr>
        <w:t>For example, most of our collaboration and license revenue for the year ended December 31, 2021 was from Roche. However, Roche terminated its collaboration and license agreement with us effective September 16, 2021. 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2"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Research, Discovery, Development and Commercialization of Our Product Candidates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88"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All of our product candidates are based on gene therapy technology, and our future success depends on the successful development of this novel therapeutic approach. We cannot assure you that any development problems we or other gene therapy companies experience in the future related to gene therapy technology will not cause significant delays or unanticipated costs in the development of our product candidates, or that such development problems can be solved. In addition, the clinical study requirements of the U.S. Food and Drug Administration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 therapy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40" w:firstLine="636"/>
        <w:spacing w:after="0" w:line="237"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20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 National Institutes of Health (“NIH”) Guidelines for Research Involving Recombinant DNA Molecules (“NIH Guidelines”) require supervision of human gene transfer trials, including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3" w:lineRule="exact"/>
        <w:rPr>
          <w:sz w:val="20"/>
          <w:szCs w:val="20"/>
          <w:color w:val="auto"/>
        </w:rPr>
      </w:pPr>
    </w:p>
    <w:p>
      <w:pPr>
        <w:jc w:val="both"/>
        <w:ind w:right="300" w:firstLine="636"/>
        <w:spacing w:after="0"/>
        <w:rPr>
          <w:sz w:val="20"/>
          <w:szCs w:val="20"/>
          <w:color w:val="auto"/>
        </w:rPr>
      </w:pPr>
      <w:r>
        <w:rPr>
          <w:rFonts w:ascii="Arial" w:cs="Arial" w:eastAsia="Arial" w:hAnsi="Arial"/>
          <w:sz w:val="18"/>
          <w:szCs w:val="18"/>
          <w:color w:val="auto"/>
        </w:rPr>
        <w:t>We are subject to significant regulatory oversight by the FDA, and, in addition, the applicable IBC and Institutional Review Board (“IRB”), of each institution at which we or our collaborators conduct clinical trials of our product candidates, or a central IRB if appropriate, need to review and approve the proposed clinical trial.</w:t>
      </w:r>
    </w:p>
    <w:p>
      <w:pPr>
        <w:spacing w:after="0" w:line="203" w:lineRule="exact"/>
        <w:rPr>
          <w:sz w:val="20"/>
          <w:szCs w:val="20"/>
          <w:color w:val="auto"/>
        </w:rPr>
      </w:pPr>
    </w:p>
    <w:p>
      <w:pPr>
        <w:ind w:right="80" w:firstLine="636"/>
        <w:spacing w:after="0" w:line="246" w:lineRule="auto"/>
        <w:rPr>
          <w:sz w:val="20"/>
          <w:szCs w:val="20"/>
          <w:color w:val="auto"/>
        </w:rPr>
      </w:pPr>
      <w:r>
        <w:rPr>
          <w:rFonts w:ascii="Arial" w:cs="Arial" w:eastAsia="Arial" w:hAnsi="Arial"/>
          <w:sz w:val="18"/>
          <w:szCs w:val="18"/>
          <w:color w:val="auto"/>
        </w:rPr>
        <w:t>Similarly, the EMA governs the development of gene therapies in the European Union and may issue new guidelines concerning the development and marketing authorization for gene therapy products and require that we comply with these new guidelines.</w:t>
      </w:r>
    </w:p>
    <w:p>
      <w:pPr>
        <w:spacing w:after="0" w:line="197"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spacing w:after="0" w:line="203" w:lineRule="exact"/>
        <w:rPr>
          <w:sz w:val="20"/>
          <w:szCs w:val="20"/>
          <w:color w:val="auto"/>
        </w:rPr>
      </w:pPr>
    </w:p>
    <w:p>
      <w:pPr>
        <w:ind w:right="160" w:firstLine="636"/>
        <w:spacing w:after="0" w:line="237" w:lineRule="auto"/>
        <w:rPr>
          <w:sz w:val="20"/>
          <w:szCs w:val="20"/>
          <w:color w:val="auto"/>
        </w:rPr>
      </w:pPr>
      <w:r>
        <w:rPr>
          <w:rFonts w:ascii="Arial" w:cs="Arial" w:eastAsia="Arial" w:hAnsi="Arial"/>
          <w:sz w:val="18"/>
          <w:szCs w:val="18"/>
          <w:color w:val="auto"/>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and could seriously harm our business.</w:t>
      </w:r>
    </w:p>
    <w:p>
      <w:pPr>
        <w:spacing w:after="0" w:line="29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Adverse public perception or regulatory scrutiny of gene therapy technology may negatively impact the developmental progress or commercial success of product candidates that we develop alone or with collaborators.</w:t>
      </w:r>
    </w:p>
    <w:p>
      <w:pPr>
        <w:spacing w:after="0" w:line="68"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gene therapy technology, including the use of AAVs, for the prevention or treatment of human diseases. Adverse public perception of gene therapies may negatively impact our ability to raise capital or enter into strategic agreements for the development of product candidates.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160" w:firstLine="636"/>
        <w:spacing w:after="0" w:line="237" w:lineRule="auto"/>
        <w:rPr>
          <w:sz w:val="20"/>
          <w:szCs w:val="20"/>
          <w:color w:val="auto"/>
        </w:rPr>
      </w:pPr>
      <w:r>
        <w:rPr>
          <w:rFonts w:ascii="Arial" w:cs="Arial" w:eastAsia="Arial" w:hAnsi="Arial"/>
          <w:sz w:val="18"/>
          <w:szCs w:val="18"/>
          <w:color w:val="auto"/>
        </w:rPr>
        <w:t>Gene therapy remains a novel technology. The commercial success of our gene therapy product candidates, if successfully developed and approved, may be adversely affected by claims that gene therapy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03" w:lineRule="exact"/>
        <w:rPr>
          <w:sz w:val="20"/>
          <w:szCs w:val="20"/>
          <w:color w:val="auto"/>
        </w:rPr>
      </w:pPr>
    </w:p>
    <w:p>
      <w:pPr>
        <w:ind w:right="200" w:firstLine="636"/>
        <w:spacing w:after="0" w:line="237"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spacing w:after="0" w:line="29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6" w:lineRule="exact"/>
        <w:rPr>
          <w:sz w:val="20"/>
          <w:szCs w:val="20"/>
          <w:color w:val="auto"/>
        </w:rPr>
      </w:pPr>
    </w:p>
    <w:p>
      <w:pPr>
        <w:ind w:right="420" w:firstLine="636"/>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p>
    <w:p>
      <w:pPr>
        <w:spacing w:after="0" w:line="20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Less common adverse effects may not become evident until investigational products are tested in large-scale, Phase 3 clinical trials or, in some cases, after they are made available to patients on a commercial scale after approval.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firstLine="636"/>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9" w:lineRule="exact"/>
        <w:rPr>
          <w:sz w:val="20"/>
          <w:szCs w:val="20"/>
          <w:color w:val="auto"/>
        </w:rPr>
      </w:pPr>
    </w:p>
    <w:p>
      <w:pPr>
        <w:ind w:left="900" w:right="120" w:hanging="263"/>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900" w:right="28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9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3" w:lineRule="exact"/>
        <w:rPr>
          <w:rFonts w:ascii="Arial" w:cs="Arial" w:eastAsia="Arial" w:hAnsi="Arial"/>
          <w:sz w:val="18"/>
          <w:szCs w:val="18"/>
          <w:color w:val="auto"/>
        </w:rPr>
      </w:pPr>
    </w:p>
    <w:p>
      <w:pPr>
        <w:ind w:left="900" w:right="44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9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660" w:firstLine="636"/>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28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no products approved for commercial sale, and we have never generated any revenue from product sales, and we may never generate product revenue or be profitable.</w:t>
      </w:r>
    </w:p>
    <w:p>
      <w:pPr>
        <w:spacing w:after="0" w:line="83"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900" w:hanging="24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03" w:lineRule="exact"/>
        <w:rPr>
          <w:rFonts w:ascii="Arial" w:cs="Arial" w:eastAsia="Arial" w:hAnsi="Arial"/>
          <w:sz w:val="18"/>
          <w:szCs w:val="18"/>
          <w:color w:val="auto"/>
        </w:rPr>
      </w:pPr>
    </w:p>
    <w:p>
      <w:pPr>
        <w:ind w:left="900" w:right="160" w:hanging="248"/>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COVID-19 pandemic, which has resulted in, and in the future may continue to result in delays to patient enrollment, patients discontinuing their treatment or follow up visits or changes to trial protocols;</w:t>
      </w:r>
    </w:p>
    <w:p>
      <w:pPr>
        <w:spacing w:after="0" w:line="88" w:lineRule="exact"/>
        <w:rPr>
          <w:rFonts w:ascii="Arial" w:cs="Arial" w:eastAsia="Arial" w:hAnsi="Arial"/>
          <w:sz w:val="18"/>
          <w:szCs w:val="18"/>
          <w:color w:val="auto"/>
        </w:rPr>
      </w:pPr>
    </w:p>
    <w:p>
      <w:pPr>
        <w:ind w:left="900" w:right="240" w:hanging="248"/>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7" w:name="page58"/>
    <w:bookmarkEnd w:id="57"/>
    <w:p>
      <w:pPr>
        <w:ind w:left="900" w:right="8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94"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03" w:lineRule="exact"/>
        <w:rPr>
          <w:rFonts w:ascii="Arial" w:cs="Arial" w:eastAsia="Arial" w:hAnsi="Arial"/>
          <w:sz w:val="18"/>
          <w:szCs w:val="18"/>
          <w:color w:val="auto"/>
        </w:rPr>
      </w:pPr>
    </w:p>
    <w:p>
      <w:pPr>
        <w:ind w:left="900" w:right="240" w:hanging="248"/>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88" w:lineRule="exact"/>
        <w:rPr>
          <w:rFonts w:ascii="Arial" w:cs="Arial" w:eastAsia="Arial" w:hAnsi="Arial"/>
          <w:sz w:val="18"/>
          <w:szCs w:val="18"/>
          <w:color w:val="auto"/>
        </w:rPr>
      </w:pPr>
    </w:p>
    <w:p>
      <w:pPr>
        <w:ind w:left="900" w:right="260" w:hanging="248"/>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marketing approval, either by collaborating with a partner or, if launched independently, by establishing a sales, marketing and distribution infrastructure;</w:t>
      </w:r>
    </w:p>
    <w:p>
      <w:pPr>
        <w:spacing w:after="0" w:line="88" w:lineRule="exact"/>
        <w:rPr>
          <w:rFonts w:ascii="Arial" w:cs="Arial" w:eastAsia="Arial" w:hAnsi="Arial"/>
          <w:sz w:val="18"/>
          <w:szCs w:val="18"/>
          <w:color w:val="auto"/>
        </w:rPr>
      </w:pPr>
    </w:p>
    <w:p>
      <w:pPr>
        <w:ind w:left="900" w:right="120" w:hanging="248"/>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 candidates are commercialized;</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or procedures using our product candidates from payors;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durability of our treatment or dosing regimen;</w:t>
      </w:r>
    </w:p>
    <w:p>
      <w:pPr>
        <w:spacing w:after="0" w:line="103" w:lineRule="exact"/>
        <w:rPr>
          <w:rFonts w:ascii="Arial" w:cs="Arial" w:eastAsia="Arial" w:hAnsi="Arial"/>
          <w:sz w:val="18"/>
          <w:szCs w:val="18"/>
          <w:color w:val="auto"/>
        </w:rPr>
      </w:pPr>
    </w:p>
    <w:p>
      <w:pPr>
        <w:ind w:left="900" w:hanging="248"/>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demand for any of our product candidates that may be approved;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900" w:right="220" w:hanging="248"/>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 Even if one or more of our product candidates are approved for commercial sale, we anticipate incurring significant costs associated with commercializing any approved product candidate and ongoing compliance efforts.</w:t>
      </w:r>
    </w:p>
    <w:p>
      <w:pPr>
        <w:spacing w:after="0" w:line="205"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large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 candidate, even if approved. Even if we do achieve profitability, we may not be able to sustain or increase profitability on a quarterly or annual basis.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80" w:firstLine="636"/>
        <w:spacing w:after="0"/>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spacing w:after="0" w:line="28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Public health crises such as pandemics or similar outbreaks have affected and could continue to seriously and adversely affect our preclinical and clinical trials, business, financial condition and results of operations.</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response to the COVID-19 pandemic, “shelter in place” orders and other public health guidance measures were implemented, and may be implemented again to the extent eased, across much of the United States and Europe, including in the locations of our offices, clinical trial sites, key vendors and partners. We expect that our clinical development program timelines will be negatively affected by COVID-19, which could seriously harm our business. Further, due to “shelter in place” orders and other public health guidance measures, we have implemented a work-from-home policy for all staff members excluding those working in certain laboratory and manufacturing functions and those necessary to maintain minimum basic operations. Such “shelter in place” orders could be further extended due to the spread of more contagious and virulent COVID-19 variants. Our increased reliance on personnel working from home may negatively impact productivity, or disrupt, delay or otherwise seriously harm our business. For example, with our personnel working from home, some of our research activities that require our personnel to be in our laboratories will be delayed.</w:t>
      </w:r>
    </w:p>
    <w:p>
      <w:pPr>
        <w:spacing w:after="0" w:line="207" w:lineRule="exact"/>
        <w:rPr>
          <w:sz w:val="20"/>
          <w:szCs w:val="20"/>
          <w:color w:val="auto"/>
        </w:rPr>
      </w:pPr>
    </w:p>
    <w:p>
      <w:pPr>
        <w:jc w:val="both"/>
        <w:ind w:right="120" w:firstLine="636"/>
        <w:spacing w:after="0"/>
        <w:rPr>
          <w:sz w:val="20"/>
          <w:szCs w:val="20"/>
          <w:color w:val="auto"/>
        </w:rPr>
      </w:pPr>
      <w:r>
        <w:rPr>
          <w:rFonts w:ascii="Arial" w:cs="Arial" w:eastAsia="Arial" w:hAnsi="Arial"/>
          <w:sz w:val="18"/>
          <w:szCs w:val="18"/>
          <w:color w:val="auto"/>
        </w:rPr>
        <w:t>As a result of the COVID-19 pandemic, or similar pandemics, and related “shelter in place” orders and other public health guidance measures, we have, and may in the future, experience disruptions that could seriously harm our business. Disruptions due to the COVID-19 pandemic that have and may in the future impact our business include, but are not limited to:</w:t>
      </w:r>
    </w:p>
    <w:p>
      <w:pPr>
        <w:spacing w:after="0" w:line="95" w:lineRule="exact"/>
        <w:rPr>
          <w:sz w:val="20"/>
          <w:szCs w:val="20"/>
          <w:color w:val="auto"/>
        </w:rPr>
      </w:pPr>
    </w:p>
    <w:p>
      <w:pPr>
        <w:ind w:left="900" w:hanging="248"/>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03" w:lineRule="exact"/>
        <w:rPr>
          <w:rFonts w:ascii="Arial" w:cs="Arial" w:eastAsia="Arial" w:hAnsi="Arial"/>
          <w:sz w:val="18"/>
          <w:szCs w:val="18"/>
          <w:color w:val="auto"/>
        </w:rPr>
      </w:pPr>
    </w:p>
    <w:p>
      <w:pPr>
        <w:ind w:left="900" w:right="16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88" w:lineRule="exact"/>
        <w:rPr>
          <w:rFonts w:ascii="Arial" w:cs="Arial" w:eastAsia="Arial" w:hAnsi="Arial"/>
          <w:sz w:val="18"/>
          <w:szCs w:val="18"/>
          <w:color w:val="auto"/>
        </w:rPr>
      </w:pPr>
    </w:p>
    <w:p>
      <w:pPr>
        <w:ind w:left="900" w:right="26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88" w:lineRule="exact"/>
        <w:rPr>
          <w:rFonts w:ascii="Arial" w:cs="Arial" w:eastAsia="Arial" w:hAnsi="Arial"/>
          <w:sz w:val="18"/>
          <w:szCs w:val="18"/>
          <w:color w:val="auto"/>
        </w:rPr>
      </w:pPr>
    </w:p>
    <w:p>
      <w:pPr>
        <w:ind w:left="900" w:right="60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imposed on travel;</w:t>
      </w:r>
    </w:p>
    <w:p>
      <w:pPr>
        <w:spacing w:after="0" w:line="88" w:lineRule="exact"/>
        <w:rPr>
          <w:rFonts w:ascii="Arial" w:cs="Arial" w:eastAsia="Arial" w:hAnsi="Arial"/>
          <w:sz w:val="18"/>
          <w:szCs w:val="18"/>
          <w:color w:val="auto"/>
        </w:rPr>
      </w:pPr>
    </w:p>
    <w:p>
      <w:pPr>
        <w:ind w:left="90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recommendations by federal, state or local governments, employers and others or interruptions of clinical trial subject visits, which may impact the collection and integrity of subject data and clinical trial endpoints;</w:t>
      </w:r>
    </w:p>
    <w:p>
      <w:pPr>
        <w:spacing w:after="0" w:line="88" w:lineRule="exact"/>
        <w:rPr>
          <w:rFonts w:ascii="Arial" w:cs="Arial" w:eastAsia="Arial" w:hAnsi="Arial"/>
          <w:sz w:val="18"/>
          <w:szCs w:val="18"/>
          <w:color w:val="auto"/>
        </w:rPr>
      </w:pPr>
    </w:p>
    <w:p>
      <w:pPr>
        <w:ind w:left="900" w:right="56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900" w:right="58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and unforeseen circumstances at CROs and vendors;</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03" w:lineRule="exact"/>
        <w:rPr>
          <w:rFonts w:ascii="Arial" w:cs="Arial" w:eastAsia="Arial" w:hAnsi="Arial"/>
          <w:sz w:val="18"/>
          <w:szCs w:val="18"/>
          <w:color w:val="auto"/>
        </w:rPr>
      </w:pPr>
    </w:p>
    <w:p>
      <w:pPr>
        <w:ind w:left="900" w:right="320" w:hanging="248"/>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raw materials shortages, production slowdowns or stoppages and disruptions in delivery systems;</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left="900" w:right="240" w:hanging="248"/>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94" w:lineRule="exact"/>
        <w:rPr>
          <w:rFonts w:ascii="Arial" w:cs="Arial" w:eastAsia="Arial" w:hAnsi="Arial"/>
          <w:sz w:val="18"/>
          <w:szCs w:val="18"/>
          <w:color w:val="auto"/>
        </w:rPr>
      </w:pPr>
    </w:p>
    <w:p>
      <w:pPr>
        <w:ind w:left="900" w:right="220" w:hanging="248"/>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such clinical trials altogether;</w:t>
      </w:r>
    </w:p>
    <w:p>
      <w:pPr>
        <w:spacing w:after="0" w:line="88" w:lineRule="exact"/>
        <w:rPr>
          <w:rFonts w:ascii="Arial" w:cs="Arial" w:eastAsia="Arial" w:hAnsi="Arial"/>
          <w:sz w:val="18"/>
          <w:szCs w:val="18"/>
          <w:color w:val="auto"/>
        </w:rPr>
      </w:pPr>
    </w:p>
    <w:p>
      <w:pPr>
        <w:ind w:left="900" w:right="800" w:hanging="248"/>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12"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seriously harm our business.</w:t>
      </w:r>
    </w:p>
    <w:p>
      <w:pPr>
        <w:spacing w:after="0" w:line="203"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The COVID-19 pandemic continues to rapidly evolve, including the spread of new variants that have proven to be more contagious and deadly. The extent to which the COVID-19 pandemic may affect our clinical trials, business, financial condition and results of operations will depend on future developments (such as the prevalence of new variants, difficulties in the vaccine rollout or reluctance of individuals to get inoculated), which are highly uncertain and cannot be predicted at this time, such as the ultimate geographic spread of the disease, the duration of the pandemic,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 Future developments in these and other areas present material uncertainty and risk with respect to our clinical trials, business, financial condition and results of operations and could seriously harm our business.</w:t>
      </w:r>
    </w:p>
    <w:p>
      <w:pPr>
        <w:spacing w:after="0" w:line="29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initiated or conducted as planned or completed on schedule, if at all.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delay,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9" w:lineRule="exact"/>
        <w:rPr>
          <w:sz w:val="20"/>
          <w:szCs w:val="20"/>
          <w:color w:val="auto"/>
        </w:rPr>
      </w:pPr>
    </w:p>
    <w:p>
      <w:pPr>
        <w:ind w:left="900" w:right="520" w:hanging="248"/>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88" w:lineRule="exact"/>
        <w:rPr>
          <w:rFonts w:ascii="Arial" w:cs="Arial" w:eastAsia="Arial" w:hAnsi="Arial"/>
          <w:sz w:val="18"/>
          <w:szCs w:val="18"/>
          <w:color w:val="auto"/>
        </w:rPr>
      </w:pPr>
    </w:p>
    <w:p>
      <w:pPr>
        <w:ind w:left="900" w:hanging="248"/>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implementation of the clinical trials;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from the COVID-19 pandemic as further described elsewhere in these risk factors;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94"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geographies outside the United States;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identifying, recruiting, and enrolling patients who meet the requirements of our clinical trials;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03" w:lineRule="exact"/>
        <w:rPr>
          <w:rFonts w:ascii="Arial" w:cs="Arial" w:eastAsia="Arial" w:hAnsi="Arial"/>
          <w:sz w:val="18"/>
          <w:szCs w:val="18"/>
          <w:color w:val="auto"/>
        </w:rPr>
      </w:pPr>
    </w:p>
    <w:p>
      <w:pPr>
        <w:ind w:left="248" w:right="60" w:hanging="248"/>
        <w:spacing w:after="0" w:line="246"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8" w:lineRule="exact"/>
        <w:rPr>
          <w:rFonts w:ascii="Arial" w:cs="Arial" w:eastAsia="Arial" w:hAnsi="Arial"/>
          <w:sz w:val="18"/>
          <w:szCs w:val="18"/>
          <w:color w:val="auto"/>
        </w:rPr>
      </w:pPr>
    </w:p>
    <w:p>
      <w:pPr>
        <w:ind w:left="248" w:right="40" w:hanging="248"/>
        <w:spacing w:after="0" w:line="246"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ind w:left="248" w:right="140" w:hanging="248"/>
        <w:spacing w:after="0" w:line="238"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6" w:lineRule="exact"/>
        <w:rPr>
          <w:rFonts w:ascii="Arial" w:cs="Arial" w:eastAsia="Arial" w:hAnsi="Arial"/>
          <w:sz w:val="18"/>
          <w:szCs w:val="18"/>
          <w:color w:val="auto"/>
        </w:rPr>
      </w:pPr>
    </w:p>
    <w:p>
      <w:pPr>
        <w:ind w:left="248" w:right="260"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4"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03" w:lineRule="exact"/>
        <w:rPr>
          <w:rFonts w:ascii="Arial" w:cs="Arial" w:eastAsia="Arial" w:hAnsi="Arial"/>
          <w:sz w:val="18"/>
          <w:szCs w:val="18"/>
          <w:color w:val="auto"/>
        </w:rPr>
      </w:pPr>
    </w:p>
    <w:p>
      <w:pPr>
        <w:ind w:left="248" w:right="60" w:hanging="248"/>
        <w:spacing w:after="0" w:line="246"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requirements (“GCPs”) or applicable regulatory guidelines in other countries;</w:t>
      </w:r>
    </w:p>
    <w:p>
      <w:pPr>
        <w:spacing w:after="0" w:line="88"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3"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3" w:lineRule="exact"/>
        <w:rPr>
          <w:rFonts w:ascii="Arial" w:cs="Arial" w:eastAsia="Arial" w:hAnsi="Arial"/>
          <w:sz w:val="18"/>
          <w:szCs w:val="18"/>
          <w:color w:val="auto"/>
        </w:rPr>
      </w:pPr>
    </w:p>
    <w:p>
      <w:pPr>
        <w:ind w:left="248" w:right="100" w:hanging="248"/>
        <w:spacing w:after="0" w:line="246"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248" w:right="60" w:hanging="248"/>
        <w:spacing w:after="0" w:line="246"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or by us, and delays or failure by our CMOs or us to make any necessary changes to such manufacturing process;</w:t>
      </w:r>
    </w:p>
    <w:p>
      <w:pPr>
        <w:spacing w:after="0" w:line="88" w:lineRule="exact"/>
        <w:rPr>
          <w:rFonts w:ascii="Arial" w:cs="Arial" w:eastAsia="Arial" w:hAnsi="Arial"/>
          <w:sz w:val="18"/>
          <w:szCs w:val="18"/>
          <w:color w:val="auto"/>
        </w:rPr>
      </w:pPr>
    </w:p>
    <w:p>
      <w:pPr>
        <w:ind w:left="248" w:hanging="248"/>
        <w:spacing w:after="0"/>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 and</w:t>
      </w:r>
    </w:p>
    <w:p>
      <w:pPr>
        <w:spacing w:after="0" w:line="212"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8"/>
          </w:cols>
          <w:pgMar w:left="972" w:top="449" w:right="359" w:bottom="1440" w:gutter="0" w:footer="0" w:header="0"/>
        </w:sectPr>
      </w:pPr>
    </w:p>
    <w:bookmarkStart w:id="61" w:name="page62"/>
    <w:bookmarkEnd w:id="61"/>
    <w:p>
      <w:pPr>
        <w:ind w:left="900" w:hanging="248"/>
        <w:spacing w:after="0" w:line="24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 therapy technology may negatively impact the developmental progress or commercial success of products that we develop alone or with collaborators.</w:t>
      </w:r>
    </w:p>
    <w:p>
      <w:pPr>
        <w:spacing w:after="0" w:line="197" w:lineRule="exact"/>
        <w:rPr>
          <w:sz w:val="20"/>
          <w:szCs w:val="20"/>
          <w:color w:val="auto"/>
        </w:rPr>
      </w:pPr>
    </w:p>
    <w:p>
      <w:pPr>
        <w:ind w:right="140" w:firstLine="636"/>
        <w:spacing w:after="0" w:line="24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9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Patient enrollment, a determinative factor in the timing of clinical trials, is affected by many factors including the severity of and difficulty of diagnosing the disease under investigation, knowledge of the disease in the medical community and availability of effective diagnostic methods, size and distribution of the patient population and process for identifying subjects, access of patients to medical professionals experienced in their disease, our ability to effectively disseminate information about our clinical trials to the patient population and access of patients to such information, eligibility and exclusion criteria for the trial in question, design of the trial protocol, availability, efficacy of, and our ability to compete with approved and standard of care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the time and financial commitments required of patients to enroll in our trials beyond the costs covered by the company, and the proximity and availability of and access to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p>
    <w:p>
      <w:pPr>
        <w:spacing w:after="0" w:line="203" w:lineRule="exact"/>
        <w:rPr>
          <w:sz w:val="20"/>
          <w:szCs w:val="20"/>
          <w:color w:val="auto"/>
        </w:rPr>
      </w:pPr>
    </w:p>
    <w:p>
      <w:pPr>
        <w:ind w:right="240" w:firstLine="636"/>
        <w:spacing w:after="0" w:line="238"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20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203" w:lineRule="exact"/>
        <w:rPr>
          <w:sz w:val="20"/>
          <w:szCs w:val="20"/>
          <w:color w:val="auto"/>
        </w:rPr>
      </w:pPr>
    </w:p>
    <w:p>
      <w:pPr>
        <w:ind w:right="200" w:firstLine="636"/>
        <w:spacing w:after="0" w:line="238"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and could seriously harm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8"/>
          <w:szCs w:val="18"/>
          <w:b w:val="1"/>
          <w:bCs w:val="1"/>
          <w:i w:val="1"/>
          <w:iCs w:val="1"/>
          <w:color w:val="auto"/>
        </w:rPr>
        <w:t>The limited number of patients who have the diseases for which our product candidates are being studied may make it more difficult for us to enroll or complete clinical trials or may result in findings in our clinical trials that do not reach levels of statistical significance sufficient for marketing approval.</w:t>
      </w:r>
    </w:p>
    <w:p>
      <w:pPr>
        <w:spacing w:after="0" w:line="83"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Most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most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29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p>
    <w:p>
      <w:pPr>
        <w:spacing w:after="0" w:line="83" w:lineRule="exact"/>
        <w:rPr>
          <w:sz w:val="20"/>
          <w:szCs w:val="20"/>
          <w:color w:val="auto"/>
        </w:rPr>
      </w:pPr>
    </w:p>
    <w:p>
      <w:pPr>
        <w:ind w:right="300" w:firstLine="636"/>
        <w:spacing w:after="0"/>
        <w:rPr>
          <w:sz w:val="20"/>
          <w:szCs w:val="20"/>
          <w:color w:val="auto"/>
        </w:rPr>
      </w:pPr>
      <w:r>
        <w:rPr>
          <w:rFonts w:ascii="Arial" w:cs="Arial" w:eastAsia="Arial" w:hAnsi="Arial"/>
          <w:sz w:val="18"/>
          <w:szCs w:val="18"/>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95" w:lineRule="exact"/>
        <w:rPr>
          <w:sz w:val="20"/>
          <w:szCs w:val="20"/>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our clinical development plans due to the COVID-19 pandemic;</w:t>
      </w:r>
    </w:p>
    <w:p>
      <w:pPr>
        <w:spacing w:after="0" w:line="103" w:lineRule="exact"/>
        <w:rPr>
          <w:rFonts w:ascii="Arial" w:cs="Arial" w:eastAsia="Arial" w:hAnsi="Arial"/>
          <w:sz w:val="18"/>
          <w:szCs w:val="18"/>
          <w:color w:val="auto"/>
        </w:rPr>
      </w:pPr>
    </w:p>
    <w:p>
      <w:pPr>
        <w:ind w:left="900" w:right="240" w:hanging="256"/>
        <w:spacing w:after="0" w:line="24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does not meet applicable regulatory criteria;</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03" w:lineRule="exact"/>
        <w:rPr>
          <w:rFonts w:ascii="Arial" w:cs="Arial" w:eastAsia="Arial" w:hAnsi="Arial"/>
          <w:sz w:val="18"/>
          <w:szCs w:val="18"/>
          <w:color w:val="auto"/>
        </w:rPr>
      </w:pPr>
    </w:p>
    <w:p>
      <w:pPr>
        <w:ind w:left="900" w:right="120" w:hanging="256"/>
        <w:spacing w:after="0" w:line="24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Therapeutic Vector Evolution platform technology obsolete or less attractive;</w:t>
      </w:r>
    </w:p>
    <w:p>
      <w:pPr>
        <w:spacing w:after="0" w:line="88" w:lineRule="exact"/>
        <w:rPr>
          <w:rFonts w:ascii="Arial" w:cs="Arial" w:eastAsia="Arial" w:hAnsi="Arial"/>
          <w:sz w:val="18"/>
          <w:szCs w:val="18"/>
          <w:color w:val="auto"/>
        </w:rPr>
      </w:pPr>
    </w:p>
    <w:p>
      <w:pPr>
        <w:ind w:left="900" w:right="14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candidates and Therapeutic Vector Evolution platform technology that we develop may not be sufficiently covered by intellectual property for which we hold exclusive rights or may be covered by third-party patents or other intellectual property or exclusive rights;</w:t>
      </w:r>
    </w:p>
    <w:p>
      <w:pPr>
        <w:spacing w:after="0" w:line="94" w:lineRule="exact"/>
        <w:rPr>
          <w:rFonts w:ascii="Arial" w:cs="Arial" w:eastAsia="Arial" w:hAnsi="Arial"/>
          <w:sz w:val="18"/>
          <w:szCs w:val="18"/>
          <w:color w:val="auto"/>
        </w:rPr>
      </w:pPr>
    </w:p>
    <w:p>
      <w:pPr>
        <w:ind w:left="900" w:right="760" w:hanging="256"/>
        <w:spacing w:after="0" w:line="24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03" w:lineRule="exact"/>
        <w:rPr>
          <w:rFonts w:ascii="Arial" w:cs="Arial" w:eastAsia="Arial" w:hAnsi="Arial"/>
          <w:sz w:val="18"/>
          <w:szCs w:val="18"/>
          <w:color w:val="auto"/>
        </w:rPr>
      </w:pPr>
    </w:p>
    <w:p>
      <w:pPr>
        <w:ind w:left="900" w:right="1020" w:hanging="256"/>
        <w:spacing w:after="0" w:line="24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and</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3" w:name="page64"/>
    <w:bookmarkEnd w:id="63"/>
    <w:p>
      <w:pPr>
        <w:ind w:right="180" w:firstLine="644"/>
        <w:spacing w:after="0" w:line="238" w:lineRule="auto"/>
        <w:rPr>
          <w:sz w:val="20"/>
          <w:szCs w:val="20"/>
          <w:color w:val="auto"/>
        </w:rPr>
      </w:pPr>
      <w:r>
        <w:rPr>
          <w:rFonts w:ascii="Arial" w:cs="Arial" w:eastAsia="Arial" w:hAnsi="Arial"/>
          <w:sz w:val="18"/>
          <w:szCs w:val="18"/>
          <w:color w:val="auto"/>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p>
    <w:p>
      <w:pPr>
        <w:spacing w:after="0" w:line="20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20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ensure that we will obtain approval in any other jurisdictions. Failure to obtain approval for our product candidates in multiple jurisdictions will seriously harm our business.</w:t>
      </w:r>
    </w:p>
    <w:p>
      <w:pPr>
        <w:spacing w:after="0" w:line="204"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p>
    <w:p>
      <w:pPr>
        <w:spacing w:after="0" w:line="208" w:lineRule="exact"/>
        <w:rPr>
          <w:sz w:val="20"/>
          <w:szCs w:val="20"/>
          <w:color w:val="auto"/>
        </w:rPr>
      </w:pPr>
    </w:p>
    <w:p>
      <w:pPr>
        <w:ind w:right="380" w:firstLine="636"/>
        <w:spacing w:after="0" w:line="238"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seriously harm our business.</w:t>
      </w:r>
    </w:p>
    <w:p>
      <w:pPr>
        <w:spacing w:after="0" w:line="83" w:lineRule="exact"/>
        <w:rPr>
          <w:sz w:val="20"/>
          <w:szCs w:val="20"/>
          <w:color w:val="auto"/>
        </w:rPr>
      </w:pPr>
    </w:p>
    <w:p>
      <w:pPr>
        <w:ind w:right="220" w:firstLine="636"/>
        <w:spacing w:after="0" w:line="236" w:lineRule="auto"/>
        <w:rPr>
          <w:sz w:val="20"/>
          <w:szCs w:val="20"/>
          <w:color w:val="auto"/>
        </w:rPr>
      </w:pPr>
      <w:r>
        <w:rPr>
          <w:rFonts w:ascii="Arial" w:cs="Arial" w:eastAsia="Arial" w:hAnsi="Arial"/>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208"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seriously harm our business.</w:t>
      </w:r>
    </w:p>
    <w:p>
      <w:pPr>
        <w:spacing w:after="0" w:line="28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80"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5" w:name="page66"/>
    <w:bookmarkEnd w:id="65"/>
    <w:p>
      <w:pPr>
        <w:ind w:firstLine="636"/>
        <w:spacing w:after="0" w:line="236"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205" w:lineRule="exact"/>
        <w:rPr>
          <w:sz w:val="20"/>
          <w:szCs w:val="20"/>
          <w:color w:val="auto"/>
        </w:rPr>
      </w:pPr>
    </w:p>
    <w:p>
      <w:pPr>
        <w:ind w:right="200" w:firstLine="636"/>
        <w:spacing w:after="0" w:line="238"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ongoing and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205"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68"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From time to time, we may publicly disclose top-line or preliminary data from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208" w:lineRule="exact"/>
        <w:rPr>
          <w:sz w:val="20"/>
          <w:szCs w:val="20"/>
          <w:color w:val="auto"/>
        </w:rPr>
      </w:pPr>
    </w:p>
    <w:p>
      <w:pPr>
        <w:jc w:val="both"/>
        <w:ind w:right="20" w:firstLine="636"/>
        <w:spacing w:after="0" w:line="23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seriously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firstLine="636"/>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2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83"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w:t>
      </w:r>
    </w:p>
    <w:p>
      <w:pPr>
        <w:spacing w:after="0" w:line="29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8"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2" w:lineRule="exact"/>
        <w:rPr>
          <w:sz w:val="20"/>
          <w:szCs w:val="20"/>
          <w:color w:val="auto"/>
        </w:rPr>
      </w:pPr>
    </w:p>
    <w:p>
      <w:pPr>
        <w:ind w:right="200" w:firstLine="636"/>
        <w:spacing w:after="0" w:line="236"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indications for which we have product candidates, including XLRP, choroideremia, Fabry disease, wet AMD, and cystic fibrosis lung disease. Certain of our competitors have commercially approved products for the treatment of the diseases that we are pursuing or may pursue in the future, including Biogen,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ophthalmology, cardiology and pulmonology disease areas include large companies with significant financial resources, such as Allergan, Biogen, Novartis, Pfizer, Regeneron, Roche, Sanofi, Takeda and Vertex, and biopharmaceutical companies such as Abeona, Adverum, AGTC, Amicus, Avrobio, Freeline, Kodiak Sciences, Krystal, MeiraGTx, RegenxBio, Sangamo, and Spirovant. In addition to competition from other companies targeting ophthalmology, cardiology and pulmonology, any products we may develop may also face competition from other types of therapies, such as gene-editing therapies and drug delivery devices.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firstLine="636"/>
        <w:spacing w:after="0" w:line="235"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ophthalmology, cardiology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against competitors any product candidates we may develop.</w:t>
      </w:r>
    </w:p>
    <w:p>
      <w:pPr>
        <w:spacing w:after="0" w:line="30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83"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04" w:lineRule="exact"/>
        <w:rPr>
          <w:sz w:val="20"/>
          <w:szCs w:val="20"/>
          <w:color w:val="auto"/>
        </w:rPr>
      </w:pPr>
    </w:p>
    <w:p>
      <w:pPr>
        <w:ind w:left="900" w:right="180" w:hanging="25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03" w:lineRule="exact"/>
        <w:rPr>
          <w:rFonts w:ascii="Arial" w:cs="Arial" w:eastAsia="Arial" w:hAnsi="Arial"/>
          <w:sz w:val="18"/>
          <w:szCs w:val="18"/>
          <w:color w:val="auto"/>
        </w:rPr>
      </w:pPr>
    </w:p>
    <w:p>
      <w:pPr>
        <w:ind w:left="900" w:right="500" w:hanging="25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88" w:lineRule="exact"/>
        <w:rPr>
          <w:rFonts w:ascii="Arial" w:cs="Arial" w:eastAsia="Arial" w:hAnsi="Arial"/>
          <w:sz w:val="18"/>
          <w:szCs w:val="18"/>
          <w:color w:val="auto"/>
        </w:rPr>
      </w:pPr>
    </w:p>
    <w:p>
      <w:pPr>
        <w:ind w:left="900" w:right="900" w:hanging="25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900" w:right="140" w:hanging="256"/>
        <w:spacing w:after="0" w:line="24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1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8"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third-party payors and others in the medical community. The degree of market acceptance of any product candidates we may develop, if approved for commercial sale, will depend on a number of factors, including:</w:t>
      </w:r>
    </w:p>
    <w:p>
      <w:pPr>
        <w:spacing w:after="0" w:line="94" w:lineRule="exact"/>
        <w:rPr>
          <w:sz w:val="20"/>
          <w:szCs w:val="20"/>
          <w:color w:val="auto"/>
        </w:rPr>
      </w:pPr>
    </w:p>
    <w:p>
      <w:pPr>
        <w:ind w:left="900" w:right="640" w:hanging="256"/>
        <w:spacing w:after="0" w:line="24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75"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90" w:lineRule="exact"/>
        <w:rPr>
          <w:rFonts w:ascii="Arial" w:cs="Arial" w:eastAsia="Arial" w:hAnsi="Arial"/>
          <w:sz w:val="18"/>
          <w:szCs w:val="18"/>
          <w:color w:val="auto"/>
        </w:rPr>
      </w:pPr>
    </w:p>
    <w:p>
      <w:pPr>
        <w:ind w:left="900" w:right="80" w:hanging="256"/>
        <w:spacing w:after="0" w:line="23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8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90" w:lineRule="exact"/>
        <w:rPr>
          <w:rFonts w:ascii="Arial" w:cs="Arial" w:eastAsia="Arial" w:hAnsi="Arial"/>
          <w:sz w:val="18"/>
          <w:szCs w:val="18"/>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sz w:val="20"/>
          <w:szCs w:val="20"/>
          <w:color w:val="auto"/>
        </w:rPr>
      </w:pPr>
    </w:p>
    <w:p>
      <w:pPr>
        <w:ind w:right="480" w:firstLine="636"/>
        <w:spacing w:after="0" w:line="235"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 and our business could be seriously harmed.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68"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We currently have a development, manufacturing and testing agreement and cooperation agreement with Catalent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w:t>
      </w:r>
    </w:p>
    <w:p>
      <w:pPr>
        <w:spacing w:after="0" w:line="214" w:lineRule="exact"/>
        <w:rPr>
          <w:sz w:val="20"/>
          <w:szCs w:val="20"/>
          <w:color w:val="auto"/>
        </w:rPr>
      </w:pPr>
    </w:p>
    <w:p>
      <w:pPr>
        <w:ind w:right="200" w:firstLine="636"/>
        <w:spacing w:after="0" w:line="237" w:lineRule="auto"/>
        <w:rPr>
          <w:sz w:val="20"/>
          <w:szCs w:val="20"/>
          <w:color w:val="auto"/>
        </w:rPr>
      </w:pPr>
      <w:r>
        <w:rPr>
          <w:rFonts w:ascii="Arial" w:cs="Arial" w:eastAsia="Arial" w:hAnsi="Arial"/>
          <w:sz w:val="18"/>
          <w:szCs w:val="18"/>
          <w:color w:val="auto"/>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205"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03"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 or facilities also could restrict our ability to meet market demand for our products. Additionally, should our agreement with Catalent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0" w:name="page71"/>
    <w:bookmarkEnd w:id="70"/>
    <w:p>
      <w:pPr>
        <w:ind w:right="260"/>
        <w:spacing w:after="0" w:line="271"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91"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Delays in developing our manufacturing capabilities or failure to achieve operating efficiencies from it may require us to devote additional resources and management time to manufacturing operations and may delay our product development timelines.</w:t>
      </w:r>
    </w:p>
    <w:p>
      <w:pPr>
        <w:spacing w:after="0" w:line="45" w:lineRule="exact"/>
        <w:rPr>
          <w:sz w:val="20"/>
          <w:szCs w:val="20"/>
          <w:color w:val="auto"/>
        </w:rPr>
      </w:pPr>
    </w:p>
    <w:p>
      <w:pPr>
        <w:ind w:right="20" w:firstLine="636"/>
        <w:spacing w:after="0" w:line="235" w:lineRule="auto"/>
        <w:rPr>
          <w:sz w:val="20"/>
          <w:szCs w:val="20"/>
          <w:color w:val="auto"/>
        </w:rPr>
      </w:pPr>
      <w:r>
        <w:rPr>
          <w:rFonts w:ascii="Arial" w:cs="Arial" w:eastAsia="Arial" w:hAnsi="Arial"/>
          <w:sz w:val="18"/>
          <w:szCs w:val="18"/>
          <w:color w:val="auto"/>
        </w:rPr>
        <w:t>We have a small operational manufacturing facility that we are using to manufacture clinical trial material. In addition, we have leased and are building out approximately 17,000 square feet of space primarily for our second manufacturing facility in Emeryville, California, a large portion of which we plan to devote to manufacturing activities for our clinical trials under cGMP. We commenced construction of this additional space in July 2021.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including any delays due to the COVID-19 pandemic,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p>
    <w:p>
      <w:pPr>
        <w:spacing w:after="0" w:line="214" w:lineRule="exact"/>
        <w:rPr>
          <w:sz w:val="20"/>
          <w:szCs w:val="20"/>
          <w:color w:val="auto"/>
        </w:rPr>
      </w:pPr>
    </w:p>
    <w:p>
      <w:pPr>
        <w:ind w:right="240" w:firstLine="636"/>
        <w:spacing w:after="0" w:line="236" w:lineRule="auto"/>
        <w:rPr>
          <w:sz w:val="20"/>
          <w:szCs w:val="20"/>
          <w:color w:val="auto"/>
        </w:rPr>
      </w:pPr>
      <w:r>
        <w:rPr>
          <w:rFonts w:ascii="Arial" w:cs="Arial" w:eastAsia="Arial" w:hAnsi="Arial"/>
          <w:sz w:val="18"/>
          <w:szCs w:val="18"/>
          <w:color w:val="auto"/>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1" w:name="page72"/>
    <w:bookmarkEnd w:id="71"/>
    <w:p>
      <w:pPr>
        <w:ind w:right="620"/>
        <w:spacing w:after="0" w:line="27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product manufacturing for certain of our product candidates, and these third parties may not perform satisfactorily.</w:t>
      </w:r>
    </w:p>
    <w:p>
      <w:pPr>
        <w:spacing w:after="0" w:line="68"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our BLA to the FDA. We do not control the manufacturing process of, and are completely dependent on, our contract manufacturing partners for compliance with the cGMPs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04" w:lineRule="exact"/>
        <w:rPr>
          <w:sz w:val="20"/>
          <w:szCs w:val="20"/>
          <w:color w:val="auto"/>
        </w:rPr>
      </w:pPr>
    </w:p>
    <w:p>
      <w:pPr>
        <w:jc w:val="both"/>
        <w:ind w:right="420" w:firstLine="636"/>
        <w:spacing w:after="0"/>
        <w:rPr>
          <w:sz w:val="20"/>
          <w:szCs w:val="20"/>
          <w:color w:val="auto"/>
        </w:rPr>
      </w:pPr>
      <w:r>
        <w:rPr>
          <w:rFonts w:ascii="Arial" w:cs="Arial" w:eastAsia="Arial" w:hAnsi="Arial"/>
          <w:sz w:val="18"/>
          <w:szCs w:val="18"/>
          <w:color w:val="auto"/>
        </w:rPr>
        <w:t>In addition, we rely on additional third parties to manufacture plasmids used in the manufacture of our product candidates and to perform quality testing, and reliance on these third parties entails risks to which we would not be subject if we manufactured the product candidates ourselves, including:</w:t>
      </w:r>
    </w:p>
    <w:p>
      <w:pPr>
        <w:spacing w:after="0" w:line="95" w:lineRule="exact"/>
        <w:rPr>
          <w:sz w:val="20"/>
          <w:szCs w:val="20"/>
          <w:color w:val="auto"/>
        </w:rPr>
      </w:pPr>
    </w:p>
    <w:p>
      <w:pPr>
        <w:ind w:left="900" w:hanging="25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03" w:lineRule="exact"/>
        <w:rPr>
          <w:rFonts w:ascii="Arial" w:cs="Arial" w:eastAsia="Arial" w:hAnsi="Arial"/>
          <w:sz w:val="18"/>
          <w:szCs w:val="18"/>
          <w:color w:val="auto"/>
        </w:rPr>
      </w:pPr>
    </w:p>
    <w:p>
      <w:pPr>
        <w:ind w:left="900" w:right="340" w:hanging="25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88" w:lineRule="exact"/>
        <w:rPr>
          <w:rFonts w:ascii="Arial" w:cs="Arial" w:eastAsia="Arial" w:hAnsi="Arial"/>
          <w:sz w:val="18"/>
          <w:szCs w:val="18"/>
          <w:color w:val="auto"/>
        </w:rPr>
      </w:pPr>
    </w:p>
    <w:p>
      <w:pPr>
        <w:ind w:left="900" w:right="700" w:hanging="256"/>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jc w:val="both"/>
        <w:ind w:right="400" w:firstLine="636"/>
        <w:spacing w:after="0"/>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289"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research studies, preclinical, and clinical development or marketing schedules.</w:t>
      </w:r>
    </w:p>
    <w:p>
      <w:pPr>
        <w:spacing w:after="0" w:line="83" w:lineRule="exact"/>
        <w:rPr>
          <w:sz w:val="20"/>
          <w:szCs w:val="20"/>
          <w:color w:val="auto"/>
        </w:rPr>
      </w:pPr>
    </w:p>
    <w:p>
      <w:pPr>
        <w:ind w:right="540" w:firstLine="636"/>
        <w:spacing w:after="0"/>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203"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2" w:name="page73"/>
    <w:bookmarkEnd w:id="72"/>
    <w:p>
      <w:pPr>
        <w:ind w:right="260"/>
        <w:spacing w:after="0" w:line="271"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seriously harm our business.</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p>
    <w:p>
      <w:pPr>
        <w:spacing w:after="0" w:line="204" w:lineRule="exact"/>
        <w:rPr>
          <w:sz w:val="20"/>
          <w:szCs w:val="20"/>
          <w:color w:val="auto"/>
        </w:rPr>
      </w:pPr>
    </w:p>
    <w:p>
      <w:pPr>
        <w:ind w:right="380" w:firstLine="636"/>
        <w:spacing w:after="0" w:line="246"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89" w:lineRule="exact"/>
        <w:rPr>
          <w:sz w:val="20"/>
          <w:szCs w:val="20"/>
          <w:color w:val="auto"/>
        </w:rPr>
      </w:pPr>
    </w:p>
    <w:p>
      <w:pPr>
        <w:ind w:left="900" w:right="620" w:hanging="25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results of our or our collaborators’ clinical trials;</w:t>
      </w:r>
    </w:p>
    <w:p>
      <w:pPr>
        <w:spacing w:after="0" w:line="88" w:lineRule="exact"/>
        <w:rPr>
          <w:rFonts w:ascii="Arial" w:cs="Arial" w:eastAsia="Arial" w:hAnsi="Arial"/>
          <w:sz w:val="18"/>
          <w:szCs w:val="18"/>
          <w:color w:val="auto"/>
        </w:rPr>
      </w:pPr>
    </w:p>
    <w:p>
      <w:pPr>
        <w:jc w:val="both"/>
        <w:ind w:left="900" w:right="160" w:hanging="25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900" w:right="220" w:hanging="25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900" w:right="380" w:hanging="256"/>
        <w:spacing w:after="0" w:line="24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FDA, or comparable foreign regulatory authorities that a product candidate’s clinical and other benefits outweigh its safety risks;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3" w:name="page74"/>
    <w:bookmarkEnd w:id="73"/>
    <w:p>
      <w:pPr>
        <w:ind w:left="900" w:right="540" w:hanging="25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88" w:lineRule="exact"/>
        <w:rPr>
          <w:rFonts w:ascii="Arial" w:cs="Arial" w:eastAsia="Arial" w:hAnsi="Arial"/>
          <w:sz w:val="18"/>
          <w:szCs w:val="18"/>
          <w:color w:val="auto"/>
        </w:rPr>
      </w:pPr>
    </w:p>
    <w:p>
      <w:pPr>
        <w:ind w:left="900" w:right="180" w:hanging="25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88" w:lineRule="exact"/>
        <w:rPr>
          <w:rFonts w:ascii="Arial" w:cs="Arial" w:eastAsia="Arial" w:hAnsi="Arial"/>
          <w:sz w:val="18"/>
          <w:szCs w:val="18"/>
          <w:color w:val="auto"/>
        </w:rPr>
      </w:pPr>
    </w:p>
    <w:p>
      <w:pPr>
        <w:ind w:left="900" w:right="480" w:hanging="25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900" w:right="60" w:hanging="256"/>
        <w:spacing w:after="0" w:line="24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97" w:lineRule="exact"/>
        <w:rPr>
          <w:sz w:val="20"/>
          <w:szCs w:val="20"/>
          <w:color w:val="auto"/>
        </w:rPr>
      </w:pPr>
    </w:p>
    <w:p>
      <w:pPr>
        <w:ind w:right="740" w:firstLine="636"/>
        <w:spacing w:after="0" w:line="24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w:t>
      </w:r>
    </w:p>
    <w:p>
      <w:pPr>
        <w:spacing w:after="0" w:line="197"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9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0"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4" w:name="page75"/>
    <w:bookmarkEnd w:id="74"/>
    <w:p>
      <w:pPr>
        <w:jc w:val="both"/>
        <w:ind w:right="80" w:firstLine="636"/>
        <w:spacing w:after="0" w:line="248"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w:t>
      </w:r>
    </w:p>
    <w:p>
      <w:pPr>
        <w:spacing w:after="0" w:line="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Even if we or our collaborators obtain regulatory approval for a product candidate, our products will remain subject to regulatory scrutiny.</w:t>
      </w:r>
    </w:p>
    <w:p>
      <w:pPr>
        <w:spacing w:after="0" w:line="68"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p>
    <w:p>
      <w:pPr>
        <w:spacing w:after="0" w:line="205"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20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FDA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p>
    <w:p>
      <w:pPr>
        <w:spacing w:after="0" w:line="208"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97" w:lineRule="exact"/>
        <w:rPr>
          <w:sz w:val="20"/>
          <w:szCs w:val="20"/>
          <w:color w:val="auto"/>
        </w:rPr>
      </w:pPr>
    </w:p>
    <w:p>
      <w:pPr>
        <w:ind w:left="900" w:hanging="25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900" w:hanging="25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12"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76" w:name="page77"/>
    <w:bookmarkEnd w:id="76"/>
    <w:p>
      <w:pPr>
        <w:ind w:right="360"/>
        <w:spacing w:after="0" w:line="244" w:lineRule="auto"/>
        <w:rPr>
          <w:sz w:val="20"/>
          <w:szCs w:val="20"/>
          <w:color w:val="auto"/>
        </w:rPr>
      </w:pPr>
      <w:r>
        <w:rPr>
          <w:rFonts w:ascii="Arial" w:cs="Arial" w:eastAsia="Arial" w:hAnsi="Arial"/>
          <w:sz w:val="18"/>
          <w:szCs w:val="18"/>
          <w:b w:val="1"/>
          <w:bCs w:val="1"/>
          <w:i w:val="1"/>
          <w:iCs w:val="1"/>
          <w:color w:val="auto"/>
        </w:rPr>
        <w:t>We have received Fast Track designation for 4D -310 for the treatment of Fabry disease to improve pain, disability and organ dysfunction, and for 4D-125 for the treatment of patients with inherited retinal dystrophies due to defects in the RPGR gene, including XLRP and we may seek Fast Track designation for certain future product candidates. However, we may not be able to obtain such designations, and there is no guarantee that 4D-310 or 4D-125 will experience a faster regulatory review or obtain regulatory approval.</w:t>
      </w:r>
    </w:p>
    <w:p>
      <w:pPr>
        <w:spacing w:after="0" w:line="90"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disease condition, the product sponsor may apply for Fast Track designation.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We have received Fast Track designation for 4D-310 for the treatment of Fabry disease to improve pain, disability and organ dysfunction, and for 4D-125 for the treatment of patients with inherited retinal dystrophies due to defects in the RPGR gene, including XLRP and we may receive Fast Track designation for other product candidates in the future; however, we may not experience a faster development, review or approval process, and receipt of the designation does not increase the likelihood that the FDA will approve 4D-310 or 4D-125 for any indication. In addition, the FDA may rescind the Fast Track designation if it believes that the designation is no longer supported by data from our clinical development program.</w:t>
      </w:r>
    </w:p>
    <w:p>
      <w:pPr>
        <w:spacing w:after="0" w:line="30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We have received orphan drug designation for 4D-110 for the treatment of choroideremia and for 4D-310 for the treatment of Fabry disease, and we may seek orphan drug designation for certain future product candidates. However, we may be unable to obtain such designations or to maintain the benefits associated with orphan drug designation, including market exclusivity, which may cause our revenue, if any, to be reduced.</w:t>
      </w:r>
    </w:p>
    <w:p>
      <w:pPr>
        <w:spacing w:after="0" w:line="88" w:lineRule="exact"/>
        <w:rPr>
          <w:sz w:val="20"/>
          <w:szCs w:val="20"/>
          <w:color w:val="auto"/>
        </w:rPr>
      </w:pPr>
    </w:p>
    <w:p>
      <w:pPr>
        <w:ind w:firstLine="636"/>
        <w:spacing w:after="0" w:line="251" w:lineRule="auto"/>
        <w:rPr>
          <w:sz w:val="20"/>
          <w:szCs w:val="20"/>
          <w:color w:val="auto"/>
        </w:rPr>
      </w:pPr>
      <w:r>
        <w:rPr>
          <w:rFonts w:ascii="Arial" w:cs="Arial" w:eastAsia="Arial" w:hAnsi="Arial"/>
          <w:sz w:val="17"/>
          <w:szCs w:val="17"/>
          <w:color w:val="auto"/>
        </w:rPr>
        <w:t>We have received orphan drug designation in the United States for 4D-110 for the treatment of choroideremia and for 4D-310 for the treatment of Fabry disease.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93"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7" w:name="page78"/>
    <w:bookmarkEnd w:id="77"/>
    <w:p>
      <w:pPr>
        <w:ind w:right="60" w:firstLine="636"/>
        <w:spacing w:after="0" w:line="236" w:lineRule="auto"/>
        <w:rPr>
          <w:sz w:val="20"/>
          <w:szCs w:val="20"/>
          <w:color w:val="auto"/>
        </w:rPr>
      </w:pPr>
      <w:r>
        <w:rPr>
          <w:rFonts w:ascii="Arial" w:cs="Arial" w:eastAsia="Arial" w:hAnsi="Arial"/>
          <w:sz w:val="18"/>
          <w:szCs w:val="18"/>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207"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with different active moieties can be approved for the same condition.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seriously harm our business.</w:t>
      </w:r>
    </w:p>
    <w:p>
      <w:pPr>
        <w:spacing w:after="0" w:line="83" w:lineRule="exact"/>
        <w:rPr>
          <w:sz w:val="20"/>
          <w:szCs w:val="20"/>
          <w:color w:val="auto"/>
        </w:rPr>
      </w:pPr>
    </w:p>
    <w:p>
      <w:pPr>
        <w:ind w:right="60" w:firstLine="636"/>
        <w:spacing w:after="0" w:line="250" w:lineRule="auto"/>
        <w:rPr>
          <w:sz w:val="20"/>
          <w:szCs w:val="20"/>
          <w:color w:val="auto"/>
        </w:rPr>
      </w:pPr>
      <w:r>
        <w:rPr>
          <w:rFonts w:ascii="Arial" w:cs="Arial" w:eastAsia="Arial" w:hAnsi="Arial"/>
          <w:sz w:val="17"/>
          <w:szCs w:val="17"/>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to commercialize our product candidates and may affect the prices we may set</w:t>
      </w:r>
      <w:r>
        <w:rPr>
          <w:rFonts w:ascii="Arial" w:cs="Arial" w:eastAsia="Arial" w:hAnsi="Arial"/>
          <w:sz w:val="18"/>
          <w:szCs w:val="18"/>
          <w:color w:val="auto"/>
        </w:rPr>
        <w:t>.</w:t>
      </w:r>
    </w:p>
    <w:p>
      <w:pPr>
        <w:spacing w:after="0" w:line="68"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95" w:lineRule="exact"/>
        <w:rPr>
          <w:sz w:val="20"/>
          <w:szCs w:val="20"/>
          <w:color w:val="auto"/>
        </w:rPr>
      </w:pPr>
    </w:p>
    <w:p>
      <w:pPr>
        <w:jc w:val="both"/>
        <w:ind w:left="900" w:right="4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4" w:lineRule="exact"/>
        <w:rPr>
          <w:rFonts w:ascii="Arial" w:cs="Arial" w:eastAsia="Arial" w:hAnsi="Arial"/>
          <w:sz w:val="18"/>
          <w:szCs w:val="18"/>
          <w:color w:val="auto"/>
        </w:rPr>
      </w:pPr>
    </w:p>
    <w:p>
      <w:pPr>
        <w:ind w:left="900" w:right="2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94" w:lineRule="exact"/>
        <w:rPr>
          <w:rFonts w:ascii="Arial" w:cs="Arial" w:eastAsia="Arial" w:hAnsi="Arial"/>
          <w:sz w:val="18"/>
          <w:szCs w:val="18"/>
          <w:color w:val="auto"/>
        </w:rPr>
      </w:pPr>
    </w:p>
    <w:p>
      <w:pPr>
        <w:ind w:left="900" w:right="780" w:hanging="256"/>
        <w:spacing w:after="0" w:line="24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to the minimum Medicaid rebates owed by manufacturers under the Medicaid Drug Rebate Program and an extension the rebate program to individuals enrolled in Medicaid managed care organizations;</w:t>
      </w:r>
    </w:p>
    <w:p>
      <w:pPr>
        <w:spacing w:after="0" w:line="88" w:lineRule="exact"/>
        <w:rPr>
          <w:rFonts w:ascii="Arial" w:cs="Arial" w:eastAsia="Arial" w:hAnsi="Arial"/>
          <w:sz w:val="18"/>
          <w:szCs w:val="18"/>
          <w:color w:val="auto"/>
        </w:rPr>
      </w:pPr>
    </w:p>
    <w:p>
      <w:pPr>
        <w:ind w:left="900" w:right="120" w:hanging="256"/>
        <w:spacing w:after="0" w:line="24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8" w:lineRule="exact"/>
        <w:rPr>
          <w:rFonts w:ascii="Arial" w:cs="Arial" w:eastAsia="Arial" w:hAnsi="Arial"/>
          <w:sz w:val="18"/>
          <w:szCs w:val="18"/>
          <w:color w:val="auto"/>
        </w:rPr>
      </w:pPr>
    </w:p>
    <w:p>
      <w:pPr>
        <w:ind w:left="900" w:right="4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90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900" w:right="880" w:hanging="256"/>
        <w:spacing w:after="0" w:line="24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8" w:lineRule="exact"/>
        <w:rPr>
          <w:rFonts w:ascii="Arial" w:cs="Arial" w:eastAsia="Arial" w:hAnsi="Arial"/>
          <w:sz w:val="18"/>
          <w:szCs w:val="18"/>
          <w:color w:val="auto"/>
        </w:rPr>
      </w:pPr>
    </w:p>
    <w:p>
      <w:pPr>
        <w:ind w:left="900" w:right="100" w:hanging="256"/>
        <w:spacing w:after="0" w:line="27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175"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79" w:name="page80"/>
    <w:bookmarkEnd w:id="79"/>
    <w:p>
      <w:pPr>
        <w:ind w:right="120" w:firstLine="636"/>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with the exception of a temporary suspension from May 1, 2020 through March 31, 2022,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seriously harm our business.</w:t>
      </w:r>
    </w:p>
    <w:p>
      <w:pPr>
        <w:spacing w:after="0" w:line="207"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Further, it is possible that additional governmental action is taken in response to the COVID-19 pandemic.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p>
    <w:p>
      <w:pPr>
        <w:spacing w:after="0" w:line="205"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0" w:name="page81"/>
    <w:bookmarkEnd w:id="80"/>
    <w:p>
      <w:pPr>
        <w:jc w:val="both"/>
        <w:ind w:right="20" w:firstLine="636"/>
        <w:spacing w:after="0" w:line="234"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207"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products at competitive prices which would seriously harm our business.</w:t>
      </w:r>
    </w:p>
    <w:p>
      <w:pPr>
        <w:spacing w:after="0" w:line="83"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8"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 therapy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20" w:firstLine="636"/>
        <w:spacing w:after="0" w:line="236"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208"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p>
    <w:p>
      <w:pPr>
        <w:spacing w:after="0" w:line="2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right="340"/>
        <w:spacing w:after="0" w:line="27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8" w:lineRule="exact"/>
        <w:rPr>
          <w:sz w:val="20"/>
          <w:szCs w:val="20"/>
          <w:color w:val="auto"/>
        </w:rPr>
      </w:pPr>
    </w:p>
    <w:p>
      <w:pPr>
        <w:ind w:right="20" w:firstLine="636"/>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p>
    <w:p>
      <w:pPr>
        <w:spacing w:after="0" w:line="3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p>
    <w:p>
      <w:pPr>
        <w:spacing w:after="0" w:line="83" w:lineRule="exact"/>
        <w:rPr>
          <w:sz w:val="20"/>
          <w:szCs w:val="20"/>
          <w:color w:val="auto"/>
        </w:rPr>
      </w:pPr>
    </w:p>
    <w:p>
      <w:pPr>
        <w:ind w:right="220" w:firstLine="636"/>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7" w:lineRule="exact"/>
        <w:rPr>
          <w:sz w:val="20"/>
          <w:szCs w:val="20"/>
          <w:color w:val="auto"/>
        </w:rPr>
      </w:pPr>
    </w:p>
    <w:p>
      <w:pPr>
        <w:ind w:left="900" w:hanging="256"/>
        <w:spacing w:after="0" w:line="23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83" w:name="page84"/>
    <w:bookmarkEnd w:id="83"/>
    <w:p>
      <w:pPr>
        <w:ind w:left="256" w:hanging="256"/>
        <w:spacing w:after="0" w:line="236"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U.S. federal civil and criminal false claims and civil monetary penalties laws, including the civil federal False Claims Act, which can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98" w:lineRule="exact"/>
        <w:rPr>
          <w:rFonts w:ascii="Arial" w:cs="Arial" w:eastAsia="Arial" w:hAnsi="Arial"/>
          <w:sz w:val="18"/>
          <w:szCs w:val="18"/>
          <w:color w:val="auto"/>
        </w:rPr>
      </w:pPr>
    </w:p>
    <w:p>
      <w:pPr>
        <w:ind w:left="256" w:hanging="256"/>
        <w:spacing w:after="0" w:line="237"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96" w:lineRule="exact"/>
        <w:rPr>
          <w:rFonts w:ascii="Arial" w:cs="Arial" w:eastAsia="Arial" w:hAnsi="Arial"/>
          <w:sz w:val="18"/>
          <w:szCs w:val="18"/>
          <w:color w:val="auto"/>
        </w:rPr>
      </w:pPr>
    </w:p>
    <w:p>
      <w:pPr>
        <w:ind w:left="256" w:hanging="256"/>
        <w:spacing w:after="0"/>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03" w:lineRule="exact"/>
        <w:rPr>
          <w:rFonts w:ascii="Arial" w:cs="Arial" w:eastAsia="Arial" w:hAnsi="Arial"/>
          <w:sz w:val="18"/>
          <w:szCs w:val="18"/>
          <w:color w:val="auto"/>
        </w:rPr>
      </w:pPr>
    </w:p>
    <w:p>
      <w:pPr>
        <w:ind w:left="256" w:right="160" w:hanging="256"/>
        <w:spacing w:after="0" w:line="246"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88" w:lineRule="exact"/>
        <w:rPr>
          <w:rFonts w:ascii="Arial" w:cs="Arial" w:eastAsia="Arial" w:hAnsi="Arial"/>
          <w:sz w:val="18"/>
          <w:szCs w:val="18"/>
          <w:color w:val="auto"/>
        </w:rPr>
      </w:pPr>
    </w:p>
    <w:p>
      <w:pPr>
        <w:ind w:left="256" w:right="60" w:hanging="256"/>
        <w:spacing w:after="0" w:line="237"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(as defined by statute), certain other non-physician practitioners (including physician assistants, nurse practitioners, clinical nurse specialists, certified nurse anesthetists, anesthesiology assistants, and certified nurse midwives) and teaching hospitals, as well as ownership and investment interests held by physicians and their immediate family members;</w:t>
      </w:r>
    </w:p>
    <w:p>
      <w:pPr>
        <w:spacing w:after="0" w:line="96" w:lineRule="exact"/>
        <w:rPr>
          <w:rFonts w:ascii="Arial" w:cs="Arial" w:eastAsia="Arial" w:hAnsi="Arial"/>
          <w:sz w:val="18"/>
          <w:szCs w:val="18"/>
          <w:color w:val="auto"/>
        </w:rPr>
      </w:pPr>
    </w:p>
    <w:p>
      <w:pPr>
        <w:ind w:left="256" w:right="100" w:hanging="256"/>
        <w:spacing w:after="0" w:line="236"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99" w:lineRule="exact"/>
        <w:rPr>
          <w:rFonts w:ascii="Arial" w:cs="Arial" w:eastAsia="Arial" w:hAnsi="Arial"/>
          <w:sz w:val="18"/>
          <w:szCs w:val="18"/>
          <w:color w:val="auto"/>
        </w:rPr>
      </w:pPr>
    </w:p>
    <w:p>
      <w:pPr>
        <w:ind w:left="256" w:right="120" w:hanging="256"/>
        <w:spacing w:after="0" w:line="246"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other jurisdictions, including reporting requirements detailing interactions with and payments to healthcare providers.</w:t>
      </w:r>
    </w:p>
    <w:p>
      <w:pPr>
        <w:spacing w:after="0" w:line="197" w:lineRule="exact"/>
        <w:rPr>
          <w:sz w:val="20"/>
          <w:szCs w:val="20"/>
          <w:color w:val="auto"/>
        </w:rPr>
      </w:pPr>
    </w:p>
    <w:p>
      <w:pPr>
        <w:ind w:left="4876"/>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76"/>
          </w:cols>
          <w:pgMar w:left="964" w:top="449" w:right="359" w:bottom="1440" w:gutter="0" w:footer="0" w:header="0"/>
        </w:sectPr>
      </w:pPr>
    </w:p>
    <w:bookmarkStart w:id="84" w:name="page85"/>
    <w:bookmarkEnd w:id="84"/>
    <w:p>
      <w:pPr>
        <w:ind w:firstLine="636"/>
        <w:spacing w:after="0" w:line="237" w:lineRule="auto"/>
        <w:rPr>
          <w:sz w:val="20"/>
          <w:szCs w:val="20"/>
          <w:color w:val="auto"/>
        </w:rPr>
      </w:pPr>
      <w:r>
        <w:rPr>
          <w:rFonts w:ascii="Arial" w:cs="Arial" w:eastAsia="Arial" w:hAnsi="Arial"/>
          <w:sz w:val="18"/>
          <w:szCs w:val="18"/>
          <w:color w:val="auto"/>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p>
    <w:p>
      <w:pPr>
        <w:spacing w:after="0" w:line="205" w:lineRule="exact"/>
        <w:rPr>
          <w:sz w:val="20"/>
          <w:szCs w:val="20"/>
          <w:color w:val="auto"/>
        </w:rPr>
      </w:pPr>
    </w:p>
    <w:p>
      <w:pPr>
        <w:ind w:right="40" w:firstLine="636"/>
        <w:spacing w:after="0" w:line="235"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8" w:lineRule="exact"/>
        <w:rPr>
          <w:sz w:val="20"/>
          <w:szCs w:val="20"/>
          <w:color w:val="auto"/>
        </w:rPr>
      </w:pPr>
    </w:p>
    <w:p>
      <w:pPr>
        <w:ind w:right="100" w:firstLine="636"/>
        <w:spacing w:after="0" w:line="236" w:lineRule="auto"/>
        <w:rPr>
          <w:sz w:val="20"/>
          <w:szCs w:val="20"/>
          <w:color w:val="auto"/>
        </w:rPr>
      </w:pPr>
      <w:r>
        <w:rPr>
          <w:rFonts w:ascii="Arial" w:cs="Arial" w:eastAsia="Arial" w:hAnsi="Arial"/>
          <w:sz w:val="18"/>
          <w:szCs w:val="18"/>
          <w:color w:val="auto"/>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83"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clinical data assessments and analysis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205"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203"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205"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product candidates, producing additional losses and depriving us of potential product revenue.</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83"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have sought, and may in the future seek third-party collaborators for the research, development and commercialization of certain of the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4" w:lineRule="exact"/>
        <w:rPr>
          <w:sz w:val="20"/>
          <w:szCs w:val="20"/>
          <w:color w:val="auto"/>
        </w:rPr>
      </w:pPr>
    </w:p>
    <w:p>
      <w:pPr>
        <w:ind w:left="260" w:right="1000" w:hanging="256"/>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88" w:lineRule="exact"/>
        <w:rPr>
          <w:rFonts w:ascii="Arial" w:cs="Arial" w:eastAsia="Arial" w:hAnsi="Arial"/>
          <w:sz w:val="18"/>
          <w:szCs w:val="18"/>
          <w:color w:val="auto"/>
        </w:rPr>
      </w:pPr>
    </w:p>
    <w:p>
      <w:pPr>
        <w:ind w:left="260" w:right="60" w:hanging="256"/>
        <w:spacing w:after="0" w:line="238"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ind w:left="260" w:right="48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94" w:lineRule="exact"/>
        <w:rPr>
          <w:rFonts w:ascii="Arial" w:cs="Arial" w:eastAsia="Arial" w:hAnsi="Arial"/>
          <w:sz w:val="18"/>
          <w:szCs w:val="18"/>
          <w:color w:val="auto"/>
        </w:rPr>
      </w:pPr>
    </w:p>
    <w:p>
      <w:pPr>
        <w:ind w:lef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03" w:lineRule="exact"/>
        <w:rPr>
          <w:rFonts w:ascii="Arial" w:cs="Arial" w:eastAsia="Arial" w:hAnsi="Arial"/>
          <w:sz w:val="18"/>
          <w:szCs w:val="18"/>
          <w:color w:val="auto"/>
        </w:rPr>
      </w:pPr>
    </w:p>
    <w:p>
      <w:pPr>
        <w:ind w:left="260" w:right="60" w:hanging="256"/>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260" w:right="18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260" w:right="120" w:hanging="256"/>
        <w:spacing w:after="0" w:line="238"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6" w:lineRule="exact"/>
        <w:rPr>
          <w:rFonts w:ascii="Arial" w:cs="Arial" w:eastAsia="Arial" w:hAnsi="Arial"/>
          <w:sz w:val="18"/>
          <w:szCs w:val="18"/>
          <w:color w:val="auto"/>
        </w:rPr>
      </w:pPr>
    </w:p>
    <w:p>
      <w:pPr>
        <w:ind w:left="260" w:right="580" w:hanging="256"/>
        <w:spacing w:after="0" w:line="274" w:lineRule="auto"/>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6" w:lineRule="exact"/>
        <w:rPr>
          <w:rFonts w:ascii="Arial" w:cs="Arial" w:eastAsia="Arial" w:hAnsi="Arial"/>
          <w:sz w:val="17"/>
          <w:szCs w:val="17"/>
          <w:color w:val="auto"/>
        </w:rPr>
      </w:pPr>
    </w:p>
    <w:p>
      <w:pPr>
        <w:ind w:left="260" w:righ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260" w:right="140" w:hanging="256"/>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260" w:right="460" w:hanging="256"/>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8" w:lineRule="exact"/>
        <w:rPr>
          <w:rFonts w:ascii="Arial" w:cs="Arial" w:eastAsia="Arial" w:hAnsi="Arial"/>
          <w:sz w:val="18"/>
          <w:szCs w:val="18"/>
          <w:color w:val="auto"/>
        </w:rPr>
      </w:pPr>
    </w:p>
    <w:p>
      <w:pPr>
        <w:ind w:left="260" w:right="280" w:hanging="256"/>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8" w:lineRule="exact"/>
        <w:rPr>
          <w:rFonts w:ascii="Arial" w:cs="Arial" w:eastAsia="Arial" w:hAnsi="Arial"/>
          <w:sz w:val="18"/>
          <w:szCs w:val="18"/>
          <w:color w:val="auto"/>
        </w:rPr>
      </w:pPr>
    </w:p>
    <w:p>
      <w:pPr>
        <w:ind w:lef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94" w:lineRule="exact"/>
        <w:rPr>
          <w:rFonts w:ascii="Arial" w:cs="Arial" w:eastAsia="Arial" w:hAnsi="Arial"/>
          <w:sz w:val="18"/>
          <w:szCs w:val="18"/>
          <w:color w:val="auto"/>
        </w:rPr>
      </w:pPr>
    </w:p>
    <w:p>
      <w:pPr>
        <w:ind w:left="260" w:right="28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products and product candidates;</w:t>
      </w:r>
    </w:p>
    <w:p>
      <w:pPr>
        <w:spacing w:after="0" w:line="94" w:lineRule="exact"/>
        <w:rPr>
          <w:rFonts w:ascii="Arial" w:cs="Arial" w:eastAsia="Arial" w:hAnsi="Arial"/>
          <w:sz w:val="18"/>
          <w:szCs w:val="18"/>
          <w:color w:val="auto"/>
        </w:rPr>
      </w:pPr>
    </w:p>
    <w:p>
      <w:pPr>
        <w:ind w:lef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60" w:top="557" w:right="339" w:bottom="1440" w:gutter="0" w:footer="0" w:header="0"/>
        </w:sectPr>
      </w:pPr>
    </w:p>
    <w:bookmarkStart w:id="87" w:name="page88"/>
    <w:bookmarkEnd w:id="87"/>
    <w:p>
      <w:pPr>
        <w:ind w:left="900" w:right="260" w:hanging="25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900" w:right="200" w:hanging="25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Therapeutic Vector Evolution platform technology; and</w:t>
      </w:r>
    </w:p>
    <w:p>
      <w:pPr>
        <w:spacing w:after="0" w:line="88" w:lineRule="exact"/>
        <w:rPr>
          <w:rFonts w:ascii="Arial" w:cs="Arial" w:eastAsia="Arial" w:hAnsi="Arial"/>
          <w:sz w:val="18"/>
          <w:szCs w:val="18"/>
          <w:color w:val="auto"/>
        </w:rPr>
      </w:pPr>
    </w:p>
    <w:p>
      <w:pPr>
        <w:ind w:left="900" w:hanging="256"/>
        <w:spacing w:after="0" w:line="24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97"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spacing w:after="0" w:line="207"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we have two granted patents (U.S. patent nos. 10,883,117 and 11,136,557) and four pending patent applications (U.S. patent application nos. 16/315,032, 16/486,681, 17/107,461 and 17,468,290), that were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U.S. patent no. 11,136,557 was made with the support of U.C. Berkeley and relates to our A101 vector.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spacing w:after="0" w:line="213"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p>
    <w:p>
      <w:pPr>
        <w:spacing w:after="0" w:line="205" w:lineRule="exact"/>
        <w:rPr>
          <w:sz w:val="20"/>
          <w:szCs w:val="20"/>
          <w:color w:val="auto"/>
        </w:rPr>
      </w:pPr>
    </w:p>
    <w:p>
      <w:pPr>
        <w:jc w:val="both"/>
        <w:ind w:right="100" w:firstLine="636"/>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p>
    <w:p>
      <w:pPr>
        <w:spacing w:after="0" w:line="95" w:lineRule="exact"/>
        <w:rPr>
          <w:sz w:val="20"/>
          <w:szCs w:val="20"/>
          <w:color w:val="auto"/>
        </w:rPr>
      </w:pPr>
    </w:p>
    <w:p>
      <w:pPr>
        <w:ind w:left="900" w:right="140" w:hanging="256"/>
        <w:spacing w:after="0" w:line="23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6" w:lineRule="exact"/>
        <w:rPr>
          <w:rFonts w:ascii="Arial" w:cs="Arial" w:eastAsia="Arial" w:hAnsi="Arial"/>
          <w:sz w:val="18"/>
          <w:szCs w:val="18"/>
          <w:color w:val="auto"/>
        </w:rPr>
      </w:pPr>
    </w:p>
    <w:p>
      <w:pPr>
        <w:ind w:left="900" w:hanging="25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03" w:lineRule="exact"/>
        <w:rPr>
          <w:rFonts w:ascii="Arial" w:cs="Arial" w:eastAsia="Arial" w:hAnsi="Arial"/>
          <w:sz w:val="18"/>
          <w:szCs w:val="18"/>
          <w:color w:val="auto"/>
        </w:rPr>
      </w:pPr>
    </w:p>
    <w:p>
      <w:pPr>
        <w:ind w:left="900" w:right="820" w:hanging="256"/>
        <w:spacing w:after="0" w:line="24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ind w:left="900" w:right="140" w:hanging="25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89" w:name="page90"/>
    <w:bookmarkEnd w:id="89"/>
    <w:p>
      <w:pPr>
        <w:ind w:left="900" w:right="60" w:hanging="256"/>
        <w:spacing w:after="0" w:line="23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96" w:lineRule="exact"/>
        <w:rPr>
          <w:rFonts w:ascii="Arial" w:cs="Arial" w:eastAsia="Arial" w:hAnsi="Arial"/>
          <w:sz w:val="18"/>
          <w:szCs w:val="18"/>
          <w:color w:val="auto"/>
        </w:rPr>
      </w:pPr>
    </w:p>
    <w:p>
      <w:pPr>
        <w:ind w:left="900" w:right="240" w:hanging="256"/>
        <w:spacing w:after="0" w:line="24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88" w:lineRule="exact"/>
        <w:rPr>
          <w:rFonts w:ascii="Arial" w:cs="Arial" w:eastAsia="Arial" w:hAnsi="Arial"/>
          <w:sz w:val="18"/>
          <w:szCs w:val="18"/>
          <w:color w:val="auto"/>
        </w:rPr>
      </w:pPr>
    </w:p>
    <w:p>
      <w:pPr>
        <w:ind w:left="900" w:right="20" w:hanging="25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w:t>
      </w:r>
    </w:p>
    <w:p>
      <w:pPr>
        <w:spacing w:after="0" w:line="94" w:lineRule="exact"/>
        <w:rPr>
          <w:rFonts w:ascii="Arial" w:cs="Arial" w:eastAsia="Arial" w:hAnsi="Arial"/>
          <w:sz w:val="18"/>
          <w:szCs w:val="18"/>
          <w:color w:val="auto"/>
        </w:rPr>
      </w:pPr>
    </w:p>
    <w:p>
      <w:pPr>
        <w:ind w:left="900" w:right="200" w:hanging="25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94" w:lineRule="exact"/>
        <w:rPr>
          <w:rFonts w:ascii="Arial" w:cs="Arial" w:eastAsia="Arial" w:hAnsi="Arial"/>
          <w:sz w:val="18"/>
          <w:szCs w:val="18"/>
          <w:color w:val="auto"/>
        </w:rPr>
      </w:pPr>
    </w:p>
    <w:p>
      <w:pPr>
        <w:ind w:left="900" w:right="400" w:hanging="25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4" w:lineRule="exact"/>
        <w:rPr>
          <w:rFonts w:ascii="Arial" w:cs="Arial" w:eastAsia="Arial" w:hAnsi="Arial"/>
          <w:sz w:val="18"/>
          <w:szCs w:val="18"/>
          <w:color w:val="auto"/>
        </w:rPr>
      </w:pPr>
    </w:p>
    <w:p>
      <w:pPr>
        <w:ind w:left="900" w:right="600" w:hanging="256"/>
        <w:spacing w:after="0" w:line="24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p>
    <w:p>
      <w:pPr>
        <w:spacing w:after="0" w:line="203"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 xml:space="preserve">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0" w:name="page91"/>
    <w:bookmarkEnd w:id="90"/>
    <w:p>
      <w:pPr>
        <w:ind w:right="40" w:firstLine="636"/>
        <w:spacing w:after="0" w:line="238"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205"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04" w:lineRule="exact"/>
        <w:rPr>
          <w:sz w:val="20"/>
          <w:szCs w:val="20"/>
          <w:color w:val="auto"/>
        </w:rPr>
      </w:pPr>
    </w:p>
    <w:p>
      <w:pPr>
        <w:ind w:left="900" w:right="50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03" w:lineRule="exact"/>
        <w:rPr>
          <w:rFonts w:ascii="Arial" w:cs="Arial" w:eastAsia="Arial" w:hAnsi="Arial"/>
          <w:sz w:val="18"/>
          <w:szCs w:val="18"/>
          <w:color w:val="auto"/>
        </w:rPr>
      </w:pPr>
    </w:p>
    <w:p>
      <w:pPr>
        <w:ind w:left="90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88" w:lineRule="exact"/>
        <w:rPr>
          <w:rFonts w:ascii="Arial" w:cs="Arial" w:eastAsia="Arial" w:hAnsi="Arial"/>
          <w:sz w:val="18"/>
          <w:szCs w:val="18"/>
          <w:color w:val="auto"/>
        </w:rPr>
      </w:pPr>
    </w:p>
    <w:p>
      <w:pPr>
        <w:ind w:left="900" w:right="50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on a substantial scale, if approved, before the relevant patents that we own or license expire;</w:t>
      </w:r>
    </w:p>
    <w:p>
      <w:pPr>
        <w:spacing w:after="0" w:line="88" w:lineRule="exact"/>
        <w:rPr>
          <w:rFonts w:ascii="Arial" w:cs="Arial" w:eastAsia="Arial" w:hAnsi="Arial"/>
          <w:sz w:val="18"/>
          <w:szCs w:val="18"/>
          <w:color w:val="auto"/>
        </w:rPr>
      </w:pPr>
    </w:p>
    <w:p>
      <w:pPr>
        <w:ind w:left="900" w:right="16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were the first to make the inventions covered by each of the patents and pending patent applications that we own or license;</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03" w:lineRule="exact"/>
        <w:rPr>
          <w:rFonts w:ascii="Arial" w:cs="Arial" w:eastAsia="Arial" w:hAnsi="Arial"/>
          <w:sz w:val="18"/>
          <w:szCs w:val="18"/>
          <w:color w:val="auto"/>
        </w:rPr>
      </w:pPr>
    </w:p>
    <w:p>
      <w:pPr>
        <w:ind w:left="900" w:right="22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88" w:lineRule="exact"/>
        <w:rPr>
          <w:rFonts w:ascii="Arial" w:cs="Arial" w:eastAsia="Arial" w:hAnsi="Arial"/>
          <w:sz w:val="18"/>
          <w:szCs w:val="18"/>
          <w:color w:val="auto"/>
        </w:rPr>
      </w:pPr>
    </w:p>
    <w:p>
      <w:pPr>
        <w:ind w:left="900" w:right="240" w:hanging="256"/>
        <w:spacing w:after="0" w:line="24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03" w:lineRule="exact"/>
        <w:rPr>
          <w:rFonts w:ascii="Arial" w:cs="Arial" w:eastAsia="Arial" w:hAnsi="Arial"/>
          <w:sz w:val="18"/>
          <w:szCs w:val="18"/>
          <w:color w:val="auto"/>
        </w:rPr>
      </w:pPr>
    </w:p>
    <w:p>
      <w:pPr>
        <w:ind w:left="900" w:right="14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94"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firstLine="636"/>
        <w:spacing w:after="0" w:line="236"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p>
    <w:p>
      <w:pPr>
        <w:spacing w:after="0" w:line="208"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 candidates and business.</w:t>
      </w:r>
    </w:p>
    <w:p>
      <w:pPr>
        <w:spacing w:after="0" w:line="126"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would be seriously harmed.</w:t>
      </w:r>
    </w:p>
    <w:p>
      <w:pPr>
        <w:spacing w:after="0" w:line="126" w:lineRule="exact"/>
        <w:rPr>
          <w:sz w:val="20"/>
          <w:szCs w:val="20"/>
          <w:color w:val="auto"/>
        </w:rPr>
      </w:pPr>
    </w:p>
    <w:p>
      <w:pPr>
        <w:ind w:right="80" w:firstLine="636"/>
        <w:spacing w:after="0" w:line="235"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collaborator or customer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213"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w:t>
      </w:r>
    </w:p>
    <w:p>
      <w:pPr>
        <w:spacing w:after="0" w:line="20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83"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U.C. Berkeley for all of our rights with respect to the intellectual property covering certain compositions of matter and methods of use of certain AAV variants related to our research candidates in lead optimization stage.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p>
    <w:p>
      <w:pPr>
        <w:spacing w:after="0" w:line="208" w:lineRule="exact"/>
        <w:rPr>
          <w:sz w:val="20"/>
          <w:szCs w:val="20"/>
          <w:color w:val="auto"/>
        </w:rPr>
      </w:pPr>
    </w:p>
    <w:p>
      <w:pPr>
        <w:ind w:right="20" w:firstLine="636"/>
        <w:spacing w:after="0" w:line="246" w:lineRule="auto"/>
        <w:rPr>
          <w:sz w:val="20"/>
          <w:szCs w:val="20"/>
          <w:color w:val="auto"/>
        </w:rPr>
      </w:pPr>
      <w:r>
        <w:rPr>
          <w:rFonts w:ascii="Arial" w:cs="Arial" w:eastAsia="Arial" w:hAnsi="Arial"/>
          <w:sz w:val="18"/>
          <w:szCs w:val="18"/>
          <w:color w:val="auto"/>
        </w:rPr>
        <w:t>Licenses to additional third-party technology that may be required for our development programs may not be available in the future or may not be available on commercially reasonable terms, which could seriously harm our business.</w:t>
      </w:r>
    </w:p>
    <w:p>
      <w:pPr>
        <w:spacing w:after="0" w:line="197" w:lineRule="exact"/>
        <w:rPr>
          <w:sz w:val="20"/>
          <w:szCs w:val="20"/>
          <w:color w:val="auto"/>
        </w:rPr>
      </w:pPr>
    </w:p>
    <w:p>
      <w:pPr>
        <w:ind w:right="100" w:firstLine="636"/>
        <w:spacing w:after="0" w:line="236" w:lineRule="auto"/>
        <w:rPr>
          <w:sz w:val="20"/>
          <w:szCs w:val="20"/>
          <w:color w:val="auto"/>
        </w:rPr>
      </w:pPr>
      <w:r>
        <w:rPr>
          <w:rFonts w:ascii="Arial" w:cs="Arial" w:eastAsia="Arial" w:hAnsi="Arial"/>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04" w:lineRule="exact"/>
        <w:rPr>
          <w:sz w:val="20"/>
          <w:szCs w:val="20"/>
          <w:color w:val="auto"/>
        </w:rPr>
      </w:pPr>
    </w:p>
    <w:p>
      <w:pPr>
        <w:ind w:right="80" w:firstLine="636"/>
        <w:spacing w:after="0" w:line="235" w:lineRule="auto"/>
        <w:rPr>
          <w:sz w:val="20"/>
          <w:szCs w:val="20"/>
          <w:color w:val="auto"/>
        </w:rPr>
      </w:pPr>
      <w:r>
        <w:rPr>
          <w:rFonts w:ascii="Arial" w:cs="Arial" w:eastAsia="Arial" w:hAnsi="Arial"/>
          <w:sz w:val="18"/>
          <w:szCs w:val="18"/>
          <w:color w:val="auto"/>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94" w:name="page95"/>
    <w:bookmarkEnd w:id="94"/>
    <w:p>
      <w:pPr>
        <w:ind w:right="38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whether registered in the future or unregistered now, are not adequately protected, then we may not be able to build name recognition in our markets of interest and our business may be adversely affected.</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520" w:firstLine="636"/>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900" w:right="58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or utilize similar gene therapy technology but that are not covered by the claims of the patents that we own or have exclusively licensed;</w:t>
      </w:r>
    </w:p>
    <w:p>
      <w:pPr>
        <w:spacing w:after="0" w:line="88" w:lineRule="exact"/>
        <w:rPr>
          <w:rFonts w:ascii="Arial" w:cs="Arial" w:eastAsia="Arial" w:hAnsi="Arial"/>
          <w:sz w:val="18"/>
          <w:szCs w:val="18"/>
          <w:color w:val="auto"/>
        </w:rPr>
      </w:pPr>
    </w:p>
    <w:p>
      <w:pPr>
        <w:ind w:left="900" w:right="20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patents or pending patent applications that we own or have exclusively licensed;</w:t>
      </w:r>
    </w:p>
    <w:p>
      <w:pPr>
        <w:spacing w:after="0" w:line="88" w:lineRule="exact"/>
        <w:rPr>
          <w:rFonts w:ascii="Arial" w:cs="Arial" w:eastAsia="Arial" w:hAnsi="Arial"/>
          <w:sz w:val="18"/>
          <w:szCs w:val="18"/>
          <w:color w:val="auto"/>
        </w:rPr>
      </w:pPr>
    </w:p>
    <w:p>
      <w:pPr>
        <w:ind w:left="900" w:right="84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900" w:right="28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900" w:right="18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88" w:lineRule="exact"/>
        <w:rPr>
          <w:rFonts w:ascii="Arial" w:cs="Arial" w:eastAsia="Arial" w:hAnsi="Arial"/>
          <w:sz w:val="18"/>
          <w:szCs w:val="18"/>
          <w:color w:val="auto"/>
        </w:rPr>
      </w:pPr>
    </w:p>
    <w:p>
      <w:pPr>
        <w:ind w:left="900" w:right="100" w:hanging="256"/>
        <w:spacing w:after="0" w:line="24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seriously harm our 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95" w:name="page96"/>
    <w:bookmarkEnd w:id="95"/>
    <w:p>
      <w:pPr>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8"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Any future collaborations that we enter into may not be successful, such as our collaboration agreement with Pfizer that was terminated in 2018, with AstraZeneca that concluded in 2020 without AstraZeneca exercising its option and with Roche that was terminated without cause effective September 2021. The success of our collaboration arrangements will depend heavily on the efforts and activities of our collaborators. Collaborations are subject to numerous risks, which may include that:</w:t>
      </w:r>
    </w:p>
    <w:p>
      <w:pPr>
        <w:spacing w:after="0" w:line="97" w:lineRule="exact"/>
        <w:rPr>
          <w:sz w:val="20"/>
          <w:szCs w:val="20"/>
          <w:color w:val="auto"/>
        </w:rPr>
      </w:pPr>
    </w:p>
    <w:p>
      <w:pPr>
        <w:ind w:left="900" w:hanging="25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03" w:lineRule="exact"/>
        <w:rPr>
          <w:rFonts w:ascii="Arial" w:cs="Arial" w:eastAsia="Arial" w:hAnsi="Arial"/>
          <w:sz w:val="18"/>
          <w:szCs w:val="18"/>
          <w:color w:val="auto"/>
        </w:rPr>
      </w:pPr>
    </w:p>
    <w:p>
      <w:pPr>
        <w:ind w:left="900" w:hanging="256"/>
        <w:spacing w:after="0" w:line="23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900" w:right="40" w:hanging="25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product candidates that compete directly or indirectly with our product candidates;</w:t>
      </w:r>
    </w:p>
    <w:p>
      <w:pPr>
        <w:spacing w:after="0" w:line="88" w:lineRule="exact"/>
        <w:rPr>
          <w:rFonts w:ascii="Arial" w:cs="Arial" w:eastAsia="Arial" w:hAnsi="Arial"/>
          <w:sz w:val="18"/>
          <w:szCs w:val="18"/>
          <w:color w:val="auto"/>
        </w:rPr>
      </w:pPr>
    </w:p>
    <w:p>
      <w:pPr>
        <w:ind w:left="900" w:right="460" w:hanging="25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and product candidates may not commit sufficient resources to or otherwise not perform satisfactorily in carrying out these activities;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03" w:lineRule="exact"/>
        <w:rPr>
          <w:rFonts w:ascii="Arial" w:cs="Arial" w:eastAsia="Arial" w:hAnsi="Arial"/>
          <w:sz w:val="18"/>
          <w:szCs w:val="18"/>
          <w:color w:val="auto"/>
        </w:rPr>
      </w:pPr>
    </w:p>
    <w:p>
      <w:pPr>
        <w:ind w:left="900" w:right="160" w:hanging="25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jc w:val="both"/>
        <w:ind w:left="900" w:right="880" w:hanging="25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94" w:lineRule="exact"/>
        <w:rPr>
          <w:rFonts w:ascii="Arial" w:cs="Arial" w:eastAsia="Arial" w:hAnsi="Arial"/>
          <w:sz w:val="18"/>
          <w:szCs w:val="18"/>
          <w:color w:val="auto"/>
        </w:rPr>
      </w:pPr>
    </w:p>
    <w:p>
      <w:pPr>
        <w:ind w:left="900" w:right="420" w:hanging="25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adversely affect the price of our common stock and may result in a need for additional capital to pursue further development or commercialization of the applicable current or future product candidates;</w:t>
      </w:r>
    </w:p>
    <w:p>
      <w:pPr>
        <w:spacing w:after="0" w:line="94" w:lineRule="exact"/>
        <w:rPr>
          <w:rFonts w:ascii="Arial" w:cs="Arial" w:eastAsia="Arial" w:hAnsi="Arial"/>
          <w:sz w:val="18"/>
          <w:szCs w:val="18"/>
          <w:color w:val="auto"/>
        </w:rPr>
      </w:pPr>
    </w:p>
    <w:p>
      <w:pPr>
        <w:ind w:left="900" w:right="380" w:hanging="25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88" w:lineRule="exact"/>
        <w:rPr>
          <w:rFonts w:ascii="Arial" w:cs="Arial" w:eastAsia="Arial" w:hAnsi="Arial"/>
          <w:sz w:val="18"/>
          <w:szCs w:val="18"/>
          <w:color w:val="auto"/>
        </w:rPr>
      </w:pPr>
    </w:p>
    <w:p>
      <w:pPr>
        <w:ind w:left="900" w:right="160" w:hanging="25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8"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96" w:name="page97"/>
    <w:bookmarkEnd w:id="96"/>
    <w:p>
      <w:pPr>
        <w:ind w:firstLine="636"/>
        <w:spacing w:after="0" w:line="238" w:lineRule="auto"/>
        <w:rPr>
          <w:sz w:val="20"/>
          <w:szCs w:val="20"/>
          <w:color w:val="auto"/>
        </w:rPr>
      </w:pPr>
      <w:r>
        <w:rPr>
          <w:rFonts w:ascii="Arial" w:cs="Arial" w:eastAsia="Arial" w:hAnsi="Arial"/>
          <w:sz w:val="18"/>
          <w:szCs w:val="18"/>
          <w:color w:val="auto"/>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205"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26" w:lineRule="exact"/>
        <w:rPr>
          <w:sz w:val="20"/>
          <w:szCs w:val="20"/>
          <w:color w:val="auto"/>
        </w:rPr>
      </w:pPr>
    </w:p>
    <w:p>
      <w:pPr>
        <w:jc w:val="both"/>
        <w:ind w:right="100" w:firstLine="636"/>
        <w:spacing w:after="0"/>
        <w:rPr>
          <w:sz w:val="20"/>
          <w:szCs w:val="20"/>
          <w:color w:val="auto"/>
        </w:rPr>
      </w:pPr>
      <w:r>
        <w:rPr>
          <w:rFonts w:ascii="Arial" w:cs="Arial" w:eastAsia="Arial" w:hAnsi="Arial"/>
          <w:sz w:val="18"/>
          <w:szCs w:val="18"/>
          <w:color w:val="auto"/>
        </w:rPr>
        <w:t>As of December 31, 2021, we had 124 full-time employees.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95" w:lineRule="exact"/>
        <w:rPr>
          <w:sz w:val="20"/>
          <w:szCs w:val="20"/>
          <w:color w:val="auto"/>
        </w:rPr>
      </w:pPr>
    </w:p>
    <w:p>
      <w:pPr>
        <w:ind w:left="900" w:hanging="25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03" w:lineRule="exact"/>
        <w:rPr>
          <w:rFonts w:ascii="Arial" w:cs="Arial" w:eastAsia="Arial" w:hAnsi="Arial"/>
          <w:sz w:val="18"/>
          <w:szCs w:val="18"/>
          <w:color w:val="auto"/>
        </w:rPr>
      </w:pPr>
    </w:p>
    <w:p>
      <w:pPr>
        <w:ind w:left="900" w:right="300" w:hanging="256"/>
        <w:spacing w:after="0" w:line="24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12" w:lineRule="exact"/>
        <w:rPr>
          <w:sz w:val="20"/>
          <w:szCs w:val="20"/>
          <w:color w:val="auto"/>
        </w:rPr>
      </w:pPr>
    </w:p>
    <w:p>
      <w:pPr>
        <w:jc w:val="both"/>
        <w:ind w:right="100" w:firstLine="636"/>
        <w:spacing w:after="0"/>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203"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03"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other factors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2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right="500" w:firstLine="636"/>
        <w:spacing w:after="0"/>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95" w:lineRule="exact"/>
        <w:rPr>
          <w:sz w:val="20"/>
          <w:szCs w:val="20"/>
          <w:color w:val="auto"/>
        </w:rPr>
      </w:pPr>
    </w:p>
    <w:p>
      <w:pPr>
        <w:ind w:left="900" w:hanging="25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03" w:lineRule="exact"/>
        <w:rPr>
          <w:rFonts w:ascii="Arial" w:cs="Arial" w:eastAsia="Arial" w:hAnsi="Arial"/>
          <w:sz w:val="18"/>
          <w:szCs w:val="18"/>
          <w:color w:val="auto"/>
        </w:rPr>
      </w:pPr>
    </w:p>
    <w:p>
      <w:pPr>
        <w:ind w:left="900" w:right="320" w:hanging="256"/>
        <w:spacing w:after="0" w:line="24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88" w:lineRule="exact"/>
        <w:rPr>
          <w:rFonts w:ascii="Arial" w:cs="Arial" w:eastAsia="Arial" w:hAnsi="Arial"/>
          <w:sz w:val="18"/>
          <w:szCs w:val="18"/>
          <w:color w:val="auto"/>
        </w:rPr>
      </w:pPr>
    </w:p>
    <w:p>
      <w:pPr>
        <w:ind w:left="900" w:right="20" w:hanging="256"/>
        <w:spacing w:after="0" w:line="24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900" w:right="640" w:hanging="256"/>
        <w:spacing w:after="0" w:line="24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88" w:lineRule="exact"/>
        <w:rPr>
          <w:rFonts w:ascii="Arial" w:cs="Arial" w:eastAsia="Arial" w:hAnsi="Arial"/>
          <w:sz w:val="18"/>
          <w:szCs w:val="18"/>
          <w:color w:val="auto"/>
        </w:rPr>
      </w:pPr>
    </w:p>
    <w:p>
      <w:pPr>
        <w:ind w:left="900" w:right="160" w:hanging="256"/>
        <w:spacing w:after="0" w:line="24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7" w:lineRule="exact"/>
        <w:rPr>
          <w:sz w:val="20"/>
          <w:szCs w:val="20"/>
          <w:color w:val="auto"/>
        </w:rPr>
      </w:pPr>
    </w:p>
    <w:p>
      <w:pPr>
        <w:ind w:right="40" w:firstLine="636"/>
        <w:spacing w:after="0" w:line="246"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98" w:name="page99"/>
    <w:bookmarkEnd w:id="98"/>
    <w:p>
      <w:pPr>
        <w:spacing w:after="0" w:line="271"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or other contractors or consultants, may fail or suffer security breaches and other disruptions.</w:t>
      </w:r>
    </w:p>
    <w:p>
      <w:pPr>
        <w:spacing w:after="0" w:line="68"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We have experienced certain cyberattacks from time to time, but we do not believe that any such incidents have been material. Despite the implementation of security measures, our internal information technology systems and those of our collaborators, future CROs and other contractors and consultants may be vulnerable to damage from computer viruses, natural disasters, terrorism, war, telecommunication and electrical failures, hacking, cyberattacks, phishing attacks and other social engineering schemes, denial or degradation of service attacks, unauthorized access or use,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As a result of the COVID-19 pandemic, we and our third party service providers and partners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Our third party service providers and partners are also subject to these heightened risks.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w:t>
      </w:r>
    </w:p>
    <w:p>
      <w:pPr>
        <w:spacing w:after="0" w:line="21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Business disruptions could seriously harm our business.</w:t>
      </w:r>
    </w:p>
    <w:p>
      <w:pPr>
        <w:spacing w:after="0" w:line="126" w:lineRule="exact"/>
        <w:rPr>
          <w:sz w:val="20"/>
          <w:szCs w:val="20"/>
          <w:color w:val="auto"/>
        </w:rPr>
      </w:pPr>
    </w:p>
    <w:p>
      <w:pPr>
        <w:ind w:right="220" w:firstLine="636"/>
        <w:spacing w:after="0" w:line="255"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p>
    <w:p>
      <w:pPr>
        <w:spacing w:after="0" w:line="190"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8" w:lineRule="exact"/>
        <w:rPr>
          <w:sz w:val="20"/>
          <w:szCs w:val="20"/>
          <w:color w:val="auto"/>
        </w:rPr>
      </w:pPr>
    </w:p>
    <w:p>
      <w:pPr>
        <w:ind w:right="160" w:firstLine="636"/>
        <w:spacing w:after="0" w:line="236"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0" w:name="page101"/>
    <w:bookmarkEnd w:id="100"/>
    <w:p>
      <w:pPr>
        <w:ind w:right="20" w:firstLine="636"/>
        <w:spacing w:after="0" w:line="235"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Such laws and regulations will be subject to interpretation by various courts and other governmental authorities, thus creating potentially complex compliance issues for us and our future customers and strategic partners. In addition, California enacted the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2"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For example, in July 2020, the CJEU limited how organizations could lawfully transfer personal data from the EEA to the United States by invalidating the Privacy Shield for purposes of international transfers and imposing further restrictions on use of the standard contractual clauses. The European Commission has issued new SCCs that account for the CJEU's decision and we will be required to implement the new SCCs within the relevant timeframes.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Inability to transfer personal information from the European Union, Switzerland or UK to the United States or elsewhere, may restrict our activities in those jurisdictions and limit our ability to provide our products and services in those jurisdictions.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ind w:right="60" w:firstLine="636"/>
        <w:spacing w:after="0" w:line="236" w:lineRule="auto"/>
        <w:rPr>
          <w:sz w:val="20"/>
          <w:szCs w:val="20"/>
          <w:color w:val="auto"/>
        </w:rPr>
      </w:pPr>
      <w:r>
        <w:rPr>
          <w:rFonts w:ascii="Arial" w:cs="Arial" w:eastAsia="Arial" w:hAnsi="Arial"/>
          <w:sz w:val="18"/>
          <w:szCs w:val="18"/>
          <w:color w:val="auto"/>
        </w:rPr>
        <w:t>Further, from January 1, 2021, companies have had to comply with the GDPR and also the United Kingdom GDPR, or the UK GDPR, which, together with the amended UK Data Protection Act 2018, retains the GDPR in UK national law. The UK GDPR mirrors the fines under the GDPR, i.e., fines up to the greater of €20 million (£17.5 million) or 4% of global turnover. The relationship between the UK and the European Union in relation to certain aspects of data protection law remains unclear, and it is unclear how UK data protection laws and regulations will develop in the medium to longer term. These changes may lead to additional costs and increase our overall risk exposure.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or extends that decision.</w:t>
      </w:r>
    </w:p>
    <w:p>
      <w:pPr>
        <w:spacing w:after="0" w:line="208"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6"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seriously harm our business.</w:t>
      </w:r>
    </w:p>
    <w:p>
      <w:pPr>
        <w:spacing w:after="0" w:line="126"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of the factors that may cause the market price of our common stock to fluctuate include:</w:t>
      </w:r>
    </w:p>
    <w:p>
      <w:pPr>
        <w:spacing w:after="0" w:line="104" w:lineRule="exact"/>
        <w:rPr>
          <w:sz w:val="20"/>
          <w:szCs w:val="20"/>
          <w:color w:val="auto"/>
        </w:rPr>
      </w:pPr>
    </w:p>
    <w:p>
      <w:pPr>
        <w:ind w:left="900" w:right="100" w:hanging="256"/>
        <w:spacing w:after="0" w:line="24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from, and any delays in, our clinical trials for our clinical-stage product candidates or any other future clinical development programs, including any delays related to the COVID-19 pandemic;</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develop our Therapeutic Vector Evolution platform technology;</w:t>
      </w:r>
    </w:p>
    <w:p>
      <w:pPr>
        <w:spacing w:after="0" w:line="103" w:lineRule="exact"/>
        <w:rPr>
          <w:rFonts w:ascii="Arial" w:cs="Arial" w:eastAsia="Arial" w:hAnsi="Arial"/>
          <w:sz w:val="18"/>
          <w:szCs w:val="18"/>
          <w:color w:val="auto"/>
        </w:rPr>
      </w:pPr>
    </w:p>
    <w:p>
      <w:pPr>
        <w:ind w:left="900" w:hanging="256"/>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900" w:right="200" w:hanging="256"/>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including sanctions imposed by either the U.S. or foreign governments;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the research programs or product candidates that we may develop;</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900" w:right="300" w:hanging="256"/>
        <w:spacing w:after="0" w:line="24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 such as the military conflict between Ukraine and Russia, and the corresponding tensions created from such conflict between Russia, the United States and countries in Europe as well as other countries such as China;</w:t>
      </w:r>
    </w:p>
    <w:p>
      <w:pPr>
        <w:spacing w:after="0" w:line="94"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60" w:firstLine="636"/>
        <w:spacing w:after="0" w:line="251" w:lineRule="auto"/>
        <w:rPr>
          <w:sz w:val="20"/>
          <w:szCs w:val="20"/>
          <w:color w:val="auto"/>
        </w:rPr>
      </w:pPr>
      <w:r>
        <w:rPr>
          <w:rFonts w:ascii="Arial" w:cs="Arial" w:eastAsia="Arial" w:hAnsi="Arial"/>
          <w:sz w:val="17"/>
          <w:szCs w:val="17"/>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the COVID-19 pandemic and political uncertainty in the United States. Broad market and industry factors may seriously affect the market price of our common stock, regardless of our actual operating performance. Since the completion of our initial public offering (“IPO”) in December 2020, the price of our common stock has been volatile, and we expect such volatility to continue.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49" w:right="659" w:bottom="1440" w:gutter="0" w:footer="0" w:header="0"/>
        </w:sectPr>
      </w:pPr>
    </w:p>
    <w:bookmarkStart w:id="103" w:name="page104"/>
    <w:bookmarkEnd w:id="103"/>
    <w:p>
      <w:pPr>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currently have research coverage by three financial analysts.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jc w:val="both"/>
        <w:ind w:right="280" w:firstLine="50"/>
        <w:spacing w:after="0" w:line="301"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which could cause the market price of our common stock to decline significantly, even if our business is doing well.</w:t>
      </w:r>
    </w:p>
    <w:p>
      <w:pPr>
        <w:spacing w:after="0" w:line="45" w:lineRule="exact"/>
        <w:rPr>
          <w:sz w:val="20"/>
          <w:szCs w:val="20"/>
          <w:color w:val="auto"/>
        </w:rPr>
      </w:pPr>
    </w:p>
    <w:p>
      <w:pPr>
        <w:ind w:right="360" w:firstLine="636"/>
        <w:spacing w:after="0"/>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p>
    <w:p>
      <w:pPr>
        <w:spacing w:after="0" w:line="203"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Further,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w:t>
      </w:r>
    </w:p>
    <w:p>
      <w:pPr>
        <w:spacing w:after="0" w:line="205"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Moreover, holders of an aggregate of 11.6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4" w:name="page105"/>
    <w:bookmarkEnd w:id="104"/>
    <w:p>
      <w:pPr>
        <w:ind w:right="380"/>
        <w:spacing w:after="0" w:line="271" w:lineRule="auto"/>
        <w:rPr>
          <w:sz w:val="20"/>
          <w:szCs w:val="20"/>
          <w:color w:val="auto"/>
        </w:rPr>
      </w:pPr>
      <w:r>
        <w:rPr>
          <w:rFonts w:ascii="Arial" w:cs="Arial" w:eastAsia="Arial" w:hAnsi="Arial"/>
          <w:sz w:val="18"/>
          <w:szCs w:val="18"/>
          <w:b w:val="1"/>
          <w:bCs w:val="1"/>
          <w:i w:val="1"/>
          <w:iCs w:val="1"/>
          <w:color w:val="auto"/>
        </w:rPr>
        <w:t>Insiders have substantial influence over us, which could limit your ability to affect the outcome of key transactions, including a change of control.</w:t>
      </w:r>
    </w:p>
    <w:p>
      <w:pPr>
        <w:spacing w:after="0" w:line="68"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Our directors, executive officers, holders of more than 5% of our outstanding stock and their respective affiliates beneficially own shares representing approximately 46.7% of our outstanding common stock as of December 31, 2021.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83"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(2) the last day of the year in which we have total annual gross revenue of at least $1.07 billion, (3)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5" w:name="page106"/>
    <w:bookmarkEnd w:id="105"/>
    <w:p>
      <w:pPr>
        <w:ind w:firstLine="644"/>
        <w:spacing w:after="0" w:line="23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w:t>
      </w: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seriously harm our business.</w:t>
      </w:r>
    </w:p>
    <w:p>
      <w:pPr>
        <w:spacing w:after="0" w:line="83"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4"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Beginning with this annual report,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207"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when required to do so,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83" w:lineRule="exact"/>
        <w:rPr>
          <w:sz w:val="20"/>
          <w:szCs w:val="20"/>
          <w:color w:val="auto"/>
        </w:rPr>
      </w:pPr>
    </w:p>
    <w:p>
      <w:pPr>
        <w:ind w:right="220" w:firstLine="636"/>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5" w:lineRule="exact"/>
        <w:rPr>
          <w:sz w:val="20"/>
          <w:szCs w:val="20"/>
          <w:color w:val="auto"/>
        </w:rPr>
      </w:pPr>
    </w:p>
    <w:p>
      <w:pPr>
        <w:ind w:left="900" w:right="20" w:hanging="256"/>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900" w:right="540" w:hanging="256"/>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a staggered board, which will result in only a few directors being up for re-election in each calendar year;</w:t>
      </w:r>
    </w:p>
    <w:p>
      <w:pPr>
        <w:spacing w:after="0" w:line="103" w:lineRule="exact"/>
        <w:rPr>
          <w:rFonts w:ascii="Arial" w:cs="Arial" w:eastAsia="Arial" w:hAnsi="Arial"/>
          <w:sz w:val="18"/>
          <w:szCs w:val="18"/>
          <w:color w:val="auto"/>
        </w:rPr>
      </w:pPr>
    </w:p>
    <w:p>
      <w:pPr>
        <w:ind w:left="900" w:right="820" w:hanging="256"/>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w:t>
      </w:r>
    </w:p>
    <w:p>
      <w:pPr>
        <w:spacing w:after="0" w:line="103" w:lineRule="exact"/>
        <w:rPr>
          <w:rFonts w:ascii="Arial" w:cs="Arial" w:eastAsia="Arial" w:hAnsi="Arial"/>
          <w:sz w:val="18"/>
          <w:szCs w:val="18"/>
          <w:color w:val="auto"/>
        </w:rPr>
      </w:pPr>
    </w:p>
    <w:p>
      <w:pPr>
        <w:ind w:left="900" w:right="420" w:hanging="256"/>
        <w:spacing w:after="0" w:line="24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our common stock to amend many of the provisions described above; and</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12"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5"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8" w:lineRule="exact"/>
        <w:rPr>
          <w:sz w:val="20"/>
          <w:szCs w:val="20"/>
          <w:color w:val="auto"/>
        </w:rPr>
      </w:pPr>
    </w:p>
    <w:p>
      <w:pPr>
        <w:ind w:right="100" w:firstLine="636"/>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7" w:name="page108"/>
    <w:bookmarkEnd w:id="107"/>
    <w:p>
      <w:pPr>
        <w:ind w:right="600" w:firstLine="636"/>
        <w:spacing w:after="0" w:line="246"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89" w:lineRule="exact"/>
        <w:rPr>
          <w:sz w:val="20"/>
          <w:szCs w:val="20"/>
          <w:color w:val="auto"/>
        </w:rPr>
      </w:pPr>
    </w:p>
    <w:p>
      <w:pPr>
        <w:ind w:left="900" w:right="100" w:hanging="256"/>
        <w:spacing w:after="0" w:line="23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4" w:lineRule="exact"/>
        <w:rPr>
          <w:rFonts w:ascii="Arial" w:cs="Arial" w:eastAsia="Arial" w:hAnsi="Arial"/>
          <w:sz w:val="18"/>
          <w:szCs w:val="18"/>
          <w:color w:val="auto"/>
        </w:rPr>
      </w:pPr>
    </w:p>
    <w:p>
      <w:pPr>
        <w:ind w:left="900" w:right="700" w:hanging="256"/>
        <w:spacing w:after="0" w:line="24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88" w:lineRule="exact"/>
        <w:rPr>
          <w:rFonts w:ascii="Arial" w:cs="Arial" w:eastAsia="Arial" w:hAnsi="Arial"/>
          <w:sz w:val="18"/>
          <w:szCs w:val="18"/>
          <w:color w:val="auto"/>
        </w:rPr>
      </w:pPr>
    </w:p>
    <w:p>
      <w:pPr>
        <w:ind w:left="900" w:right="160" w:hanging="25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4" w:lineRule="exact"/>
        <w:rPr>
          <w:rFonts w:ascii="Arial" w:cs="Arial" w:eastAsia="Arial" w:hAnsi="Arial"/>
          <w:sz w:val="18"/>
          <w:szCs w:val="18"/>
          <w:color w:val="auto"/>
        </w:rPr>
      </w:pPr>
    </w:p>
    <w:p>
      <w:pPr>
        <w:ind w:left="900" w:right="60" w:hanging="25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94" w:lineRule="exact"/>
        <w:rPr>
          <w:rFonts w:ascii="Arial" w:cs="Arial" w:eastAsia="Arial" w:hAnsi="Arial"/>
          <w:sz w:val="18"/>
          <w:szCs w:val="18"/>
          <w:color w:val="auto"/>
        </w:rPr>
      </w:pPr>
    </w:p>
    <w:p>
      <w:pPr>
        <w:ind w:left="900" w:right="240" w:hanging="256"/>
        <w:spacing w:after="0" w:line="24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88" w:lineRule="exact"/>
        <w:rPr>
          <w:rFonts w:ascii="Arial" w:cs="Arial" w:eastAsia="Arial" w:hAnsi="Arial"/>
          <w:sz w:val="18"/>
          <w:szCs w:val="18"/>
          <w:color w:val="auto"/>
        </w:rPr>
      </w:pPr>
    </w:p>
    <w:p>
      <w:pPr>
        <w:ind w:left="900" w:right="760" w:hanging="256"/>
        <w:spacing w:after="0" w:line="24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20" w:firstLine="636"/>
        <w:spacing w:after="0" w:line="22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ind w:right="40" w:firstLine="636"/>
        <w:spacing w:after="0" w:line="236"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9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8"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68"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We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291" w:lineRule="exact"/>
        <w:rPr>
          <w:sz w:val="20"/>
          <w:szCs w:val="20"/>
          <w:color w:val="auto"/>
        </w:rPr>
      </w:pPr>
    </w:p>
    <w:p>
      <w:pPr>
        <w:ind w:right="148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right="180" w:firstLine="636"/>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68" w:lineRule="exact"/>
        <w:rPr>
          <w:sz w:val="20"/>
          <w:szCs w:val="20"/>
          <w:color w:val="auto"/>
        </w:rPr>
      </w:pPr>
    </w:p>
    <w:p>
      <w:pPr>
        <w:ind w:right="40" w:firstLine="636"/>
        <w:spacing w:after="0" w:line="235"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ind w:right="660"/>
        <w:spacing w:after="0" w:line="271"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8"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7" w:lineRule="exact"/>
        <w:rPr>
          <w:sz w:val="20"/>
          <w:szCs w:val="20"/>
          <w:color w:val="auto"/>
        </w:rPr>
      </w:pPr>
    </w:p>
    <w:p>
      <w:pPr>
        <w:ind w:right="180" w:firstLine="636"/>
        <w:spacing w:after="0" w:line="23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right="140" w:firstLine="636"/>
        <w:spacing w:after="0" w:line="236" w:lineRule="auto"/>
        <w:rPr>
          <w:sz w:val="20"/>
          <w:szCs w:val="20"/>
          <w:color w:val="auto"/>
        </w:rPr>
      </w:pPr>
      <w:r>
        <w:rPr>
          <w:rFonts w:ascii="Arial" w:cs="Arial" w:eastAsia="Arial" w:hAnsi="Arial"/>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1" w:name="page112"/>
    <w:bookmarkEnd w:id="111"/>
    <w:p>
      <w:pPr>
        <w:jc w:val="both"/>
        <w:ind w:right="640"/>
        <w:spacing w:after="0" w:line="253" w:lineRule="auto"/>
        <w:rPr>
          <w:sz w:val="20"/>
          <w:szCs w:val="20"/>
          <w:color w:val="auto"/>
        </w:rPr>
      </w:pPr>
      <w:r>
        <w:rPr>
          <w:rFonts w:ascii="Arial" w:cs="Arial" w:eastAsia="Arial" w:hAnsi="Arial"/>
          <w:sz w:val="18"/>
          <w:szCs w:val="18"/>
          <w:b w:val="1"/>
          <w:bCs w:val="1"/>
          <w:i w:val="1"/>
          <w:iCs w:val="1"/>
          <w:color w:val="auto"/>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p>
    <w:p>
      <w:pPr>
        <w:spacing w:after="0" w:line="83"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p>
    <w:p>
      <w:pPr>
        <w:spacing w:after="0" w:line="97" w:lineRule="exact"/>
        <w:rPr>
          <w:sz w:val="20"/>
          <w:szCs w:val="20"/>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900" w:right="280" w:hanging="256"/>
        <w:spacing w:after="0" w:line="24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our proprietary technology and product candidates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900" w:right="220" w:hanging="256"/>
        <w:spacing w:after="0" w:line="24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or our counterparties, alone or jointly;</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rights upon termination of such agreement;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12"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p>
    <w:p>
      <w:pPr>
        <w:spacing w:after="0" w:line="205"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68"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2" w:name="page113"/>
    <w:bookmarkEnd w:id="112"/>
    <w:p>
      <w:pPr>
        <w:ind w:right="20" w:firstLine="636"/>
        <w:spacing w:after="0" w:line="236" w:lineRule="auto"/>
        <w:rPr>
          <w:sz w:val="20"/>
          <w:szCs w:val="20"/>
          <w:color w:val="auto"/>
        </w:rPr>
      </w:pPr>
      <w:r>
        <w:rPr>
          <w:rFonts w:ascii="Arial" w:cs="Arial" w:eastAsia="Arial" w:hAnsi="Arial"/>
          <w:sz w:val="18"/>
          <w:szCs w:val="18"/>
          <w:color w:val="auto"/>
        </w:rPr>
        <w:t xml:space="preserve">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8"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203"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105" w:lineRule="exact"/>
        <w:rPr>
          <w:sz w:val="20"/>
          <w:szCs w:val="20"/>
          <w:color w:val="auto"/>
        </w:rPr>
      </w:pPr>
    </w:p>
    <w:p>
      <w:pPr>
        <w:ind w:left="900" w:hanging="25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900" w:right="140" w:hanging="256"/>
        <w:spacing w:after="0" w:line="24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candidates until the asserted patent expires or is held finally invalid or not infringed in a court of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3" w:name="page114"/>
    <w:bookmarkEnd w:id="113"/>
    <w:p>
      <w:pPr>
        <w:ind w:left="900" w:hanging="25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900" w:right="300" w:hanging="256"/>
        <w:spacing w:after="0" w:line="24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88" w:lineRule="exact"/>
        <w:rPr>
          <w:rFonts w:ascii="Arial" w:cs="Arial" w:eastAsia="Arial" w:hAnsi="Arial"/>
          <w:sz w:val="18"/>
          <w:szCs w:val="18"/>
          <w:color w:val="auto"/>
        </w:rPr>
      </w:pPr>
    </w:p>
    <w:p>
      <w:pPr>
        <w:ind w:left="900" w:right="200" w:hanging="256"/>
        <w:spacing w:after="0" w:line="24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infringing; and/or</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w:t>
      </w:r>
    </w:p>
    <w:p>
      <w:pPr>
        <w:spacing w:after="0" w:line="212" w:lineRule="exact"/>
        <w:rPr>
          <w:sz w:val="20"/>
          <w:szCs w:val="20"/>
          <w:color w:val="auto"/>
        </w:rPr>
      </w:pPr>
    </w:p>
    <w:p>
      <w:pPr>
        <w:ind w:right="20" w:firstLine="636"/>
        <w:spacing w:after="0" w:line="23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p>
    <w:p>
      <w:pPr>
        <w:spacing w:after="0" w:line="21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14" w:name="page115"/>
    <w:bookmarkEnd w:id="114"/>
    <w:p>
      <w:pPr>
        <w:spacing w:after="0" w:line="27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w:t>
      </w:r>
    </w:p>
    <w:p>
      <w:pPr>
        <w:spacing w:after="0" w:line="68" w:lineRule="exact"/>
        <w:rPr>
          <w:sz w:val="20"/>
          <w:szCs w:val="20"/>
          <w:color w:val="auto"/>
        </w:rPr>
      </w:pPr>
    </w:p>
    <w:p>
      <w:pPr>
        <w:ind w:right="80" w:firstLine="636"/>
        <w:spacing w:after="0" w:line="235" w:lineRule="auto"/>
        <w:rPr>
          <w:sz w:val="20"/>
          <w:szCs w:val="20"/>
          <w:color w:val="auto"/>
        </w:rPr>
      </w:pPr>
      <w:r>
        <w:rPr>
          <w:rFonts w:ascii="Arial" w:cs="Arial" w:eastAsia="Arial" w:hAnsi="Arial"/>
          <w:sz w:val="18"/>
          <w:szCs w:val="18"/>
          <w:color w:val="auto"/>
        </w:rPr>
        <w:t>Competitors may infringe our intellectual property rights or those of our licensors. To prevent infringement or unauthorized use, we may be required to file infringement claims, which can be expensive and time -consuming.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p>
    <w:p>
      <w:pPr>
        <w:spacing w:after="0" w:line="214"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p>
    <w:p>
      <w:pPr>
        <w:spacing w:after="0" w:line="207"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5" w:name="page116"/>
    <w:bookmarkEnd w:id="115"/>
    <w:p>
      <w:pPr>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licenses.</w:t>
      </w:r>
    </w:p>
    <w:p>
      <w:pPr>
        <w:spacing w:after="0" w:line="6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0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We have collaborated with, and are currently collaborating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05" w:lineRule="exact"/>
        <w:rPr>
          <w:sz w:val="20"/>
          <w:szCs w:val="20"/>
          <w:color w:val="auto"/>
        </w:rPr>
      </w:pPr>
    </w:p>
    <w:p>
      <w:pPr>
        <w:ind w:right="400" w:firstLine="636"/>
        <w:spacing w:after="0" w:line="274"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have to abandon development of that program and our business could be seriously harmed.</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p>
    <w:p>
      <w:pPr>
        <w:spacing w:after="0" w:line="83"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seriously harmed.</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p>
    <w:p>
      <w:pPr>
        <w:spacing w:after="0" w:line="2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 candidates.</w:t>
      </w:r>
    </w:p>
    <w:p>
      <w:pPr>
        <w:spacing w:after="0" w:line="68" w:lineRule="exact"/>
        <w:rPr>
          <w:sz w:val="20"/>
          <w:szCs w:val="20"/>
          <w:color w:val="auto"/>
        </w:rPr>
      </w:pPr>
    </w:p>
    <w:p>
      <w:pPr>
        <w:ind w:right="300" w:firstLine="636"/>
        <w:spacing w:after="0" w:line="246" w:lineRule="auto"/>
        <w:rPr>
          <w:sz w:val="20"/>
          <w:szCs w:val="20"/>
          <w:color w:val="auto"/>
        </w:rPr>
      </w:pPr>
      <w:r>
        <w:rPr>
          <w:rFonts w:ascii="Arial" w:cs="Arial" w:eastAsia="Arial" w:hAnsi="Arial"/>
          <w:sz w:val="18"/>
          <w:szCs w:val="18"/>
          <w:color w:val="auto"/>
        </w:rPr>
        <w:t>Our patent rights may be affected by developments or uncertainty in the U.S. or foreign patent statutes, patent case laws, USPTO rules and regulations or in the rules and regulations of foreign patent offices.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7" w:name="page118"/>
    <w:bookmarkEnd w:id="117"/>
    <w:p>
      <w:pPr>
        <w:ind w:right="20" w:firstLine="636"/>
        <w:spacing w:after="0" w:line="235" w:lineRule="auto"/>
        <w:rPr>
          <w:sz w:val="20"/>
          <w:szCs w:val="20"/>
          <w:color w:val="auto"/>
        </w:rPr>
      </w:pPr>
      <w:r>
        <w:rPr>
          <w:rFonts w:ascii="Arial" w:cs="Arial" w:eastAsia="Arial" w:hAnsi="Arial"/>
          <w:sz w:val="18"/>
          <w:szCs w:val="18"/>
          <w:color w:val="auto"/>
        </w:rPr>
        <w:t xml:space="preserve">There are a number of recent changes to the U.S. patent laws that may have a significant impact on our ability to protect our technology and enforce our intellectual property rights. For example, on 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207"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8" w:name="page119"/>
    <w:bookmarkEnd w:id="118"/>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9"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 or our reporting of such matters.</w:t>
      </w:r>
    </w:p>
    <w:p>
      <w:pPr>
        <w:spacing w:after="0" w:line="99"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Institutional, individual, and other investors, proxy advisory services, regulatory authorities, consumers and other stakeholders are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2"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Our corporate headquarters are located in Emeryville, California, where we lease approximately 54,000 square feet of office, research and development, engineering and laboratory space pursuant to lease agreements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98"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liability for such matters when it believes that it is both probable that a liability may be imputed, and the amount of the liability can be reasonably estimated. Significant judgment by the Company is required to determine both probability and the estimated amount. Regardless of outcome litigation can have an adverse impact on us because of defense and settlement costs, diversion of management resources and other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6"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Our common stock has been listed on the Nasdaq Global Select Market under the symbol “FDMT” since December 11, 2020. Prior to this date, there was no public market for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6" w:lineRule="exact"/>
        <w:rPr>
          <w:sz w:val="20"/>
          <w:szCs w:val="20"/>
          <w:color w:val="auto"/>
        </w:rPr>
      </w:pPr>
    </w:p>
    <w:p>
      <w:pPr>
        <w:ind w:right="240" w:firstLine="618"/>
        <w:spacing w:after="0"/>
        <w:rPr>
          <w:sz w:val="20"/>
          <w:szCs w:val="20"/>
          <w:color w:val="auto"/>
        </w:rPr>
      </w:pPr>
      <w:r>
        <w:rPr>
          <w:rFonts w:ascii="Arial" w:cs="Arial" w:eastAsia="Arial" w:hAnsi="Arial"/>
          <w:sz w:val="18"/>
          <w:szCs w:val="18"/>
          <w:color w:val="auto"/>
        </w:rPr>
        <w:t>As of March 28, 2022, there were approximately 24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right="400" w:firstLine="618"/>
        <w:spacing w:after="0" w:line="245" w:lineRule="auto"/>
        <w:rPr>
          <w:sz w:val="20"/>
          <w:szCs w:val="20"/>
          <w:color w:val="auto"/>
        </w:rPr>
      </w:pPr>
      <w:r>
        <w:rPr>
          <w:rFonts w:ascii="Arial" w:cs="Arial" w:eastAsia="Arial" w:hAnsi="Arial"/>
          <w:sz w:val="18"/>
          <w:szCs w:val="18"/>
          <w:i w:val="1"/>
          <w:iCs w:val="1"/>
          <w:color w:val="auto"/>
        </w:rPr>
        <w:t>The following graph is not “soliciting material” or deemed “filed” with the SEC for purposes of Section 18 of the Exchange Act, or otherwise subject to liabilities under that Section, and shall not be deemed incorporated by reference into any filing of 4D Molecular Therapeutics Inc. under the Securities Act, whether made before or after the date hereof and irrespective of any general incorporation language in any such filing.</w:t>
      </w:r>
    </w:p>
    <w:p>
      <w:pPr>
        <w:spacing w:after="0" w:line="91" w:lineRule="exact"/>
        <w:rPr>
          <w:sz w:val="20"/>
          <w:szCs w:val="20"/>
          <w:color w:val="auto"/>
        </w:rPr>
      </w:pPr>
    </w:p>
    <w:p>
      <w:pPr>
        <w:ind w:firstLine="618"/>
        <w:spacing w:after="0" w:line="238"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Composite Index and the Nasdaq Biotechnology Index for an investment of $100, between December 11, 2020 (the date of our IPO) and December 31, 2021. The stockholder returns shown in the graph below are based on historical results and are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285115</wp:posOffset>
            </wp:positionV>
            <wp:extent cx="5349240" cy="26574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right="620" w:firstLine="618"/>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cash dividends in the foreseeable future. Any future determination related to dividend policy will be made at the discretion of our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ind w:right="220" w:firstLine="618"/>
        <w:spacing w:after="0" w:line="246"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jc w:val="both"/>
        <w:ind w:right="60" w:firstLine="618"/>
        <w:spacing w:after="0"/>
        <w:rPr>
          <w:sz w:val="20"/>
          <w:szCs w:val="20"/>
          <w:color w:val="auto"/>
        </w:rPr>
      </w:pPr>
      <w:r>
        <w:rPr>
          <w:rFonts w:ascii="Arial" w:cs="Arial" w:eastAsia="Arial" w:hAnsi="Arial"/>
          <w:sz w:val="18"/>
          <w:szCs w:val="18"/>
          <w:color w:val="auto"/>
        </w:rPr>
        <w:t>In October 2021, 45,000 warrants were exercised using the net settlement election, resulting in the issuance of 43,030 shares of our common stock. The issuance of warrants and securities in this transaction were deemed to be exempt from registration under the Securities Act, in reliance on Section 4(a)(2) of the Securities Act.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6" w:lineRule="exact"/>
        <w:rPr>
          <w:sz w:val="20"/>
          <w:szCs w:val="20"/>
          <w:color w:val="auto"/>
        </w:rPr>
      </w:pPr>
    </w:p>
    <w:p>
      <w:pPr>
        <w:ind w:right="120" w:firstLine="618"/>
        <w:spacing w:after="0"/>
        <w:rPr>
          <w:sz w:val="20"/>
          <w:szCs w:val="20"/>
          <w:color w:val="auto"/>
        </w:rPr>
      </w:pPr>
      <w:r>
        <w:rPr>
          <w:rFonts w:ascii="Arial" w:cs="Arial" w:eastAsia="Arial" w:hAnsi="Arial"/>
          <w:sz w:val="18"/>
          <w:szCs w:val="18"/>
          <w:color w:val="auto"/>
        </w:rPr>
        <w:t>On December 15, 2020, we closed our IPO, in which we issued and sold 9,660,000 shares of common stock at a price to the public of $23.00 per share. We received net proceeds of $204.7 million, after deducting underwriting discounts and commissions of $15.6 million and offering costs of $1.9 million.</w:t>
      </w:r>
    </w:p>
    <w:p>
      <w:pPr>
        <w:spacing w:after="0" w:line="95" w:lineRule="exact"/>
        <w:rPr>
          <w:sz w:val="20"/>
          <w:szCs w:val="20"/>
          <w:color w:val="auto"/>
        </w:rPr>
      </w:pPr>
    </w:p>
    <w:p>
      <w:pPr>
        <w:jc w:val="both"/>
        <w:ind w:right="40" w:firstLine="618"/>
        <w:spacing w:after="0"/>
        <w:rPr>
          <w:sz w:val="20"/>
          <w:szCs w:val="20"/>
          <w:color w:val="auto"/>
        </w:rPr>
      </w:pPr>
      <w:r>
        <w:rPr>
          <w:rFonts w:ascii="Arial" w:cs="Arial" w:eastAsia="Arial" w:hAnsi="Arial"/>
          <w:sz w:val="18"/>
          <w:szCs w:val="18"/>
          <w:color w:val="auto"/>
        </w:rPr>
        <w:t>None of the expenses associated with the IPO were paid to directors, officers, or persons owning 10% or more of any class of equity securities, or to their associates, or to our affiliates, other than payments in the ordinary course of business to officers for salaries. Goldman Sachs &amp; Co. LLC, BofA Securities and Evercore ISI acted as book-running managers for the offering.</w:t>
      </w:r>
    </w:p>
    <w:p>
      <w:pPr>
        <w:spacing w:after="0" w:line="95" w:lineRule="exact"/>
        <w:rPr>
          <w:sz w:val="20"/>
          <w:szCs w:val="20"/>
          <w:color w:val="auto"/>
        </w:rPr>
      </w:pPr>
    </w:p>
    <w:p>
      <w:pPr>
        <w:ind w:firstLine="618"/>
        <w:spacing w:after="0"/>
        <w:rPr>
          <w:sz w:val="20"/>
          <w:szCs w:val="20"/>
          <w:color w:val="auto"/>
        </w:rPr>
      </w:pPr>
      <w:r>
        <w:rPr>
          <w:rFonts w:ascii="Arial" w:cs="Arial" w:eastAsia="Arial" w:hAnsi="Arial"/>
          <w:sz w:val="18"/>
          <w:szCs w:val="18"/>
          <w:color w:val="auto"/>
        </w:rPr>
        <w:t>Shares of our common stock began trading on the Nasdaq Global Select Market on December 11, 2020. The shares were registered under the Securities Act on a Registration Statement on Form S-1 (File No. 333-250150), which was declared effective by the SEC on December 11, 2020.</w:t>
      </w:r>
    </w:p>
    <w:p>
      <w:pPr>
        <w:spacing w:after="0" w:line="95" w:lineRule="exact"/>
        <w:rPr>
          <w:sz w:val="20"/>
          <w:szCs w:val="20"/>
          <w:color w:val="auto"/>
        </w:rPr>
      </w:pPr>
    </w:p>
    <w:p>
      <w:pPr>
        <w:ind w:right="740" w:firstLine="618"/>
        <w:spacing w:after="0" w:line="246"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dated December 11, 2020, filed with the SEC pursuant to Rule 424(b)(4)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Item 6 is no longer required pursuant to certain amendments to Regulation S-K that eliminated Item 301.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100" w:firstLine="636"/>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included elsewhere in this Annual Report on Form 10-K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design features will help us to potentially create targeted gene therapy product candidates with improved therapeutic profiles, and address a broad range of diseases from rare to large patient populations, including those that other gene therapies are unable to address. Each of our product candidates is created with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205"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four product candidates that are in clinical trials: 4D-150 for the treatment of wet AMD in a Phase 1/2 clinical trial, 4D-125 for the treatment of X-linked retinitis pigmentosa (XLRP) in a Phase 1/2 clinical trial, 4D-110 for the treatment of choroideremia in a Phase 1/2 clinical trial, and 4D-310 for the treatment of Fabry disease in a Phase 1/2 clinical trial. In addition, an IND has been cleared by the U.S. Food and Drug Administration (FDA) 4D-710 for the treatment of cystic fibrosis lung disease, and we are actively enrolling patients for such trial.</w:t>
      </w:r>
    </w:p>
    <w:p>
      <w:pPr>
        <w:spacing w:after="0" w:line="205"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We have funded our operations primarily through the sale and issuance of equity securities and to a lesser extent from cash received pursuant to our collaboration and license agreements.</w:t>
      </w:r>
    </w:p>
    <w:p>
      <w:pPr>
        <w:spacing w:after="0" w:line="197"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In November 2021, we completed our second underwritten public offering (the "Follow-on Offering") in which 4,750,000 shares of our common stock were sold at an offering price of $25.00 per share pursuant to an effective Registration Statement on Form S-1. The net proceeds from the Follow-on Offering were $111.1 million after deducting underwriting discounts and commissions and offering expenses. As of December 31, 2021, we had cash, cash equivalents and marketable securities of $315.4 million.</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have incurred significant operating losses and expect that our operating losses will increase significantly as we, among other things, continue to advance our product candidates through preclinical and clinical development, seek regulatory approval, and prepare for, and, if approved, proceed to commercialization; broaden and improve our platform; acquire, discover, validate and develop additional product candidates; maintain, protect and enforce our intellectual property portfolio; and hire additional personnel. In addition, we expect to incur additional costs associated with operating as a public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22" w:name="page123"/>
    <w:bookmarkEnd w:id="122"/>
    <w:p>
      <w:pPr>
        <w:ind w:right="40" w:firstLine="636"/>
        <w:spacing w:after="0" w:line="238" w:lineRule="auto"/>
        <w:rPr>
          <w:sz w:val="20"/>
          <w:szCs w:val="20"/>
          <w:color w:val="auto"/>
        </w:rPr>
      </w:pPr>
      <w:r>
        <w:rPr>
          <w:rFonts w:ascii="Arial" w:cs="Arial" w:eastAsia="Arial" w:hAnsi="Arial"/>
          <w:sz w:val="18"/>
          <w:szCs w:val="18"/>
          <w:color w:val="auto"/>
        </w:rPr>
        <w:t>Our net losses were $71.3 million and $56.7 million for the years ended December 31, 2021 and 2020, respectively. As of December 31, 2021, we had an accumulated deficit of $207.0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p>
    <w:p>
      <w:pPr>
        <w:spacing w:after="0" w:line="205"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p>
    <w:p>
      <w:pPr>
        <w:spacing w:after="0" w:line="203" w:lineRule="exact"/>
        <w:rPr>
          <w:sz w:val="20"/>
          <w:szCs w:val="20"/>
          <w:color w:val="auto"/>
        </w:rPr>
      </w:pPr>
    </w:p>
    <w:p>
      <w:pPr>
        <w:ind w:right="140" w:firstLine="636"/>
        <w:spacing w:after="0" w:line="236"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spacing w:after="0" w:line="206"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To the extent possible, we are conducting business as usual, with necessary or advisable modifications to employee travel and the majority of our employees working remotely. We will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right="220" w:firstLine="636"/>
        <w:spacing w:after="0"/>
        <w:rPr>
          <w:sz w:val="20"/>
          <w:szCs w:val="20"/>
          <w:color w:val="auto"/>
        </w:rPr>
      </w:pPr>
      <w:r>
        <w:rPr>
          <w:rFonts w:ascii="Arial" w:cs="Arial" w:eastAsia="Arial" w:hAnsi="Arial"/>
          <w:sz w:val="18"/>
          <w:szCs w:val="18"/>
          <w:color w:val="auto"/>
        </w:rPr>
        <w:t>Our revenue to date has been generated through payments from our collaboration and license agreements, primarily from upfront and milestone payments and expense reimbursement. We have not generated any revenue from the sale of approved products and do not expect to do so for the foreseeable future. The primary drivers for revenue consist of the following:</w:t>
      </w:r>
    </w:p>
    <w:p>
      <w:pPr>
        <w:spacing w:after="0" w:line="95" w:lineRule="exact"/>
        <w:rPr>
          <w:sz w:val="20"/>
          <w:szCs w:val="20"/>
          <w:color w:val="auto"/>
        </w:rPr>
      </w:pPr>
    </w:p>
    <w:p>
      <w:pPr>
        <w:ind w:left="900" w:right="20" w:hanging="248"/>
        <w:spacing w:after="0" w:line="23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Roche: In November 2017, we entered into a collaboration and license agreement with F. Hoffmann-La Roche Ltd and Hoffmann-La Roche Inc. (together, “Roche”). We received an upfront payment of $21.0 million in 2017, are reimbursed for our internal and third-party costs and were entitled to contingent payments, including milestone payments. In 2020, we received milestone payments totaling $10.0 million, which were comprised of a $5.0 million milestone payment upon the release of clinical trial material for our Phase 1 clinical trial for 4D-110 to treat choroideremia in the second quarter of 2020 and an additional $5.0 million milestone payment upon dosing our first patient in the trial in the third quarter of 2020. We began recognizing revenue related to this agreement in 2017. In June 2021, we received notice of termination of the collaboration and license agreement from Roche. The termination became effective on September 16, 2021. We recognized $17.2 million of revenue from Roche in 2021, of which amount $2.9 million represented expense reimbursement and $14.3 million represented recognition of previously deferred revenue. See Note 7 to our financial statements included elsewhere in this report for further discussion regarding the accounting treatment of this agreement.</w:t>
      </w:r>
    </w:p>
    <w:p>
      <w:pPr>
        <w:spacing w:after="0" w:line="299" w:lineRule="exact"/>
        <w:rPr>
          <w:rFonts w:ascii="Arial" w:cs="Arial" w:eastAsia="Arial" w:hAnsi="Arial"/>
          <w:sz w:val="18"/>
          <w:szCs w:val="18"/>
          <w:color w:val="auto"/>
        </w:rPr>
      </w:pPr>
    </w:p>
    <w:p>
      <w:pPr>
        <w:ind w:left="900" w:hanging="256"/>
        <w:spacing w:after="0" w:line="23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uniQure: In August 2019, we amended our agreement with uniQure and entered into a separate new collaboration and license agreement with uniQure. Neither party was required to pay monetary consideration in connection with the amendment or new agreement. We determined the incremental transaction price of the amendment and new agreement to be $5.1 million and recorded the amount as deferred revenue. We began recognizing revenue related to this in 2020 and expect to recognize revenue over the next one to two years. See Note 7 to our financial statements included elsewhere in this report for further discussion regarding the accounting treatment of this transaction.</w:t>
      </w:r>
    </w:p>
    <w:p>
      <w:pPr>
        <w:spacing w:after="0" w:line="205" w:lineRule="exact"/>
        <w:rPr>
          <w:sz w:val="20"/>
          <w:szCs w:val="20"/>
          <w:color w:val="auto"/>
        </w:rPr>
      </w:pPr>
    </w:p>
    <w:p>
      <w:pPr>
        <w:ind w:right="200" w:firstLine="636"/>
        <w:spacing w:after="0" w:line="238" w:lineRule="auto"/>
        <w:rPr>
          <w:sz w:val="20"/>
          <w:szCs w:val="20"/>
          <w:color w:val="auto"/>
        </w:rPr>
      </w:pPr>
      <w:r>
        <w:rPr>
          <w:rFonts w:ascii="Arial" w:cs="Arial" w:eastAsia="Arial" w:hAnsi="Arial"/>
          <w:sz w:val="18"/>
          <w:szCs w:val="18"/>
          <w:color w:val="auto"/>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 We expect that our collaboration and license revenue in 2022 will primarily be from uniQure.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Our research and development expenses primarily consist of costs incurred for the discovery and preclinical and clinical development of our product candidates. These expenses include salaries and personnel-related costs, including stock-based compensation of our scientific personnel performing research and development activities; laboratory supplies; research materials; fees paid to CROs to execute preclinical studies and clinical trials; fees paid to CMOs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p>
    <w:p>
      <w:pPr>
        <w:spacing w:after="0" w:line="205"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spacing w:after="0" w:line="202" w:lineRule="exact"/>
        <w:rPr>
          <w:sz w:val="20"/>
          <w:szCs w:val="20"/>
          <w:color w:val="auto"/>
        </w:rPr>
      </w:pPr>
    </w:p>
    <w:p>
      <w:pPr>
        <w:ind w:right="60" w:firstLine="644"/>
        <w:spacing w:after="0" w:line="238" w:lineRule="auto"/>
        <w:rPr>
          <w:sz w:val="20"/>
          <w:szCs w:val="20"/>
          <w:color w:val="auto"/>
        </w:rPr>
      </w:pPr>
      <w:r>
        <w:rPr>
          <w:rFonts w:ascii="Arial" w:cs="Arial" w:eastAsia="Arial" w:hAnsi="Arial"/>
          <w:sz w:val="18"/>
          <w:szCs w:val="18"/>
          <w:color w:val="auto"/>
        </w:rPr>
        <w:t>We do not allocate our costs by product candidate, as a significant amount of research and development expenses includes internal costs, such as salary and other personnel related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p>
    <w:p>
      <w:pPr>
        <w:spacing w:after="0" w:line="202" w:lineRule="exact"/>
        <w:rPr>
          <w:sz w:val="20"/>
          <w:szCs w:val="20"/>
          <w:color w:val="auto"/>
        </w:rPr>
      </w:pPr>
    </w:p>
    <w:p>
      <w:pPr>
        <w:ind w:right="240" w:firstLine="636"/>
        <w:spacing w:after="0" w:line="236" w:lineRule="auto"/>
        <w:rPr>
          <w:sz w:val="20"/>
          <w:szCs w:val="20"/>
          <w:color w:val="auto"/>
        </w:rPr>
      </w:pPr>
      <w:r>
        <w:rPr>
          <w:rFonts w:ascii="Arial" w:cs="Arial" w:eastAsia="Arial" w:hAnsi="Arial"/>
          <w:sz w:val="18"/>
          <w:szCs w:val="18"/>
          <w:color w:val="auto"/>
        </w:rPr>
        <w:t>At this time, we cannot reasonably estimate or know the nature, timing or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See the section titled “Risk Factors” for additional risks regarding regulatory development and approval.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Our general and administrative expenses consist primarily of personnel-related expenses, including salaries, employee benefit costs and stock-based compensation expense for our personnel in executive, finance and accounting,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spacing w:after="0" w:line="202"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expect our general and administrative expenses to increase as a result of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ind w:right="400" w:firstLine="636"/>
        <w:spacing w:after="0" w:line="246" w:lineRule="auto"/>
        <w:rPr>
          <w:sz w:val="20"/>
          <w:szCs w:val="20"/>
          <w:color w:val="auto"/>
        </w:rPr>
      </w:pPr>
      <w:r>
        <w:rPr>
          <w:rFonts w:ascii="Arial" w:cs="Arial" w:eastAsia="Arial" w:hAnsi="Arial"/>
          <w:sz w:val="18"/>
          <w:szCs w:val="18"/>
          <w:color w:val="auto"/>
        </w:rPr>
        <w:t>Our other income (expense) primarily consists of interest income earned on our cash equivalents, and marketable securities and adjustments for the change in the fair value of our derivative liability which must be remeasured at each reporting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8"/>
                <w:szCs w:val="18"/>
                <w:color w:val="auto"/>
              </w:rPr>
            </w:pPr>
          </w:p>
        </w:tc>
        <w:tc>
          <w:tcPr>
            <w:tcW w:w="14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18,038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13,612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4,426</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61,360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53,038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8,322</w:t>
            </w:r>
          </w:p>
        </w:tc>
        <w:tc>
          <w:tcPr>
            <w:tcW w:w="16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552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28,011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17,238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10,773</w:t>
            </w:r>
          </w:p>
        </w:tc>
        <w:tc>
          <w:tcPr>
            <w:tcW w:w="16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89,371</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70,276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19,095</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6"/>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(71,333 )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(56,664 )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(14,669 )</w:t>
            </w:r>
          </w:p>
        </w:tc>
        <w:tc>
          <w:tcPr>
            <w:tcW w:w="16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196"/>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(71,317 )  $</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(56,693 )</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(14,624 )</w:t>
            </w:r>
          </w:p>
        </w:tc>
        <w:tc>
          <w:tcPr>
            <w:tcW w:w="16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-424815</wp:posOffset>
            </wp:positionV>
            <wp:extent cx="768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-424815</wp:posOffset>
            </wp:positionV>
            <wp:extent cx="7747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-424815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-159385</wp:posOffset>
            </wp:positionV>
            <wp:extent cx="768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-159385</wp:posOffset>
            </wp:positionV>
            <wp:extent cx="774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200" w:firstLine="636"/>
        <w:spacing w:after="0" w:line="246" w:lineRule="auto"/>
        <w:rPr>
          <w:sz w:val="20"/>
          <w:szCs w:val="20"/>
          <w:color w:val="auto"/>
        </w:rPr>
      </w:pPr>
      <w:r>
        <w:rPr>
          <w:rFonts w:ascii="Arial" w:cs="Arial" w:eastAsia="Arial" w:hAnsi="Arial"/>
          <w:sz w:val="18"/>
          <w:szCs w:val="18"/>
          <w:color w:val="auto"/>
        </w:rPr>
        <w:t>Revenue for the year ended December 31, 2021 increased $4.4 million, or 33%, from the year ended December 31, 2020 primarily attributable to a $4.3 million increase in revenue recognized under our collaboration and license agreement with Roche.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07" w:lineRule="exact"/>
        <w:rPr>
          <w:sz w:val="20"/>
          <w:szCs w:val="20"/>
          <w:color w:val="auto"/>
        </w:rPr>
      </w:pPr>
    </w:p>
    <w:p>
      <w:pPr>
        <w:jc w:val="center"/>
        <w:ind w:left="2120"/>
        <w:spacing w:after="0"/>
        <w:rPr>
          <w:sz w:val="20"/>
          <w:szCs w:val="20"/>
          <w:color w:val="auto"/>
        </w:rPr>
      </w:pPr>
      <w:r>
        <w:rPr>
          <w:rFonts w:ascii="Arial" w:cs="Arial" w:eastAsia="Arial" w:hAnsi="Arial"/>
          <w:sz w:val="18"/>
          <w:szCs w:val="18"/>
          <w:b w:val="1"/>
          <w:bCs w:val="1"/>
          <w:color w:val="auto"/>
        </w:rPr>
        <w:t>Year Ended</w:t>
      </w:r>
    </w:p>
    <w:p>
      <w:pPr>
        <w:jc w:val="center"/>
        <w:ind w:left="2120"/>
        <w:spacing w:after="0" w:line="235"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 Change</w:t>
            </w:r>
          </w:p>
        </w:tc>
      </w:tr>
      <w:tr>
        <w:trPr>
          <w:trHeight w:val="196"/>
        </w:trPr>
        <w:tc>
          <w:tcPr>
            <w:tcW w:w="5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 trials and consumables expenses</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26,335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29,455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(3,120 )</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-11 %</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Payroll and personnel expenses</w:t>
            </w:r>
          </w:p>
        </w:tc>
        <w:tc>
          <w:tcPr>
            <w:tcW w:w="26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26,448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10,384</w:t>
            </w:r>
          </w:p>
        </w:tc>
        <w:tc>
          <w:tcPr>
            <w:tcW w:w="17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65 %</w:t>
            </w:r>
          </w:p>
        </w:tc>
      </w:tr>
      <w:tr>
        <w:trPr>
          <w:trHeight w:val="203"/>
        </w:trPr>
        <w:tc>
          <w:tcPr>
            <w:tcW w:w="53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Facilities and other research and development expenses</w:t>
            </w: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8,577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7,519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1,058</w:t>
            </w:r>
          </w:p>
        </w:tc>
        <w:tc>
          <w:tcPr>
            <w:tcW w:w="1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14 %</w:t>
            </w:r>
          </w:p>
        </w:tc>
      </w:tr>
      <w:tr>
        <w:trPr>
          <w:trHeight w:val="196"/>
        </w:trPr>
        <w:tc>
          <w:tcPr>
            <w:tcW w:w="5380" w:type="dxa"/>
            <w:vAlign w:val="bottom"/>
          </w:tcPr>
          <w:p>
            <w:pPr>
              <w:ind w:left="280"/>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61,360</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53,038</w:t>
            </w: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8,322</w:t>
            </w:r>
          </w:p>
        </w:tc>
        <w:tc>
          <w:tcPr>
            <w:tcW w:w="17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16 %</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-159385</wp:posOffset>
            </wp:positionV>
            <wp:extent cx="768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for the year ended December 31, 2021 increased $8.3 million, or 16%, from the year ended</w:t>
      </w:r>
    </w:p>
    <w:p>
      <w:pPr>
        <w:spacing w:after="0"/>
        <w:rPr>
          <w:sz w:val="20"/>
          <w:szCs w:val="20"/>
          <w:color w:val="auto"/>
        </w:rPr>
      </w:pPr>
      <w:r>
        <w:rPr>
          <w:rFonts w:ascii="Arial" w:cs="Arial" w:eastAsia="Arial" w:hAnsi="Arial"/>
          <w:sz w:val="18"/>
          <w:szCs w:val="18"/>
          <w:color w:val="auto"/>
        </w:rPr>
        <w:t>December 31, 2020. The increase was attributable to the following:</w:t>
      </w:r>
    </w:p>
    <w:p>
      <w:pPr>
        <w:spacing w:after="0" w:line="104" w:lineRule="exact"/>
        <w:rPr>
          <w:sz w:val="20"/>
          <w:szCs w:val="20"/>
          <w:color w:val="auto"/>
        </w:rPr>
      </w:pPr>
    </w:p>
    <w:p>
      <w:pPr>
        <w:ind w:left="900" w:right="220" w:hanging="256"/>
        <w:spacing w:after="0" w:line="23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$3.1 million decrease in research and development trials and consumable expenses, which was mainly attributable to a $7.2 million decrease in development activities for 4D-310 manufacturing; offset by a $1.1 million increase in selection and validation expense attributable to 4D-710 and 4D-150 IND enabling studies in 2021 and a $2.9 million increase in clinical trial expenses primarily attributable to the start-up of 4D-710 and 4D-150 Phase 1/2 trials during the second half of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26" w:name="page127"/>
    <w:bookmarkEnd w:id="126"/>
    <w:p>
      <w:pPr>
        <w:ind w:left="900" w:right="640" w:hanging="25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$10.4 million increase in payroll and personnel expenses due to an increased headcount of research and development personnel, including a $1.0 million increase in bonus expense along with a $4.2 million increase in employee stock-based compensation expense; and</w:t>
      </w:r>
    </w:p>
    <w:p>
      <w:pPr>
        <w:spacing w:after="0" w:line="94" w:lineRule="exact"/>
        <w:rPr>
          <w:rFonts w:ascii="Arial" w:cs="Arial" w:eastAsia="Arial" w:hAnsi="Arial"/>
          <w:sz w:val="18"/>
          <w:szCs w:val="18"/>
          <w:color w:val="auto"/>
        </w:rPr>
      </w:pPr>
    </w:p>
    <w:p>
      <w:pPr>
        <w:ind w:left="900" w:right="20" w:hanging="256"/>
        <w:spacing w:after="0" w:line="24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$1.1 million increase in facilities and other research and development expenses primarily for allocated overhead, including rent, equipment, depreciation, information technology costs and utilities.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expenses for the year ended December 31, 2021 increased $10.8 million, or 62%, from the year ended</w:t>
      </w:r>
    </w:p>
    <w:p>
      <w:pPr>
        <w:spacing w:after="0"/>
        <w:rPr>
          <w:sz w:val="20"/>
          <w:szCs w:val="20"/>
          <w:color w:val="auto"/>
        </w:rPr>
      </w:pPr>
      <w:r>
        <w:rPr>
          <w:rFonts w:ascii="Arial" w:cs="Arial" w:eastAsia="Arial" w:hAnsi="Arial"/>
          <w:sz w:val="18"/>
          <w:szCs w:val="18"/>
          <w:color w:val="auto"/>
        </w:rPr>
        <w:t>December 31, 2020. The increase was primarily due to the following:</w:t>
      </w:r>
    </w:p>
    <w:p>
      <w:pPr>
        <w:spacing w:after="0" w:line="104" w:lineRule="exact"/>
        <w:rPr>
          <w:sz w:val="20"/>
          <w:szCs w:val="20"/>
          <w:color w:val="auto"/>
        </w:rPr>
      </w:pPr>
    </w:p>
    <w:p>
      <w:pPr>
        <w:ind w:left="900" w:right="160" w:hanging="256"/>
        <w:spacing w:after="0" w:line="24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$4.6 million increase in employee and nonemployee stock-based compensation expense and a $1.5 million increase for other personnel costs;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$2.7 million increase for director and officer insurance as we went public in December 2020;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$1.3 million increase for employee recruiting incurred to support the increase in hiring activity.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420" w:firstLine="636"/>
        <w:spacing w:after="0"/>
        <w:rPr>
          <w:sz w:val="20"/>
          <w:szCs w:val="20"/>
          <w:color w:val="auto"/>
        </w:rPr>
      </w:pPr>
      <w:r>
        <w:rPr>
          <w:rFonts w:ascii="Arial" w:cs="Arial" w:eastAsia="Arial" w:hAnsi="Arial"/>
          <w:sz w:val="18"/>
          <w:szCs w:val="18"/>
          <w:color w:val="auto"/>
        </w:rPr>
        <w:t>We have funded our operations primarily through the sale and issuance of our equity securities, including from the sale of our common stock in our IPO and Follow-on Offering and the sale of our Series A, Series A-1, Series B and Series C redeemable preferred stock, and to a lesser extent from cash received pursuant to our collaboration and license agreements.</w:t>
      </w:r>
    </w:p>
    <w:p>
      <w:pPr>
        <w:spacing w:after="0" w:line="203" w:lineRule="exact"/>
        <w:rPr>
          <w:sz w:val="20"/>
          <w:szCs w:val="20"/>
          <w:color w:val="auto"/>
        </w:rPr>
      </w:pPr>
    </w:p>
    <w:p>
      <w:pPr>
        <w:jc w:val="both"/>
        <w:ind w:right="40" w:firstLine="636"/>
        <w:spacing w:after="0"/>
        <w:rPr>
          <w:sz w:val="20"/>
          <w:szCs w:val="20"/>
          <w:color w:val="auto"/>
        </w:rPr>
      </w:pPr>
      <w:r>
        <w:rPr>
          <w:rFonts w:ascii="Arial" w:cs="Arial" w:eastAsia="Arial" w:hAnsi="Arial"/>
          <w:sz w:val="18"/>
          <w:szCs w:val="18"/>
          <w:color w:val="auto"/>
        </w:rPr>
        <w:t>In December 2020, we completed our IPO. We issued and sold 9,660,000 shares of common stock at a price to the public of $ 23.00 per share. The aggregate net proceeds from our IPO were $204.7 million after deducting underwriting discounts and commissions and other offering costs.</w:t>
      </w:r>
    </w:p>
    <w:p>
      <w:pPr>
        <w:spacing w:after="0" w:line="203" w:lineRule="exact"/>
        <w:rPr>
          <w:sz w:val="20"/>
          <w:szCs w:val="20"/>
          <w:color w:val="auto"/>
        </w:rPr>
      </w:pPr>
    </w:p>
    <w:p>
      <w:pPr>
        <w:ind w:right="120" w:firstLine="636"/>
        <w:spacing w:after="0" w:line="261" w:lineRule="auto"/>
        <w:rPr>
          <w:sz w:val="20"/>
          <w:szCs w:val="20"/>
          <w:color w:val="auto"/>
        </w:rPr>
      </w:pPr>
      <w:r>
        <w:rPr>
          <w:rFonts w:ascii="Arial" w:cs="Arial" w:eastAsia="Arial" w:hAnsi="Arial"/>
          <w:sz w:val="17"/>
          <w:szCs w:val="17"/>
          <w:color w:val="auto"/>
        </w:rPr>
        <w:t>In November 2021, we completed our Follow-on Offering in which 4,750,000 shares of our common stock were sold at an offering price of $25.00 per share. The net proceeds from the Follow-on Offering were $111.1 million after deducting underwriting discounts and commissions and offering expenses. As of December 31, 2021, we had cash, cash equivalents and marketable securities of $315.4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have experienced recurring net losses and had an accumulated deficit of $207.0 million at December 31, 2021.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expect that our research and development and general and administrative expenses will continue to increase for the foreseeable future. Additionally, we expect our capital expenditures will increase significantly in the future for costs associated with building additional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27" w:name="page128"/>
    <w:bookmarkEnd w:id="127"/>
    <w:p>
      <w:pPr>
        <w:ind w:right="100" w:firstLine="636"/>
        <w:spacing w:after="0" w:line="238"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our current and future product candidates through preclinical and clinical development;</w:t>
      </w:r>
    </w:p>
    <w:p>
      <w:pPr>
        <w:spacing w:after="0" w:line="103" w:lineRule="exact"/>
        <w:rPr>
          <w:rFonts w:ascii="Arial" w:cs="Arial" w:eastAsia="Arial" w:hAnsi="Arial"/>
          <w:sz w:val="18"/>
          <w:szCs w:val="18"/>
          <w:color w:val="auto"/>
        </w:rPr>
      </w:pPr>
    </w:p>
    <w:p>
      <w:pPr>
        <w:ind w:left="900" w:right="60" w:hanging="256"/>
        <w:spacing w:after="0" w:line="24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the COVID-19 pandemic, or other factors;</w:t>
      </w:r>
    </w:p>
    <w:p>
      <w:pPr>
        <w:spacing w:after="0" w:line="88" w:lineRule="exact"/>
        <w:rPr>
          <w:rFonts w:ascii="Arial" w:cs="Arial" w:eastAsia="Arial" w:hAnsi="Arial"/>
          <w:sz w:val="18"/>
          <w:szCs w:val="18"/>
          <w:color w:val="auto"/>
        </w:rPr>
      </w:pPr>
    </w:p>
    <w:p>
      <w:pPr>
        <w:ind w:left="900" w:right="80" w:hanging="256"/>
        <w:spacing w:after="0" w:line="24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expanding our manufacturing facilities and working with our contract manufacturers to scale up the manufacturing processes for our product candidates;</w:t>
      </w:r>
    </w:p>
    <w:p>
      <w:pPr>
        <w:spacing w:after="0" w:line="88"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continuing our research and discovery activities;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continuing the development of our Therapeutic Vector Evolution platform;</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initiating and conducting additional preclinical, clinical or other studies for our product candidates;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changing or adding additional contract manufacturers or suppliers;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seeking regulatory approvals and marketing authorizations for our product candidates;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establishing sales, marketing and distribution infrastructure to commercialize any products for which we obtain approval;</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acquiring or in-licensing product candidates, intellectual property and technologies;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making milestone, royalty or other payments due under any current or future collaboration or license agreements;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maintaining, expanding, protecting and enforcing our intellectual property portfolio;</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potential delays or other issues related to our operations;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meeting the requirements and demands of being a public company;</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defending against any product liability claims or other lawsuits related to our products; and</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right="280" w:firstLine="636"/>
        <w:spacing w:after="0" w:line="246" w:lineRule="auto"/>
        <w:rPr>
          <w:sz w:val="20"/>
          <w:szCs w:val="20"/>
          <w:color w:val="auto"/>
        </w:rPr>
      </w:pPr>
      <w:r>
        <w:rPr>
          <w:rFonts w:ascii="Arial" w:cs="Arial" w:eastAsia="Arial" w:hAnsi="Arial"/>
          <w:sz w:val="18"/>
          <w:szCs w:val="18"/>
          <w:color w:val="auto"/>
        </w:rPr>
        <w:t>We believe that our existing cash and cash equivalents will allow us to fund our planned operations for at least one year from the date of the issuance of the financial statements for the year ended December 31, 2021.</w:t>
      </w:r>
    </w:p>
    <w:p>
      <w:pPr>
        <w:spacing w:after="0" w:line="197"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28" w:name="page129"/>
    <w:bookmarkEnd w:id="128"/>
    <w:p>
      <w:pPr>
        <w:ind w:right="20" w:firstLine="636"/>
        <w:spacing w:after="0" w:line="236" w:lineRule="auto"/>
        <w:rPr>
          <w:sz w:val="20"/>
          <w:szCs w:val="20"/>
          <w:color w:val="auto"/>
        </w:rPr>
      </w:pPr>
      <w:r>
        <w:rPr>
          <w:rFonts w:ascii="Arial" w:cs="Arial" w:eastAsia="Arial" w:hAnsi="Arial"/>
          <w:sz w:val="18"/>
          <w:szCs w:val="18"/>
          <w:color w:val="auto"/>
        </w:rPr>
        <w:t>We do not have any committed external sources of funds. Accordingly, we will be required to obtain further funding through public or private equity offerings, debt financings, collaborations and licensing arrangements or other sources to complete the clinical development for the product candidates in treatment of Fabry disease, XLRP, choroideremia, wet AMD, cystic fibrosis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205"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If we are unable to obtain additional funding, we expect to delay, reduce or eliminate some or all of our research and development programs, product portfolio expansion or investment in internal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cash flows for the periods indicated below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3"/>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gridSpan w:val="3"/>
          </w:tcPr>
          <w:p>
            <w:pPr>
              <w:jc w:val="right"/>
              <w:spacing w:after="0" w:line="193" w:lineRule="exact"/>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5"/>
        </w:trPr>
        <w:tc>
          <w:tcPr>
            <w:tcW w:w="7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9"/>
                <w:szCs w:val="19"/>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(69,134 )</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(50,909 )</w:t>
            </w:r>
          </w:p>
        </w:tc>
        <w:tc>
          <w:tcPr>
            <w:tcW w:w="18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(172,680 )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(1,000 )</w:t>
            </w:r>
          </w:p>
        </w:tc>
        <w:tc>
          <w:tcPr>
            <w:tcW w:w="180" w:type="dxa"/>
            <w:vAlign w:val="bottom"/>
          </w:tcPr>
          <w:p>
            <w:pPr>
              <w:spacing w:after="0"/>
              <w:rPr>
                <w:sz w:val="17"/>
                <w:szCs w:val="17"/>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118,089</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278,983</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(123,725 )</w:t>
            </w:r>
          </w:p>
        </w:tc>
        <w:tc>
          <w:tcPr>
            <w:tcW w:w="74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227,074</w:t>
            </w:r>
          </w:p>
        </w:tc>
        <w:tc>
          <w:tcPr>
            <w:tcW w:w="18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-159385</wp:posOffset>
            </wp:positionV>
            <wp:extent cx="1111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-159385</wp:posOffset>
            </wp:positionV>
            <wp:extent cx="1117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2021, net cash used in operating activities of $69.1 million was attributable to a net loss of</w:t>
      </w:r>
    </w:p>
    <w:p>
      <w:pPr>
        <w:spacing w:after="0" w:line="234" w:lineRule="auto"/>
        <w:rPr>
          <w:sz w:val="20"/>
          <w:szCs w:val="20"/>
          <w:color w:val="auto"/>
        </w:rPr>
      </w:pPr>
      <w:r>
        <w:rPr>
          <w:rFonts w:ascii="Arial" w:cs="Arial" w:eastAsia="Arial" w:hAnsi="Arial"/>
          <w:sz w:val="18"/>
          <w:szCs w:val="18"/>
          <w:color w:val="auto"/>
        </w:rPr>
        <w:t>$71.3 million partially offset by a change of $17.7 million in noncash charges and by a net change of $15.5 million in our operating assets and</w:t>
      </w:r>
    </w:p>
    <w:p>
      <w:pPr>
        <w:spacing w:after="0" w:line="235" w:lineRule="auto"/>
        <w:rPr>
          <w:sz w:val="20"/>
          <w:szCs w:val="20"/>
          <w:color w:val="auto"/>
        </w:rPr>
      </w:pPr>
      <w:r>
        <w:rPr>
          <w:rFonts w:ascii="Arial" w:cs="Arial" w:eastAsia="Arial" w:hAnsi="Arial"/>
          <w:sz w:val="18"/>
          <w:szCs w:val="18"/>
          <w:color w:val="auto"/>
        </w:rPr>
        <w:t>liabilities. The noncash charges primarily consisted of stock-based compensation expense of $13.8 million, depreciation and amortization of</w:t>
      </w:r>
    </w:p>
    <w:p>
      <w:pPr>
        <w:spacing w:after="0" w:line="235" w:lineRule="auto"/>
        <w:rPr>
          <w:sz w:val="20"/>
          <w:szCs w:val="20"/>
          <w:color w:val="auto"/>
        </w:rPr>
      </w:pPr>
      <w:r>
        <w:rPr>
          <w:rFonts w:ascii="Arial" w:cs="Arial" w:eastAsia="Arial" w:hAnsi="Arial"/>
          <w:sz w:val="18"/>
          <w:szCs w:val="18"/>
          <w:color w:val="auto"/>
        </w:rPr>
        <w:t>$1.5 million and the amortization of operating lease right-of-use assets of $1.5 million. The change in operating assets and liabilities was</w:t>
      </w:r>
    </w:p>
    <w:p>
      <w:pPr>
        <w:spacing w:after="0" w:line="235" w:lineRule="auto"/>
        <w:rPr>
          <w:sz w:val="20"/>
          <w:szCs w:val="20"/>
          <w:color w:val="auto"/>
        </w:rPr>
      </w:pPr>
      <w:r>
        <w:rPr>
          <w:rFonts w:ascii="Arial" w:cs="Arial" w:eastAsia="Arial" w:hAnsi="Arial"/>
          <w:sz w:val="18"/>
          <w:szCs w:val="18"/>
          <w:color w:val="auto"/>
        </w:rPr>
        <w:t>primarily due to a $14.7 million decrease in deferred revenue and a $4.2 million increase in prepaid expenses and other current assets</w:t>
      </w:r>
    </w:p>
    <w:p>
      <w:pPr>
        <w:spacing w:after="0"/>
        <w:rPr>
          <w:sz w:val="20"/>
          <w:szCs w:val="20"/>
          <w:color w:val="auto"/>
        </w:rPr>
      </w:pPr>
      <w:r>
        <w:rPr>
          <w:rFonts w:ascii="Arial" w:cs="Arial" w:eastAsia="Arial" w:hAnsi="Arial"/>
          <w:sz w:val="18"/>
          <w:szCs w:val="18"/>
          <w:color w:val="auto"/>
        </w:rPr>
        <w:t>primarily offset by a $2.3 million increase in accounts payable.</w:t>
      </w:r>
    </w:p>
    <w:p>
      <w:pPr>
        <w:spacing w:after="0" w:line="212" w:lineRule="exact"/>
        <w:rPr>
          <w:sz w:val="20"/>
          <w:szCs w:val="20"/>
          <w:color w:val="auto"/>
        </w:rPr>
      </w:pPr>
    </w:p>
    <w:p>
      <w:pPr>
        <w:ind w:right="80" w:firstLine="641"/>
        <w:spacing w:after="0"/>
        <w:rPr>
          <w:sz w:val="20"/>
          <w:szCs w:val="20"/>
          <w:color w:val="auto"/>
        </w:rPr>
      </w:pPr>
      <w:r>
        <w:rPr>
          <w:rFonts w:ascii="Arial" w:cs="Arial" w:eastAsia="Arial" w:hAnsi="Arial"/>
          <w:sz w:val="18"/>
          <w:szCs w:val="18"/>
          <w:color w:val="auto"/>
        </w:rPr>
        <w:t>Net cash used in operating activities was $50.9 million for the year ended December 31, 2020. This was primarily due to the net loss of $56.7 million and an increase in prepaid expenses of $2.6 million, which were partially offset by stock-based compensation expense of $5.0 million and depreciation and amortization expense of $1.4 million and an increase in accrued and other liabilities of $1.9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6"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During the year ended December 31, 2021, net cash used in investing activities was $172.7 million, consisting of purchases of marketable securities of $168.6 million, as well as purchases of property and equipment of $9.1 million, offset by the maturities of marketable securities of $5.0 million.</w:t>
      </w:r>
    </w:p>
    <w:p>
      <w:pPr>
        <w:spacing w:after="0" w:line="203" w:lineRule="exact"/>
        <w:rPr>
          <w:sz w:val="20"/>
          <w:szCs w:val="20"/>
          <w:color w:val="auto"/>
        </w:rPr>
      </w:pPr>
    </w:p>
    <w:p>
      <w:pPr>
        <w:ind w:right="500" w:firstLine="636"/>
        <w:spacing w:after="0" w:line="246" w:lineRule="auto"/>
        <w:rPr>
          <w:sz w:val="20"/>
          <w:szCs w:val="20"/>
          <w:color w:val="auto"/>
        </w:rPr>
      </w:pPr>
      <w:r>
        <w:rPr>
          <w:rFonts w:ascii="Arial" w:cs="Arial" w:eastAsia="Arial" w:hAnsi="Arial"/>
          <w:sz w:val="18"/>
          <w:szCs w:val="18"/>
          <w:color w:val="auto"/>
        </w:rPr>
        <w:t>Net cash used in investing activities was $1.0 million for the year ended December 31, 2020, all of which was used to purchase property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6" w:lineRule="exact"/>
        <w:rPr>
          <w:sz w:val="20"/>
          <w:szCs w:val="20"/>
          <w:color w:val="auto"/>
        </w:rPr>
      </w:pPr>
    </w:p>
    <w:p>
      <w:pPr>
        <w:ind w:right="380" w:firstLine="636"/>
        <w:spacing w:after="0"/>
        <w:rPr>
          <w:sz w:val="20"/>
          <w:szCs w:val="20"/>
          <w:color w:val="auto"/>
        </w:rPr>
      </w:pPr>
      <w:r>
        <w:rPr>
          <w:rFonts w:ascii="Arial" w:cs="Arial" w:eastAsia="Arial" w:hAnsi="Arial"/>
          <w:sz w:val="18"/>
          <w:szCs w:val="18"/>
          <w:color w:val="auto"/>
        </w:rPr>
        <w:t>During the year ended December 31, 2021, net cash provided by financing activities of $118.1 million was primarily comprised of $114.3 million in net proceeds from offerings, as well as proceeds received from the issuance of common stock upon exercise of stock options and warrants of $3.4 million.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provided by financing activities was $279.0 million for the year ended December 31, 2020, which was primarily due to</w:t>
      </w:r>
    </w:p>
    <w:p>
      <w:pPr>
        <w:spacing w:after="0" w:line="234" w:lineRule="auto"/>
        <w:rPr>
          <w:sz w:val="20"/>
          <w:szCs w:val="20"/>
          <w:color w:val="auto"/>
        </w:rPr>
      </w:pPr>
      <w:r>
        <w:rPr>
          <w:rFonts w:ascii="Arial" w:cs="Arial" w:eastAsia="Arial" w:hAnsi="Arial"/>
          <w:sz w:val="18"/>
          <w:szCs w:val="18"/>
          <w:color w:val="auto"/>
        </w:rPr>
        <w:t>$205.7 million of proceeds from our IPO net of paid underwriting discounts and commissions and offering costs in December 2021 and $72.5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of net proceeds received from the issuance of our Series C redeemable convertible preferred stock in April and June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6"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w:t>
      </w:r>
    </w:p>
    <w:p>
      <w:pPr>
        <w:spacing w:after="0" w:line="97"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As of December 31, 2021, our principal commitments consisted of obligations under our operating lease for our headquarters. Please see note 9 to our financial statements included elsewhere in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6" w:lineRule="exact"/>
        <w:rPr>
          <w:sz w:val="20"/>
          <w:szCs w:val="20"/>
          <w:color w:val="auto"/>
        </w:rPr>
      </w:pPr>
    </w:p>
    <w:p>
      <w:pPr>
        <w:ind w:right="140" w:firstLine="636"/>
        <w:spacing w:after="0" w:line="237" w:lineRule="auto"/>
        <w:rPr>
          <w:sz w:val="20"/>
          <w:szCs w:val="20"/>
          <w:color w:val="auto"/>
        </w:rPr>
      </w:pPr>
      <w:r>
        <w:rPr>
          <w:rFonts w:ascii="Arial" w:cs="Arial" w:eastAsia="Arial" w:hAnsi="Arial"/>
          <w:sz w:val="18"/>
          <w:szCs w:val="18"/>
          <w:color w:val="auto"/>
        </w:rPr>
        <w:t>Our financial statements have been prepared in accordance with generally accepted accounting principles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3" w:lineRule="exact"/>
        <w:rPr>
          <w:sz w:val="20"/>
          <w:szCs w:val="20"/>
          <w:color w:val="auto"/>
        </w:rPr>
      </w:pPr>
    </w:p>
    <w:p>
      <w:pPr>
        <w:jc w:val="both"/>
        <w:ind w:right="200" w:firstLine="636"/>
        <w:spacing w:after="0"/>
        <w:rPr>
          <w:sz w:val="20"/>
          <w:szCs w:val="20"/>
          <w:color w:val="auto"/>
        </w:rPr>
      </w:pPr>
      <w:r>
        <w:rPr>
          <w:rFonts w:ascii="Arial" w:cs="Arial" w:eastAsia="Arial" w:hAnsi="Arial"/>
          <w:sz w:val="18"/>
          <w:szCs w:val="18"/>
          <w:color w:val="auto"/>
        </w:rPr>
        <w:t>Our significant accounting policies are described in Note 2 to our financial statements included elsewhere in this report. We believe the following accounting policies are critical to the process of making significant judgments and estimates in the preparation of our financial statements and understanding and evaluating our reported financial results.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determine revenue recognition for 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202"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Our revenue is primarily derived through our license, research, development and commercialization agreements. The terms of these types of agreements may include (i) licenses to our technology,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 reimbursements represent variable consideration, and we use the most likely amount method to estimate this variable consideration. Royalty payments are recognized when earned or as the sales occur. We record cost reimbursements as accounts receivable when right to consideration is unconditional.</w:t>
      </w:r>
    </w:p>
    <w:p>
      <w:pPr>
        <w:spacing w:after="0" w:line="206"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We allocate the total transaction price to each performance obligation based on the estimated selling price and recognize revenue when, or as, the performance obligation is satisfied. We include the unconstrained amount of estimated variable consideration in the transaction price. At the end of each reporting period, we re-evaluate the estimated variable consideration included in the transaction price and any related constraint, and if necessary, adjust our estimate of the overall transaction price.</w:t>
      </w:r>
    </w:p>
    <w:p>
      <w:pPr>
        <w:spacing w:after="0" w:line="202" w:lineRule="exact"/>
        <w:rPr>
          <w:sz w:val="20"/>
          <w:szCs w:val="20"/>
          <w:color w:val="auto"/>
        </w:rPr>
      </w:pPr>
    </w:p>
    <w:p>
      <w:pPr>
        <w:ind w:right="360" w:firstLine="636"/>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04" w:lineRule="exact"/>
        <w:rPr>
          <w:sz w:val="20"/>
          <w:szCs w:val="20"/>
          <w:color w:val="auto"/>
        </w:rPr>
      </w:pPr>
    </w:p>
    <w:p>
      <w:pPr>
        <w:ind w:left="900" w:hanging="25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CROs in connection with preclinical development and clinical studies; and</w:t>
      </w:r>
    </w:p>
    <w:p>
      <w:pPr>
        <w:spacing w:after="0" w:line="103" w:lineRule="exact"/>
        <w:rPr>
          <w:rFonts w:ascii="Arial" w:cs="Arial" w:eastAsia="Arial" w:hAnsi="Arial"/>
          <w:sz w:val="18"/>
          <w:szCs w:val="18"/>
          <w:color w:val="auto"/>
        </w:rPr>
      </w:pPr>
    </w:p>
    <w:p>
      <w:pPr>
        <w:ind w:left="900" w:right="180" w:hanging="256"/>
        <w:spacing w:after="0" w:line="24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w:t>
      </w:r>
    </w:p>
    <w:p>
      <w:pPr>
        <w:spacing w:after="0" w:line="197"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amounts actually incurred.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including stock options and stock awards. Our determination of the fair value of stock options on the date of grant utilizes the Black-Scholes option pricing model.</w:t>
      </w:r>
    </w:p>
    <w:p>
      <w:pPr>
        <w:spacing w:after="0" w:line="203"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fair value of the option granted is recognized on a straight-line basis over the period during which an optionee is required to provide services in exchange for the option award, known as the requisite service period, which usually is the vesting period. Prior to January 1, 2020, the stock-based compensation expense for nonemployees was subject to remeasurement until the related vesting conditions were met. Effective January 1, 2020, the measurement date for nonemployee awards is the date of grant without changes in the fair value of the award. We account for forfeitures as they occur for both employees and nonemployees.</w:t>
      </w:r>
    </w:p>
    <w:p>
      <w:pPr>
        <w:spacing w:after="0" w:line="202" w:lineRule="exact"/>
        <w:rPr>
          <w:sz w:val="20"/>
          <w:szCs w:val="20"/>
          <w:color w:val="auto"/>
        </w:rPr>
      </w:pPr>
    </w:p>
    <w:p>
      <w:pPr>
        <w:ind w:right="380" w:firstLine="636"/>
        <w:spacing w:after="0" w:line="246" w:lineRule="auto"/>
        <w:rPr>
          <w:sz w:val="20"/>
          <w:szCs w:val="20"/>
          <w:color w:val="auto"/>
        </w:rPr>
      </w:pPr>
      <w:r>
        <w:rPr>
          <w:rFonts w:ascii="Arial" w:cs="Arial" w:eastAsia="Arial" w:hAnsi="Arial"/>
          <w:sz w:val="18"/>
          <w:szCs w:val="18"/>
          <w:color w:val="auto"/>
        </w:rPr>
        <w:t>Estimates of the fair value of equity awards as of the grant date using valuation models such as the Black-Scholes option pricing model are affected by assumptions with a number of complex variables.</w:t>
      </w:r>
    </w:p>
    <w:p>
      <w:pPr>
        <w:spacing w:after="0" w:line="197" w:lineRule="exact"/>
        <w:rPr>
          <w:sz w:val="20"/>
          <w:szCs w:val="20"/>
          <w:color w:val="auto"/>
        </w:rPr>
      </w:pPr>
    </w:p>
    <w:p>
      <w:pPr>
        <w:ind w:right="160" w:firstLine="636"/>
        <w:spacing w:after="0" w:line="261" w:lineRule="auto"/>
        <w:rPr>
          <w:sz w:val="20"/>
          <w:szCs w:val="20"/>
          <w:color w:val="auto"/>
        </w:rPr>
      </w:pPr>
      <w:r>
        <w:rPr>
          <w:rFonts w:ascii="Arial" w:cs="Arial" w:eastAsia="Arial" w:hAnsi="Arial"/>
          <w:sz w:val="17"/>
          <w:szCs w:val="17"/>
          <w:color w:val="auto"/>
        </w:rPr>
        <w:t>Changes in the following assumptions can materially affect the estimate of fair value and ultimately how much stock-based compensation expense is recognized; and the resulting change in fair value, if any, is recognized in our statements of operations during the period the related services are rendered. These inputs are subjective and generally require significant analysis and judgment to develop:</w:t>
      </w:r>
    </w:p>
    <w:p>
      <w:pPr>
        <w:spacing w:after="0" w:line="60" w:lineRule="exact"/>
        <w:rPr>
          <w:sz w:val="20"/>
          <w:szCs w:val="20"/>
          <w:color w:val="auto"/>
        </w:rPr>
      </w:pPr>
    </w:p>
    <w:p>
      <w:pPr>
        <w:jc w:val="both"/>
        <w:ind w:left="900" w:right="180" w:hanging="256"/>
        <w:spacing w:after="0" w:line="250"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for employee options is calculated using the simplified method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provide a basis for estimate. The simplified method is based on the average of the vesting tranches and the contractual life of each grant.</w:t>
      </w:r>
    </w:p>
    <w:p>
      <w:pPr>
        <w:spacing w:after="0" w:line="68" w:lineRule="exact"/>
        <w:rPr>
          <w:rFonts w:ascii="Arial" w:cs="Arial" w:eastAsia="Arial" w:hAnsi="Arial"/>
          <w:sz w:val="18"/>
          <w:szCs w:val="18"/>
          <w:color w:val="auto"/>
        </w:rPr>
      </w:pPr>
    </w:p>
    <w:p>
      <w:pPr>
        <w:ind w:left="900" w:right="220" w:hanging="256"/>
        <w:spacing w:after="0" w:line="245"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expected volatility was estimated based on a study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industry peer companies as we did not have sufficient trading history for our common stock. We selected the peer group based on similarities in industry, stage of development, size and financial leverage with our principal business operations. For each grant, we measured historical volatility over a period equivalent to the expected term.</w:t>
      </w:r>
    </w:p>
    <w:p>
      <w:pPr>
        <w:spacing w:after="0" w:line="72" w:lineRule="exact"/>
        <w:rPr>
          <w:rFonts w:ascii="Arial" w:cs="Arial" w:eastAsia="Arial" w:hAnsi="Arial"/>
          <w:sz w:val="18"/>
          <w:szCs w:val="18"/>
          <w:color w:val="auto"/>
        </w:rPr>
      </w:pPr>
    </w:p>
    <w:p>
      <w:pPr>
        <w:ind w:left="900" w:right="240" w:hanging="256"/>
        <w:spacing w:after="0" w:line="26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52" w:lineRule="exact"/>
        <w:rPr>
          <w:rFonts w:ascii="Arial" w:cs="Arial" w:eastAsia="Arial" w:hAnsi="Arial"/>
          <w:sz w:val="18"/>
          <w:szCs w:val="18"/>
          <w:color w:val="auto"/>
        </w:rPr>
      </w:pPr>
    </w:p>
    <w:p>
      <w:pPr>
        <w:ind w:left="900" w:right="780" w:hanging="256"/>
        <w:spacing w:after="0" w:line="26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not paid and do not currently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estimated the dividend yield to be zero.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Prior to our IPO in December 2020, the estimated fair value of the common stock underlying our stock options and stock awards was determined at each grant date by our board of directors, with assistance from management and external appraisers. All options to purchase shares of our common stock were intended to be exercisable at a price per share not less than the per-share fair value of our common stock underlying those options on the date of grant. The approach to estimate the fair value of our common stock was consistent with the methods outlined in the American Institute of Certified Public Accountants’ Practice Aid, Valuation of Privately-Held-Company Equity Securities Issued as Compensation. Subsequent to our IPO, the fair value of our common stock is determined based on its closing market price as reported on the Nasdaq Global Select Market.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firstLine="636"/>
        <w:spacing w:after="0" w:line="225" w:lineRule="auto"/>
        <w:rPr>
          <w:sz w:val="20"/>
          <w:szCs w:val="20"/>
          <w:color w:val="auto"/>
        </w:rPr>
      </w:pPr>
      <w:r>
        <w:rPr>
          <w:rFonts w:ascii="Arial" w:cs="Arial" w:eastAsia="Arial" w:hAnsi="Arial"/>
          <w:sz w:val="18"/>
          <w:szCs w:val="18"/>
          <w:color w:val="auto"/>
        </w:rPr>
        <w:t>We account for income taxes under the asset and liability method, which requires, among other things, that deferred income taxes be provided for temporary differences between the financial statement reporting and tax basis of our assets and liabilities.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191" w:lineRule="exact"/>
        <w:rPr>
          <w:sz w:val="20"/>
          <w:szCs w:val="20"/>
          <w:color w:val="auto"/>
        </w:rPr>
      </w:pPr>
    </w:p>
    <w:p>
      <w:pPr>
        <w:ind w:right="120" w:firstLine="636"/>
        <w:spacing w:after="0" w:line="225" w:lineRule="auto"/>
        <w:rPr>
          <w:sz w:val="20"/>
          <w:szCs w:val="20"/>
          <w:color w:val="auto"/>
        </w:rPr>
      </w:pPr>
      <w:r>
        <w:rPr>
          <w:rFonts w:ascii="Arial" w:cs="Arial" w:eastAsia="Arial" w:hAnsi="Arial"/>
          <w:sz w:val="18"/>
          <w:szCs w:val="18"/>
          <w:color w:val="auto"/>
        </w:rPr>
        <w:t>We account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91" w:lineRule="exact"/>
        <w:rPr>
          <w:sz w:val="20"/>
          <w:szCs w:val="20"/>
          <w:color w:val="auto"/>
        </w:rPr>
      </w:pPr>
    </w:p>
    <w:p>
      <w:pPr>
        <w:ind w:firstLine="636"/>
        <w:spacing w:after="0" w:line="227"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stockholders over a three-year period in excess of 50% as defined under Sections 382 and 383 in the Internal Revenue Code, which could limit the amount of tax attributes that can be utilized annually to offset future taxable income or tax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may delay adopting new or revised accounting standards issued 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We will remain an emerging growth company until the earlier of (i) December 31, 2025, (ii) the last day of the year in which we have total annual gross revenue of at least $1.07 billion, (iii)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95" w:lineRule="exact"/>
        <w:rPr>
          <w:sz w:val="20"/>
          <w:szCs w:val="20"/>
          <w:color w:val="auto"/>
        </w:rPr>
      </w:pPr>
    </w:p>
    <w:p>
      <w:pPr>
        <w:ind w:left="900" w:right="260" w:hanging="256"/>
        <w:spacing w:after="0" w:line="24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for any interim period, and related management’s discussion and analysis of financial condition and results of operations;</w:t>
      </w:r>
    </w:p>
    <w:p>
      <w:pPr>
        <w:spacing w:after="0" w:line="88" w:lineRule="exact"/>
        <w:rPr>
          <w:rFonts w:ascii="Arial" w:cs="Arial" w:eastAsia="Arial" w:hAnsi="Arial"/>
          <w:sz w:val="18"/>
          <w:szCs w:val="18"/>
          <w:color w:val="auto"/>
        </w:rPr>
      </w:pPr>
    </w:p>
    <w:p>
      <w:pPr>
        <w:ind w:left="900" w:right="440" w:hanging="25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133" w:name="page134"/>
    <w:bookmarkEnd w:id="133"/>
    <w:p>
      <w:pPr>
        <w:ind w:left="900" w:hanging="25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03" w:lineRule="exact"/>
        <w:rPr>
          <w:rFonts w:ascii="Arial" w:cs="Arial" w:eastAsia="Arial" w:hAnsi="Arial"/>
          <w:sz w:val="18"/>
          <w:szCs w:val="18"/>
          <w:color w:val="auto"/>
        </w:rPr>
      </w:pPr>
    </w:p>
    <w:p>
      <w:pPr>
        <w:ind w:left="900" w:hanging="25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03" w:lineRule="exact"/>
        <w:rPr>
          <w:rFonts w:ascii="Arial" w:cs="Arial" w:eastAsia="Arial" w:hAnsi="Arial"/>
          <w:sz w:val="18"/>
          <w:szCs w:val="18"/>
          <w:color w:val="auto"/>
        </w:rPr>
      </w:pPr>
    </w:p>
    <w:p>
      <w:pPr>
        <w:ind w:left="900" w:right="120" w:hanging="256"/>
        <w:spacing w:after="0" w:line="24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97" w:lineRule="exact"/>
        <w:rPr>
          <w:sz w:val="20"/>
          <w:szCs w:val="20"/>
          <w:color w:val="auto"/>
        </w:rPr>
      </w:pPr>
    </w:p>
    <w:p>
      <w:pPr>
        <w:ind w:right="620" w:firstLine="636"/>
        <w:spacing w:after="0" w:line="246" w:lineRule="auto"/>
        <w:rPr>
          <w:sz w:val="20"/>
          <w:szCs w:val="20"/>
          <w:color w:val="auto"/>
        </w:rPr>
      </w:pPr>
      <w:r>
        <w:rPr>
          <w:rFonts w:ascii="Arial" w:cs="Arial" w:eastAsia="Arial" w:hAnsi="Arial"/>
          <w:sz w:val="18"/>
          <w:szCs w:val="18"/>
          <w:color w:val="auto"/>
        </w:rPr>
        <w:t>As a result, the information in this report in the future may be different than what you might receive from other public reporting companies.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2 to our financial statements included elsewhere in this report for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and Effects of Inflation</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2021, we had cash, cash equivalents and marketable securities of $315.4 million, consisting of bank deposits, interest-bearing money market funds, and marketable securities, for which the fair value would be affected by changes in the general level of U.S. interest rates. However, due to the short-term maturities of our cash equivalents and marketable securities, an immediate 10% change in interest rates would not have a material effect on the fair value of our cash equivalents or marketable securities.</w:t>
      </w:r>
    </w:p>
    <w:p>
      <w:pPr>
        <w:spacing w:after="0" w:line="94" w:lineRule="exact"/>
        <w:rPr>
          <w:sz w:val="20"/>
          <w:szCs w:val="20"/>
          <w:color w:val="auto"/>
        </w:rPr>
      </w:pPr>
    </w:p>
    <w:p>
      <w:pPr>
        <w:ind w:right="340" w:firstLine="636"/>
        <w:spacing w:after="0" w:line="246" w:lineRule="auto"/>
        <w:rPr>
          <w:sz w:val="20"/>
          <w:szCs w:val="20"/>
          <w:color w:val="auto"/>
        </w:rPr>
      </w:pPr>
      <w:r>
        <w:rPr>
          <w:rFonts w:ascii="Arial" w:cs="Arial" w:eastAsia="Arial" w:hAnsi="Arial"/>
          <w:sz w:val="18"/>
          <w:szCs w:val="18"/>
          <w:color w:val="auto"/>
        </w:rPr>
        <w:t>We do not believe that inflation or interest rate changes have had a significant impact on our results of operations for any periods presented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required by this item are set forth beginning on page F-1 of this Annual Report on Form 10-K.</w:t>
      </w:r>
    </w:p>
    <w:p>
      <w:pPr>
        <w:spacing w:after="0" w:line="3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r>
      <w:tr>
        <w:trPr>
          <w:trHeight w:val="169"/>
        </w:trPr>
        <w:tc>
          <w:tcPr>
            <w:tcW w:w="10100" w:type="dxa"/>
            <w:vAlign w:val="bottom"/>
            <w:gridSpan w:val="9"/>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Report of Independent Registered Public Accounting Firm (PCAOB ID 238)</w:t>
              </w:r>
            </w:hyperlink>
          </w:p>
        </w:tc>
        <w:tc>
          <w:tcPr>
            <w:tcW w:w="1120" w:type="dxa"/>
            <w:vAlign w:val="bottom"/>
          </w:tcPr>
          <w:p>
            <w:pPr>
              <w:ind w:left="840"/>
              <w:spacing w:after="0" w:line="169" w:lineRule="exact"/>
              <w:rPr>
                <w:sz w:val="20"/>
                <w:szCs w:val="20"/>
                <w:color w:val="auto"/>
              </w:rPr>
            </w:pPr>
            <w:r>
              <w:rPr>
                <w:rFonts w:ascii="Arial" w:cs="Arial" w:eastAsia="Arial" w:hAnsi="Arial"/>
                <w:sz w:val="18"/>
                <w:szCs w:val="18"/>
                <w:color w:val="auto"/>
                <w:w w:val="96"/>
              </w:rPr>
              <w:t>F-1</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4">
              <w:r>
                <w:rPr>
                  <w:rFonts w:ascii="Arial" w:cs="Arial" w:eastAsia="Arial" w:hAnsi="Arial"/>
                  <w:sz w:val="18"/>
                  <w:szCs w:val="18"/>
                  <w:color w:val="0000FF"/>
                </w:rPr>
                <w:t>Balance Sheets</w:t>
              </w:r>
            </w:hyperlink>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F-2</w:t>
            </w:r>
          </w:p>
        </w:tc>
      </w:tr>
      <w:tr>
        <w:trPr>
          <w:trHeight w:val="20"/>
        </w:trPr>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5">
              <w:r>
                <w:rPr>
                  <w:rFonts w:ascii="Arial" w:cs="Arial" w:eastAsia="Arial" w:hAnsi="Arial"/>
                  <w:sz w:val="18"/>
                  <w:szCs w:val="18"/>
                  <w:color w:val="0000FF"/>
                </w:rPr>
                <w:t>Statements of Operations</w:t>
              </w:r>
            </w:hyperlink>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F-3</w:t>
            </w:r>
          </w:p>
        </w:tc>
      </w:tr>
      <w:tr>
        <w:trPr>
          <w:trHeight w:val="20"/>
        </w:trPr>
        <w:tc>
          <w:tcPr>
            <w:tcW w:w="2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6">
              <w:r>
                <w:rPr>
                  <w:rFonts w:ascii="Arial" w:cs="Arial" w:eastAsia="Arial" w:hAnsi="Arial"/>
                  <w:sz w:val="18"/>
                  <w:szCs w:val="18"/>
                  <w:color w:val="0000FF"/>
                </w:rPr>
                <w:t>Statements of Comprehensive Loss</w:t>
              </w:r>
            </w:hyperlink>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F-4</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7">
              <w:r>
                <w:rPr>
                  <w:rFonts w:ascii="Arial" w:cs="Arial" w:eastAsia="Arial" w:hAnsi="Arial"/>
                  <w:sz w:val="18"/>
                  <w:szCs w:val="18"/>
                  <w:color w:val="0000FF"/>
                </w:rPr>
                <w:t xml:space="preserve">Statements of Redeemable Convertible Preferred Stock and Stockholders' </w:t>
              </w:r>
            </w:hyperlink>
            <w:r>
              <w:rPr>
                <w:rFonts w:ascii="Arial" w:cs="Arial" w:eastAsia="Arial" w:hAnsi="Arial"/>
                <w:sz w:val="18"/>
                <w:szCs w:val="18"/>
                <w:color w:val="0000FF"/>
              </w:rPr>
              <w:t>Equity (Deficit)</w:t>
            </w:r>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F-5</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8">
              <w:r>
                <w:rPr>
                  <w:rFonts w:ascii="Arial" w:cs="Arial" w:eastAsia="Arial" w:hAnsi="Arial"/>
                  <w:sz w:val="18"/>
                  <w:szCs w:val="18"/>
                  <w:color w:val="0000FF"/>
                </w:rPr>
                <w:t>Statements of Cash Flows</w:t>
              </w:r>
            </w:hyperlink>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F-6</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100" w:type="dxa"/>
            <w:vAlign w:val="bottom"/>
            <w:gridSpan w:val="9"/>
          </w:tcPr>
          <w:p>
            <w:pPr>
              <w:spacing w:after="0" w:line="182" w:lineRule="exact"/>
              <w:rPr>
                <w:rFonts w:ascii="Arial" w:cs="Arial" w:eastAsia="Arial" w:hAnsi="Arial"/>
                <w:sz w:val="18"/>
                <w:szCs w:val="18"/>
                <w:color w:val="0000FF"/>
              </w:rPr>
            </w:pPr>
            <w:hyperlink w:anchor="page149">
              <w:r>
                <w:rPr>
                  <w:rFonts w:ascii="Arial" w:cs="Arial" w:eastAsia="Arial" w:hAnsi="Arial"/>
                  <w:sz w:val="18"/>
                  <w:szCs w:val="18"/>
                  <w:color w:val="0000FF"/>
                </w:rPr>
                <w:t>Notes to Financial Statements</w:t>
              </w:r>
            </w:hyperlink>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F-7</w:t>
            </w:r>
          </w:p>
        </w:tc>
      </w:tr>
      <w:tr>
        <w:trPr>
          <w:trHeight w:val="20"/>
        </w:trPr>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6" w:lineRule="exact"/>
        <w:rPr>
          <w:sz w:val="20"/>
          <w:szCs w:val="20"/>
          <w:color w:val="auto"/>
        </w:rPr>
      </w:pPr>
    </w:p>
    <w:p>
      <w:pPr>
        <w:ind w:right="20" w:firstLine="618"/>
        <w:spacing w:after="0" w:line="236"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00" w:lineRule="exact"/>
        <w:rPr>
          <w:sz w:val="20"/>
          <w:szCs w:val="20"/>
          <w:color w:val="auto"/>
        </w:rPr>
      </w:pPr>
    </w:p>
    <w:p>
      <w:pPr>
        <w:ind w:right="100" w:firstLine="618"/>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Annual Report on Form 10-K. Based upon such evaluation, our principal executive officer and principal financial and accounting officer have concluded that our disclosure controls and procedures were effective at the reasonable assurance level as of such date.</w:t>
      </w:r>
    </w:p>
    <w:p>
      <w:pPr>
        <w:spacing w:after="0" w:line="97" w:lineRule="exact"/>
        <w:rPr>
          <w:sz w:val="20"/>
          <w:szCs w:val="20"/>
          <w:color w:val="auto"/>
        </w:rPr>
      </w:pPr>
    </w:p>
    <w:p>
      <w:pPr>
        <w:ind w:right="120" w:firstLine="618"/>
        <w:spacing w:after="0" w:line="23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35" w:name="page136"/>
    <w:bookmarkEnd w:id="135"/>
    <w:p>
      <w:pPr>
        <w:ind w:firstLine="618"/>
        <w:spacing w:after="0" w:line="238"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2021.</w:t>
      </w:r>
    </w:p>
    <w:p>
      <w:pPr>
        <w:spacing w:after="0" w:line="97" w:lineRule="exact"/>
        <w:rPr>
          <w:sz w:val="20"/>
          <w:szCs w:val="20"/>
          <w:color w:val="auto"/>
        </w:rPr>
      </w:pPr>
    </w:p>
    <w:p>
      <w:pPr>
        <w:ind w:right="60" w:firstLine="618"/>
        <w:spacing w:after="0" w:line="246" w:lineRule="auto"/>
        <w:rPr>
          <w:sz w:val="20"/>
          <w:szCs w:val="20"/>
          <w:color w:val="auto"/>
        </w:rPr>
      </w:pPr>
      <w:r>
        <w:rPr>
          <w:rFonts w:ascii="Arial" w:cs="Arial" w:eastAsia="Arial" w:hAnsi="Arial"/>
          <w:sz w:val="18"/>
          <w:szCs w:val="18"/>
          <w:color w:val="auto"/>
        </w:rPr>
        <w:t>This Annual Report on Form-10K does not include an attestation report of our independent registered public accounting firm on our internal control over financial reporting due to an exemption established by the JOBS Act for "emerging growth companies".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2" w:lineRule="exact"/>
        <w:rPr>
          <w:sz w:val="20"/>
          <w:szCs w:val="20"/>
          <w:color w:val="auto"/>
        </w:rPr>
      </w:pPr>
    </w:p>
    <w:p>
      <w:pPr>
        <w:ind w:right="320" w:firstLine="618"/>
        <w:spacing w:after="0" w:line="246"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36" w:name="page137"/>
    <w:bookmarkEnd w:id="136"/>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2"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within 120 days after December 31, 2021 (the “Proxy Statement”) and is incorporated in this Annual Report on Form 10-K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2" w:lineRule="exact"/>
        <w:rPr>
          <w:sz w:val="20"/>
          <w:szCs w:val="20"/>
          <w:color w:val="auto"/>
        </w:rPr>
      </w:pPr>
    </w:p>
    <w:p>
      <w:pPr>
        <w:ind w:right="100" w:firstLine="636"/>
        <w:spacing w:after="0" w:line="23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100" w:firstLine="636"/>
        <w:spacing w:after="0" w:line="23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2" w:lineRule="exact"/>
        <w:rPr>
          <w:sz w:val="20"/>
          <w:szCs w:val="20"/>
          <w:color w:val="auto"/>
        </w:rPr>
      </w:pPr>
    </w:p>
    <w:p>
      <w:pPr>
        <w:ind w:right="100" w:firstLine="636"/>
        <w:spacing w:after="0" w:line="23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2" w:lineRule="exact"/>
        <w:rPr>
          <w:sz w:val="20"/>
          <w:szCs w:val="20"/>
          <w:color w:val="auto"/>
        </w:rPr>
      </w:pPr>
    </w:p>
    <w:p>
      <w:pPr>
        <w:ind w:right="100" w:firstLine="636"/>
        <w:spacing w:after="0" w:line="23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6" w:lineRule="exact"/>
        <w:rPr>
          <w:sz w:val="20"/>
          <w:szCs w:val="20"/>
          <w:color w:val="auto"/>
        </w:rPr>
      </w:pPr>
    </w:p>
    <w:p>
      <w:pPr>
        <w:ind w:left="1020" w:hanging="368"/>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statements schedules and exhibits filed as part of this Annual Report on Form 10-K are as follows:</w:t>
      </w:r>
    </w:p>
    <w:p>
      <w:pPr>
        <w:spacing w:after="0" w:line="103" w:lineRule="exact"/>
        <w:rPr>
          <w:rFonts w:ascii="Arial" w:cs="Arial" w:eastAsia="Arial" w:hAnsi="Arial"/>
          <w:sz w:val="18"/>
          <w:szCs w:val="18"/>
          <w:color w:val="auto"/>
        </w:rPr>
      </w:pPr>
    </w:p>
    <w:p>
      <w:pPr>
        <w:ind w:left="1260" w:hanging="369"/>
        <w:spacing w:after="0"/>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is made to the financial statements included in Item 8 of Part II hereof.</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Financial Statement Schedules</w:t>
      </w:r>
    </w:p>
    <w:p>
      <w:pPr>
        <w:spacing w:after="0" w:line="104" w:lineRule="exact"/>
        <w:rPr>
          <w:sz w:val="20"/>
          <w:szCs w:val="20"/>
          <w:color w:val="auto"/>
        </w:rPr>
      </w:pPr>
    </w:p>
    <w:p>
      <w:pPr>
        <w:ind w:left="900"/>
        <w:spacing w:after="0" w:line="246" w:lineRule="auto"/>
        <w:rPr>
          <w:sz w:val="20"/>
          <w:szCs w:val="20"/>
          <w:color w:val="auto"/>
        </w:rPr>
      </w:pPr>
      <w:r>
        <w:rPr>
          <w:rFonts w:ascii="Arial" w:cs="Arial" w:eastAsia="Arial" w:hAnsi="Arial"/>
          <w:sz w:val="18"/>
          <w:szCs w:val="18"/>
          <w:color w:val="auto"/>
        </w:rPr>
        <w:t>All financial statement schedules are omitted because they are not required or the required information is included in the financial statements or notes thereto.</w:t>
      </w:r>
    </w:p>
    <w:p>
      <w:pPr>
        <w:spacing w:after="0" w:line="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Exhibits</w:t>
      </w:r>
    </w:p>
    <w:p>
      <w:pPr>
        <w:spacing w:after="0" w:line="104" w:lineRule="exact"/>
        <w:rPr>
          <w:sz w:val="20"/>
          <w:szCs w:val="20"/>
          <w:color w:val="auto"/>
        </w:rPr>
      </w:pPr>
    </w:p>
    <w:p>
      <w:pPr>
        <w:ind w:left="900" w:right="120"/>
        <w:spacing w:after="0" w:line="246" w:lineRule="auto"/>
        <w:rPr>
          <w:sz w:val="20"/>
          <w:szCs w:val="20"/>
          <w:color w:val="auto"/>
        </w:rPr>
      </w:pPr>
      <w:r>
        <w:rPr>
          <w:rFonts w:ascii="Arial" w:cs="Arial" w:eastAsia="Arial" w:hAnsi="Arial"/>
          <w:sz w:val="18"/>
          <w:szCs w:val="18"/>
          <w:color w:val="auto"/>
        </w:rPr>
        <w:t>The exhibits required to be filed as part of this report are listed in the Exhibit List attached hereto and are incorporated herein by reference.</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9" w:right="4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18"/>
          </w:tcPr>
          <w:p>
            <w:pPr>
              <w:jc w:val="center"/>
              <w:ind w:right="98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534"/>
        </w:trPr>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tcBorders>
              <w:top w:val="single" w:sz="8" w:color="auto"/>
            </w:tcBorders>
            <w:gridSpan w:val="5"/>
            <w:vMerge w:val="restart"/>
          </w:tcPr>
          <w:p>
            <w:pPr>
              <w:spacing w:after="0"/>
              <w:rPr>
                <w:sz w:val="24"/>
                <w:szCs w:val="24"/>
                <w:color w:val="auto"/>
              </w:rPr>
            </w:pPr>
          </w:p>
        </w:tc>
        <w:tc>
          <w:tcPr>
            <w:tcW w:w="98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9"/>
            <w:vMerge w:val="continue"/>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10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77">
              <w:r>
                <w:rPr>
                  <w:rFonts w:ascii="Arial" w:cs="Arial" w:eastAsia="Arial" w:hAnsi="Arial"/>
                  <w:sz w:val="14"/>
                  <w:szCs w:val="14"/>
                  <w:color w:val="0000FF"/>
                </w:rPr>
                <w:t>Amended and Restated Certificate of Incorporation, as currently in effect.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78">
              <w:r>
                <w:rPr>
                  <w:rFonts w:ascii="Arial" w:cs="Arial" w:eastAsia="Arial" w:hAnsi="Arial"/>
                  <w:sz w:val="14"/>
                  <w:szCs w:val="14"/>
                  <w:color w:val="0000FF"/>
                </w:rPr>
                <w:t>Amended and Restated Bylaws, as currently in effect.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w:anchor="page180">
              <w:r>
                <w:rPr>
                  <w:rFonts w:ascii="Arial" w:cs="Arial" w:eastAsia="Arial" w:hAnsi="Arial"/>
                  <w:sz w:val="14"/>
                  <w:szCs w:val="14"/>
                  <w:color w:val="0000FF"/>
                </w:rPr>
                <w:t>Description of Securities of the Registrant.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ind w:left="100"/>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79">
              <w:r>
                <w:rPr>
                  <w:rFonts w:ascii="Arial" w:cs="Arial" w:eastAsia="Arial" w:hAnsi="Arial"/>
                  <w:sz w:val="14"/>
                  <w:szCs w:val="14"/>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80">
              <w:r>
                <w:rPr>
                  <w:rFonts w:ascii="Arial" w:cs="Arial" w:eastAsia="Arial" w:hAnsi="Arial"/>
                  <w:sz w:val="14"/>
                  <w:szCs w:val="14"/>
                  <w:color w:val="0000EE"/>
                </w:rPr>
                <w:t>Amended and Restated Investors’ Rights Agreement, dated as of April 29, 2020, among the</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00" w:type="dxa"/>
            <w:vAlign w:val="bottom"/>
            <w:tcBorders>
              <w:top w:val="single" w:sz="8" w:color="0000EE"/>
            </w:tcBorders>
            <w:gridSpan w:val="32"/>
          </w:tcPr>
          <w:p>
            <w:pPr>
              <w:spacing w:after="0" w:line="129" w:lineRule="exact"/>
              <w:rPr>
                <w:rFonts w:ascii="Arial" w:cs="Arial" w:eastAsia="Arial" w:hAnsi="Arial"/>
                <w:sz w:val="14"/>
                <w:szCs w:val="14"/>
                <w:color w:val="0000EE"/>
              </w:rPr>
            </w:pPr>
            <w:hyperlink r:id="rId180">
              <w:r>
                <w:rPr>
                  <w:rFonts w:ascii="Arial" w:cs="Arial" w:eastAsia="Arial" w:hAnsi="Arial"/>
                  <w:sz w:val="14"/>
                  <w:szCs w:val="14"/>
                  <w:color w:val="0000EE"/>
                </w:rPr>
                <w:t>Registrant and the investors party thereto.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10.1(a)#</w:t>
            </w:r>
          </w:p>
        </w:tc>
        <w:tc>
          <w:tcPr>
            <w:tcW w:w="14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rFonts w:ascii="Arial" w:cs="Arial" w:eastAsia="Arial" w:hAnsi="Arial"/>
                <w:sz w:val="14"/>
                <w:szCs w:val="14"/>
                <w:color w:val="0000EE"/>
              </w:rPr>
            </w:pPr>
            <w:hyperlink r:id="rId181">
              <w:r>
                <w:rPr>
                  <w:rFonts w:ascii="Arial" w:cs="Arial" w:eastAsia="Arial" w:hAnsi="Arial"/>
                  <w:sz w:val="14"/>
                  <w:szCs w:val="14"/>
                  <w:color w:val="0000EE"/>
                </w:rPr>
                <w:t>2015 Equity Incentive Plan.</w:t>
              </w:r>
            </w:hyperlink>
          </w:p>
        </w:tc>
        <w:tc>
          <w:tcPr>
            <w:tcW w:w="900" w:type="dxa"/>
            <w:vAlign w:val="bottom"/>
            <w:tcBorders>
              <w:top w:val="single" w:sz="8" w:color="0000EE"/>
            </w:tcBorders>
            <w:gridSpan w:val="5"/>
          </w:tcPr>
          <w:p>
            <w:pPr>
              <w:spacing w:after="0"/>
              <w:rPr>
                <w:sz w:val="24"/>
                <w:szCs w:val="24"/>
                <w:color w:val="auto"/>
              </w:rPr>
            </w:pPr>
          </w:p>
        </w:tc>
        <w:tc>
          <w:tcPr>
            <w:tcW w:w="32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10.1(b)#</w:t>
            </w:r>
          </w:p>
        </w:tc>
        <w:tc>
          <w:tcPr>
            <w:tcW w:w="140" w:type="dxa"/>
            <w:vAlign w:val="bottom"/>
          </w:tcPr>
          <w:p>
            <w:pPr>
              <w:spacing w:after="0"/>
              <w:rPr>
                <w:sz w:val="24"/>
                <w:szCs w:val="24"/>
                <w:color w:val="auto"/>
              </w:rPr>
            </w:pPr>
          </w:p>
        </w:tc>
        <w:tc>
          <w:tcPr>
            <w:tcW w:w="4320" w:type="dxa"/>
            <w:vAlign w:val="bottom"/>
            <w:tcBorders>
              <w:bottom w:val="single" w:sz="8" w:color="0000EE"/>
            </w:tcBorders>
            <w:gridSpan w:val="19"/>
          </w:tcPr>
          <w:p>
            <w:pPr>
              <w:spacing w:after="0"/>
              <w:rPr>
                <w:rFonts w:ascii="Arial" w:cs="Arial" w:eastAsia="Arial" w:hAnsi="Arial"/>
                <w:sz w:val="14"/>
                <w:szCs w:val="14"/>
                <w:color w:val="0000EE"/>
              </w:rPr>
            </w:pPr>
            <w:hyperlink r:id="rId182">
              <w:r>
                <w:rPr>
                  <w:rFonts w:ascii="Arial" w:cs="Arial" w:eastAsia="Arial" w:hAnsi="Arial"/>
                  <w:sz w:val="14"/>
                  <w:szCs w:val="14"/>
                  <w:color w:val="0000EE"/>
                </w:rPr>
                <w:t>Form of Stock Option Agreement under 2015 Equity Incentive Plan.</w:t>
              </w:r>
            </w:hyperlink>
          </w:p>
        </w:tc>
        <w:tc>
          <w:tcPr>
            <w:tcW w:w="1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10.2(a)#</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83">
              <w:r>
                <w:rPr>
                  <w:rFonts w:ascii="Arial" w:cs="Arial" w:eastAsia="Arial" w:hAnsi="Arial"/>
                  <w:sz w:val="14"/>
                  <w:szCs w:val="14"/>
                  <w:color w:val="0000FF"/>
                </w:rPr>
                <w:t>2020 Incentive Award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10.2(b)#</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84">
              <w:r>
                <w:rPr>
                  <w:rFonts w:ascii="Arial" w:cs="Arial" w:eastAsia="Arial" w:hAnsi="Arial"/>
                  <w:sz w:val="14"/>
                  <w:szCs w:val="14"/>
                  <w:color w:val="0000EE"/>
                </w:rPr>
                <w:t>Form of Stock Option Grant Notice and Stock Option Agreement under the 2020 Incentive</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760" w:type="dxa"/>
            <w:vAlign w:val="bottom"/>
            <w:tcBorders>
              <w:top w:val="single" w:sz="8" w:color="0000EE"/>
            </w:tcBorders>
            <w:gridSpan w:val="28"/>
          </w:tcPr>
          <w:p>
            <w:pPr>
              <w:spacing w:after="0" w:line="129" w:lineRule="exact"/>
              <w:rPr>
                <w:rFonts w:ascii="Arial" w:cs="Arial" w:eastAsia="Arial" w:hAnsi="Arial"/>
                <w:sz w:val="14"/>
                <w:szCs w:val="14"/>
                <w:color w:val="0000EE"/>
              </w:rPr>
            </w:pPr>
            <w:hyperlink r:id="rId184">
              <w:r>
                <w:rPr>
                  <w:rFonts w:ascii="Arial" w:cs="Arial" w:eastAsia="Arial" w:hAnsi="Arial"/>
                  <w:sz w:val="14"/>
                  <w:szCs w:val="14"/>
                  <w:color w:val="0000EE"/>
                </w:rPr>
                <w:t>Award Plan.</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10.2(c)#</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85">
              <w:r>
                <w:rPr>
                  <w:rFonts w:ascii="Arial" w:cs="Arial" w:eastAsia="Arial" w:hAnsi="Arial"/>
                  <w:sz w:val="14"/>
                  <w:szCs w:val="14"/>
                  <w:color w:val="0000EE"/>
                </w:rPr>
                <w:t>Form of Restricted Stock Award Grant Notice and Restricted Stock Award Agreement under</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rPr>
            </w:pPr>
            <w:hyperlink r:id="rId185">
              <w:r>
                <w:rPr>
                  <w:rFonts w:ascii="Arial" w:cs="Arial" w:eastAsia="Arial" w:hAnsi="Arial"/>
                  <w:sz w:val="14"/>
                  <w:szCs w:val="14"/>
                  <w:color w:val="0000EE"/>
                </w:rPr>
                <w:t>the 2020 Incentive Award Plan.</w:t>
              </w:r>
            </w:hyperlink>
          </w:p>
        </w:tc>
        <w:tc>
          <w:tcPr>
            <w:tcW w:w="3880" w:type="dxa"/>
            <w:vAlign w:val="bottom"/>
            <w:tcBorders>
              <w:top w:val="single" w:sz="8" w:color="0000EE"/>
            </w:tcBorders>
            <w:gridSpan w:val="25"/>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10.2(d)#</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86">
              <w:r>
                <w:rPr>
                  <w:rFonts w:ascii="Arial" w:cs="Arial" w:eastAsia="Arial" w:hAnsi="Arial"/>
                  <w:sz w:val="14"/>
                  <w:szCs w:val="14"/>
                  <w:color w:val="0000EE"/>
                </w:rPr>
                <w:t>Form of Restricted Stock Unit Award Grant Notice and Restricted Stock Unit Award</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300" w:type="dxa"/>
            <w:vAlign w:val="bottom"/>
            <w:tcBorders>
              <w:top w:val="single" w:sz="8" w:color="0000EE"/>
            </w:tcBorders>
            <w:gridSpan w:val="24"/>
          </w:tcPr>
          <w:p>
            <w:pPr>
              <w:spacing w:after="0" w:line="129" w:lineRule="exact"/>
              <w:rPr>
                <w:rFonts w:ascii="Arial" w:cs="Arial" w:eastAsia="Arial" w:hAnsi="Arial"/>
                <w:sz w:val="14"/>
                <w:szCs w:val="14"/>
                <w:color w:val="0000EE"/>
              </w:rPr>
            </w:pPr>
            <w:hyperlink r:id="rId186">
              <w:r>
                <w:rPr>
                  <w:rFonts w:ascii="Arial" w:cs="Arial" w:eastAsia="Arial" w:hAnsi="Arial"/>
                  <w:sz w:val="14"/>
                  <w:szCs w:val="14"/>
                  <w:color w:val="0000EE"/>
                </w:rPr>
                <w:t>Agreement under the 2020 Incentive Award Plan.</w:t>
              </w:r>
            </w:hyperlink>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3120" w:type="dxa"/>
            <w:vAlign w:val="bottom"/>
            <w:tcBorders>
              <w:top w:val="single" w:sz="8" w:color="0000EE"/>
            </w:tcBorders>
            <w:gridSpan w:val="11"/>
          </w:tcPr>
          <w:p>
            <w:pPr>
              <w:spacing w:after="0"/>
              <w:rPr>
                <w:rFonts w:ascii="Arial" w:cs="Arial" w:eastAsia="Arial" w:hAnsi="Arial"/>
                <w:sz w:val="14"/>
                <w:szCs w:val="14"/>
                <w:color w:val="0000FF"/>
              </w:rPr>
            </w:pPr>
            <w:hyperlink r:id="rId187">
              <w:r>
                <w:rPr>
                  <w:rFonts w:ascii="Arial" w:cs="Arial" w:eastAsia="Arial" w:hAnsi="Arial"/>
                  <w:sz w:val="14"/>
                  <w:szCs w:val="14"/>
                  <w:color w:val="0000FF"/>
                </w:rPr>
                <w:t>2020 Employee Stock Purchase Plan.</w:t>
              </w:r>
            </w:hyperlink>
          </w:p>
        </w:tc>
        <w:tc>
          <w:tcPr>
            <w:tcW w:w="28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3860" w:type="dxa"/>
            <w:vAlign w:val="bottom"/>
            <w:tcBorders>
              <w:bottom w:val="single" w:sz="8" w:color="0000EE"/>
            </w:tcBorders>
            <w:gridSpan w:val="17"/>
          </w:tcPr>
          <w:p>
            <w:pPr>
              <w:spacing w:after="0"/>
              <w:rPr>
                <w:rFonts w:ascii="Arial" w:cs="Arial" w:eastAsia="Arial" w:hAnsi="Arial"/>
                <w:sz w:val="14"/>
                <w:szCs w:val="14"/>
                <w:color w:val="0000EE"/>
              </w:rPr>
            </w:pPr>
            <w:hyperlink r:id="rId188">
              <w:r>
                <w:rPr>
                  <w:rFonts w:ascii="Arial" w:cs="Arial" w:eastAsia="Arial" w:hAnsi="Arial"/>
                  <w:sz w:val="14"/>
                  <w:szCs w:val="14"/>
                  <w:color w:val="0000EE"/>
                </w:rPr>
                <w:t>Form of Indemnification Agreement for directors and officers.</w:t>
              </w:r>
            </w:hyperlink>
          </w:p>
        </w:tc>
        <w:tc>
          <w:tcPr>
            <w:tcW w:w="20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89">
              <w:r>
                <w:rPr>
                  <w:rFonts w:ascii="Arial" w:cs="Arial" w:eastAsia="Arial" w:hAnsi="Arial"/>
                  <w:sz w:val="14"/>
                  <w:szCs w:val="14"/>
                  <w:color w:val="0000EE"/>
                </w:rPr>
                <w:t>Collaboration and License Agreement, dated November 16, 2017, among the Registrant, F.</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40" w:type="dxa"/>
            <w:vAlign w:val="bottom"/>
            <w:tcBorders>
              <w:top w:val="single" w:sz="8" w:color="0000EE"/>
              <w:bottom w:val="single" w:sz="8" w:color="0000EE"/>
            </w:tcBorders>
            <w:gridSpan w:val="14"/>
          </w:tcPr>
          <w:p>
            <w:pPr>
              <w:spacing w:after="0" w:line="129" w:lineRule="exact"/>
              <w:rPr>
                <w:rFonts w:ascii="Arial" w:cs="Arial" w:eastAsia="Arial" w:hAnsi="Arial"/>
                <w:sz w:val="14"/>
                <w:szCs w:val="14"/>
                <w:color w:val="0000EE"/>
              </w:rPr>
            </w:pPr>
            <w:hyperlink r:id="rId189">
              <w:r>
                <w:rPr>
                  <w:rFonts w:ascii="Arial" w:cs="Arial" w:eastAsia="Arial" w:hAnsi="Arial"/>
                  <w:sz w:val="14"/>
                  <w:szCs w:val="14"/>
                  <w:color w:val="0000EE"/>
                </w:rPr>
                <w:t>Hoffmann-La Roche Ltd and Hoffmann-La Roche Inc.</w:t>
              </w:r>
            </w:hyperlink>
          </w:p>
        </w:tc>
        <w:tc>
          <w:tcPr>
            <w:tcW w:w="2400" w:type="dxa"/>
            <w:vAlign w:val="bottom"/>
            <w:tcBorders>
              <w:top w:val="single" w:sz="8" w:color="0000EE"/>
            </w:tcBorders>
            <w:gridSpan w:val="16"/>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90">
              <w:r>
                <w:rPr>
                  <w:rFonts w:ascii="Arial" w:cs="Arial" w:eastAsia="Arial" w:hAnsi="Arial"/>
                  <w:sz w:val="14"/>
                  <w:szCs w:val="14"/>
                  <w:color w:val="0000EE"/>
                </w:rPr>
                <w:t>Amended and Restated Collaboration and License Agreement, dated August 6, 2019,</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rPr>
            </w:pPr>
            <w:hyperlink r:id="rId190">
              <w:r>
                <w:rPr>
                  <w:rFonts w:ascii="Arial" w:cs="Arial" w:eastAsia="Arial" w:hAnsi="Arial"/>
                  <w:sz w:val="14"/>
                  <w:szCs w:val="14"/>
                  <w:color w:val="0000EE"/>
                </w:rPr>
                <w:t>between the Registrant and uniQure biopharma B.V.</w:t>
              </w:r>
            </w:hyperlink>
          </w:p>
        </w:tc>
        <w:tc>
          <w:tcPr>
            <w:tcW w:w="2080" w:type="dxa"/>
            <w:vAlign w:val="bottom"/>
            <w:tcBorders>
              <w:top w:val="single" w:sz="8" w:color="0000EE"/>
            </w:tcBorders>
            <w:gridSpan w:val="13"/>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91">
              <w:r>
                <w:rPr>
                  <w:rFonts w:ascii="Arial" w:cs="Arial" w:eastAsia="Arial" w:hAnsi="Arial"/>
                  <w:sz w:val="14"/>
                  <w:szCs w:val="14"/>
                  <w:color w:val="0000EE"/>
                </w:rPr>
                <w:t>Collaboration and License Agreement, dated August 6, 2019, by and between the Registrant</w:t>
              </w:r>
            </w:hyperlink>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rPr>
            </w:pPr>
            <w:hyperlink r:id="rId191">
              <w:r>
                <w:rPr>
                  <w:rFonts w:ascii="Arial" w:cs="Arial" w:eastAsia="Arial" w:hAnsi="Arial"/>
                  <w:sz w:val="14"/>
                  <w:szCs w:val="14"/>
                  <w:color w:val="0000EE"/>
                </w:rPr>
                <w:t>and uniQure biopharma B.V.</w:t>
              </w:r>
            </w:hyperlink>
          </w:p>
        </w:tc>
        <w:tc>
          <w:tcPr>
            <w:tcW w:w="4080" w:type="dxa"/>
            <w:vAlign w:val="bottom"/>
            <w:tcBorders>
              <w:top w:val="single" w:sz="8" w:color="0000EE"/>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92">
              <w:r>
                <w:rPr>
                  <w:rFonts w:ascii="Arial" w:cs="Arial" w:eastAsia="Arial" w:hAnsi="Arial"/>
                  <w:sz w:val="14"/>
                  <w:szCs w:val="14"/>
                  <w:color w:val="0000EE"/>
                </w:rPr>
                <w:t>Exclusive License and Bailment Agreement, dated December 19, 2013, between the</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4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rPr>
            </w:pPr>
            <w:hyperlink r:id="rId192">
              <w:r>
                <w:rPr>
                  <w:rFonts w:ascii="Arial" w:cs="Arial" w:eastAsia="Arial" w:hAnsi="Arial"/>
                  <w:sz w:val="14"/>
                  <w:szCs w:val="14"/>
                  <w:color w:val="0000EE"/>
                </w:rPr>
                <w:t>Registrant and The Regents of the University of California.</w:t>
              </w:r>
            </w:hyperlink>
          </w:p>
        </w:tc>
        <w:tc>
          <w:tcPr>
            <w:tcW w:w="1700" w:type="dxa"/>
            <w:vAlign w:val="bottom"/>
            <w:tcBorders>
              <w:top w:val="single" w:sz="8" w:color="0000EE"/>
            </w:tcBorders>
            <w:gridSpan w:val="10"/>
          </w:tcPr>
          <w:p>
            <w:pPr>
              <w:spacing w:after="0"/>
              <w:rPr>
                <w:sz w:val="11"/>
                <w:szCs w:val="11"/>
                <w:color w:val="auto"/>
              </w:rPr>
            </w:pPr>
          </w:p>
        </w:tc>
        <w:tc>
          <w:tcPr>
            <w:tcW w:w="3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93">
              <w:r>
                <w:rPr>
                  <w:rFonts w:ascii="Arial" w:cs="Arial" w:eastAsia="Arial" w:hAnsi="Arial"/>
                  <w:sz w:val="14"/>
                  <w:szCs w:val="14"/>
                  <w:color w:val="0000EE"/>
                </w:rPr>
                <w:t>Exclusive License and Bailment Agreement, dated December 19, 2013, between the</w:t>
              </w:r>
            </w:hyperlink>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4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rPr>
            </w:pPr>
            <w:hyperlink r:id="rId193">
              <w:r>
                <w:rPr>
                  <w:rFonts w:ascii="Arial" w:cs="Arial" w:eastAsia="Arial" w:hAnsi="Arial"/>
                  <w:sz w:val="14"/>
                  <w:szCs w:val="14"/>
                  <w:color w:val="0000EE"/>
                </w:rPr>
                <w:t>Registrant and The Regents of the University of California.</w:t>
              </w:r>
            </w:hyperlink>
          </w:p>
        </w:tc>
        <w:tc>
          <w:tcPr>
            <w:tcW w:w="1700" w:type="dxa"/>
            <w:vAlign w:val="bottom"/>
            <w:tcBorders>
              <w:top w:val="single" w:sz="8" w:color="0000EE"/>
            </w:tcBorders>
            <w:gridSpan w:val="10"/>
          </w:tcPr>
          <w:p>
            <w:pPr>
              <w:spacing w:after="0"/>
              <w:rPr>
                <w:sz w:val="11"/>
                <w:szCs w:val="11"/>
                <w:color w:val="auto"/>
              </w:rPr>
            </w:pPr>
          </w:p>
        </w:tc>
        <w:tc>
          <w:tcPr>
            <w:tcW w:w="3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24"/>
                <w:szCs w:val="24"/>
                <w:color w:val="auto"/>
              </w:rPr>
            </w:pPr>
          </w:p>
        </w:tc>
        <w:tc>
          <w:tcPr>
            <w:tcW w:w="5120" w:type="dxa"/>
            <w:vAlign w:val="bottom"/>
            <w:tcBorders>
              <w:bottom w:val="single" w:sz="8" w:color="0000EE"/>
            </w:tcBorders>
            <w:gridSpan w:val="23"/>
          </w:tcPr>
          <w:p>
            <w:pPr>
              <w:spacing w:after="0"/>
              <w:rPr>
                <w:rFonts w:ascii="Arial" w:cs="Arial" w:eastAsia="Arial" w:hAnsi="Arial"/>
                <w:sz w:val="14"/>
                <w:szCs w:val="14"/>
                <w:color w:val="0000EE"/>
              </w:rPr>
            </w:pPr>
            <w:hyperlink r:id="rId194">
              <w:r>
                <w:rPr>
                  <w:rFonts w:ascii="Arial" w:cs="Arial" w:eastAsia="Arial" w:hAnsi="Arial"/>
                  <w:sz w:val="14"/>
                  <w:szCs w:val="14"/>
                  <w:color w:val="0000EE"/>
                </w:rPr>
                <w:t>Offer Letter, dated March 20, 2015 between David Kirn, M.D. and the Registrant.</w:t>
              </w:r>
            </w:hyperlink>
          </w:p>
        </w:tc>
        <w:tc>
          <w:tcPr>
            <w:tcW w:w="8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EE"/>
              </w:rPr>
            </w:pPr>
            <w:hyperlink r:id="rId195">
              <w:r>
                <w:rPr>
                  <w:rFonts w:ascii="Arial" w:cs="Arial" w:eastAsia="Arial" w:hAnsi="Arial"/>
                  <w:sz w:val="14"/>
                  <w:szCs w:val="14"/>
                  <w:color w:val="0000EE"/>
                </w:rPr>
                <w:t>Employment Agreement, dated January 15, 2019 between Peter Francis, M.D., Ph.D. and</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rPr>
            </w:pPr>
            <w:hyperlink r:id="rId195">
              <w:r>
                <w:rPr>
                  <w:rFonts w:ascii="Arial" w:cs="Arial" w:eastAsia="Arial" w:hAnsi="Arial"/>
                  <w:sz w:val="14"/>
                  <w:szCs w:val="14"/>
                  <w:color w:val="0000EE"/>
                </w:rPr>
                <w:t>the Registrant.</w:t>
              </w:r>
            </w:hyperlink>
          </w:p>
        </w:tc>
        <w:tc>
          <w:tcPr>
            <w:tcW w:w="4780" w:type="dxa"/>
            <w:vAlign w:val="bottom"/>
            <w:tcBorders>
              <w:top w:val="single" w:sz="8" w:color="0000EE"/>
            </w:tcBorders>
            <w:gridSpan w:val="25"/>
          </w:tcPr>
          <w:p>
            <w:pPr>
              <w:spacing w:after="0"/>
              <w:rPr>
                <w:sz w:val="11"/>
                <w:szCs w:val="11"/>
                <w:color w:val="auto"/>
              </w:rPr>
            </w:pPr>
          </w:p>
        </w:tc>
        <w:tc>
          <w:tcPr>
            <w:tcW w:w="8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96">
              <w:r>
                <w:rPr>
                  <w:rFonts w:ascii="Arial" w:cs="Arial" w:eastAsia="Arial" w:hAnsi="Arial"/>
                  <w:sz w:val="14"/>
                  <w:szCs w:val="14"/>
                  <w:color w:val="0000FF"/>
                </w:rPr>
                <w:t>Offer Letter, dated January 4, 2019 between August Moretti and the Registrant.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97">
              <w:r>
                <w:rPr>
                  <w:rFonts w:ascii="Arial" w:cs="Arial" w:eastAsia="Arial" w:hAnsi="Arial"/>
                  <w:sz w:val="14"/>
                  <w:szCs w:val="14"/>
                  <w:color w:val="0000FF"/>
                </w:rPr>
                <w:t>Change in Control and Severance Agreement, dated September 22, 2021, by and between</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tcBorders>
              <w:top w:val="single" w:sz="8" w:color="0000FF"/>
              <w:bottom w:val="single" w:sz="8" w:color="0000EE"/>
            </w:tcBorders>
            <w:gridSpan w:val="10"/>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David Kirn and 4D Molecular Therapeutics, Inc.</w:t>
              </w:r>
            </w:hyperlink>
          </w:p>
        </w:tc>
        <w:tc>
          <w:tcPr>
            <w:tcW w:w="2780" w:type="dxa"/>
            <w:vAlign w:val="bottom"/>
            <w:tcBorders>
              <w:top w:val="single" w:sz="8" w:color="0000FF"/>
            </w:tcBorders>
            <w:gridSpan w:val="19"/>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98">
              <w:r>
                <w:rPr>
                  <w:rFonts w:ascii="Arial" w:cs="Arial" w:eastAsia="Arial" w:hAnsi="Arial"/>
                  <w:sz w:val="14"/>
                  <w:szCs w:val="14"/>
                  <w:color w:val="0000FF"/>
                </w:rPr>
                <w:t>Change in Control and Severance Agreement, dated September 22, 2021, by and between</w:t>
              </w:r>
            </w:hyperlink>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98">
              <w:r>
                <w:rPr>
                  <w:rFonts w:ascii="Arial" w:cs="Arial" w:eastAsia="Arial" w:hAnsi="Arial"/>
                  <w:sz w:val="14"/>
                  <w:szCs w:val="14"/>
                  <w:color w:val="0000FF"/>
                </w:rPr>
                <w:t>August Moretti and 4D Molecular Therapeutics, Inc.</w:t>
              </w:r>
            </w:hyperlink>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80" w:type="dxa"/>
            <w:vAlign w:val="bottom"/>
            <w:tcBorders>
              <w:right w:val="single" w:sz="8" w:color="0000EE"/>
            </w:tcBorders>
            <w:gridSpan w:val="1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Arial" w:cs="Arial" w:eastAsia="Arial" w:hAnsi="Arial"/>
                <w:sz w:val="14"/>
                <w:szCs w:val="14"/>
                <w:color w:val="auto"/>
              </w:rPr>
              <w:t>10.15#</w:t>
            </w:r>
          </w:p>
        </w:tc>
        <w:tc>
          <w:tcPr>
            <w:tcW w:w="140" w:type="dxa"/>
            <w:vAlign w:val="bottom"/>
          </w:tcPr>
          <w:p>
            <w:pPr>
              <w:spacing w:after="0"/>
              <w:rPr>
                <w:sz w:val="24"/>
                <w:szCs w:val="24"/>
                <w:color w:val="auto"/>
              </w:rPr>
            </w:pPr>
          </w:p>
        </w:tc>
        <w:tc>
          <w:tcPr>
            <w:tcW w:w="5940" w:type="dxa"/>
            <w:vAlign w:val="bottom"/>
            <w:gridSpan w:val="34"/>
          </w:tcPr>
          <w:p>
            <w:pPr>
              <w:spacing w:after="0"/>
              <w:rPr>
                <w:rFonts w:ascii="Arial" w:cs="Arial" w:eastAsia="Arial" w:hAnsi="Arial"/>
                <w:sz w:val="14"/>
                <w:szCs w:val="14"/>
                <w:color w:val="0000FF"/>
              </w:rPr>
            </w:pPr>
            <w:hyperlink r:id="rId199">
              <w:r>
                <w:rPr>
                  <w:rFonts w:ascii="Arial" w:cs="Arial" w:eastAsia="Arial" w:hAnsi="Arial"/>
                  <w:sz w:val="14"/>
                  <w:szCs w:val="14"/>
                  <w:color w:val="0000FF"/>
                </w:rPr>
                <w:t>Change in Control and Severance Agreement, dated September 22, 2021, by and between</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4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99">
              <w:r>
                <w:rPr>
                  <w:rFonts w:ascii="Arial" w:cs="Arial" w:eastAsia="Arial" w:hAnsi="Arial"/>
                  <w:sz w:val="14"/>
                  <w:szCs w:val="14"/>
                  <w:color w:val="0000FF"/>
                </w:rPr>
                <w:t>Robert Stephen Fishman and 4D Molecular Therapeutics, Inc.</w:t>
              </w:r>
            </w:hyperlink>
          </w:p>
        </w:tc>
        <w:tc>
          <w:tcPr>
            <w:tcW w:w="1880" w:type="dxa"/>
            <w:vAlign w:val="bottom"/>
            <w:tcBorders>
              <w:top w:val="single" w:sz="8" w:color="0000FF"/>
            </w:tcBorders>
            <w:gridSpan w:val="11"/>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1080" w:type="dxa"/>
            <w:vAlign w:val="bottom"/>
          </w:tcPr>
          <w:p>
            <w:pPr>
              <w:spacing w:after="0"/>
              <w:rPr>
                <w:sz w:val="24"/>
                <w:szCs w:val="24"/>
                <w:color w:val="auto"/>
              </w:rPr>
            </w:pPr>
          </w:p>
        </w:tc>
        <w:tc>
          <w:tcPr>
            <w:tcW w:w="4780" w:type="dxa"/>
            <w:vAlign w:val="bottom"/>
            <w:gridSpan w:val="21"/>
          </w:tcPr>
          <w:p>
            <w:pPr>
              <w:jc w:val="right"/>
              <w:ind w:right="8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5"/>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10.1(a)</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10.1(b)</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99.2(a)</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10.2(b)</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10.2(c)</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10.2(d)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140" w:space="140"/>
            <w:col w:w="3960"/>
          </w:cols>
          <w:pgMar w:left="320" w:top="310" w:right="339" w:bottom="1440" w:gutter="0" w:footer="0" w:header="0"/>
        </w:sectPr>
      </w:pPr>
    </w:p>
    <w:bookmarkStart w:id="139" w:name="page140"/>
    <w:bookmarkEnd w:id="13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10.16#</w:t>
            </w:r>
          </w:p>
        </w:tc>
        <w:tc>
          <w:tcPr>
            <w:tcW w:w="5880" w:type="dxa"/>
            <w:vAlign w:val="bottom"/>
            <w:gridSpan w:val="11"/>
          </w:tcPr>
          <w:p>
            <w:pPr>
              <w:spacing w:after="0"/>
              <w:rPr>
                <w:rFonts w:ascii="Arial" w:cs="Arial" w:eastAsia="Arial" w:hAnsi="Arial"/>
                <w:sz w:val="14"/>
                <w:szCs w:val="14"/>
                <w:color w:val="0000FF"/>
              </w:rPr>
            </w:pPr>
            <w:hyperlink r:id="rId201">
              <w:r>
                <w:rPr>
                  <w:rFonts w:ascii="Arial" w:cs="Arial" w:eastAsia="Arial" w:hAnsi="Arial"/>
                  <w:sz w:val="14"/>
                  <w:szCs w:val="14"/>
                  <w:color w:val="0000FF"/>
                </w:rPr>
                <w:t>Change in Control and Severance Agreement, dated September 22, 2021, by and between</w:t>
              </w:r>
            </w:hyperlink>
          </w:p>
        </w:tc>
        <w:tc>
          <w:tcPr>
            <w:tcW w:w="1140" w:type="dxa"/>
            <w:vAlign w:val="bottom"/>
          </w:tcPr>
          <w:p>
            <w:pPr>
              <w:ind w:left="520"/>
              <w:spacing w:after="0"/>
              <w:rPr>
                <w:sz w:val="20"/>
                <w:szCs w:val="20"/>
                <w:color w:val="auto"/>
              </w:rPr>
            </w:pPr>
            <w:r>
              <w:rPr>
                <w:rFonts w:ascii="Arial" w:cs="Arial" w:eastAsia="Arial" w:hAnsi="Arial"/>
                <w:sz w:val="14"/>
                <w:szCs w:val="14"/>
                <w:color w:val="auto"/>
              </w:rPr>
              <w:t>10-Q</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11/10/21</w:t>
            </w:r>
          </w:p>
        </w:tc>
        <w:tc>
          <w:tcPr>
            <w:tcW w:w="1460" w:type="dxa"/>
            <w:vAlign w:val="bottom"/>
          </w:tcPr>
          <w:p>
            <w:pPr>
              <w:ind w:left="300"/>
              <w:spacing w:after="0"/>
              <w:rPr>
                <w:sz w:val="20"/>
                <w:szCs w:val="20"/>
                <w:color w:val="auto"/>
              </w:rPr>
            </w:pPr>
            <w:r>
              <w:rPr>
                <w:rFonts w:ascii="Arial" w:cs="Arial" w:eastAsia="Arial" w:hAnsi="Arial"/>
                <w:sz w:val="14"/>
                <w:szCs w:val="14"/>
                <w:color w:val="auto"/>
              </w:rPr>
              <w:t>10.4</w:t>
            </w:r>
          </w:p>
        </w:tc>
      </w:tr>
      <w:tr>
        <w:trPr>
          <w:trHeight w:val="128"/>
        </w:trPr>
        <w:tc>
          <w:tcPr>
            <w:tcW w:w="1200" w:type="dxa"/>
            <w:vAlign w:val="bottom"/>
          </w:tcPr>
          <w:p>
            <w:pPr>
              <w:spacing w:after="0"/>
              <w:rPr>
                <w:sz w:val="11"/>
                <w:szCs w:val="11"/>
                <w:color w:val="auto"/>
              </w:rPr>
            </w:pPr>
          </w:p>
        </w:tc>
        <w:tc>
          <w:tcPr>
            <w:tcW w:w="582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r:id="rId201">
              <w:r>
                <w:rPr>
                  <w:rFonts w:ascii="Arial" w:cs="Arial" w:eastAsia="Arial" w:hAnsi="Arial"/>
                  <w:sz w:val="14"/>
                  <w:szCs w:val="14"/>
                  <w:color w:val="0000FF"/>
                </w:rPr>
                <w:t>Fred Kamal and 4D Molecular Therapeutics, Inc.</w:t>
              </w:r>
            </w:hyperlink>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Arial" w:cs="Arial" w:eastAsia="Arial" w:hAnsi="Arial"/>
                <w:sz w:val="14"/>
                <w:szCs w:val="14"/>
                <w:color w:val="auto"/>
              </w:rPr>
              <w:t>23.1</w:t>
            </w:r>
          </w:p>
        </w:tc>
        <w:tc>
          <w:tcPr>
            <w:tcW w:w="5880" w:type="dxa"/>
            <w:vAlign w:val="bottom"/>
            <w:gridSpan w:val="11"/>
          </w:tcPr>
          <w:p>
            <w:pPr>
              <w:spacing w:after="0"/>
              <w:rPr>
                <w:rFonts w:ascii="Arial" w:cs="Arial" w:eastAsia="Arial" w:hAnsi="Arial"/>
                <w:sz w:val="14"/>
                <w:szCs w:val="14"/>
                <w:color w:val="0000FF"/>
              </w:rPr>
            </w:pPr>
            <w:hyperlink w:anchor="page186">
              <w:r>
                <w:rPr>
                  <w:rFonts w:ascii="Arial" w:cs="Arial" w:eastAsia="Arial" w:hAnsi="Arial"/>
                  <w:sz w:val="14"/>
                  <w:szCs w:val="14"/>
                  <w:color w:val="0000FF"/>
                </w:rPr>
                <w:t>Consent of PricewaterhouseCoopers LLP, Independent Registered Public Accounting Firm.</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14"/>
                <w:szCs w:val="14"/>
                <w:color w:val="auto"/>
              </w:rPr>
              <w:t>24.1</w:t>
            </w:r>
          </w:p>
        </w:tc>
        <w:tc>
          <w:tcPr>
            <w:tcW w:w="5880" w:type="dxa"/>
            <w:vAlign w:val="bottom"/>
            <w:gridSpan w:val="11"/>
          </w:tcPr>
          <w:p>
            <w:pPr>
              <w:spacing w:after="0"/>
              <w:rPr>
                <w:rFonts w:ascii="Arial" w:cs="Arial" w:eastAsia="Arial" w:hAnsi="Arial"/>
                <w:sz w:val="14"/>
                <w:szCs w:val="14"/>
                <w:color w:val="0000FF"/>
              </w:rPr>
            </w:pPr>
            <w:hyperlink w:anchor="page142">
              <w:r>
                <w:rPr>
                  <w:rFonts w:ascii="Arial" w:cs="Arial" w:eastAsia="Arial" w:hAnsi="Arial"/>
                  <w:sz w:val="14"/>
                  <w:szCs w:val="14"/>
                  <w:color w:val="0000FF"/>
                </w:rPr>
                <w:t>Power of Attorney (included on the signature page of this Form 10-K).</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4"/>
                <w:szCs w:val="14"/>
                <w:color w:val="auto"/>
              </w:rPr>
              <w:t>31.1</w:t>
            </w:r>
          </w:p>
        </w:tc>
        <w:tc>
          <w:tcPr>
            <w:tcW w:w="5880" w:type="dxa"/>
            <w:vAlign w:val="bottom"/>
            <w:gridSpan w:val="11"/>
          </w:tcPr>
          <w:p>
            <w:pPr>
              <w:spacing w:after="0"/>
              <w:rPr>
                <w:rFonts w:ascii="Arial" w:cs="Arial" w:eastAsia="Arial" w:hAnsi="Arial"/>
                <w:sz w:val="14"/>
                <w:szCs w:val="14"/>
                <w:color w:val="0000FF"/>
              </w:rPr>
            </w:pPr>
            <w:hyperlink w:anchor="page187">
              <w:r>
                <w:rPr>
                  <w:rFonts w:ascii="Arial" w:cs="Arial" w:eastAsia="Arial" w:hAnsi="Arial"/>
                  <w:sz w:val="14"/>
                  <w:szCs w:val="14"/>
                  <w:color w:val="0000FF"/>
                </w:rPr>
                <w:t>Certification of the Principal Executive Officer pursuant to Rules 13a-14(a) and 15d-14(a)</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128"/>
        </w:trPr>
        <w:tc>
          <w:tcPr>
            <w:tcW w:w="1200" w:type="dxa"/>
            <w:vAlign w:val="bottom"/>
          </w:tcPr>
          <w:p>
            <w:pPr>
              <w:spacing w:after="0"/>
              <w:rPr>
                <w:sz w:val="11"/>
                <w:szCs w:val="11"/>
                <w:color w:val="auto"/>
              </w:rPr>
            </w:pPr>
          </w:p>
        </w:tc>
        <w:tc>
          <w:tcPr>
            <w:tcW w:w="568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w:anchor="page187">
              <w:r>
                <w:rPr>
                  <w:rFonts w:ascii="Arial" w:cs="Arial" w:eastAsia="Arial" w:hAnsi="Arial"/>
                  <w:sz w:val="14"/>
                  <w:szCs w:val="14"/>
                  <w:color w:val="0000FF"/>
                </w:rPr>
                <w:t>under the Securities Exchange Act of 1934, as adopted pursuant to Section 302 of the</w:t>
              </w:r>
            </w:hyperlink>
          </w:p>
        </w:tc>
        <w:tc>
          <w:tcPr>
            <w:tcW w:w="200" w:type="dxa"/>
            <w:vAlign w:val="bottom"/>
            <w:gridSpan w:val="3"/>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28"/>
        </w:trPr>
        <w:tc>
          <w:tcPr>
            <w:tcW w:w="1200" w:type="dxa"/>
            <w:vAlign w:val="bottom"/>
          </w:tcPr>
          <w:p>
            <w:pPr>
              <w:spacing w:after="0"/>
              <w:rPr>
                <w:sz w:val="11"/>
                <w:szCs w:val="11"/>
                <w:color w:val="auto"/>
              </w:rPr>
            </w:pPr>
          </w:p>
        </w:tc>
        <w:tc>
          <w:tcPr>
            <w:tcW w:w="550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w:anchor="page187">
              <w:r>
                <w:rPr>
                  <w:rFonts w:ascii="Arial" w:cs="Arial" w:eastAsia="Arial" w:hAnsi="Arial"/>
                  <w:sz w:val="14"/>
                  <w:szCs w:val="14"/>
                  <w:color w:val="0000FF"/>
                </w:rPr>
                <w:t>Sarbanes-Oxley Act of 2002.</w:t>
              </w:r>
            </w:hyperlink>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4"/>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74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4"/>
                <w:szCs w:val="14"/>
                <w:color w:val="auto"/>
              </w:rPr>
              <w:t>31.2</w:t>
            </w:r>
          </w:p>
        </w:tc>
        <w:tc>
          <w:tcPr>
            <w:tcW w:w="5880" w:type="dxa"/>
            <w:vAlign w:val="bottom"/>
            <w:gridSpan w:val="11"/>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Certification of the Principal Financial Officer pursuant to Rules 13a-14(a) and 15d-14(a)</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128"/>
        </w:trPr>
        <w:tc>
          <w:tcPr>
            <w:tcW w:w="1200" w:type="dxa"/>
            <w:vAlign w:val="bottom"/>
          </w:tcPr>
          <w:p>
            <w:pPr>
              <w:spacing w:after="0"/>
              <w:rPr>
                <w:sz w:val="11"/>
                <w:szCs w:val="11"/>
                <w:color w:val="auto"/>
              </w:rPr>
            </w:pPr>
          </w:p>
        </w:tc>
        <w:tc>
          <w:tcPr>
            <w:tcW w:w="56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w:anchor="page189">
              <w:r>
                <w:rPr>
                  <w:rFonts w:ascii="Arial" w:cs="Arial" w:eastAsia="Arial" w:hAnsi="Arial"/>
                  <w:sz w:val="14"/>
                  <w:szCs w:val="14"/>
                  <w:color w:val="0000FF"/>
                </w:rPr>
                <w:t>under the Securities Exchange Act of 1934, as adopted pursuant to Section 302 of the</w:t>
              </w:r>
            </w:hyperlink>
          </w:p>
        </w:tc>
        <w:tc>
          <w:tcPr>
            <w:tcW w:w="240" w:type="dxa"/>
            <w:vAlign w:val="bottom"/>
            <w:gridSpan w:val="4"/>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28"/>
        </w:trPr>
        <w:tc>
          <w:tcPr>
            <w:tcW w:w="1200" w:type="dxa"/>
            <w:vAlign w:val="bottom"/>
          </w:tcPr>
          <w:p>
            <w:pPr>
              <w:spacing w:after="0"/>
              <w:rPr>
                <w:sz w:val="11"/>
                <w:szCs w:val="11"/>
                <w:color w:val="auto"/>
              </w:rPr>
            </w:pPr>
          </w:p>
        </w:tc>
        <w:tc>
          <w:tcPr>
            <w:tcW w:w="550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w:anchor="page189">
              <w:r>
                <w:rPr>
                  <w:rFonts w:ascii="Arial" w:cs="Arial" w:eastAsia="Arial" w:hAnsi="Arial"/>
                  <w:sz w:val="14"/>
                  <w:szCs w:val="14"/>
                  <w:color w:val="0000FF"/>
                </w:rPr>
                <w:t>Sarbanes-Oxley Act of 2002.</w:t>
              </w:r>
            </w:hyperlink>
          </w:p>
        </w:tc>
        <w:tc>
          <w:tcPr>
            <w:tcW w:w="60" w:type="dxa"/>
            <w:vAlign w:val="bottom"/>
          </w:tcPr>
          <w:p>
            <w:pPr>
              <w:spacing w:after="0"/>
              <w:rPr>
                <w:sz w:val="11"/>
                <w:szCs w:val="11"/>
                <w:color w:val="auto"/>
              </w:rPr>
            </w:pPr>
          </w:p>
        </w:tc>
        <w:tc>
          <w:tcPr>
            <w:tcW w:w="320" w:type="dxa"/>
            <w:vAlign w:val="bottom"/>
            <w:gridSpan w:val="5"/>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4"/>
                <w:szCs w:val="14"/>
                <w:color w:val="auto"/>
              </w:rPr>
              <w:t>32.1*</w:t>
            </w:r>
          </w:p>
        </w:tc>
        <w:tc>
          <w:tcPr>
            <w:tcW w:w="5880" w:type="dxa"/>
            <w:vAlign w:val="bottom"/>
            <w:gridSpan w:val="11"/>
          </w:tcPr>
          <w:p>
            <w:pPr>
              <w:spacing w:after="0"/>
              <w:rPr>
                <w:rFonts w:ascii="Arial" w:cs="Arial" w:eastAsia="Arial" w:hAnsi="Arial"/>
                <w:sz w:val="14"/>
                <w:szCs w:val="14"/>
                <w:color w:val="0000FF"/>
              </w:rPr>
            </w:pPr>
            <w:hyperlink w:anchor="page191">
              <w:r>
                <w:rPr>
                  <w:rFonts w:ascii="Arial" w:cs="Arial" w:eastAsia="Arial" w:hAnsi="Arial"/>
                  <w:sz w:val="14"/>
                  <w:szCs w:val="14"/>
                  <w:color w:val="0000FF"/>
                </w:rPr>
                <w:t>Certifications of the Principal Executive Officer and Principal Financial Officer pursuant to 18</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128"/>
        </w:trPr>
        <w:tc>
          <w:tcPr>
            <w:tcW w:w="1200" w:type="dxa"/>
            <w:vAlign w:val="bottom"/>
          </w:tcPr>
          <w:p>
            <w:pPr>
              <w:spacing w:after="0"/>
              <w:rPr>
                <w:sz w:val="11"/>
                <w:szCs w:val="11"/>
                <w:color w:val="auto"/>
              </w:rPr>
            </w:pPr>
          </w:p>
        </w:tc>
        <w:tc>
          <w:tcPr>
            <w:tcW w:w="58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w:anchor="page191">
              <w:r>
                <w:rPr>
                  <w:rFonts w:ascii="Arial" w:cs="Arial" w:eastAsia="Arial" w:hAnsi="Arial"/>
                  <w:sz w:val="14"/>
                  <w:szCs w:val="14"/>
                  <w:color w:val="0000FF"/>
                </w:rPr>
                <w:t>U.S.C. Section 1350, as adopted pursuant to Section 906 of the Sarbanes-Oxley Act of</w:t>
              </w:r>
            </w:hyperlink>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28"/>
        </w:trPr>
        <w:tc>
          <w:tcPr>
            <w:tcW w:w="1200" w:type="dxa"/>
            <w:vAlign w:val="bottom"/>
          </w:tcPr>
          <w:p>
            <w:pPr>
              <w:spacing w:after="0"/>
              <w:rPr>
                <w:sz w:val="11"/>
                <w:szCs w:val="11"/>
                <w:color w:val="auto"/>
              </w:rPr>
            </w:pPr>
          </w:p>
        </w:tc>
        <w:tc>
          <w:tcPr>
            <w:tcW w:w="1820" w:type="dxa"/>
            <w:vAlign w:val="bottom"/>
            <w:tcBorders>
              <w:top w:val="single" w:sz="8" w:color="0000FF"/>
            </w:tcBorders>
            <w:gridSpan w:val="2"/>
          </w:tcPr>
          <w:p>
            <w:pPr>
              <w:spacing w:after="0" w:line="129" w:lineRule="exact"/>
              <w:rPr>
                <w:rFonts w:ascii="Arial" w:cs="Arial" w:eastAsia="Arial" w:hAnsi="Arial"/>
                <w:sz w:val="14"/>
                <w:szCs w:val="14"/>
                <w:color w:val="0000FF"/>
              </w:rPr>
            </w:pPr>
            <w:hyperlink w:anchor="page191">
              <w:r>
                <w:rPr>
                  <w:rFonts w:ascii="Arial" w:cs="Arial" w:eastAsia="Arial" w:hAnsi="Arial"/>
                  <w:sz w:val="14"/>
                  <w:szCs w:val="14"/>
                  <w:color w:val="0000FF"/>
                </w:rPr>
                <w:t>2002.</w:t>
              </w:r>
            </w:hyperlink>
          </w:p>
        </w:tc>
        <w:tc>
          <w:tcPr>
            <w:tcW w:w="1280" w:type="dxa"/>
            <w:vAlign w:val="bottom"/>
            <w:tcBorders>
              <w:top w:val="single" w:sz="8" w:color="0000FF"/>
            </w:tcBorders>
          </w:tcPr>
          <w:p>
            <w:pPr>
              <w:spacing w:after="0"/>
              <w:rPr>
                <w:sz w:val="11"/>
                <w:szCs w:val="11"/>
                <w:color w:val="auto"/>
              </w:rPr>
            </w:pPr>
          </w:p>
        </w:tc>
        <w:tc>
          <w:tcPr>
            <w:tcW w:w="134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5"/>
        </w:trPr>
        <w:tc>
          <w:tcPr>
            <w:tcW w:w="1200" w:type="dxa"/>
            <w:vAlign w:val="bottom"/>
          </w:tcPr>
          <w:p>
            <w:pPr>
              <w:spacing w:after="0"/>
              <w:rPr>
                <w:sz w:val="20"/>
                <w:szCs w:val="20"/>
                <w:color w:val="auto"/>
              </w:rPr>
            </w:pPr>
            <w:r>
              <w:rPr>
                <w:rFonts w:ascii="Arial" w:cs="Arial" w:eastAsia="Arial" w:hAnsi="Arial"/>
                <w:sz w:val="14"/>
                <w:szCs w:val="14"/>
                <w:color w:val="auto"/>
              </w:rPr>
              <w:t>101.INS</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172"/>
        </w:trPr>
        <w:tc>
          <w:tcPr>
            <w:tcW w:w="1200" w:type="dxa"/>
            <w:vAlign w:val="bottom"/>
          </w:tcPr>
          <w:p>
            <w:pPr>
              <w:spacing w:after="0"/>
              <w:rPr>
                <w:sz w:val="14"/>
                <w:szCs w:val="14"/>
                <w:color w:val="auto"/>
              </w:rPr>
            </w:pPr>
          </w:p>
        </w:tc>
        <w:tc>
          <w:tcPr>
            <w:tcW w:w="5880" w:type="dxa"/>
            <w:vAlign w:val="bottom"/>
            <w:gridSpan w:val="11"/>
          </w:tcPr>
          <w:p>
            <w:pPr>
              <w:spacing w:after="0"/>
              <w:rPr>
                <w:sz w:val="20"/>
                <w:szCs w:val="20"/>
                <w:color w:val="auto"/>
              </w:rPr>
            </w:pPr>
            <w:r>
              <w:rPr>
                <w:rFonts w:ascii="Arial" w:cs="Arial" w:eastAsia="Arial" w:hAnsi="Arial"/>
                <w:sz w:val="14"/>
                <w:szCs w:val="14"/>
                <w:color w:val="auto"/>
              </w:rPr>
              <w:t>Data File because XBRL tags are embedded within the Inline XBRL document.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101.SCH</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311"/>
        </w:trPr>
        <w:tc>
          <w:tcPr>
            <w:tcW w:w="1200" w:type="dxa"/>
            <w:vAlign w:val="bottom"/>
          </w:tcPr>
          <w:p>
            <w:pPr>
              <w:spacing w:after="0"/>
              <w:rPr>
                <w:sz w:val="20"/>
                <w:szCs w:val="20"/>
                <w:color w:val="auto"/>
              </w:rPr>
            </w:pPr>
            <w:r>
              <w:rPr>
                <w:rFonts w:ascii="Arial" w:cs="Arial" w:eastAsia="Arial" w:hAnsi="Arial"/>
                <w:sz w:val="14"/>
                <w:szCs w:val="14"/>
                <w:color w:val="auto"/>
              </w:rPr>
              <w:t>101.CAL</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101.DEF</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311"/>
        </w:trPr>
        <w:tc>
          <w:tcPr>
            <w:tcW w:w="1200" w:type="dxa"/>
            <w:vAlign w:val="bottom"/>
          </w:tcPr>
          <w:p>
            <w:pPr>
              <w:spacing w:after="0"/>
              <w:rPr>
                <w:sz w:val="20"/>
                <w:szCs w:val="20"/>
                <w:color w:val="auto"/>
              </w:rPr>
            </w:pPr>
            <w:r>
              <w:rPr>
                <w:rFonts w:ascii="Arial" w:cs="Arial" w:eastAsia="Arial" w:hAnsi="Arial"/>
                <w:sz w:val="14"/>
                <w:szCs w:val="14"/>
                <w:color w:val="auto"/>
              </w:rPr>
              <w:t>101.LAB</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101.PRE</w:t>
            </w:r>
          </w:p>
        </w:tc>
        <w:tc>
          <w:tcPr>
            <w:tcW w:w="588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4"/>
                <w:szCs w:val="14"/>
                <w:color w:val="auto"/>
                <w:w w:val="85"/>
              </w:rPr>
              <w:t>X</w:t>
            </w:r>
          </w:p>
        </w:tc>
      </w:tr>
      <w:tr>
        <w:trPr>
          <w:trHeight w:val="315"/>
        </w:trPr>
        <w:tc>
          <w:tcPr>
            <w:tcW w:w="1200" w:type="dxa"/>
            <w:vAlign w:val="bottom"/>
          </w:tcPr>
          <w:p>
            <w:pPr>
              <w:spacing w:after="0"/>
              <w:rPr>
                <w:sz w:val="20"/>
                <w:szCs w:val="20"/>
                <w:color w:val="auto"/>
              </w:rPr>
            </w:pPr>
            <w:r>
              <w:rPr>
                <w:rFonts w:ascii="Arial" w:cs="Arial" w:eastAsia="Arial" w:hAnsi="Arial"/>
                <w:sz w:val="15"/>
                <w:szCs w:val="15"/>
                <w:color w:val="auto"/>
              </w:rPr>
              <w:t>104</w:t>
            </w:r>
          </w:p>
        </w:tc>
        <w:tc>
          <w:tcPr>
            <w:tcW w:w="5880" w:type="dxa"/>
            <w:vAlign w:val="bottom"/>
            <w:gridSpan w:val="11"/>
          </w:tcPr>
          <w:p>
            <w:pPr>
              <w:spacing w:after="0"/>
              <w:rPr>
                <w:sz w:val="20"/>
                <w:szCs w:val="20"/>
                <w:color w:val="auto"/>
              </w:rPr>
            </w:pPr>
            <w:r>
              <w:rPr>
                <w:rFonts w:ascii="Arial" w:cs="Arial" w:eastAsia="Arial" w:hAnsi="Arial"/>
                <w:sz w:val="15"/>
                <w:szCs w:val="15"/>
                <w:color w:val="auto"/>
              </w:rPr>
              <w:t>Cover Page Interactive Data File (embedded within the Inline XBRL document)</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1360"/>
              <w:spacing w:after="0"/>
              <w:rPr>
                <w:sz w:val="20"/>
                <w:szCs w:val="20"/>
                <w:color w:val="auto"/>
              </w:rPr>
            </w:pPr>
            <w:r>
              <w:rPr>
                <w:rFonts w:ascii="Arial" w:cs="Arial" w:eastAsia="Arial" w:hAnsi="Arial"/>
                <w:sz w:val="15"/>
                <w:szCs w:val="15"/>
                <w:color w:val="auto"/>
                <w:w w:val="79"/>
              </w:rPr>
              <w:t>X</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Certain confidential portions (indicated by brackets and asterisks) have been omitted form this exhibit.</w:t>
      </w:r>
    </w:p>
    <w:p>
      <w:pPr>
        <w:spacing w:after="0" w:line="104" w:lineRule="exact"/>
        <w:rPr>
          <w:sz w:val="20"/>
          <w:szCs w:val="20"/>
          <w:color w:val="auto"/>
        </w:rPr>
      </w:pPr>
    </w:p>
    <w:p>
      <w:pPr>
        <w:jc w:val="both"/>
        <w:ind w:firstLine="8"/>
        <w:spacing w:after="0" w:line="238" w:lineRule="auto"/>
        <w:tabs>
          <w:tab w:leader="none" w:pos="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5" w:right="479" w:bottom="1440" w:gutter="0" w:footer="0" w:header="0"/>
        </w:sectPr>
      </w:pPr>
    </w:p>
    <w:bookmarkStart w:id="140" w:name="page141"/>
    <w:bookmarkEnd w:id="14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4D Molecular Therapeutics, Inc.</w:t>
      </w:r>
    </w:p>
    <w:p>
      <w:pPr>
        <w:spacing w:after="0" w:line="175" w:lineRule="exact"/>
        <w:rPr>
          <w:sz w:val="20"/>
          <w:szCs w:val="20"/>
          <w:color w:val="auto"/>
        </w:rPr>
      </w:pPr>
    </w:p>
    <w:p>
      <w:pPr>
        <w:ind w:left="20"/>
        <w:spacing w:after="0"/>
        <w:tabs>
          <w:tab w:leader="none" w:pos="5560" w:val="left"/>
          <w:tab w:leader="none" w:pos="814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Kirn</w:t>
      </w:r>
    </w:p>
    <w:p>
      <w:pPr>
        <w:ind w:left="8000"/>
        <w:spacing w:after="0" w:line="219" w:lineRule="auto"/>
        <w:rPr>
          <w:sz w:val="20"/>
          <w:szCs w:val="20"/>
          <w:color w:val="auto"/>
        </w:rPr>
      </w:pPr>
      <w:r>
        <w:rPr>
          <w:rFonts w:ascii="Arial" w:cs="Arial" w:eastAsia="Arial" w:hAnsi="Arial"/>
          <w:sz w:val="18"/>
          <w:szCs w:val="18"/>
          <w:b w:val="1"/>
          <w:bCs w:val="1"/>
          <w:color w:val="auto"/>
        </w:rPr>
        <w:t>David Kirn,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-118745</wp:posOffset>
            </wp:positionV>
            <wp:extent cx="32404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7140"/>
        <w:spacing w:after="0" w:line="203"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9" w:right="479" w:bottom="1440" w:gutter="0" w:footer="0" w:header="0"/>
        </w:sectPr>
      </w:pPr>
    </w:p>
    <w:bookmarkStart w:id="141" w:name="page142"/>
    <w:bookmarkEnd w:id="141"/>
    <w:p>
      <w:pPr>
        <w:jc w:val="center"/>
        <w:ind w:left="500"/>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Kirn and August Moretti,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20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120" w:type="dxa"/>
            <w:vAlign w:val="bottom"/>
          </w:tcPr>
          <w:p>
            <w:pPr>
              <w:spacing w:after="0"/>
              <w:rPr>
                <w:sz w:val="18"/>
                <w:szCs w:val="18"/>
                <w:color w:val="auto"/>
              </w:rPr>
            </w:pP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18"/>
                <w:szCs w:val="18"/>
                <w:color w:val="auto"/>
              </w:rPr>
            </w:pPr>
          </w:p>
        </w:tc>
        <w:tc>
          <w:tcPr>
            <w:tcW w:w="24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Date</w:t>
            </w:r>
          </w:p>
        </w:tc>
      </w:tr>
      <w:tr>
        <w:trPr>
          <w:trHeight w:val="7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Kirn</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David Kirn, M.D.</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August J. Moretti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371"/>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August J. Moretti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John F. Milligan</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Executive Chairman</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John F. Milligan, Ph.D.</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Jacob Chacko</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Jacob Chacko, M.D., MBA</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Susannah Gray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Susannah Gray,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66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Nancy Miller-Rich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Nancy Miller-Rich</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66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Charles P. Theuer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Charles P. Theuer, M.D., Ph.D.</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Shawn Cline Tomasello</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March 28, 2022</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Shawn Cline Tomasello,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85"/>
        </w:trPr>
        <w:tc>
          <w:tcPr>
            <w:tcW w:w="3720" w:type="dxa"/>
            <w:vAlign w:val="bottom"/>
          </w:tcPr>
          <w:p>
            <w:pPr>
              <w:spacing w:after="0"/>
              <w:rPr>
                <w:sz w:val="24"/>
                <w:szCs w:val="24"/>
                <w:color w:val="auto"/>
              </w:rPr>
            </w:pPr>
          </w:p>
        </w:tc>
        <w:tc>
          <w:tcPr>
            <w:tcW w:w="4980" w:type="dxa"/>
            <w:vAlign w:val="bottom"/>
            <w:gridSpan w:val="2"/>
          </w:tcPr>
          <w:p>
            <w:pPr>
              <w:jc w:val="right"/>
              <w:ind w:right="28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2" w:name="page143"/>
    <w:bookmarkEnd w:id="142"/>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4D Molecular Therapeutics, Inc.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balance sheets of 4D Molecular Therapeutics, Inc. (the “Company”) as of December 31, 2021 and 2020, and the related statements of operations, of comprehensive loss, of redeemable convertible preferred stock and stockholders’ equity (deficit) and of cash flows for the years then ended, including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43" w:name="page144"/>
    <w:bookmarkEnd w:id="143"/>
    <w:p>
      <w:pPr>
        <w:ind w:left="424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153,001</w:t>
            </w:r>
          </w:p>
        </w:tc>
        <w:tc>
          <w:tcPr>
            <w:tcW w:w="76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276,726</w:t>
            </w: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94,776</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175"/>
        </w:trPr>
        <w:tc>
          <w:tcPr>
            <w:tcW w:w="7620" w:type="dxa"/>
            <w:vAlign w:val="bottom"/>
          </w:tcPr>
          <w:p>
            <w:pPr>
              <w:ind w:left="280"/>
              <w:spacing w:after="0" w:line="175" w:lineRule="exact"/>
              <w:rPr>
                <w:sz w:val="20"/>
                <w:szCs w:val="20"/>
                <w:color w:val="auto"/>
              </w:rPr>
            </w:pPr>
            <w:r>
              <w:rPr>
                <w:rFonts w:ascii="Arial" w:cs="Arial" w:eastAsia="Arial" w:hAnsi="Arial"/>
                <w:sz w:val="18"/>
                <w:szCs w:val="18"/>
                <w:color w:val="auto"/>
              </w:rPr>
              <w:t>Prepaid expenses and other current assets (includes $285 and $169 at December 31,</w:t>
            </w:r>
          </w:p>
        </w:tc>
        <w:tc>
          <w:tcPr>
            <w:tcW w:w="380" w:type="dxa"/>
            <w:vAlign w:val="bottom"/>
          </w:tcPr>
          <w:p>
            <w:pPr>
              <w:spacing w:after="0"/>
              <w:rPr>
                <w:sz w:val="15"/>
                <w:szCs w:val="15"/>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8"/>
                <w:szCs w:val="18"/>
                <w:color w:val="auto"/>
              </w:rPr>
              <w:t>8,456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190"/>
        </w:trPr>
        <w:tc>
          <w:tcPr>
            <w:tcW w:w="7620" w:type="dxa"/>
            <w:vAlign w:val="bottom"/>
          </w:tcPr>
          <w:p>
            <w:pPr>
              <w:ind w:left="280"/>
              <w:spacing w:after="0" w:line="190" w:lineRule="exact"/>
              <w:rPr>
                <w:sz w:val="20"/>
                <w:szCs w:val="20"/>
                <w:color w:val="auto"/>
              </w:rPr>
            </w:pPr>
            <w:r>
              <w:rPr>
                <w:rFonts w:ascii="Arial" w:cs="Arial" w:eastAsia="Arial" w:hAnsi="Arial"/>
                <w:sz w:val="18"/>
                <w:szCs w:val="18"/>
                <w:color w:val="auto"/>
              </w:rPr>
              <w:t>2021 and 2020, respectively, attributable to related parties)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256,280</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282,656</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 long-term</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67,652</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14,391</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 net</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14,562</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602</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353,487</w:t>
            </w:r>
          </w:p>
        </w:tc>
        <w:tc>
          <w:tcPr>
            <w:tcW w:w="76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288,331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Accounts payable (includes $0 and $173 at December 31, 2021 and 2020, respectively,</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attributable to related parties)</w:t>
            </w:r>
          </w:p>
        </w:tc>
        <w:tc>
          <w:tcPr>
            <w:tcW w:w="380" w:type="dxa"/>
            <w:vAlign w:val="bottom"/>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4,764</w:t>
            </w:r>
          </w:p>
        </w:tc>
        <w:tc>
          <w:tcPr>
            <w:tcW w:w="760" w:type="dxa"/>
            <w:vAlign w:val="bottom"/>
            <w:gridSpan w:val="2"/>
            <w:shd w:val="clear" w:color="auto" w:fill="CFF0FC"/>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Accrued and other current liabilities</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7,744</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2,599</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Operating lease liabilities, current portion</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1,231</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16,338</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2,491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Derivative liability</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214</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long-term portion</w:t>
            </w:r>
          </w:p>
        </w:tc>
        <w:tc>
          <w:tcPr>
            <w:tcW w:w="3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15,217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34,380</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31,944</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Preferred stock, $0.0001 par value, 10,000,000 shares authorized at December 31, 2021</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and 2020; no shares issued and outstanding at December 31, 2021 and 2020</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20" w:type="dxa"/>
            <w:vAlign w:val="bottom"/>
          </w:tcPr>
          <w:p>
            <w:pPr>
              <w:ind w:left="280"/>
              <w:spacing w:after="0" w:line="175" w:lineRule="exact"/>
              <w:rPr>
                <w:sz w:val="20"/>
                <w:szCs w:val="20"/>
                <w:color w:val="auto"/>
              </w:rPr>
            </w:pPr>
            <w:r>
              <w:rPr>
                <w:rFonts w:ascii="Arial" w:cs="Arial" w:eastAsia="Arial" w:hAnsi="Arial"/>
                <w:sz w:val="18"/>
                <w:szCs w:val="18"/>
                <w:color w:val="auto"/>
              </w:rPr>
              <w:t>Common stock, $0.0001 par value, 300,000,000 shares authorized at December 31,</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280"/>
              <w:spacing w:after="0" w:line="176" w:lineRule="exact"/>
              <w:rPr>
                <w:sz w:val="20"/>
                <w:szCs w:val="20"/>
                <w:color w:val="auto"/>
              </w:rPr>
            </w:pPr>
            <w:r>
              <w:rPr>
                <w:rFonts w:ascii="Arial" w:cs="Arial" w:eastAsia="Arial" w:hAnsi="Arial"/>
                <w:sz w:val="18"/>
                <w:szCs w:val="18"/>
                <w:color w:val="auto"/>
              </w:rPr>
              <w:t>2021 and 2020; 32,224,524 and 26,681,983 shares issued and outstanding at December</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3" w:lineRule="exact"/>
              <w:rPr>
                <w:sz w:val="20"/>
                <w:szCs w:val="20"/>
                <w:color w:val="auto"/>
              </w:rPr>
            </w:pPr>
            <w:r>
              <w:rPr>
                <w:rFonts w:ascii="Arial" w:cs="Arial" w:eastAsia="Arial" w:hAnsi="Arial"/>
                <w:sz w:val="18"/>
                <w:szCs w:val="18"/>
                <w:color w:val="auto"/>
              </w:rPr>
              <w:t>31, 2021 and 2020, respectively</w:t>
            </w:r>
          </w:p>
        </w:tc>
        <w:tc>
          <w:tcPr>
            <w:tcW w:w="380" w:type="dxa"/>
            <w:vAlign w:val="bottom"/>
          </w:tcPr>
          <w:p>
            <w:pPr>
              <w:spacing w:after="0"/>
              <w:rPr>
                <w:sz w:val="17"/>
                <w:szCs w:val="17"/>
                <w:color w:val="auto"/>
              </w:rPr>
            </w:pPr>
          </w:p>
        </w:tc>
        <w:tc>
          <w:tcPr>
            <w:tcW w:w="13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526,523</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392,063</w:t>
            </w: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(423 )</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(206,996 )</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(135,679 )</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319,107</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256,387</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353,487</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288,331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-3373755</wp:posOffset>
            </wp:positionV>
            <wp:extent cx="1111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-1676400</wp:posOffset>
            </wp:positionV>
            <wp:extent cx="11112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-296545</wp:posOffset>
            </wp:positionV>
            <wp:extent cx="1111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4" w:name="page145"/>
    <w:bookmarkEnd w:id="144"/>
    <w:p>
      <w:pPr>
        <w:ind w:left="424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Collaboration and license revenue</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18,038</w:t>
            </w:r>
          </w:p>
        </w:tc>
        <w:tc>
          <w:tcPr>
            <w:tcW w:w="5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13,363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Collaboration and license revenue, related parties</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249</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52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17"/>
                <w:szCs w:val="17"/>
                <w:color w:val="auto"/>
              </w:rPr>
            </w:pPr>
          </w:p>
        </w:tc>
        <w:tc>
          <w:tcPr>
            <w:tcW w:w="13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18,038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13,612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8"/>
                <w:szCs w:val="18"/>
                <w:color w:val="auto"/>
              </w:rPr>
              <w:t>Research and development (includes $935 and $579 for the years ended December 31,</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3" w:lineRule="exact"/>
              <w:rPr>
                <w:sz w:val="20"/>
                <w:szCs w:val="20"/>
                <w:color w:val="auto"/>
              </w:rPr>
            </w:pPr>
            <w:r>
              <w:rPr>
                <w:rFonts w:ascii="Arial" w:cs="Arial" w:eastAsia="Arial" w:hAnsi="Arial"/>
                <w:sz w:val="18"/>
                <w:szCs w:val="18"/>
                <w:color w:val="auto"/>
              </w:rPr>
              <w:t>2021 and 2020, respectively, attributable to related parties)</w:t>
            </w:r>
          </w:p>
        </w:tc>
        <w:tc>
          <w:tcPr>
            <w:tcW w:w="380" w:type="dxa"/>
            <w:vAlign w:val="bottom"/>
          </w:tcPr>
          <w:p>
            <w:pPr>
              <w:spacing w:after="0"/>
              <w:rPr>
                <w:sz w:val="17"/>
                <w:szCs w:val="17"/>
                <w:color w:val="auto"/>
              </w:rPr>
            </w:pPr>
          </w:p>
        </w:tc>
        <w:tc>
          <w:tcPr>
            <w:tcW w:w="13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61,360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53,038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28,011</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17,238</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89,371</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70,276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(71,333 )</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(56,664 )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(121 )</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(29 )</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(71,317 )</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(56,693 )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Borders>
              <w:top w:val="single" w:sz="8" w:color="auto"/>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(2.57 )</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(8.82 )</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500" w:type="dxa"/>
            <w:vAlign w:val="bottom"/>
          </w:tcPr>
          <w:p>
            <w:pPr>
              <w:ind w:left="20"/>
              <w:spacing w:after="0" w:line="155" w:lineRule="exact"/>
              <w:rPr>
                <w:sz w:val="20"/>
                <w:szCs w:val="20"/>
                <w:color w:val="auto"/>
              </w:rPr>
            </w:pPr>
            <w:r>
              <w:rPr>
                <w:rFonts w:ascii="Arial" w:cs="Arial" w:eastAsia="Arial" w:hAnsi="Arial"/>
                <w:sz w:val="17"/>
                <w:szCs w:val="17"/>
                <w:color w:val="auto"/>
              </w:rPr>
              <w:t>Weighted-average shares outstanding used in computing net loss per share, basic and</w:t>
            </w:r>
          </w:p>
        </w:tc>
        <w:tc>
          <w:tcPr>
            <w:tcW w:w="380" w:type="dxa"/>
            <w:vAlign w:val="bottom"/>
          </w:tcPr>
          <w:p>
            <w:pPr>
              <w:spacing w:after="0"/>
              <w:rPr>
                <w:sz w:val="13"/>
                <w:szCs w:val="13"/>
                <w:color w:val="auto"/>
              </w:rPr>
            </w:pPr>
          </w:p>
        </w:tc>
        <w:tc>
          <w:tcPr>
            <w:tcW w:w="1340" w:type="dxa"/>
            <w:vAlign w:val="bottom"/>
            <w:vMerge w:val="restart"/>
          </w:tcPr>
          <w:p>
            <w:pPr>
              <w:jc w:val="right"/>
              <w:ind w:right="32"/>
              <w:spacing w:after="0"/>
              <w:rPr>
                <w:sz w:val="20"/>
                <w:szCs w:val="20"/>
                <w:color w:val="auto"/>
              </w:rPr>
            </w:pPr>
            <w:r>
              <w:rPr>
                <w:rFonts w:ascii="Arial" w:cs="Arial" w:eastAsia="Arial" w:hAnsi="Arial"/>
                <w:sz w:val="18"/>
                <w:szCs w:val="18"/>
                <w:color w:val="auto"/>
              </w:rPr>
              <w:t>27,730,420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6,430,555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500" w:type="dxa"/>
            <w:vAlign w:val="bottom"/>
          </w:tcPr>
          <w:p>
            <w:pPr>
              <w:ind w:left="20"/>
              <w:spacing w:after="0" w:line="143" w:lineRule="exact"/>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-1985010</wp:posOffset>
            </wp:positionV>
            <wp:extent cx="1111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-1985010</wp:posOffset>
            </wp:positionV>
            <wp:extent cx="11176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-1350645</wp:posOffset>
            </wp:positionV>
            <wp:extent cx="1111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-1350645</wp:posOffset>
            </wp:positionV>
            <wp:extent cx="11176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-553720</wp:posOffset>
            </wp:positionV>
            <wp:extent cx="1111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-553720</wp:posOffset>
            </wp:positionV>
            <wp:extent cx="11176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-264795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-248285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-264795</wp:posOffset>
            </wp:positionV>
            <wp:extent cx="1117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-248285</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5" w:name="page146"/>
    <w:bookmarkEnd w:id="145"/>
    <w:p>
      <w:pPr>
        <w:ind w:left="424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Statements of Comprehensive Loss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r>
      <w:tr>
        <w:trPr>
          <w:trHeight w:val="19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260" w:type="dxa"/>
            <w:vAlign w:val="bottom"/>
            <w:tcBorders>
              <w:bottom w:val="single" w:sz="8" w:color="auto"/>
            </w:tcBorders>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(71,317</w:t>
            </w:r>
          </w:p>
        </w:tc>
        <w:tc>
          <w:tcPr>
            <w:tcW w:w="32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(56,693</w:t>
            </w:r>
          </w:p>
        </w:tc>
        <w:tc>
          <w:tcPr>
            <w:tcW w:w="32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Other comprehensive loss: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5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Gross unrealized loss on marketable securities</w:t>
            </w:r>
          </w:p>
        </w:tc>
        <w:tc>
          <w:tcPr>
            <w:tcW w:w="1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(423 )</w:t>
            </w:r>
          </w:p>
        </w:tc>
        <w:tc>
          <w:tcPr>
            <w:tcW w:w="7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0"/>
        </w:trPr>
        <w:tc>
          <w:tcPr>
            <w:tcW w:w="65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1260" w:type="dxa"/>
            <w:vAlign w:val="bottom"/>
          </w:tcPr>
          <w:p>
            <w:pPr>
              <w:jc w:val="right"/>
              <w:ind w:right="1056"/>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(71,740 )</w:t>
            </w:r>
          </w:p>
        </w:tc>
        <w:tc>
          <w:tcPr>
            <w:tcW w:w="780" w:type="dxa"/>
            <w:vAlign w:val="bottom"/>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(56,693 )</w:t>
            </w:r>
          </w:p>
        </w:tc>
      </w:tr>
      <w:tr>
        <w:trPr>
          <w:trHeight w:val="20"/>
        </w:trPr>
        <w:tc>
          <w:tcPr>
            <w:tcW w:w="6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-424815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-424815</wp:posOffset>
            </wp:positionV>
            <wp:extent cx="603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wp:posOffset>
            </wp:positionV>
            <wp:extent cx="6032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4D Molecular Therapeutics,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70485</wp:posOffset>
            </wp:positionV>
            <wp:extent cx="34290" cy="419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0"/>
                <w:szCs w:val="10"/>
                <w:color w:val="auto"/>
              </w:rPr>
            </w:pPr>
          </w:p>
        </w:tc>
        <w:tc>
          <w:tcPr>
            <w:tcW w:w="1520" w:type="dxa"/>
            <w:vAlign w:val="bottom"/>
            <w:gridSpan w:val="3"/>
          </w:tcPr>
          <w:p>
            <w:pPr>
              <w:jc w:val="center"/>
              <w:ind w:left="666"/>
              <w:spacing w:after="0"/>
              <w:rPr>
                <w:sz w:val="20"/>
                <w:szCs w:val="20"/>
                <w:color w:val="auto"/>
              </w:rPr>
            </w:pPr>
            <w:r>
              <w:rPr>
                <w:rFonts w:ascii="Arial" w:cs="Arial" w:eastAsia="Arial" w:hAnsi="Arial"/>
                <w:sz w:val="11"/>
                <w:szCs w:val="11"/>
                <w:b w:val="1"/>
                <w:bCs w:val="1"/>
                <w:color w:val="auto"/>
                <w:w w:val="98"/>
              </w:rPr>
              <w:t>Redeemable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520" w:type="dxa"/>
            <w:vAlign w:val="bottom"/>
            <w:gridSpan w:val="3"/>
          </w:tcPr>
          <w:p>
            <w:pPr>
              <w:jc w:val="center"/>
              <w:ind w:left="666"/>
              <w:spacing w:after="0" w:line="122" w:lineRule="exact"/>
              <w:rPr>
                <w:sz w:val="20"/>
                <w:szCs w:val="20"/>
                <w:color w:val="auto"/>
              </w:rPr>
            </w:pPr>
            <w:r>
              <w:rPr>
                <w:rFonts w:ascii="Arial" w:cs="Arial" w:eastAsia="Arial" w:hAnsi="Arial"/>
                <w:sz w:val="11"/>
                <w:szCs w:val="11"/>
                <w:b w:val="1"/>
                <w:bCs w:val="1"/>
                <w:color w:val="auto"/>
                <w:w w:val="99"/>
              </w:rPr>
              <w:t>Convertible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3"/>
            <w:vMerge w:val="restart"/>
          </w:tcPr>
          <w:p>
            <w:pPr>
              <w:jc w:val="right"/>
              <w:ind w:right="469"/>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1160" w:type="dxa"/>
            <w:vAlign w:val="bottom"/>
            <w:gridSpan w:val="2"/>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520" w:type="dxa"/>
            <w:vAlign w:val="bottom"/>
            <w:tcBorders>
              <w:bottom w:val="single" w:sz="8" w:color="auto"/>
            </w:tcBorders>
            <w:gridSpan w:val="3"/>
          </w:tcPr>
          <w:p>
            <w:pPr>
              <w:jc w:val="center"/>
              <w:ind w:left="666"/>
              <w:spacing w:after="0"/>
              <w:rPr>
                <w:sz w:val="20"/>
                <w:szCs w:val="20"/>
                <w:color w:val="auto"/>
              </w:rPr>
            </w:pPr>
            <w:r>
              <w:rPr>
                <w:rFonts w:ascii="Arial" w:cs="Arial" w:eastAsia="Arial" w:hAnsi="Arial"/>
                <w:sz w:val="11"/>
                <w:szCs w:val="11"/>
                <w:b w:val="1"/>
                <w:bCs w:val="1"/>
                <w:color w:val="auto"/>
                <w:w w:val="97"/>
              </w:rPr>
              <w:t>Preferred Stock</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86"/>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108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7"/>
                <w:szCs w:val="7"/>
                <w:color w:val="auto"/>
              </w:rPr>
            </w:pPr>
          </w:p>
        </w:tc>
        <w:tc>
          <w:tcPr>
            <w:tcW w:w="820" w:type="dxa"/>
            <w:vAlign w:val="bottom"/>
            <w:vMerge w:val="restart"/>
          </w:tcPr>
          <w:p>
            <w:pPr>
              <w:jc w:val="right"/>
              <w:ind w:right="49"/>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jc w:val="center"/>
              <w:ind w:right="126"/>
              <w:spacing w:after="0" w:line="88"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94"/>
        </w:trPr>
        <w:tc>
          <w:tcPr>
            <w:tcW w:w="1540" w:type="dxa"/>
            <w:vAlign w:val="bottom"/>
            <w:shd w:val="clear" w:color="auto" w:fill="CFF0FC"/>
          </w:tcPr>
          <w:p>
            <w:pPr>
              <w:ind w:left="20"/>
              <w:spacing w:after="0" w:line="95" w:lineRule="exact"/>
              <w:rPr>
                <w:sz w:val="20"/>
                <w:szCs w:val="20"/>
                <w:color w:val="auto"/>
              </w:rPr>
            </w:pPr>
            <w:r>
              <w:rPr>
                <w:rFonts w:ascii="Arial" w:cs="Arial" w:eastAsia="Arial" w:hAnsi="Arial"/>
                <w:sz w:val="10"/>
                <w:szCs w:val="10"/>
                <w:b w:val="1"/>
                <w:bCs w:val="1"/>
                <w:color w:val="auto"/>
              </w:rPr>
              <w:t>Balances at December 31,</w:t>
            </w:r>
          </w:p>
        </w:tc>
        <w:tc>
          <w:tcPr>
            <w:tcW w:w="10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2019</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7,375,631</w:t>
            </w:r>
          </w:p>
        </w:tc>
        <w:tc>
          <w:tcPr>
            <w:tcW w:w="44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102,980</w:t>
            </w:r>
          </w:p>
        </w:tc>
        <w:tc>
          <w:tcPr>
            <w:tcW w:w="120" w:type="dxa"/>
            <w:vAlign w:val="bottom"/>
            <w:tcBorders>
              <w:right w:val="single" w:sz="8" w:color="auto"/>
            </w:tcBorders>
            <w:shd w:val="clear" w:color="auto" w:fill="CFF0FC"/>
          </w:tcPr>
          <w:p>
            <w:pPr>
              <w:spacing w:after="0"/>
              <w:rPr>
                <w:sz w:val="12"/>
                <w:szCs w:val="12"/>
                <w:color w:val="auto"/>
              </w:rPr>
            </w:pPr>
          </w:p>
        </w:tc>
        <w:tc>
          <w:tcPr>
            <w:tcW w:w="122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5,178,955</w:t>
            </w:r>
          </w:p>
        </w:tc>
        <w:tc>
          <w:tcPr>
            <w:tcW w:w="940" w:type="dxa"/>
            <w:vAlign w:val="bottom"/>
            <w:gridSpan w:val="2"/>
            <w:shd w:val="clear" w:color="auto" w:fill="CFF0FC"/>
          </w:tcPr>
          <w:p>
            <w:pPr>
              <w:jc w:val="right"/>
              <w:ind w:right="709"/>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6,054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(79,025 )</w:t>
            </w: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(72,970 )</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Cumulative effect of</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adoption of ASU 2018-07</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(39 )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redeemable</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convertible preferred stock,</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net of $3,138 of issuance</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cost</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4,200,353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72,468</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Conversion of redeemable</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8" w:lineRule="exact"/>
              <w:rPr>
                <w:sz w:val="20"/>
                <w:szCs w:val="20"/>
                <w:color w:val="auto"/>
              </w:rPr>
            </w:pPr>
            <w:r>
              <w:rPr>
                <w:rFonts w:ascii="Arial" w:cs="Arial" w:eastAsia="Arial" w:hAnsi="Arial"/>
                <w:sz w:val="11"/>
                <w:szCs w:val="11"/>
                <w:color w:val="auto"/>
              </w:rPr>
              <w:t>convertible preferred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into common stock</w:t>
            </w:r>
          </w:p>
        </w:tc>
        <w:tc>
          <w:tcPr>
            <w:tcW w:w="1080" w:type="dxa"/>
            <w:vAlign w:val="bottom"/>
          </w:tcPr>
          <w:p>
            <w:pPr>
              <w:jc w:val="right"/>
              <w:spacing w:after="0"/>
              <w:rPr>
                <w:sz w:val="20"/>
                <w:szCs w:val="20"/>
                <w:color w:val="auto"/>
              </w:rPr>
            </w:pPr>
            <w:r>
              <w:rPr>
                <w:rFonts w:ascii="Arial" w:cs="Arial" w:eastAsia="Arial" w:hAnsi="Arial"/>
                <w:sz w:val="11"/>
                <w:szCs w:val="11"/>
                <w:color w:val="auto"/>
              </w:rPr>
              <w:t>(11,575,984 )</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(175,448 )</w:t>
            </w:r>
          </w:p>
        </w:tc>
        <w:tc>
          <w:tcPr>
            <w:tcW w:w="120" w:type="dxa"/>
            <w:vAlign w:val="bottom"/>
            <w:tcBorders>
              <w:right w:val="single" w:sz="8" w:color="auto"/>
            </w:tcBorders>
          </w:tcPr>
          <w:p>
            <w:pPr>
              <w:spacing w:after="0"/>
              <w:rPr>
                <w:sz w:val="11"/>
                <w:szCs w:val="11"/>
                <w:color w:val="auto"/>
              </w:rPr>
            </w:pPr>
          </w:p>
        </w:tc>
        <w:tc>
          <w:tcPr>
            <w:tcW w:w="1220" w:type="dxa"/>
            <w:vAlign w:val="bottom"/>
            <w:gridSpan w:val="2"/>
          </w:tcPr>
          <w:p>
            <w:pPr>
              <w:jc w:val="right"/>
              <w:ind w:right="26"/>
              <w:spacing w:after="0"/>
              <w:rPr>
                <w:sz w:val="20"/>
                <w:szCs w:val="20"/>
                <w:color w:val="auto"/>
              </w:rPr>
            </w:pPr>
            <w:r>
              <w:rPr>
                <w:rFonts w:ascii="Arial" w:cs="Arial" w:eastAsia="Arial" w:hAnsi="Arial"/>
                <w:sz w:val="11"/>
                <w:szCs w:val="11"/>
                <w:color w:val="auto"/>
              </w:rPr>
              <w:t>11,575,984</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175,447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175,448</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 stock</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upon initial public offering,</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of $17,468 issuance cost</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2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9,660,000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204,712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204,713</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Issuance of common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8" w:lineRule="exact"/>
              <w:rPr>
                <w:sz w:val="20"/>
                <w:szCs w:val="20"/>
                <w:color w:val="auto"/>
              </w:rPr>
            </w:pPr>
            <w:r>
              <w:rPr>
                <w:rFonts w:ascii="Arial" w:cs="Arial" w:eastAsia="Arial" w:hAnsi="Arial"/>
                <w:sz w:val="11"/>
                <w:szCs w:val="11"/>
                <w:color w:val="auto"/>
              </w:rPr>
              <w:t>upon exercise of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options</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1220" w:type="dxa"/>
            <w:vAlign w:val="bottom"/>
            <w:gridSpan w:val="2"/>
          </w:tcPr>
          <w:p>
            <w:pPr>
              <w:jc w:val="right"/>
              <w:ind w:right="26"/>
              <w:spacing w:after="0"/>
              <w:rPr>
                <w:sz w:val="20"/>
                <w:szCs w:val="20"/>
                <w:color w:val="auto"/>
              </w:rPr>
            </w:pPr>
            <w:r>
              <w:rPr>
                <w:rFonts w:ascii="Arial" w:cs="Arial" w:eastAsia="Arial" w:hAnsi="Arial"/>
                <w:sz w:val="11"/>
                <w:szCs w:val="11"/>
                <w:color w:val="auto"/>
              </w:rPr>
              <w:t>267,044</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857</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 compensation</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expense</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4,984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4,984</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Vesting of common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tcPr>
          <w:p>
            <w:pPr>
              <w:ind w:left="20"/>
              <w:spacing w:after="0"/>
              <w:rPr>
                <w:sz w:val="20"/>
                <w:szCs w:val="20"/>
                <w:color w:val="auto"/>
              </w:rPr>
            </w:pPr>
            <w:r>
              <w:rPr>
                <w:rFonts w:ascii="Arial" w:cs="Arial" w:eastAsia="Arial" w:hAnsi="Arial"/>
                <w:sz w:val="11"/>
                <w:szCs w:val="11"/>
                <w:color w:val="auto"/>
              </w:rPr>
              <w:t>warrant issued for services</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2"/>
        </w:trPr>
        <w:tc>
          <w:tcPr>
            <w:tcW w:w="1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10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(56,693 )</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(56,693 )</w:t>
            </w:r>
          </w:p>
        </w:tc>
        <w:tc>
          <w:tcPr>
            <w:tcW w:w="0" w:type="dxa"/>
            <w:vAlign w:val="bottom"/>
          </w:tcPr>
          <w:p>
            <w:pPr>
              <w:spacing w:after="0"/>
              <w:rPr>
                <w:sz w:val="1"/>
                <w:szCs w:val="1"/>
                <w:color w:val="auto"/>
              </w:rPr>
            </w:pPr>
          </w:p>
        </w:tc>
      </w:tr>
      <w:tr>
        <w:trPr>
          <w:trHeight w:val="91"/>
        </w:trPr>
        <w:tc>
          <w:tcPr>
            <w:tcW w:w="1540" w:type="dxa"/>
            <w:vAlign w:val="bottom"/>
          </w:tcPr>
          <w:p>
            <w:pPr>
              <w:ind w:left="20"/>
              <w:spacing w:after="0" w:line="91" w:lineRule="exact"/>
              <w:rPr>
                <w:sz w:val="20"/>
                <w:szCs w:val="20"/>
                <w:color w:val="auto"/>
              </w:rPr>
            </w:pPr>
            <w:r>
              <w:rPr>
                <w:rFonts w:ascii="Arial" w:cs="Arial" w:eastAsia="Arial" w:hAnsi="Arial"/>
                <w:sz w:val="10"/>
                <w:szCs w:val="10"/>
                <w:b w:val="1"/>
                <w:bCs w:val="1"/>
                <w:color w:val="auto"/>
              </w:rPr>
              <w:t>Balances at December 31,</w:t>
            </w:r>
          </w:p>
        </w:tc>
        <w:tc>
          <w:tcPr>
            <w:tcW w:w="10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gridSpan w:val="2"/>
            <w:vMerge w:val="restart"/>
          </w:tcPr>
          <w:p>
            <w:pPr>
              <w:jc w:val="right"/>
              <w:ind w:right="186"/>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340" w:type="dxa"/>
            <w:vAlign w:val="bottom"/>
            <w:gridSpan w:val="3"/>
            <w:vMerge w:val="restart"/>
          </w:tcPr>
          <w:p>
            <w:pPr>
              <w:jc w:val="right"/>
              <w:ind w:right="26"/>
              <w:spacing w:after="0"/>
              <w:rPr>
                <w:sz w:val="20"/>
                <w:szCs w:val="20"/>
                <w:color w:val="auto"/>
              </w:rPr>
            </w:pPr>
            <w:r>
              <w:rPr>
                <w:rFonts w:ascii="Arial" w:cs="Arial" w:eastAsia="Arial" w:hAnsi="Arial"/>
                <w:sz w:val="11"/>
                <w:szCs w:val="11"/>
                <w:color w:val="auto"/>
              </w:rPr>
              <w:t>26,681,983</w:t>
            </w:r>
          </w:p>
        </w:tc>
        <w:tc>
          <w:tcPr>
            <w:tcW w:w="940" w:type="dxa"/>
            <w:vAlign w:val="bottom"/>
            <w:gridSpan w:val="2"/>
            <w:vMerge w:val="restart"/>
          </w:tcPr>
          <w:p>
            <w:pPr>
              <w:jc w:val="right"/>
              <w:ind w:right="709"/>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66"/>
              <w:spacing w:after="0"/>
              <w:rPr>
                <w:sz w:val="20"/>
                <w:szCs w:val="20"/>
                <w:color w:val="auto"/>
              </w:rPr>
            </w:pPr>
            <w:r>
              <w:rPr>
                <w:rFonts w:ascii="Arial" w:cs="Arial" w:eastAsia="Arial" w:hAnsi="Arial"/>
                <w:sz w:val="11"/>
                <w:szCs w:val="11"/>
                <w:color w:val="auto"/>
              </w:rPr>
              <w:t>392,063</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(135,679 )</w:t>
            </w:r>
          </w:p>
        </w:tc>
        <w:tc>
          <w:tcPr>
            <w:tcW w:w="240" w:type="dxa"/>
            <w:vAlign w:val="bottom"/>
            <w:gridSpan w:val="2"/>
            <w:vMerge w:val="restart"/>
          </w:tcPr>
          <w:p>
            <w:pPr>
              <w:jc w:val="right"/>
              <w:ind w:right="11"/>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6"/>
              <w:spacing w:after="0"/>
              <w:rPr>
                <w:sz w:val="20"/>
                <w:szCs w:val="20"/>
                <w:color w:val="auto"/>
              </w:rPr>
            </w:pPr>
            <w:r>
              <w:rPr>
                <w:rFonts w:ascii="Arial" w:cs="Arial" w:eastAsia="Arial" w:hAnsi="Arial"/>
                <w:sz w:val="11"/>
                <w:szCs w:val="11"/>
                <w:color w:val="auto"/>
              </w:rPr>
              <w:t>256,387</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2020</w:t>
            </w:r>
          </w:p>
        </w:tc>
        <w:tc>
          <w:tcPr>
            <w:tcW w:w="108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1540" w:type="dxa"/>
            <w:vAlign w:val="bottom"/>
            <w:shd w:val="clear" w:color="auto" w:fill="CFF0FC"/>
          </w:tcPr>
          <w:p>
            <w:pPr>
              <w:ind w:left="20"/>
              <w:spacing w:after="0" w:line="85" w:lineRule="exact"/>
              <w:rPr>
                <w:sz w:val="20"/>
                <w:szCs w:val="20"/>
                <w:color w:val="auto"/>
              </w:rPr>
            </w:pPr>
            <w:r>
              <w:rPr>
                <w:rFonts w:ascii="Arial" w:cs="Arial" w:eastAsia="Arial" w:hAnsi="Arial"/>
                <w:sz w:val="9"/>
                <w:szCs w:val="9"/>
                <w:color w:val="auto"/>
              </w:rPr>
              <w:t>Issuance of common stock</w:t>
            </w:r>
          </w:p>
        </w:tc>
        <w:tc>
          <w:tcPr>
            <w:tcW w:w="10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20" w:type="dxa"/>
            <w:vAlign w:val="bottom"/>
            <w:tcBorders>
              <w:right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upon exercise of stock</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options and warrants</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2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646,417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3,905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3,905</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Issuance of common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8" w:lineRule="exact"/>
              <w:rPr>
                <w:sz w:val="20"/>
                <w:szCs w:val="20"/>
                <w:color w:val="auto"/>
              </w:rPr>
            </w:pPr>
            <w:r>
              <w:rPr>
                <w:rFonts w:ascii="Arial" w:cs="Arial" w:eastAsia="Arial" w:hAnsi="Arial"/>
                <w:sz w:val="11"/>
                <w:szCs w:val="11"/>
                <w:color w:val="auto"/>
              </w:rPr>
              <w:t>upon offerings, net of</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$7,660 issuance cost</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1220" w:type="dxa"/>
            <w:vAlign w:val="bottom"/>
            <w:gridSpan w:val="2"/>
          </w:tcPr>
          <w:p>
            <w:pPr>
              <w:jc w:val="right"/>
              <w:ind w:right="26"/>
              <w:spacing w:after="0"/>
              <w:rPr>
                <w:sz w:val="20"/>
                <w:szCs w:val="20"/>
                <w:color w:val="auto"/>
              </w:rPr>
            </w:pPr>
            <w:r>
              <w:rPr>
                <w:rFonts w:ascii="Arial" w:cs="Arial" w:eastAsia="Arial" w:hAnsi="Arial"/>
                <w:sz w:val="11"/>
                <w:szCs w:val="11"/>
                <w:color w:val="auto"/>
              </w:rPr>
              <w:t>4,875,715</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115,090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115,090</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 stock</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warrant</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1,146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Stock-based compensation</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expense</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13,799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13,799</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 stock -</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2020 ESPP</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2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20,409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433</w:t>
            </w:r>
          </w:p>
        </w:tc>
        <w:tc>
          <w:tcPr>
            <w:tcW w:w="0" w:type="dxa"/>
            <w:vAlign w:val="bottom"/>
          </w:tcPr>
          <w:p>
            <w:pPr>
              <w:spacing w:after="0"/>
              <w:rPr>
                <w:sz w:val="1"/>
                <w:szCs w:val="1"/>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1"/>
                <w:szCs w:val="11"/>
                <w:color w:val="auto"/>
              </w:rPr>
              <w:t>Vesting of common stock</w:t>
            </w: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rPr>
                <w:sz w:val="20"/>
                <w:szCs w:val="20"/>
                <w:color w:val="auto"/>
              </w:rPr>
            </w:pPr>
            <w:r>
              <w:rPr>
                <w:rFonts w:ascii="Arial" w:cs="Arial" w:eastAsia="Arial" w:hAnsi="Arial"/>
                <w:sz w:val="11"/>
                <w:szCs w:val="11"/>
                <w:color w:val="auto"/>
              </w:rPr>
              <w:t>warrants issued for services</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09"/>
        </w:trPr>
        <w:tc>
          <w:tcPr>
            <w:tcW w:w="15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Gross unrealized loss on</w:t>
            </w: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marketable securities</w:t>
            </w:r>
          </w:p>
        </w:tc>
        <w:tc>
          <w:tcPr>
            <w:tcW w:w="10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(423 )</w:t>
            </w:r>
          </w:p>
        </w:tc>
        <w:tc>
          <w:tcPr>
            <w:tcW w:w="0" w:type="dxa"/>
            <w:vAlign w:val="bottom"/>
          </w:tcPr>
          <w:p>
            <w:pPr>
              <w:spacing w:after="0"/>
              <w:rPr>
                <w:sz w:val="1"/>
                <w:szCs w:val="1"/>
                <w:color w:val="auto"/>
              </w:rPr>
            </w:pPr>
          </w:p>
        </w:tc>
      </w:tr>
      <w:tr>
        <w:trPr>
          <w:trHeight w:val="130"/>
        </w:trPr>
        <w:tc>
          <w:tcPr>
            <w:tcW w:w="154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(71,317 )</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(71,317 )</w:t>
            </w:r>
          </w:p>
        </w:tc>
        <w:tc>
          <w:tcPr>
            <w:tcW w:w="0" w:type="dxa"/>
            <w:vAlign w:val="bottom"/>
          </w:tcPr>
          <w:p>
            <w:pPr>
              <w:spacing w:after="0"/>
              <w:rPr>
                <w:sz w:val="1"/>
                <w:szCs w:val="1"/>
                <w:color w:val="auto"/>
              </w:rPr>
            </w:pPr>
          </w:p>
        </w:tc>
      </w:tr>
      <w:tr>
        <w:trPr>
          <w:trHeight w:val="93"/>
        </w:trPr>
        <w:tc>
          <w:tcPr>
            <w:tcW w:w="1540" w:type="dxa"/>
            <w:vAlign w:val="bottom"/>
            <w:shd w:val="clear" w:color="auto" w:fill="CFF0FC"/>
          </w:tcPr>
          <w:p>
            <w:pPr>
              <w:ind w:left="20"/>
              <w:spacing w:after="0" w:line="93" w:lineRule="exact"/>
              <w:rPr>
                <w:sz w:val="20"/>
                <w:szCs w:val="20"/>
                <w:color w:val="auto"/>
              </w:rPr>
            </w:pPr>
            <w:r>
              <w:rPr>
                <w:rFonts w:ascii="Arial" w:cs="Arial" w:eastAsia="Arial" w:hAnsi="Arial"/>
                <w:sz w:val="10"/>
                <w:szCs w:val="10"/>
                <w:b w:val="1"/>
                <w:bCs w:val="1"/>
                <w:color w:val="auto"/>
              </w:rPr>
              <w:t>Balances at December 31,</w:t>
            </w:r>
          </w:p>
        </w:tc>
        <w:tc>
          <w:tcPr>
            <w:tcW w:w="108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spacing w:after="0"/>
              <w:rPr>
                <w:sz w:val="8"/>
                <w:szCs w:val="8"/>
                <w:color w:val="auto"/>
              </w:rPr>
            </w:pPr>
          </w:p>
        </w:tc>
        <w:tc>
          <w:tcPr>
            <w:tcW w:w="320" w:type="dxa"/>
            <w:vAlign w:val="bottom"/>
            <w:vMerge w:val="restart"/>
            <w:shd w:val="clear" w:color="auto" w:fill="CFF0FC"/>
          </w:tcPr>
          <w:p>
            <w:pPr>
              <w:jc w:val="right"/>
              <w:ind w:right="186"/>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8"/>
                <w:szCs w:val="8"/>
                <w:color w:val="auto"/>
              </w:rPr>
            </w:pPr>
          </w:p>
        </w:tc>
        <w:tc>
          <w:tcPr>
            <w:tcW w:w="110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32,224,524</w:t>
            </w:r>
          </w:p>
        </w:tc>
        <w:tc>
          <w:tcPr>
            <w:tcW w:w="120" w:type="dxa"/>
            <w:vAlign w:val="bottom"/>
            <w:vMerge w:val="restart"/>
            <w:shd w:val="clear" w:color="auto" w:fill="CFF0FC"/>
          </w:tcPr>
          <w:p>
            <w:pPr>
              <w:spacing w:after="0"/>
              <w:rPr>
                <w:sz w:val="8"/>
                <w:szCs w:val="8"/>
                <w:color w:val="auto"/>
              </w:rPr>
            </w:pPr>
          </w:p>
        </w:tc>
        <w:tc>
          <w:tcPr>
            <w:tcW w:w="820" w:type="dxa"/>
            <w:vAlign w:val="bottom"/>
            <w:vMerge w:val="restart"/>
            <w:shd w:val="clear" w:color="auto" w:fill="CFF0FC"/>
          </w:tcPr>
          <w:p>
            <w:pPr>
              <w:jc w:val="right"/>
              <w:ind w:right="709"/>
              <w:spacing w:after="0"/>
              <w:rPr>
                <w:sz w:val="20"/>
                <w:szCs w:val="20"/>
                <w:color w:val="auto"/>
              </w:rPr>
            </w:pPr>
            <w:r>
              <w:rPr>
                <w:rFonts w:ascii="Arial" w:cs="Arial" w:eastAsia="Arial" w:hAnsi="Arial"/>
                <w:sz w:val="10"/>
                <w:szCs w:val="10"/>
                <w:color w:val="auto"/>
                <w:w w:val="71"/>
              </w:rPr>
              <w:t>$</w:t>
            </w:r>
          </w:p>
        </w:tc>
        <w:tc>
          <w:tcPr>
            <w:tcW w:w="28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vMerge w:val="restart"/>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vMerge w:val="restart"/>
            <w:shd w:val="clear" w:color="auto" w:fill="CFF0FC"/>
          </w:tcPr>
          <w:p>
            <w:pPr>
              <w:jc w:val="right"/>
              <w:ind w:right="66"/>
              <w:spacing w:after="0"/>
              <w:rPr>
                <w:sz w:val="20"/>
                <w:szCs w:val="20"/>
                <w:color w:val="auto"/>
              </w:rPr>
            </w:pPr>
            <w:r>
              <w:rPr>
                <w:rFonts w:ascii="Arial" w:cs="Arial" w:eastAsia="Arial" w:hAnsi="Arial"/>
                <w:sz w:val="11"/>
                <w:szCs w:val="11"/>
                <w:color w:val="auto"/>
              </w:rPr>
              <w:t>526,523</w:t>
            </w:r>
          </w:p>
        </w:tc>
        <w:tc>
          <w:tcPr>
            <w:tcW w:w="12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(423 )</w:t>
            </w:r>
          </w:p>
        </w:tc>
        <w:tc>
          <w:tcPr>
            <w:tcW w:w="120" w:type="dxa"/>
            <w:vAlign w:val="bottom"/>
            <w:vMerge w:val="restart"/>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(206,996 )</w:t>
            </w:r>
          </w:p>
        </w:tc>
        <w:tc>
          <w:tcPr>
            <w:tcW w:w="120" w:type="dxa"/>
            <w:vAlign w:val="bottom"/>
            <w:vMerge w:val="restart"/>
            <w:shd w:val="clear" w:color="auto" w:fill="CFF0FC"/>
          </w:tcPr>
          <w:p>
            <w:pPr>
              <w:spacing w:after="0"/>
              <w:rPr>
                <w:sz w:val="8"/>
                <w:szCs w:val="8"/>
                <w:color w:val="auto"/>
              </w:rPr>
            </w:pPr>
          </w:p>
        </w:tc>
        <w:tc>
          <w:tcPr>
            <w:tcW w:w="120" w:type="dxa"/>
            <w:vAlign w:val="bottom"/>
            <w:vMerge w:val="restart"/>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319,107</w:t>
            </w:r>
          </w:p>
        </w:tc>
        <w:tc>
          <w:tcPr>
            <w:tcW w:w="0" w:type="dxa"/>
            <w:vAlign w:val="bottom"/>
          </w:tcPr>
          <w:p>
            <w:pPr>
              <w:spacing w:after="0"/>
              <w:rPr>
                <w:sz w:val="1"/>
                <w:szCs w:val="1"/>
                <w:color w:val="auto"/>
              </w:rPr>
            </w:pPr>
          </w:p>
        </w:tc>
      </w:tr>
      <w:tr>
        <w:trPr>
          <w:trHeight w:val="148"/>
        </w:trPr>
        <w:tc>
          <w:tcPr>
            <w:tcW w:w="1540" w:type="dxa"/>
            <w:vAlign w:val="bottom"/>
            <w:tcBorders>
              <w:bottom w:val="single" w:sz="8" w:color="CFF0FC"/>
            </w:tcBorders>
            <w:shd w:val="clear" w:color="auto" w:fill="CFF0FC"/>
          </w:tcPr>
          <w:p>
            <w:pPr>
              <w:ind w:left="20"/>
              <w:spacing w:after="0" w:line="88" w:lineRule="exact"/>
              <w:rPr>
                <w:sz w:val="20"/>
                <w:szCs w:val="20"/>
                <w:color w:val="auto"/>
              </w:rPr>
            </w:pPr>
            <w:r>
              <w:rPr>
                <w:rFonts w:ascii="Arial" w:cs="Arial" w:eastAsia="Arial" w:hAnsi="Arial"/>
                <w:sz w:val="10"/>
                <w:szCs w:val="10"/>
                <w:b w:val="1"/>
                <w:bCs w:val="1"/>
                <w:color w:val="auto"/>
              </w:rPr>
              <w:t>2021</w:t>
            </w:r>
          </w:p>
        </w:tc>
        <w:tc>
          <w:tcPr>
            <w:tcW w:w="10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320" w:type="dxa"/>
            <w:vAlign w:val="bottom"/>
            <w:tcBorders>
              <w:bottom w:val="single" w:sz="8" w:color="auto"/>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1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auto"/>
            </w:tcBorders>
            <w:vMerge w:val="continue"/>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9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-1624965</wp:posOffset>
            </wp:positionV>
            <wp:extent cx="768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-1624965</wp:posOffset>
            </wp:positionV>
            <wp:extent cx="768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-1624965</wp:posOffset>
            </wp:positionV>
            <wp:extent cx="7747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-1624965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-1624965</wp:posOffset>
            </wp:positionV>
            <wp:extent cx="685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-1624965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-1726565</wp:posOffset>
            </wp:positionV>
            <wp:extent cx="8953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89535" cy="27432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-24765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-260985</wp:posOffset>
            </wp:positionV>
            <wp:extent cx="89535"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89535" cy="27432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7" w:name="page148"/>
    <w:bookmarkEnd w:id="147"/>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96"/>
        </w:trPr>
        <w:tc>
          <w:tcPr>
            <w:tcW w:w="7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(71,317 )</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(56,693 )</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13,799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4,984</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Vesting of common stock warrant in return for services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48</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Change in fair value of derivative liability</w:t>
            </w: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1,523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1,443</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Net amortization (accretion) of premium (discount) on marketable securities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719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1,439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(508 )</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(4,225 )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(2,566 )</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2,285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689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1,899</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(14,722 )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345</w:t>
            </w:r>
          </w:p>
        </w:tc>
      </w:tr>
      <w:tr>
        <w:trPr>
          <w:trHeight w:val="203"/>
        </w:trPr>
        <w:tc>
          <w:tcPr>
            <w:tcW w:w="79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960" w:type="dxa"/>
            <w:vAlign w:val="bottom"/>
          </w:tcPr>
          <w:p>
            <w:pPr>
              <w:ind w:left="52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(69,134 )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(50,909 )</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(9,110 )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(1,000 )</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(168,570 )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2"/>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9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(172,680 )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(1,000 )</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redeemable convertible preferred stock, net of issuance costs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72,468</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 upon offerings, net of issuance costs</w:t>
            </w: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114,296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205,658</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 upon exercise of stock options and warrants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3,360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857</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 through 2020 ESPP</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433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9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118,089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278,983</w:t>
            </w:r>
          </w:p>
        </w:tc>
      </w:tr>
      <w:tr>
        <w:trPr>
          <w:trHeight w:val="202"/>
        </w:trPr>
        <w:tc>
          <w:tcPr>
            <w:tcW w:w="7960" w:type="dxa"/>
            <w:vAlign w:val="bottom"/>
          </w:tcPr>
          <w:p>
            <w:pPr>
              <w:ind w:left="520"/>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(123,725 )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227,074</w:t>
            </w:r>
          </w:p>
        </w:tc>
      </w:tr>
      <w:tr>
        <w:trPr>
          <w:trHeight w:val="203"/>
        </w:trPr>
        <w:tc>
          <w:tcPr>
            <w:tcW w:w="7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276,726</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49,652</w:t>
            </w:r>
          </w:p>
        </w:tc>
      </w:tr>
      <w:tr>
        <w:trPr>
          <w:trHeight w:val="196"/>
        </w:trPr>
        <w:tc>
          <w:tcPr>
            <w:tcW w:w="796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153,001</w:t>
            </w:r>
          </w:p>
        </w:tc>
        <w:tc>
          <w:tcPr>
            <w:tcW w:w="5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276,726</w:t>
            </w:r>
          </w:p>
        </w:tc>
      </w:tr>
      <w:tr>
        <w:trPr>
          <w:trHeight w:val="20"/>
        </w:trPr>
        <w:tc>
          <w:tcPr>
            <w:tcW w:w="7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9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Conversion of redeemable convertible preferred stock into common stock</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175,448</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Purchases of property and equipment in accounts payable and accrued and other liabilities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2,199</w:t>
            </w:r>
          </w:p>
        </w:tc>
        <w:tc>
          <w:tcPr>
            <w:tcW w:w="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466</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Unpaid offering costs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152</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946</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Decrease in right-of-use assets due to reduction in operating lease liabilities upon modification</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(478 )</w:t>
            </w:r>
          </w:p>
        </w:tc>
        <w:tc>
          <w:tcPr>
            <w:tcW w:w="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96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 warrant to settle liability</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1,146</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Receivable for common stock issued upon exercise of stock options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545</w:t>
            </w:r>
          </w:p>
        </w:tc>
        <w:tc>
          <w:tcPr>
            <w:tcW w:w="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-2885440</wp:posOffset>
            </wp:positionV>
            <wp:extent cx="939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-1059180</wp:posOffset>
            </wp:positionV>
            <wp:extent cx="939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8" w:name="page149"/>
    <w:bookmarkEnd w:id="148"/>
    <w:p>
      <w:pPr>
        <w:ind w:left="424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Notes to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The Company</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clinical-stage gene therapy company pioneering the development of product candidates using its targeted and evolved adeno-associated viruses (“AAV”) vectors.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ind w:right="320" w:firstLine="636"/>
        <w:spacing w:after="0" w:line="238" w:lineRule="auto"/>
        <w:rPr>
          <w:sz w:val="20"/>
          <w:szCs w:val="20"/>
          <w:color w:val="auto"/>
        </w:rPr>
      </w:pPr>
      <w:r>
        <w:rPr>
          <w:rFonts w:ascii="Arial" w:cs="Arial" w:eastAsia="Arial" w:hAnsi="Arial"/>
          <w:sz w:val="18"/>
          <w:szCs w:val="18"/>
          <w:color w:val="auto"/>
        </w:rPr>
        <w:t>In December 2020, the Company sold and issued 9,660,000 shares of common stock at a price to the public of $23.00 per share, which included shares sold upon the underwriters’ exercise of their overallotment option to purchase 1,260,000 additional shares. The Company received an aggregate of $204.7 million in net proceeds, after deducting underwriting discounts and commissions and offering costs.</w:t>
      </w:r>
    </w:p>
    <w:p>
      <w:pPr>
        <w:spacing w:after="0" w:line="205" w:lineRule="exact"/>
        <w:rPr>
          <w:sz w:val="20"/>
          <w:szCs w:val="20"/>
          <w:color w:val="auto"/>
        </w:rPr>
      </w:pPr>
    </w:p>
    <w:p>
      <w:pPr>
        <w:ind w:right="340" w:firstLine="636"/>
        <w:spacing w:after="0"/>
        <w:rPr>
          <w:sz w:val="20"/>
          <w:szCs w:val="20"/>
          <w:color w:val="auto"/>
        </w:rPr>
      </w:pPr>
      <w:r>
        <w:rPr>
          <w:rFonts w:ascii="Arial" w:cs="Arial" w:eastAsia="Arial" w:hAnsi="Arial"/>
          <w:sz w:val="18"/>
          <w:szCs w:val="18"/>
          <w:color w:val="auto"/>
        </w:rPr>
        <w:t>Upon the closing of the Company's initial public offering in December 2020 (the "IPO"), all outstanding shares of redeemable convertible preferred stock automatically converted into 11,575,984 shares of common stock. Subsequent to the closing of the IPO, there were no shares of redeemable convertible preferred stock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 On Public Offering</w:t>
      </w:r>
    </w:p>
    <w:p>
      <w:pPr>
        <w:spacing w:after="0" w:line="126" w:lineRule="exact"/>
        <w:rPr>
          <w:sz w:val="20"/>
          <w:szCs w:val="20"/>
          <w:color w:val="auto"/>
        </w:rPr>
      </w:pPr>
    </w:p>
    <w:p>
      <w:pPr>
        <w:jc w:val="both"/>
        <w:ind w:right="60" w:firstLine="636"/>
        <w:spacing w:after="0" w:line="238" w:lineRule="auto"/>
        <w:rPr>
          <w:sz w:val="20"/>
          <w:szCs w:val="20"/>
          <w:color w:val="auto"/>
        </w:rPr>
      </w:pPr>
      <w:r>
        <w:rPr>
          <w:rFonts w:ascii="Arial" w:cs="Arial" w:eastAsia="Arial" w:hAnsi="Arial"/>
          <w:sz w:val="18"/>
          <w:szCs w:val="18"/>
          <w:color w:val="auto"/>
        </w:rPr>
        <w:t>In November 2021, the Company completed its second underwritten public offering ("Follow-on Offering") in which 4,750,000 shares of the Company's common stock were sold at an offering price of $25.00 per share pursuant to an effective Registration Statement on Form S-1. The net proceeds from the Follow-on Offering were $111.1 million, after deducting underwriting discounts and commissions and offering expenses.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39" w:lineRule="exact"/>
        <w:rPr>
          <w:sz w:val="20"/>
          <w:szCs w:val="20"/>
          <w:color w:val="auto"/>
        </w:rPr>
      </w:pPr>
    </w:p>
    <w:p>
      <w:pPr>
        <w:ind w:right="80" w:firstLine="644"/>
        <w:spacing w:after="0" w:line="236" w:lineRule="auto"/>
        <w:rPr>
          <w:sz w:val="20"/>
          <w:szCs w:val="20"/>
          <w:color w:val="auto"/>
        </w:rPr>
      </w:pPr>
      <w:r>
        <w:rPr>
          <w:rFonts w:ascii="Arial" w:cs="Arial" w:eastAsia="Arial" w:hAnsi="Arial"/>
          <w:sz w:val="18"/>
          <w:szCs w:val="18"/>
          <w:color w:val="auto"/>
        </w:rPr>
        <w:t>The Company has incurred significant losses and negative cash flows from operations and had an accumulated deficit of $207.0 million as of December 31, 2021. The Company believes that its cash and cash equivalents and marketable securities as of December 31, 2021 are sufficient for the Company to fund planned operations for at least one year from the issuance date of these financial statements for the year ended December 31, 2021. The Company has historically financed its operations primarily through the sale of equity securities, and to a lesser extent, from cash received pursuant to its collaboration and license agreements. To date, none of the Company’s product candidates have been approved for sale, and therefore, the Company has not generated any revenue from product sales. Management expects operating losses and negative cash flows from operations to continue for the foreseeable future. The Company plans to raise additional funding as required based on the status of its clinical trials and projected cash flows. There can be no assurance that, in the event the Company requires additional financing, such financing will be available on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9" w:name="page150"/>
    <w:bookmarkEnd w:id="149"/>
    <w:p>
      <w:pPr>
        <w:ind w:right="7260" w:firstLine="8"/>
        <w:spacing w:after="0" w:line="372" w:lineRule="auto"/>
        <w:tabs>
          <w:tab w:leader="none" w:pos="2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right="540" w:firstLine="636"/>
        <w:spacing w:after="0" w:line="246"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Judgements</w:t>
      </w:r>
    </w:p>
    <w:p>
      <w:pPr>
        <w:spacing w:after="0" w:line="126"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judgements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as well as estimates of the fair value of common stock (prior to the IPO), stock options and derivative instruments and income tax uncertainties. Actual results could differ from those estimates.</w:t>
      </w:r>
    </w:p>
    <w:p>
      <w:pPr>
        <w:spacing w:after="0" w:line="202"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Due to the coronavirus (“COVID-19”) pandemic,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December 31, 2021. While there was not a material impact to the Company’s financial statements as of December 31, 2021, these estimates may change, as new events occur and additional information is obtained, as well as other factors related to the COVID-19 pandemic that could result in material impacts to the financial statements in future reporting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company-wide basis for purposes of allocating resources and assessing financial performance.</w:t>
      </w:r>
    </w:p>
    <w:p>
      <w:pPr>
        <w:spacing w:after="0" w:line="203" w:lineRule="exact"/>
        <w:rPr>
          <w:sz w:val="20"/>
          <w:szCs w:val="20"/>
          <w:color w:val="auto"/>
        </w:rPr>
      </w:pPr>
    </w:p>
    <w:p>
      <w:pPr>
        <w:ind w:right="560" w:firstLine="636"/>
        <w:spacing w:after="0" w:line="246" w:lineRule="auto"/>
        <w:rPr>
          <w:sz w:val="20"/>
          <w:szCs w:val="20"/>
          <w:color w:val="auto"/>
        </w:rPr>
      </w:pPr>
      <w:r>
        <w:rPr>
          <w:rFonts w:ascii="Arial" w:cs="Arial" w:eastAsia="Arial" w:hAnsi="Arial"/>
          <w:sz w:val="18"/>
          <w:szCs w:val="18"/>
          <w:color w:val="auto"/>
        </w:rPr>
        <w:t>As of and for the years ended December 31, 2021 and 2020, all of the Company’s long-lived assets were located in the United States and all revenue was earned in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6"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marketable securities and accounts receivable. The Company’s cash is held at two financial institutions in the United States of America. The Company’s cash equivalents are invested in money market funds. The Company also invests in U.S. Treasuries, commercial paper and corporate bonds. The Company has not experienced any losses on its deposits of cash and cash equivalents. Such deposits may, at times, exceed federally insured limits.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partners in collaboration and license agreements who represent 10% or more of the Company’s total revenue are as</w:t>
      </w:r>
    </w:p>
    <w:p>
      <w:pPr>
        <w:spacing w:after="0"/>
        <w:rPr>
          <w:sz w:val="20"/>
          <w:szCs w:val="20"/>
          <w:color w:val="auto"/>
        </w:rPr>
      </w:pPr>
      <w:r>
        <w:rPr>
          <w:rFonts w:ascii="Arial" w:cs="Arial" w:eastAsia="Arial" w:hAnsi="Arial"/>
          <w:sz w:val="18"/>
          <w:szCs w:val="18"/>
          <w:color w:val="auto"/>
        </w:rPr>
        <w:t>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34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8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A</w:t>
            </w:r>
          </w:p>
        </w:tc>
        <w:tc>
          <w:tcPr>
            <w:tcW w:w="16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95%</w:t>
            </w:r>
          </w:p>
        </w:tc>
        <w:tc>
          <w:tcPr>
            <w:tcW w:w="18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95%</w:t>
            </w:r>
          </w:p>
        </w:tc>
        <w:tc>
          <w:tcPr>
            <w:tcW w:w="1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Customer B</w:t>
            </w: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c>
          <w:tcPr>
            <w:tcW w:w="1800" w:type="dxa"/>
            <w:vAlign w:val="bottom"/>
            <w:gridSpan w:val="2"/>
          </w:tcPr>
          <w:p>
            <w:pPr>
              <w:jc w:val="center"/>
              <w:ind w:left="99"/>
              <w:spacing w:after="0" w:line="202" w:lineRule="exact"/>
              <w:rPr>
                <w:sz w:val="20"/>
                <w:szCs w:val="20"/>
                <w:color w:val="auto"/>
              </w:rPr>
            </w:pPr>
            <w:r>
              <w:rPr>
                <w:rFonts w:ascii="Arial" w:cs="Arial" w:eastAsia="Arial" w:hAnsi="Arial"/>
                <w:sz w:val="18"/>
                <w:szCs w:val="18"/>
                <w:color w:val="auto"/>
                <w:w w:val="84"/>
              </w:rPr>
              <w:t>*</w:t>
            </w:r>
          </w:p>
        </w:tc>
        <w:tc>
          <w:tcPr>
            <w:tcW w:w="18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95%</w:t>
            </w:r>
          </w:p>
        </w:tc>
        <w:tc>
          <w:tcPr>
            <w:tcW w:w="1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95%</w:t>
            </w:r>
          </w:p>
        </w:tc>
        <w:tc>
          <w:tcPr>
            <w:tcW w:w="1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117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117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23742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50" w:name="page151"/>
    <w:bookmarkEnd w:id="150"/>
    <w:p>
      <w:pPr>
        <w:ind w:right="540" w:firstLine="636"/>
        <w:spacing w:after="0" w:line="24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accounts receivable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20" w:type="dxa"/>
            <w:vAlign w:val="bottom"/>
          </w:tcPr>
          <w:p>
            <w:pPr>
              <w:spacing w:after="0"/>
              <w:rPr>
                <w:sz w:val="17"/>
                <w:szCs w:val="17"/>
                <w:color w:val="auto"/>
              </w:rPr>
            </w:pPr>
          </w:p>
        </w:tc>
        <w:tc>
          <w:tcPr>
            <w:tcW w:w="1180" w:type="dxa"/>
            <w:vAlign w:val="bottom"/>
          </w:tcPr>
          <w:p>
            <w:pPr>
              <w:jc w:val="center"/>
              <w:ind w:left="415"/>
              <w:spacing w:after="0"/>
              <w:rPr>
                <w:sz w:val="20"/>
                <w:szCs w:val="20"/>
                <w:color w:val="auto"/>
              </w:rPr>
            </w:pPr>
            <w:r>
              <w:rPr>
                <w:rFonts w:ascii="Arial" w:cs="Arial" w:eastAsia="Arial" w:hAnsi="Arial"/>
                <w:sz w:val="14"/>
                <w:szCs w:val="14"/>
                <w:b w:val="1"/>
                <w:bCs w:val="1"/>
                <w:color w:val="auto"/>
              </w:rPr>
              <w:t>2021</w:t>
            </w:r>
          </w:p>
        </w:tc>
        <w:tc>
          <w:tcPr>
            <w:tcW w:w="23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rPr>
              <w:t>2020</w:t>
            </w: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A</w:t>
            </w:r>
          </w:p>
        </w:tc>
        <w:tc>
          <w:tcPr>
            <w:tcW w:w="1180" w:type="dxa"/>
            <w:vAlign w:val="bottom"/>
            <w:tcBorders>
              <w:top w:val="single" w:sz="8" w:color="auto"/>
            </w:tcBorders>
            <w:shd w:val="clear" w:color="auto" w:fill="CFF0FC"/>
          </w:tcPr>
          <w:p>
            <w:pPr>
              <w:jc w:val="center"/>
              <w:ind w:left="435"/>
              <w:spacing w:after="0" w:line="196" w:lineRule="exact"/>
              <w:rPr>
                <w:sz w:val="20"/>
                <w:szCs w:val="20"/>
                <w:color w:val="auto"/>
              </w:rPr>
            </w:pPr>
            <w:r>
              <w:rPr>
                <w:rFonts w:ascii="Arial" w:cs="Arial" w:eastAsia="Arial" w:hAnsi="Arial"/>
                <w:sz w:val="18"/>
                <w:szCs w:val="18"/>
                <w:color w:val="auto"/>
                <w:w w:val="99"/>
              </w:rPr>
              <w:t>100%</w:t>
            </w:r>
          </w:p>
        </w:tc>
        <w:tc>
          <w:tcPr>
            <w:tcW w:w="5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74%</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Customer B</w:t>
            </w:r>
          </w:p>
        </w:tc>
        <w:tc>
          <w:tcPr>
            <w:tcW w:w="1180" w:type="dxa"/>
            <w:vAlign w:val="bottom"/>
          </w:tcPr>
          <w:p>
            <w:pPr>
              <w:jc w:val="center"/>
              <w:ind w:left="435"/>
              <w:spacing w:after="0" w:line="202" w:lineRule="exact"/>
              <w:rPr>
                <w:sz w:val="20"/>
                <w:szCs w:val="20"/>
                <w:color w:val="auto"/>
              </w:rPr>
            </w:pPr>
            <w:r>
              <w:rPr>
                <w:rFonts w:ascii="Arial" w:cs="Arial" w:eastAsia="Arial" w:hAnsi="Arial"/>
                <w:sz w:val="18"/>
                <w:szCs w:val="18"/>
                <w:color w:val="auto"/>
                <w:w w:val="99"/>
              </w:rPr>
              <w:t>0%</w:t>
            </w:r>
          </w:p>
        </w:tc>
        <w:tc>
          <w:tcPr>
            <w:tcW w:w="2340" w:type="dxa"/>
            <w:vAlign w:val="bottom"/>
            <w:gridSpan w:val="3"/>
          </w:tcPr>
          <w:p>
            <w:pPr>
              <w:jc w:val="center"/>
              <w:ind w:left="582"/>
              <w:spacing w:after="0" w:line="202" w:lineRule="exact"/>
              <w:rPr>
                <w:sz w:val="20"/>
                <w:szCs w:val="20"/>
                <w:color w:val="auto"/>
              </w:rPr>
            </w:pPr>
            <w:r>
              <w:rPr>
                <w:rFonts w:ascii="Arial" w:cs="Arial" w:eastAsia="Arial" w:hAnsi="Arial"/>
                <w:sz w:val="18"/>
                <w:szCs w:val="18"/>
                <w:color w:val="auto"/>
                <w:w w:val="99"/>
              </w:rPr>
              <w:t>26%</w:t>
            </w:r>
          </w:p>
        </w:tc>
      </w:tr>
      <w:tr>
        <w:trPr>
          <w:trHeight w:val="236"/>
        </w:trPr>
        <w:tc>
          <w:tcPr>
            <w:tcW w:w="77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FF0FC"/>
          </w:tcPr>
          <w:p>
            <w:pPr>
              <w:jc w:val="center"/>
              <w:ind w:left="435"/>
              <w:spacing w:after="0" w:line="196" w:lineRule="exact"/>
              <w:rPr>
                <w:sz w:val="20"/>
                <w:szCs w:val="20"/>
                <w:color w:val="auto"/>
              </w:rPr>
            </w:pPr>
            <w:r>
              <w:rPr>
                <w:rFonts w:ascii="Arial" w:cs="Arial" w:eastAsia="Arial" w:hAnsi="Arial"/>
                <w:sz w:val="18"/>
                <w:szCs w:val="18"/>
                <w:color w:val="auto"/>
                <w:w w:val="99"/>
              </w:rPr>
              <w:t>100%</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total revenues by geographic region, based on the location of the customer,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7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Netherlands</w:t>
            </w:r>
          </w:p>
        </w:tc>
        <w:tc>
          <w:tcPr>
            <w:tcW w:w="1000" w:type="dxa"/>
            <w:vAlign w:val="bottom"/>
            <w:tcBorders>
              <w:top w:val="single" w:sz="8" w:color="auto"/>
            </w:tcBorders>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736</w:t>
            </w:r>
          </w:p>
        </w:tc>
        <w:tc>
          <w:tcPr>
            <w:tcW w:w="1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Switzerland</w:t>
            </w:r>
          </w:p>
        </w:tc>
        <w:tc>
          <w:tcPr>
            <w:tcW w:w="100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17,181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12,897</w:t>
            </w:r>
          </w:p>
        </w:tc>
        <w:tc>
          <w:tcPr>
            <w:tcW w:w="18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121</w:t>
            </w:r>
          </w:p>
        </w:tc>
        <w:tc>
          <w:tcPr>
            <w:tcW w:w="1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80"/>
              <w:spacing w:after="0" w:line="196" w:lineRule="exact"/>
              <w:rPr>
                <w:sz w:val="20"/>
                <w:szCs w:val="20"/>
                <w:color w:val="auto"/>
              </w:rPr>
            </w:pPr>
            <w:r>
              <w:rPr>
                <w:rFonts w:ascii="Arial" w:cs="Arial" w:eastAsia="Arial" w:hAnsi="Arial"/>
                <w:sz w:val="18"/>
                <w:szCs w:val="18"/>
                <w:color w:val="auto"/>
              </w:rPr>
              <w:t>Total revenue</w:t>
            </w:r>
          </w:p>
        </w:tc>
        <w:tc>
          <w:tcPr>
            <w:tcW w:w="1000" w:type="dxa"/>
            <w:vAlign w:val="bottom"/>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18,038</w:t>
            </w:r>
          </w:p>
        </w:tc>
        <w:tc>
          <w:tcPr>
            <w:tcW w:w="1160" w:type="dxa"/>
            <w:vAlign w:val="bottom"/>
            <w:gridSpan w:val="2"/>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13,612</w:t>
            </w:r>
          </w:p>
        </w:tc>
        <w:tc>
          <w:tcPr>
            <w:tcW w:w="18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-159385</wp:posOffset>
            </wp:positionV>
            <wp:extent cx="11112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-159385</wp:posOffset>
            </wp:positionV>
            <wp:extent cx="11176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6" w:lineRule="exact"/>
        <w:rPr>
          <w:sz w:val="20"/>
          <w:szCs w:val="20"/>
          <w:color w:val="auto"/>
        </w:rPr>
      </w:pPr>
    </w:p>
    <w:p>
      <w:pPr>
        <w:ind w:right="360" w:firstLine="636"/>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of money market funds.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6" w:lineRule="exact"/>
        <w:rPr>
          <w:sz w:val="20"/>
          <w:szCs w:val="20"/>
          <w:color w:val="auto"/>
        </w:rPr>
      </w:pPr>
    </w:p>
    <w:p>
      <w:pPr>
        <w:ind w:right="100" w:firstLine="644"/>
        <w:spacing w:after="0" w:line="237" w:lineRule="auto"/>
        <w:rPr>
          <w:sz w:val="20"/>
          <w:szCs w:val="20"/>
          <w:color w:val="auto"/>
        </w:rPr>
      </w:pPr>
      <w:r>
        <w:rPr>
          <w:rFonts w:ascii="Arial" w:cs="Arial" w:eastAsia="Arial" w:hAnsi="Arial"/>
          <w:sz w:val="18"/>
          <w:szCs w:val="18"/>
          <w:color w:val="auto"/>
        </w:rPr>
        <w:t>Marketable securities consist of commercial paper, corporate bonds and U.S. Treasuries and are included in current and noncurrent assets. The Company classifies its marketable securities as available-for-sale and carries them at fair value on its balance sheet. Fair value is estimated using independent pricing sources based on quoted prices in active markets for similar securities. Unrealized gains and losses on the marketable securities are reported as a component of stockholders' equity (deficit) in accumulated other comprehensive loss. The amortized cost of marketable securities is adjusted for amortization of premiums and accretion of discounts to maturity, which is included in interest income on the statements of operations. Realized gains and losses are included in interest income on the statements of operations.</w:t>
      </w:r>
    </w:p>
    <w:p>
      <w:pPr>
        <w:spacing w:after="0" w:line="205" w:lineRule="exact"/>
        <w:rPr>
          <w:sz w:val="20"/>
          <w:szCs w:val="20"/>
          <w:color w:val="auto"/>
        </w:rPr>
      </w:pPr>
    </w:p>
    <w:p>
      <w:pPr>
        <w:ind w:right="160" w:firstLine="644"/>
        <w:spacing w:after="0" w:line="238" w:lineRule="auto"/>
        <w:rPr>
          <w:sz w:val="20"/>
          <w:szCs w:val="20"/>
          <w:color w:val="auto"/>
        </w:rPr>
      </w:pPr>
      <w:r>
        <w:rPr>
          <w:rFonts w:ascii="Arial" w:cs="Arial" w:eastAsia="Arial" w:hAnsi="Arial"/>
          <w:sz w:val="18"/>
          <w:szCs w:val="18"/>
          <w:color w:val="auto"/>
        </w:rPr>
        <w:t>The Company periodically evaluates its marketable securities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2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1" w:name="page152"/>
    <w:bookmarkEnd w:id="151"/>
    <w:p>
      <w:pPr>
        <w:ind w:firstLine="636"/>
        <w:spacing w:after="0" w:line="237" w:lineRule="auto"/>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spacing w:after="0" w:line="203"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The extent of the impact of the COVID-19 pandemic on the Company’s business will depend upon the duration and spread of the outbreak and the extent and severity of the impact on the Company’s clinical trial activities, research activities and suppliers, all of which are uncertain and cannot be predicted. The extent to which the coronavirus outbreak may materially impact the Company’s financial condition, liquidity or results of operations is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on the measurement date. As such, fair value is a market-based measurement that should be determined based on assumptions that market participants would use in pricing an asset or liability.</w:t>
      </w:r>
    </w:p>
    <w:p>
      <w:pPr>
        <w:spacing w:after="0" w:line="202" w:lineRule="exact"/>
        <w:rPr>
          <w:sz w:val="20"/>
          <w:szCs w:val="20"/>
          <w:color w:val="auto"/>
        </w:rPr>
      </w:pPr>
    </w:p>
    <w:p>
      <w:pPr>
        <w:ind w:right="360" w:firstLine="636"/>
        <w:spacing w:after="0" w:line="246" w:lineRule="auto"/>
        <w:rPr>
          <w:sz w:val="20"/>
          <w:szCs w:val="20"/>
          <w:color w:val="auto"/>
        </w:rPr>
      </w:pPr>
      <w:r>
        <w:rPr>
          <w:rFonts w:ascii="Arial" w:cs="Arial" w:eastAsia="Arial" w:hAnsi="Arial"/>
          <w:sz w:val="18"/>
          <w:szCs w:val="18"/>
          <w:color w:val="auto"/>
        </w:rPr>
        <w:t>As a basis for considering such assumptions, a three-level fair value hierarchy has been established, which prioritizes the inputs used in measuring fair value as follows:</w:t>
      </w:r>
    </w:p>
    <w:p>
      <w:pPr>
        <w:spacing w:after="0" w:line="71" w:lineRule="exact"/>
        <w:rPr>
          <w:sz w:val="20"/>
          <w:szCs w:val="20"/>
          <w:color w:val="auto"/>
        </w:rPr>
      </w:pPr>
    </w:p>
    <w:p>
      <w:pPr>
        <w:ind w:left="900" w:right="180" w:hanging="256"/>
        <w:spacing w:after="0" w:line="26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that reflect unadjusted quoted market prices in active markets for identical assets or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accessible at the measurement date.</w:t>
      </w:r>
    </w:p>
    <w:p>
      <w:pPr>
        <w:spacing w:after="0" w:line="52" w:lineRule="exact"/>
        <w:rPr>
          <w:rFonts w:ascii="Arial" w:cs="Arial" w:eastAsia="Arial" w:hAnsi="Arial"/>
          <w:sz w:val="18"/>
          <w:szCs w:val="18"/>
          <w:color w:val="auto"/>
        </w:rPr>
      </w:pPr>
    </w:p>
    <w:p>
      <w:pPr>
        <w:ind w:left="900" w:right="180" w:hanging="256"/>
        <w:spacing w:after="0" w:line="250"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quoted prices in markets that are not active; or other inputs that are observable or can be corroborated by observable market data for substantially the full term of the assets or liabilities.</w:t>
      </w:r>
    </w:p>
    <w:p>
      <w:pPr>
        <w:spacing w:after="0" w:line="68" w:lineRule="exact"/>
        <w:rPr>
          <w:rFonts w:ascii="Arial" w:cs="Arial" w:eastAsia="Arial" w:hAnsi="Arial"/>
          <w:sz w:val="18"/>
          <w:szCs w:val="18"/>
          <w:color w:val="auto"/>
        </w:rPr>
      </w:pPr>
    </w:p>
    <w:p>
      <w:pPr>
        <w:ind w:left="900" w:right="360" w:hanging="256"/>
        <w:spacing w:after="0" w:line="26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178" w:lineRule="exact"/>
        <w:rPr>
          <w:sz w:val="20"/>
          <w:szCs w:val="20"/>
          <w:color w:val="auto"/>
        </w:rPr>
      </w:pPr>
    </w:p>
    <w:p>
      <w:pPr>
        <w:ind w:right="280" w:firstLine="636"/>
        <w:spacing w:after="0" w:line="246" w:lineRule="auto"/>
        <w:rPr>
          <w:sz w:val="20"/>
          <w:szCs w:val="20"/>
          <w:color w:val="auto"/>
        </w:rPr>
      </w:pPr>
      <w:r>
        <w:rPr>
          <w:rFonts w:ascii="Arial" w:cs="Arial" w:eastAsia="Arial" w:hAnsi="Arial"/>
          <w:sz w:val="18"/>
          <w:szCs w:val="18"/>
          <w:color w:val="auto"/>
        </w:rPr>
        <w:t>The Company accounts for transfers of financial instruments between levels of the fair value hierarchy on the date of the event or change in circumstance that caused the transfer.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Receivable—Allowance for Doubtful Accounts</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regularly reviews accounts receivable for collectability and establishes an allowance for probable credit losses and writes off uncollectible accounts as necessary. The Company has determined that no allowance was required at December 31, 2021 and 2020. The Company did not have any write-offs relating to uncollectible accounts receivable during the years ended December 31, 2021 and 2020.</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right="140" w:firstLine="636"/>
        <w:spacing w:after="0" w:line="238"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ranging from three to five years. Leasehold improvements are amortized over the shorter of the useful life of the assets or the lease term. Upon sale or retirement of assets, the costs and related accumulated depreciation are removed from the balance sheet and the resulting gain or loss is reflected within operating expenses in the statements of operations. Maintenance and repairs are charged to expense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typically measured by the amount by which the carrying amount of the assets exceeds the projected discounted future net cash flows arising from the asset. There have been no such impairments of long-lived assets in the years ended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6" w:lineRule="exact"/>
        <w:rPr>
          <w:sz w:val="20"/>
          <w:szCs w:val="20"/>
          <w:color w:val="auto"/>
        </w:rPr>
      </w:pPr>
    </w:p>
    <w:p>
      <w:pPr>
        <w:ind w:right="200" w:firstLine="636"/>
        <w:spacing w:after="0" w:line="236" w:lineRule="auto"/>
        <w:rPr>
          <w:sz w:val="20"/>
          <w:szCs w:val="20"/>
          <w:color w:val="auto"/>
        </w:rPr>
      </w:pPr>
      <w:r>
        <w:rPr>
          <w:rFonts w:ascii="Arial" w:cs="Arial" w:eastAsia="Arial" w:hAnsi="Arial"/>
          <w:sz w:val="18"/>
          <w:szCs w:val="18"/>
          <w:color w:val="auto"/>
        </w:rPr>
        <w:t>The Company recorded all shares of redeemable convertible preferred stock at their respective fair values on the date of issuance, net of issuance costs. The redeemable convertible preferred stock was recorded outside of permanent equity because while it was not mandatorily redeemable, in certain events considered not solely within the Company's control, such as a merger or consolidation, sale, lease, or license of substantially all of the Company's assets (each, a "deemed liquidation event"), the convertible preferred stock would become redeemable at the option of the holders of a majority of the outstanding series of redeemable convertible preferred stock. The Company did not adjust the carrying values of the redeemable convertible preferred stock to the liquidation preference of such shares because a deemed liquidation event obligating the Company to pay the liquidation preference did not occur. All outstanding shares of the redeemable convertible preferred stock converted into common stock upon the close of the IPO in December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6"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 Company accounts for common stock warrants which meet the definition of a derivative as liabilities if the warrant requires net cash settlement or gives the holder the option of net cash settlement. The Company accounts for common stock warrants as equity if the contract requires physical settlement or net physical settlement or if the Company has the option of physical settlement or net physical settlement. Common stock warrants classified as liabilities are initially recorded at fair value and remeasured at fair value each balance sheet date with the offset adjustments recorded in other income (expense), net within the statements of operations. Common stock warrants classified as equity are initially measured at fair value on the grant date and are not subsequently remeasured.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On December 31, 2021, the Company adopted Accounting Standards Update (“ASU”) No. 2016-02, Leases (Topic 842), ("ASC 842") using the alternative modified retrospective approach effective as of January 1, 2021 to recognize a cumulative-effect adjustment on the effective date and to not adjust financial information and disclosures required under the new lease standards for comparative prior periods.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has elected not to separate lease and non-lease components and not to recognize leases with an initial term of twelve months or less.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53" w:name="page154"/>
    <w:bookmarkEnd w:id="153"/>
    <w:p>
      <w:pPr>
        <w:ind w:firstLine="644"/>
        <w:spacing w:after="0" w:line="257" w:lineRule="auto"/>
        <w:rPr>
          <w:sz w:val="20"/>
          <w:szCs w:val="20"/>
          <w:color w:val="auto"/>
        </w:rPr>
      </w:pPr>
      <w:r>
        <w:rPr>
          <w:rFonts w:ascii="Arial" w:cs="Arial" w:eastAsia="Arial" w:hAnsi="Arial"/>
          <w:sz w:val="17"/>
          <w:szCs w:val="17"/>
          <w:color w:val="auto"/>
        </w:rPr>
        <w:t>Under ASC 842, at contract inception, the Company determines if an arrangement is or contains a lease. A contract is or contains a lease if the contract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w:t>
      </w:r>
    </w:p>
    <w:p>
      <w:pPr>
        <w:spacing w:after="0" w:line="189"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Operating lease right-of-use assets represent the Company's right to use an underlying asset for the lease term and operating lease liabilities represent the Company's obligation to make payments arising from the lease. Operating right-of-use assets and liabilities are recognized at the commencement date of the lease and are measured at the present value of the fixed payments due over the expected lease term less the present value of any incentives, rebates, or abatements the Company expects to receive from the lessor. The Company records amortization of operating right-of-use assets and accretion of lease liabilities as a single lease cost on a straight-line basis over the lease term. No lease renewal options are recognized as part of the right-of-use assets and lease liabilities.</w:t>
      </w:r>
    </w:p>
    <w:p>
      <w:pPr>
        <w:spacing w:after="0" w:line="208"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The Company's operating leases are presented in the balance sheet as operating lease right-of-use assets, classified as noncurrent assets, and operating lease liabilities, classified as current and noncurrent based on the discounted lease payments to be made within the proceeding twelve months.</w:t>
      </w:r>
    </w:p>
    <w:p>
      <w:pPr>
        <w:spacing w:after="0" w:line="203"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As the Company’s leases do not provide an implicit rate , the Company uses its incremental borrowing rate to discount lease payments. The incremental borrowing rate represents an estimated rate of interest that the Company would have to pay to borrow equivalent funds on a collateralized basis at the lease commencement date.</w:t>
      </w:r>
    </w:p>
    <w:p>
      <w:pPr>
        <w:spacing w:after="0" w:line="203" w:lineRule="exact"/>
        <w:rPr>
          <w:sz w:val="20"/>
          <w:szCs w:val="20"/>
          <w:color w:val="auto"/>
        </w:rPr>
      </w:pPr>
    </w:p>
    <w:p>
      <w:pPr>
        <w:ind w:right="40" w:firstLine="644"/>
        <w:spacing w:after="0" w:line="237" w:lineRule="auto"/>
        <w:rPr>
          <w:sz w:val="20"/>
          <w:szCs w:val="20"/>
          <w:color w:val="auto"/>
        </w:rPr>
      </w:pPr>
      <w:r>
        <w:rPr>
          <w:rFonts w:ascii="Arial" w:cs="Arial" w:eastAsia="Arial" w:hAnsi="Arial"/>
          <w:sz w:val="18"/>
          <w:szCs w:val="18"/>
          <w:color w:val="auto"/>
        </w:rPr>
        <w:t>Upon adoption of the new lease standard effective January 1, 2021, the Company recognized operating lease right-of-use assets of $16.5 million, and current and noncurrent operating lease liabilities of $2.0 million and $16.1 million, respectively. In connection with the adoption of this standard, deferred rent of $1.0 million and lease incentive liability of $0.5 million, which were previously recorded in prepaid expenses and other current assets, accrued and other current liabilities and other liabilities on the balance sheet as of December 31, 2020, were derecognized. The adoption of the standard did not have an impact on the Company's statements of operations or comprehensive loss, stockholders' equity or cash flows. The impact of adoption of the new lease standard as of January 1, 2021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2020</w:t>
            </w:r>
          </w:p>
        </w:tc>
        <w:tc>
          <w:tcPr>
            <w:tcW w:w="1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ASC 842 Adjustments</w:t>
            </w:r>
          </w:p>
        </w:tc>
        <w:tc>
          <w:tcPr>
            <w:tcW w:w="14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January 1, 2021</w:t>
            </w:r>
          </w:p>
        </w:tc>
      </w:tr>
      <w:tr>
        <w:trPr>
          <w:trHeight w:val="196"/>
        </w:trPr>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right-of-use assets</w:t>
            </w:r>
          </w:p>
        </w:tc>
        <w:tc>
          <w:tcPr>
            <w:tcW w:w="15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359"/>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16,537</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16,537</w:t>
            </w:r>
          </w:p>
        </w:tc>
        <w:tc>
          <w:tcPr>
            <w:tcW w:w="10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4,444</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(214 )</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4,230</w:t>
            </w:r>
          </w:p>
        </w:tc>
        <w:tc>
          <w:tcPr>
            <w:tcW w:w="100" w:type="dxa"/>
            <w:vAlign w:val="bottom"/>
          </w:tcPr>
          <w:p>
            <w:pPr>
              <w:spacing w:after="0"/>
              <w:rPr>
                <w:sz w:val="17"/>
                <w:szCs w:val="17"/>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and other current liabilities</w:t>
            </w:r>
          </w:p>
        </w:tc>
        <w:tc>
          <w:tcPr>
            <w:tcW w:w="1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(8,371 )</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(8,303 )</w:t>
            </w: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(1,852 )</w:t>
            </w: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1,696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(156 )</w:t>
            </w: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current</w:t>
            </w:r>
          </w:p>
        </w:tc>
        <w:tc>
          <w:tcPr>
            <w:tcW w:w="1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(2,029 )</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(2,029 )</w:t>
            </w:r>
          </w:p>
        </w:tc>
      </w:tr>
      <w:tr>
        <w:trPr>
          <w:trHeight w:val="217"/>
        </w:trPr>
        <w:tc>
          <w:tcPr>
            <w:tcW w:w="4440" w:type="dxa"/>
            <w:vAlign w:val="bottom"/>
          </w:tcPr>
          <w:p>
            <w:pPr>
              <w:ind w:left="20"/>
              <w:spacing w:after="0"/>
              <w:rPr>
                <w:sz w:val="20"/>
                <w:szCs w:val="20"/>
                <w:color w:val="auto"/>
              </w:rPr>
            </w:pPr>
            <w:r>
              <w:rPr>
                <w:rFonts w:ascii="Arial" w:cs="Arial" w:eastAsia="Arial" w:hAnsi="Arial"/>
                <w:sz w:val="18"/>
                <w:szCs w:val="18"/>
                <w:color w:val="auto"/>
              </w:rPr>
              <w:t>Operating lease liabilities, long-term</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(16,058 )</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(16,058 )</w:t>
            </w:r>
          </w:p>
        </w:tc>
      </w:tr>
      <w:tr>
        <w:trPr>
          <w:trHeight w:val="620"/>
        </w:trPr>
        <w:tc>
          <w:tcPr>
            <w:tcW w:w="4440" w:type="dxa"/>
            <w:vAlign w:val="bottom"/>
          </w:tcPr>
          <w:p>
            <w:pPr>
              <w:spacing w:after="0"/>
              <w:rPr>
                <w:sz w:val="24"/>
                <w:szCs w:val="24"/>
                <w:color w:val="auto"/>
              </w:rPr>
            </w:pP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F-12</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ind w:right="20" w:firstLine="636"/>
        <w:spacing w:after="0" w:line="248" w:lineRule="auto"/>
        <w:rPr>
          <w:sz w:val="20"/>
          <w:szCs w:val="20"/>
          <w:color w:val="auto"/>
        </w:rPr>
      </w:pPr>
      <w:r>
        <w:rPr>
          <w:rFonts w:ascii="Arial" w:cs="Arial" w:eastAsia="Arial" w:hAnsi="Arial"/>
          <w:sz w:val="17"/>
          <w:szCs w:val="17"/>
          <w:color w:val="auto"/>
        </w:rPr>
        <w:t>The Company determines revenue recognition for arrangements within the scope of Accounting Standards Update 2014-09, Revenue from Contracts with Customers (Topic 606)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2" w:lineRule="exact"/>
        <w:rPr>
          <w:sz w:val="20"/>
          <w:szCs w:val="20"/>
          <w:color w:val="auto"/>
        </w:rPr>
      </w:pPr>
    </w:p>
    <w:p>
      <w:pPr>
        <w:ind w:right="140" w:firstLine="8"/>
        <w:spacing w:after="0" w:line="246" w:lineRule="auto"/>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based on estimated selling prices; and (v) recognition of revenue when (or as) the Company satisfies each performance obligation.</w:t>
      </w:r>
    </w:p>
    <w:p>
      <w:pPr>
        <w:spacing w:after="0" w:line="19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The Company’s revenue is primarily derived through its license, research, development and commercialization agreements. The terms of these types of agreements may include (i) licenses to the Company’s technology,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are recognized as revenue as performance conditions are met. The event-based milestone payments, royalties and cost reimbursements represent variable consideration, and the Company uses the most likely amount method to estimate this variable consideration. Royalty payments are recognized when earned or as the sales occur. The Company records cost reimbursements as accounts receivable when right to consideration is unconditional.</w:t>
      </w:r>
    </w:p>
    <w:p>
      <w:pPr>
        <w:spacing w:after="0" w:line="206"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Company allocates the total transaction price to each performance obligation based on the estimated standalone selling price and recognizes revenue when, or as, the performance obligation is satisfied. The Company includes the unconstrained amount of estimated variable consideration in the transaction price. At the end of each reporting period, the Company re-evaluates the estimated variable consideration included in the transaction price and any related constraint, and if necessary, adjusts its estimate of the overall transaction price.</w:t>
      </w:r>
    </w:p>
    <w:p>
      <w:pPr>
        <w:spacing w:after="0" w:line="205" w:lineRule="exact"/>
        <w:rPr>
          <w:sz w:val="20"/>
          <w:szCs w:val="20"/>
          <w:color w:val="auto"/>
        </w:rPr>
      </w:pPr>
    </w:p>
    <w:p>
      <w:pPr>
        <w:ind w:right="400" w:firstLine="636"/>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6"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Costs related to research, design and development of programs are charged to research and development expense as incurred. Research and development costs include, but are not limited to, payroll and personnel expenses including stock-based compensation, materials, laboratory supplies, outside services and allocated overhead, including rent, insurance, repairs and maintenance, depreciation and utilities. The Company expenses all research and development costs in the period in which they are incurred.</w:t>
      </w:r>
    </w:p>
    <w:p>
      <w:pPr>
        <w:spacing w:after="0" w:line="205" w:lineRule="exact"/>
        <w:rPr>
          <w:sz w:val="20"/>
          <w:szCs w:val="20"/>
          <w:color w:val="auto"/>
        </w:rPr>
      </w:pPr>
    </w:p>
    <w:p>
      <w:pPr>
        <w:ind w:right="100" w:firstLine="636"/>
        <w:spacing w:after="0" w:line="246"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Accrued Research and Development</w:t>
      </w:r>
    </w:p>
    <w:p>
      <w:pPr>
        <w:spacing w:after="0" w:line="12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The Company has entered into various agreements with CROs and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balance sheet.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 xml:space="preserve">As of January 1, 2020, the Company adopted ASU 2018-07,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w:t>
      </w:r>
      <w:r>
        <w:rPr>
          <w:rFonts w:ascii="Arial" w:cs="Arial" w:eastAsia="Arial" w:hAnsi="Arial"/>
          <w:sz w:val="18"/>
          <w:szCs w:val="18"/>
          <w:color w:val="auto"/>
        </w:rPr>
        <w:t>, which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with the guidance for share-based payments to employees. As of January 1, 2020, the Company accounts for stock-based compensation for stock options granted to employees, directors and nonemployees as measured at grant date, based on the fair value of the award. The Company measures the fair value of awards granted using the Black-Scholes option pricing model and recognizes the expense in the statements of operations over the requisite service period, generally four years, using the straight-line method. Forfeitures are accounted for as they occur. The Company’s policy for issuing stock upon stock option exercise is to issue new common stock.</w:t>
      </w:r>
    </w:p>
    <w:p>
      <w:pPr>
        <w:spacing w:after="0" w:line="203"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Prior to the adoption of ASU 2018-07 on January 1, 2020, stock-based compensation expense related to stock options granted to nonemployees was recognized based on the vesting date fair value of options as the stock options were earned. The Company remeasured the stock-based compensation at each reporting period end with the resulting change in fair value being recognized in the statements of operations over the period the related services were rendered. The Company estimated the service period for the options based on the time that would be required to satisfy the service condition, assuming the service condition would be satisfied. Stock-based compensation expense was recognized over the estimated service period but was accelerated if the performance condition was achieved earlier than estimated.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2"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Embedded Derivative</w:t>
      </w:r>
    </w:p>
    <w:p>
      <w:pPr>
        <w:spacing w:after="0" w:line="126" w:lineRule="exact"/>
        <w:rPr>
          <w:sz w:val="20"/>
          <w:szCs w:val="20"/>
          <w:color w:val="auto"/>
        </w:rPr>
      </w:pPr>
    </w:p>
    <w:p>
      <w:pPr>
        <w:ind w:right="460" w:firstLine="636"/>
        <w:spacing w:after="0" w:line="238" w:lineRule="auto"/>
        <w:rPr>
          <w:sz w:val="20"/>
          <w:szCs w:val="20"/>
          <w:color w:val="auto"/>
        </w:rPr>
      </w:pPr>
      <w:r>
        <w:rPr>
          <w:rFonts w:ascii="Arial" w:cs="Arial" w:eastAsia="Arial" w:hAnsi="Arial"/>
          <w:sz w:val="18"/>
          <w:szCs w:val="18"/>
          <w:color w:val="auto"/>
        </w:rPr>
        <w:t>Embedded derivatives that are required to be bifurcated from the underlying host instrument are accounted for and valued as a separate financial instrument. An embedded derivative exists in the award agreement with the Cystic Fibrosis Foundation (“CFF”). As described in Note 16, the embedded derivative has been bifurcated and is classified as a liability on the balance sheet and separately accounted for at its fair value. The derivative liability is subject to remeasurement to fair value each reporting period. Changes in the fair value of the derivative liability are recognized as a component of other income (expense), net within the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6" w:lineRule="exact"/>
        <w:rPr>
          <w:sz w:val="20"/>
          <w:szCs w:val="20"/>
          <w:color w:val="auto"/>
        </w:rPr>
      </w:pPr>
    </w:p>
    <w:p>
      <w:pPr>
        <w:ind w:right="320" w:firstLine="636"/>
        <w:spacing w:after="0" w:line="238"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in-process financings, until such financings are consummated. After consummation of the financing, these costs are recorded as a reduction of the proceeds received as a result of the offering. In the event that a planned offering does not occur or is significantly delayed, all related deferred offering costs will be expensed immediately within the Company’s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Basic and Diluted</w:t>
      </w:r>
    </w:p>
    <w:p>
      <w:pPr>
        <w:spacing w:after="0" w:line="126"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calculates basic and diluted net loss per share in conformity with the two-class method required for companies with participating securities. The Company considers all series of redeemable convertible preferred stock to be participating securities as the holders are entitled to receive non-cumulative dividends on a pari passu basis in the event the dividend is paid on common shares. Under the two-class method, the net loss is not allocated to the redeemable convertible preferred stock as the holders of redeemable convertible preferred stock do not have a contractual obligation to share in losses.</w:t>
      </w:r>
    </w:p>
    <w:p>
      <w:pPr>
        <w:spacing w:after="0" w:line="202" w:lineRule="exact"/>
        <w:rPr>
          <w:sz w:val="20"/>
          <w:szCs w:val="20"/>
          <w:color w:val="auto"/>
        </w:rPr>
      </w:pPr>
    </w:p>
    <w:p>
      <w:pPr>
        <w:ind w:right="140" w:firstLine="636"/>
        <w:spacing w:after="0" w:line="238"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during the period, less shares subject to repurchase. Diluted net loss per share is computed by giving effect to all potentially dilutive common shares outstanding for the period. For purposes of this calculation, redeemable convertible preferred shares, stock options to acquire shares of common stock, common stock warrants, and unvested common stock subject to repurchase, are considered potentially dilutive common shares, but have been excluded from the calculation of diluted net loss per share as their effect is antidilutive.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122"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 xml:space="preserve">In June 2018, the Financial Accounting Standards Board ("FASB") issued Accounting Standards Update ("ASU") No. 2018-07, </w:t>
      </w:r>
      <w:r>
        <w:rPr>
          <w:rFonts w:ascii="Arial" w:cs="Arial" w:eastAsia="Arial" w:hAnsi="Arial"/>
          <w:sz w:val="18"/>
          <w:szCs w:val="18"/>
          <w:i w:val="1"/>
          <w:iCs w:val="1"/>
          <w:color w:val="auto"/>
        </w:rPr>
        <w:t xml:space="preserve">Compensation-Stock Compensation (Topic 718): Improvements to Nonemployee Share-Based Payment Accounting. </w:t>
      </w:r>
      <w:r>
        <w:rPr>
          <w:rFonts w:ascii="Arial" w:cs="Arial" w:eastAsia="Arial" w:hAnsi="Arial"/>
          <w:sz w:val="18"/>
          <w:szCs w:val="18"/>
          <w:color w:val="auto"/>
        </w:rPr>
        <w:t>This ASU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classification guidance for share-based payments to nonemployees with the guidance for share-based payment to employees. Under this ASU, the measurement of equity-classified nonemployee awards is fixed at the grant date, which may lower their cost and reduce volatility in the statements of operations. The transition method provided by this ASU is on a modified retrospective basis, which recognizes a cumulative-effect adjustment to the opening balance of retained earnings in the period of adoption. This ASU is effective for fiscal years beginning after December 15, 2019, and interim periods within fiscal years beginning after December 15, 2020, with early adoption permitted, but no earlier than a company's adoption date of ASC 606. The Company adopted this guidance effective January 1, 2020 using the modified retrospective method. The Company recorded a less than $0.1 million cumulative-effect adjustment reflected as a decrease to the opening balance of accumulated deficit and a decrease to additional paid-in capital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57" w:name="page158"/>
    <w:bookmarkEnd w:id="157"/>
    <w:p>
      <w:pPr>
        <w:ind w:right="60" w:firstLine="644"/>
        <w:spacing w:after="0" w:line="239"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This ASU clarifies that certain transactions between participants in a collaborative arrangement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ASC 606, Revenue from Contracts with Customers, when the counterparty is a customer. This ASU also precludes an entity from presenting consideration received from a transaction as revenue from contracts with customers if the counterparty is not a customer for that transaction. This ASU is effective for fiscal years beginning after December 15, 2020, and interim periods within fiscal years beginning after December 15, 2021. Early adoption is permitted for entities that have adopted ASC 606, Revenue from Contracts with Customers. The Company adopted this ASU on January 1, 2021. The adoption of this ASU did not result in a material impact on the Company’s financial statements and related disclosures.</w:t>
      </w:r>
    </w:p>
    <w:p>
      <w:pPr>
        <w:spacing w:after="0" w:line="187"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ASU affects general principles within Topic 740 and is meant to simplify the accounting for income taxes by removing certain exceptions to the general framework. The ASU adds guidance to reduce complexity in certain areas, including recognizing a franchise (or similar) tax that is partially based on income as an income-based tax and incremental amounts incurred as a non-income-based tax and recognizing deferred taxes for tax goodwill. ASU 2019-12 also created an exception to the incremental approach for intraperiod tax allocation when there is a loss from continuing operations and income or a gain from other items (for example, other comprehensive income). The amendments in ASU 2019-12 are effective for the Company for fiscal years beginning after December 15, 2021, and interim periods within fiscal years beginning after December 15, 2022. Early adoption of the amendments is permitted. The Company adopted ASU 2019-12 effective January 1, 2021 on a prospective basis. The adoption of this ASU did not result in a material impact on the Company's financial statements and related disclosures.</w:t>
      </w:r>
    </w:p>
    <w:p>
      <w:pPr>
        <w:spacing w:after="0" w:line="188"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subsequently amended, which sets out the principles for the recognition, measurement, presentation and disclosure of leases for both parties to a contract (i.e., lessees and lessors), and replaces the existing guidance in ASC 840, Leases. The new standard requires lessees to apply a dual approach, classifying leases as either finance or operating leases based on the principle of whether or not the lease is effectively a financed purchase by the lessee. The classification will determine the recognition pattern of lease expense over the term of the lease. In addition, a lessee is required to record (i) a right-of-use asset and a lease liability on its balance sheet for all leases with accounting lease terms of more than twelve months regardless of whether it is an operating or financing lease and (ii) lease expense in its statements of operations for operating leases and amortization and interest expense in its statements of operations for financing leases. Leases with a term of twelve months or less may be accounted for similar to existing guidance for operating leases under Topic 840. In July 2018, the FASB issued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which added an optional transition method that allows companies to adopt the standard as of the beginning of the year of adoption as opposed to the earliest comparative period presented.</w:t>
      </w:r>
    </w:p>
    <w:p>
      <w:pPr>
        <w:spacing w:after="0" w:line="204" w:lineRule="exact"/>
        <w:rPr>
          <w:sz w:val="20"/>
          <w:szCs w:val="20"/>
          <w:color w:val="auto"/>
        </w:rPr>
      </w:pPr>
    </w:p>
    <w:p>
      <w:pPr>
        <w:ind w:right="1920" w:firstLine="636"/>
        <w:spacing w:after="0" w:line="414" w:lineRule="auto"/>
        <w:rPr>
          <w:sz w:val="20"/>
          <w:szCs w:val="20"/>
          <w:color w:val="auto"/>
        </w:rPr>
      </w:pPr>
      <w:r>
        <w:rPr>
          <w:rFonts w:ascii="Arial" w:cs="Arial" w:eastAsia="Arial" w:hAnsi="Arial"/>
          <w:sz w:val="18"/>
          <w:szCs w:val="18"/>
          <w:color w:val="auto"/>
        </w:rPr>
        <w:t xml:space="preserve">See earlier disclosure in this footnote on the impact on the Company of the adoption of this standard in 2021. </w:t>
      </w:r>
      <w:r>
        <w:rPr>
          <w:rFonts w:ascii="Arial" w:cs="Arial" w:eastAsia="Arial" w:hAnsi="Arial"/>
          <w:sz w:val="18"/>
          <w:szCs w:val="18"/>
          <w:i w:val="1"/>
          <w:iCs w:val="1"/>
          <w:color w:val="auto"/>
        </w:rPr>
        <w:t>New Accounting Pronouncements Not Yet Adopted</w:t>
      </w:r>
    </w:p>
    <w:p>
      <w:pPr>
        <w:spacing w:after="0" w:line="1"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58" w:name="page159"/>
    <w:bookmarkEnd w:id="158"/>
    <w:p>
      <w:pPr>
        <w:ind w:right="80" w:firstLine="636"/>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as clarified in subsequent amendments. ASU 2016-13 changes the impairment model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new model is a forward-looking expected loss model and will apply to financial assets subject to credit losses and measured at amortized cost and certain off-balance sheet credit exposures. This includes loans, held-to-maturity debt securities, loan commitments, financial guarantees and net investments in leases, as well as trade receivables. For available-for-sale debt securities with unrealized losses, credit losses will be measured in a manner similar to today, except that the losses will be recognized as allowances rather than reductions in the amortized cost of the securities. In October 2019, the FASB voted to delay the effective date of this standard. Topic 326 will be effective for the Company for fiscal years beginning after December 15, 2022. Early adoption is permitted. The Company is in the process of evaluating the impact of this new guidance on its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26" w:lineRule="exact"/>
        <w:rPr>
          <w:sz w:val="20"/>
          <w:szCs w:val="20"/>
          <w:color w:val="auto"/>
        </w:rPr>
      </w:pPr>
    </w:p>
    <w:p>
      <w:pPr>
        <w:ind w:right="220" w:firstLine="636"/>
        <w:spacing w:after="0" w:line="246" w:lineRule="auto"/>
        <w:rPr>
          <w:sz w:val="20"/>
          <w:szCs w:val="20"/>
          <w:color w:val="auto"/>
        </w:rPr>
      </w:pPr>
      <w:r>
        <w:rPr>
          <w:rFonts w:ascii="Arial" w:cs="Arial" w:eastAsia="Arial" w:hAnsi="Arial"/>
          <w:sz w:val="18"/>
          <w:szCs w:val="18"/>
          <w:color w:val="auto"/>
        </w:rPr>
        <w:t>The following tables represent the Company’s fair value hierarchy for financial assets and financial liabilities measured at fair value on a recurring basis as of December 31, 2021 and 2020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468"/>
              <w:spacing w:after="0"/>
              <w:rPr>
                <w:sz w:val="20"/>
                <w:szCs w:val="20"/>
                <w:color w:val="auto"/>
              </w:rPr>
            </w:pPr>
            <w:r>
              <w:rPr>
                <w:rFonts w:ascii="Arial" w:cs="Arial" w:eastAsia="Arial" w:hAnsi="Arial"/>
                <w:sz w:val="14"/>
                <w:szCs w:val="14"/>
                <w:b w:val="1"/>
                <w:bCs w:val="1"/>
                <w:color w:val="auto"/>
              </w:rPr>
              <w:t>Basis for Fair Value Measurements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auto"/>
              </w:rPr>
              <w:t>Fair Value as of</w:t>
            </w:r>
          </w:p>
        </w:tc>
      </w:tr>
      <w:tr>
        <w:trPr>
          <w:trHeight w:val="169"/>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5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76"/>
        </w:trPr>
        <w:tc>
          <w:tcPr>
            <w:tcW w:w="5560" w:type="dxa"/>
            <w:vAlign w:val="bottom"/>
          </w:tcPr>
          <w:p>
            <w:pPr>
              <w:ind w:left="28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36,556</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36,556</w:t>
            </w:r>
          </w:p>
        </w:tc>
      </w:tr>
      <w:tr>
        <w:trPr>
          <w:trHeight w:val="175"/>
        </w:trPr>
        <w:tc>
          <w:tcPr>
            <w:tcW w:w="55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37,535</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37,535</w:t>
            </w:r>
          </w:p>
        </w:tc>
      </w:tr>
      <w:tr>
        <w:trPr>
          <w:trHeight w:val="176"/>
        </w:trPr>
        <w:tc>
          <w:tcPr>
            <w:tcW w:w="5560" w:type="dxa"/>
            <w:vAlign w:val="bottom"/>
          </w:tcPr>
          <w:p>
            <w:pPr>
              <w:ind w:left="28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94,864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94,864</w:t>
            </w:r>
          </w:p>
        </w:tc>
      </w:tr>
      <w:tr>
        <w:trPr>
          <w:trHeight w:val="175"/>
        </w:trPr>
        <w:tc>
          <w:tcPr>
            <w:tcW w:w="5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US Treasuries</w:t>
            </w: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30,029</w:t>
            </w: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30,029</w:t>
            </w:r>
          </w:p>
        </w:tc>
      </w:tr>
      <w:tr>
        <w:trPr>
          <w:trHeight w:val="169"/>
        </w:trPr>
        <w:tc>
          <w:tcPr>
            <w:tcW w:w="5560" w:type="dxa"/>
            <w:vAlign w:val="bottom"/>
          </w:tcPr>
          <w:p>
            <w:pPr>
              <w:ind w:left="5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36,556</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162,428</w:t>
            </w:r>
          </w:p>
        </w:tc>
        <w:tc>
          <w:tcPr>
            <w:tcW w:w="104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198,984</w:t>
            </w: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5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76"/>
        </w:trPr>
        <w:tc>
          <w:tcPr>
            <w:tcW w:w="5560" w:type="dxa"/>
            <w:vAlign w:val="bottom"/>
          </w:tcPr>
          <w:p>
            <w:pPr>
              <w:ind w:left="280"/>
              <w:spacing w:after="0"/>
              <w:rPr>
                <w:sz w:val="20"/>
                <w:szCs w:val="20"/>
                <w:color w:val="auto"/>
              </w:rPr>
            </w:pPr>
            <w:r>
              <w:rPr>
                <w:rFonts w:ascii="Arial" w:cs="Arial" w:eastAsia="Arial" w:hAnsi="Arial"/>
                <w:sz w:val="14"/>
                <w:szCs w:val="14"/>
                <w:color w:val="auto"/>
              </w:rPr>
              <w:t>Derivative liability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w:t>
            </w:r>
          </w:p>
        </w:tc>
      </w:tr>
      <w:tr>
        <w:trPr>
          <w:trHeight w:val="209"/>
        </w:trPr>
        <w:tc>
          <w:tcPr>
            <w:tcW w:w="55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-510540</wp:posOffset>
            </wp:positionV>
            <wp:extent cx="857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-510540</wp:posOffset>
            </wp:positionV>
            <wp:extent cx="7747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-510540</wp:posOffset>
            </wp:positionV>
            <wp:extent cx="774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right"/>
              <w:ind w:right="688"/>
              <w:spacing w:after="0"/>
              <w:rPr>
                <w:sz w:val="20"/>
                <w:szCs w:val="20"/>
                <w:color w:val="auto"/>
              </w:rPr>
            </w:pPr>
            <w:r>
              <w:rPr>
                <w:rFonts w:ascii="Arial" w:cs="Arial" w:eastAsia="Arial" w:hAnsi="Arial"/>
                <w:sz w:val="14"/>
                <w:szCs w:val="14"/>
                <w:b w:val="1"/>
                <w:bCs w:val="1"/>
                <w:color w:val="auto"/>
              </w:rPr>
              <w:t>Basis for Fair Value Measurements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48"/>
              <w:spacing w:after="0"/>
              <w:rPr>
                <w:sz w:val="20"/>
                <w:szCs w:val="20"/>
                <w:color w:val="auto"/>
              </w:rPr>
            </w:pPr>
            <w:r>
              <w:rPr>
                <w:rFonts w:ascii="Arial" w:cs="Arial" w:eastAsia="Arial" w:hAnsi="Arial"/>
                <w:sz w:val="14"/>
                <w:szCs w:val="14"/>
                <w:b w:val="1"/>
                <w:bCs w:val="1"/>
                <w:color w:val="auto"/>
              </w:rPr>
              <w:t>Fair Value as of</w:t>
            </w: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75"/>
        </w:trPr>
        <w:tc>
          <w:tcPr>
            <w:tcW w:w="5700" w:type="dxa"/>
            <w:vAlign w:val="bottom"/>
          </w:tcPr>
          <w:p>
            <w:pPr>
              <w:ind w:left="280"/>
              <w:spacing w:after="0"/>
              <w:rPr>
                <w:sz w:val="20"/>
                <w:szCs w:val="20"/>
                <w:color w:val="auto"/>
              </w:rPr>
            </w:pPr>
            <w:r>
              <w:rPr>
                <w:rFonts w:ascii="Arial" w:cs="Arial" w:eastAsia="Arial" w:hAnsi="Arial"/>
                <w:sz w:val="14"/>
                <w:szCs w:val="14"/>
                <w:color w:val="auto"/>
              </w:rPr>
              <w:t>Money market funds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276,726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276,726</w:t>
            </w:r>
          </w:p>
        </w:tc>
      </w:tr>
      <w:tr>
        <w:trPr>
          <w:trHeight w:val="209"/>
        </w:trPr>
        <w:tc>
          <w:tcPr>
            <w:tcW w:w="57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276,726</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ind w:left="82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276,726</w:t>
            </w:r>
          </w:p>
        </w:tc>
      </w:tr>
      <w:tr>
        <w:trPr>
          <w:trHeight w:val="156"/>
        </w:trPr>
        <w:tc>
          <w:tcPr>
            <w:tcW w:w="570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176"/>
        </w:trPr>
        <w:tc>
          <w:tcPr>
            <w:tcW w:w="5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Derivative liability</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122</w:t>
            </w:r>
          </w:p>
        </w:tc>
      </w:tr>
      <w:tr>
        <w:trPr>
          <w:trHeight w:val="169"/>
        </w:trPr>
        <w:tc>
          <w:tcPr>
            <w:tcW w:w="5700" w:type="dxa"/>
            <w:vAlign w:val="bottom"/>
          </w:tcPr>
          <w:p>
            <w:pPr>
              <w:ind w:left="52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122</w:t>
            </w: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-393700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-376555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-393700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-376555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-393700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-376555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-142240</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-142240</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-142240</wp:posOffset>
            </wp:positionV>
            <wp:extent cx="5143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Inputs</w:t>
      </w:r>
    </w:p>
    <w:p>
      <w:pPr>
        <w:spacing w:after="0" w:line="23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CFF, the probability of a change of control event, the product status at time of a change of control event and the discount rate. See Note 16 for further discussion on embedded derivative.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transfers between Level 1, 2 and 3 during the periods presented.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59" w:name="page160"/>
    <w:bookmarkEnd w:id="159"/>
    <w:p>
      <w:pPr>
        <w:ind w:left="640"/>
        <w:spacing w:after="0"/>
        <w:rPr>
          <w:sz w:val="20"/>
          <w:szCs w:val="20"/>
          <w:color w:val="auto"/>
        </w:rPr>
      </w:pPr>
      <w:r>
        <w:rPr>
          <w:rFonts w:ascii="Arial" w:cs="Arial" w:eastAsia="Arial" w:hAnsi="Arial"/>
          <w:sz w:val="18"/>
          <w:szCs w:val="18"/>
          <w:color w:val="auto"/>
        </w:rPr>
        <w:t>The following table sets forth a summary of the changes in the fair value of the Company’s Level 3 derivative liability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101</w:t>
            </w:r>
          </w:p>
        </w:tc>
      </w:tr>
      <w:tr>
        <w:trPr>
          <w:trHeight w:val="203"/>
        </w:trPr>
        <w:tc>
          <w:tcPr>
            <w:tcW w:w="9200" w:type="dxa"/>
            <w:vAlign w:val="bottom"/>
          </w:tcPr>
          <w:p>
            <w:pPr>
              <w:ind w:left="28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w:t>
            </w:r>
          </w:p>
        </w:tc>
      </w:tr>
      <w:tr>
        <w:trPr>
          <w:trHeight w:val="196"/>
        </w:trPr>
        <w:tc>
          <w:tcPr>
            <w:tcW w:w="9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880" w:type="dxa"/>
            <w:vAlign w:val="bottom"/>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9200" w:type="dxa"/>
            <w:vAlign w:val="bottom"/>
          </w:tcPr>
          <w:p>
            <w:pPr>
              <w:ind w:left="28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92</w:t>
            </w:r>
          </w:p>
        </w:tc>
      </w:tr>
      <w:tr>
        <w:trPr>
          <w:trHeight w:val="236"/>
        </w:trPr>
        <w:tc>
          <w:tcPr>
            <w:tcW w:w="9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88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214</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Marketable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Marketable securities, which are classified as available-for-sale, consisted of the following as of December 31, 2021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rPr>
              <w:t>Gross</w:t>
            </w:r>
          </w:p>
        </w:tc>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as of December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1"/>
              <w:spacing w:after="0" w:line="149" w:lineRule="exact"/>
              <w:rPr>
                <w:sz w:val="20"/>
                <w:szCs w:val="20"/>
                <w:color w:val="auto"/>
              </w:rPr>
            </w:pPr>
            <w:r>
              <w:rPr>
                <w:rFonts w:ascii="Arial" w:cs="Arial" w:eastAsia="Arial" w:hAnsi="Arial"/>
                <w:sz w:val="14"/>
                <w:szCs w:val="14"/>
                <w:b w:val="1"/>
                <w:bCs w:val="1"/>
                <w:color w:val="auto"/>
              </w:rPr>
              <w:t>Unrealized</w:t>
            </w:r>
          </w:p>
        </w:tc>
        <w:tc>
          <w:tcPr>
            <w:tcW w:w="1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Basis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6"/>
                <w:szCs w:val="16"/>
                <w:color w:val="auto"/>
              </w:rPr>
            </w:pPr>
          </w:p>
        </w:tc>
        <w:tc>
          <w:tcPr>
            <w:tcW w:w="1460" w:type="dxa"/>
            <w:vAlign w:val="bottom"/>
          </w:tcPr>
          <w:p>
            <w:pPr>
              <w:jc w:val="right"/>
              <w:ind w:right="552"/>
              <w:spacing w:after="0"/>
              <w:rPr>
                <w:sz w:val="20"/>
                <w:szCs w:val="20"/>
                <w:color w:val="auto"/>
              </w:rPr>
            </w:pPr>
            <w:r>
              <w:rPr>
                <w:rFonts w:ascii="Arial" w:cs="Arial" w:eastAsia="Arial" w:hAnsi="Arial"/>
                <w:sz w:val="14"/>
                <w:szCs w:val="14"/>
                <w:b w:val="1"/>
                <w:bCs w:val="1"/>
                <w:color w:val="auto"/>
              </w:rPr>
              <w:t>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marketable securities:</w:t>
            </w: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32,471</w:t>
            </w:r>
          </w:p>
        </w:tc>
        <w:tc>
          <w:tcPr>
            <w:tcW w:w="5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7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(4 )</w:t>
            </w:r>
          </w:p>
        </w:tc>
        <w:tc>
          <w:tcPr>
            <w:tcW w:w="3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57,315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(79 )</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80"/>
              <w:spacing w:after="0" w:line="202" w:lineRule="exact"/>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5,082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ind w:left="7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(9 )</w:t>
            </w: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short-term marketable securities</w:t>
            </w:r>
          </w:p>
        </w:tc>
        <w:tc>
          <w:tcPr>
            <w:tcW w:w="280" w:type="dxa"/>
            <w:vAlign w:val="bottom"/>
            <w:tcBorders>
              <w:top w:val="single" w:sz="8" w:color="auto"/>
              <w:bottom w:val="single" w:sz="8" w:color="auto"/>
            </w:tcBorders>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94,868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ind w:left="78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94,776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0"/>
              <w:spacing w:after="0" w:line="183" w:lineRule="exact"/>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280" w:type="dxa"/>
            <w:vAlign w:val="bottom"/>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5,089</w:t>
            </w:r>
          </w:p>
        </w:tc>
        <w:tc>
          <w:tcPr>
            <w:tcW w:w="5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(21 )</w:t>
            </w:r>
          </w:p>
        </w:tc>
        <w:tc>
          <w:tcPr>
            <w:tcW w:w="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37,821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ind w:left="7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(193 )</w:t>
            </w: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37,628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25,073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(117 )</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ind w:left="520"/>
              <w:spacing w:after="0" w:line="196" w:lineRule="exact"/>
              <w:rPr>
                <w:sz w:val="20"/>
                <w:szCs w:val="20"/>
                <w:color w:val="auto"/>
              </w:rPr>
            </w:pPr>
            <w:r>
              <w:rPr>
                <w:rFonts w:ascii="Arial" w:cs="Arial" w:eastAsia="Arial" w:hAnsi="Arial"/>
                <w:sz w:val="18"/>
                <w:szCs w:val="18"/>
                <w:color w:val="auto"/>
              </w:rPr>
              <w:t>Total long-term marketable securities</w:t>
            </w:r>
          </w:p>
        </w:tc>
        <w:tc>
          <w:tcPr>
            <w:tcW w:w="280" w:type="dxa"/>
            <w:vAlign w:val="bottom"/>
          </w:tcPr>
          <w:p>
            <w:pPr>
              <w:jc w:val="right"/>
              <w:ind w:right="74"/>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67,983</w:t>
            </w:r>
          </w:p>
        </w:tc>
        <w:tc>
          <w:tcPr>
            <w:tcW w:w="24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ind w:left="78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(331 )</w:t>
            </w:r>
          </w:p>
        </w:tc>
        <w:tc>
          <w:tcPr>
            <w:tcW w:w="3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67,652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-702310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-685165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-702310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-685165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-702310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-685165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-702310</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-685165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-159385</wp:posOffset>
            </wp:positionV>
            <wp:extent cx="603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-159385</wp:posOffset>
            </wp:positionV>
            <wp:extent cx="6032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-159385</wp:posOffset>
            </wp:positionV>
            <wp:extent cx="5969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All marketable securities held as of December 31, 2021, had contractual maturities of less than two years. There have been no realized gains or losses on marketable securities for the periods presented. None of the Company's investments in marketable securities has been in an unrealized loss position for more than one year. The Company determined that it has the ability and intent to hold all marketable securities that have been in a continuous loss position until maturity or recovery, thus there has been no recognition of any other-than-temporary impairment in the year ended December 31, 2021.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Company had no marketable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Property and Equipment,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Machinery and equipment</w:t>
            </w: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5,971</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4,911</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2,527</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2,527</w:t>
            </w: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566</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473</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165</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101</w:t>
            </w: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421</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366</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8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10,066</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539</w:t>
            </w: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property and equipment</w:t>
            </w: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19,716</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8,917</w:t>
            </w: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8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(5,325 )</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(3,844 )</w:t>
            </w:r>
          </w:p>
        </w:tc>
      </w:tr>
      <w:tr>
        <w:trPr>
          <w:trHeight w:val="236"/>
        </w:trPr>
        <w:tc>
          <w:tcPr>
            <w:tcW w:w="48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Property and equipment, net</w:t>
            </w:r>
          </w:p>
        </w:tc>
        <w:tc>
          <w:tcPr>
            <w:tcW w:w="28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14,391</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5,073</w:t>
            </w:r>
          </w:p>
        </w:tc>
      </w:tr>
      <w:tr>
        <w:trPr>
          <w:trHeight w:val="615"/>
        </w:trPr>
        <w:tc>
          <w:tcPr>
            <w:tcW w:w="4820" w:type="dxa"/>
            <w:vAlign w:val="bottom"/>
          </w:tcPr>
          <w:p>
            <w:pPr>
              <w:spacing w:after="0"/>
              <w:rPr>
                <w:sz w:val="24"/>
                <w:szCs w:val="24"/>
                <w:color w:val="auto"/>
              </w:rPr>
            </w:pPr>
          </w:p>
        </w:tc>
        <w:tc>
          <w:tcPr>
            <w:tcW w:w="3840" w:type="dxa"/>
            <w:vAlign w:val="bottom"/>
            <w:gridSpan w:val="2"/>
          </w:tcPr>
          <w:p>
            <w:pPr>
              <w:jc w:val="right"/>
              <w:ind w:right="2776"/>
              <w:spacing w:after="0"/>
              <w:rPr>
                <w:sz w:val="20"/>
                <w:szCs w:val="20"/>
                <w:color w:val="auto"/>
              </w:rPr>
            </w:pPr>
            <w:r>
              <w:rPr>
                <w:rFonts w:ascii="Arial" w:cs="Arial" w:eastAsia="Arial" w:hAnsi="Arial"/>
                <w:sz w:val="18"/>
                <w:szCs w:val="18"/>
                <w:color w:val="auto"/>
              </w:rPr>
              <w:t>F-18</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8"/>
        </w:trPr>
        <w:tc>
          <w:tcPr>
            <w:tcW w:w="482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-1812290</wp:posOffset>
            </wp:positionV>
            <wp:extent cx="13652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13652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-496570</wp:posOffset>
            </wp:positionV>
            <wp:extent cx="111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0" w:name="page161"/>
    <w:bookmarkEnd w:id="160"/>
    <w:p>
      <w:pPr>
        <w:ind w:right="60" w:firstLine="636"/>
        <w:spacing w:after="0" w:line="246" w:lineRule="auto"/>
        <w:rPr>
          <w:sz w:val="20"/>
          <w:szCs w:val="20"/>
          <w:color w:val="auto"/>
        </w:rPr>
      </w:pPr>
      <w:r>
        <w:rPr>
          <w:rFonts w:ascii="Arial" w:cs="Arial" w:eastAsia="Arial" w:hAnsi="Arial"/>
          <w:sz w:val="18"/>
          <w:szCs w:val="18"/>
          <w:color w:val="auto"/>
        </w:rPr>
        <w:t>All property and equipment are maintained in the United States. Depreciation expense was $1.5 million and $1.4 million for the years ended December 31, 2021 and 2020,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Accrued and Other Liabilities, Current and Noncurrent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related expenses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3,994</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3,437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and preclinical study costs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Consulting and professional</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1,573</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1,770</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491</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7,744</w:t>
            </w: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8,371</w:t>
            </w:r>
          </w:p>
        </w:tc>
        <w:tc>
          <w:tcPr>
            <w:tcW w:w="8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7500" w:type="dxa"/>
            <w:vAlign w:val="bottom"/>
          </w:tcPr>
          <w:p>
            <w:pPr>
              <w:ind w:left="640"/>
              <w:spacing w:after="0"/>
              <w:rPr>
                <w:sz w:val="20"/>
                <w:szCs w:val="20"/>
                <w:color w:val="auto"/>
              </w:rPr>
            </w:pPr>
            <w:r>
              <w:rPr>
                <w:rFonts w:ascii="Arial" w:cs="Arial" w:eastAsia="Arial" w:hAnsi="Arial"/>
                <w:sz w:val="18"/>
                <w:szCs w:val="18"/>
                <w:color w:val="auto"/>
              </w:rPr>
              <w:t>Other liabilities, noncurrent consisted of the following (in thousands):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6"/>
          </w:tcPr>
          <w:p>
            <w:pPr>
              <w:jc w:val="center"/>
              <w:ind w:left="75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rent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Other payable</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other liabilities, noncurrent</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1,852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7500" w:type="dxa"/>
            <w:vAlign w:val="bottom"/>
          </w:tcPr>
          <w:p>
            <w:pPr>
              <w:spacing w:after="0"/>
              <w:rPr>
                <w:sz w:val="20"/>
                <w:szCs w:val="20"/>
                <w:color w:val="auto"/>
              </w:rPr>
            </w:pPr>
            <w:r>
              <w:rPr>
                <w:rFonts w:ascii="Arial" w:cs="Arial" w:eastAsia="Arial" w:hAnsi="Arial"/>
                <w:sz w:val="18"/>
                <w:szCs w:val="18"/>
                <w:b w:val="1"/>
                <w:bCs w:val="1"/>
                <w:i w:val="1"/>
                <w:iCs w:val="1"/>
                <w:color w:val="auto"/>
              </w:rPr>
              <w:t>7. Research and Collaboration Arrangements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00" w:type="dxa"/>
            <w:vAlign w:val="bottom"/>
          </w:tcPr>
          <w:p>
            <w:pPr>
              <w:ind w:left="640"/>
              <w:spacing w:after="0"/>
              <w:rPr>
                <w:sz w:val="20"/>
                <w:szCs w:val="20"/>
                <w:color w:val="auto"/>
              </w:rPr>
            </w:pPr>
            <w:r>
              <w:rPr>
                <w:rFonts w:ascii="Arial" w:cs="Arial" w:eastAsia="Arial" w:hAnsi="Arial"/>
                <w:sz w:val="18"/>
                <w:szCs w:val="18"/>
                <w:color w:val="auto"/>
              </w:rPr>
              <w:t>Collaboration and license revenue for each period was as follows (in thousands):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9"/>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uniQure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736</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742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Roche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17,181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12,897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CFF</w:t>
            </w: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121</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280" w:type="dxa"/>
            <w:vAlign w:val="bottom"/>
          </w:tcPr>
          <w:p>
            <w:pPr>
              <w:jc w:val="right"/>
              <w:ind w:right="37"/>
              <w:spacing w:after="0" w:line="196" w:lineRule="exact"/>
              <w:rPr>
                <w:sz w:val="20"/>
                <w:szCs w:val="20"/>
                <w:color w:val="auto"/>
              </w:rPr>
            </w:pPr>
            <w:r>
              <w:rPr>
                <w:rFonts w:ascii="Arial" w:cs="Arial" w:eastAsia="Arial" w:hAnsi="Arial"/>
                <w:sz w:val="18"/>
                <w:szCs w:val="18"/>
                <w:color w:val="auto"/>
              </w:rPr>
              <w:t>18,038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13,612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640"/>
              <w:spacing w:after="0"/>
              <w:rPr>
                <w:sz w:val="20"/>
                <w:szCs w:val="20"/>
                <w:color w:val="auto"/>
              </w:rPr>
            </w:pPr>
            <w:r>
              <w:rPr>
                <w:rFonts w:ascii="Arial" w:cs="Arial" w:eastAsia="Arial" w:hAnsi="Arial"/>
                <w:sz w:val="18"/>
                <w:szCs w:val="18"/>
                <w:color w:val="auto"/>
              </w:rPr>
              <w:t>Deferred revenue for each period was as follows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rPr>
              <w:t>Deferred Revenue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uniQure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3,661</w:t>
            </w:r>
          </w:p>
        </w:tc>
        <w:tc>
          <w:tcPr>
            <w:tcW w:w="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4,396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Roche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CFF</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1,429</w:t>
            </w:r>
          </w:p>
        </w:tc>
        <w:tc>
          <w:tcPr>
            <w:tcW w:w="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1,098</w:t>
            </w:r>
          </w:p>
        </w:tc>
        <w:tc>
          <w:tcPr>
            <w:tcW w:w="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5,090</w:t>
            </w:r>
          </w:p>
        </w:tc>
        <w:tc>
          <w:tcPr>
            <w:tcW w:w="80" w:type="dxa"/>
            <w:vAlign w:val="bottom"/>
          </w:tcPr>
          <w:p>
            <w:pPr>
              <w:spacing w:after="0"/>
              <w:rPr>
                <w:sz w:val="17"/>
                <w:szCs w:val="17"/>
                <w:color w:val="auto"/>
              </w:rPr>
            </w:pPr>
          </w:p>
        </w:tc>
        <w:tc>
          <w:tcPr>
            <w:tcW w:w="640" w:type="dxa"/>
            <w:vAlign w:val="bottom"/>
            <w:gridSpan w:val="3"/>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19,812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-4002405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-3985260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-3398520</wp:posOffset>
            </wp:positionV>
            <wp:extent cx="7683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-3398520</wp:posOffset>
            </wp:positionV>
            <wp:extent cx="76835"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-2862580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-2845435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-1487805</wp:posOffset>
            </wp:positionV>
            <wp:extent cx="11112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-1487805</wp:posOffset>
            </wp:positionV>
            <wp:extent cx="11176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1111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22" w:lineRule="exact"/>
        <w:rPr>
          <w:sz w:val="20"/>
          <w:szCs w:val="20"/>
          <w:color w:val="auto"/>
        </w:rPr>
      </w:pPr>
    </w:p>
    <w:p>
      <w:pPr>
        <w:ind w:right="60" w:firstLine="636"/>
        <w:spacing w:after="0" w:line="246" w:lineRule="auto"/>
        <w:rPr>
          <w:sz w:val="20"/>
          <w:szCs w:val="20"/>
          <w:color w:val="auto"/>
        </w:rPr>
      </w:pPr>
      <w:r>
        <w:rPr>
          <w:rFonts w:ascii="Arial" w:cs="Arial" w:eastAsia="Arial" w:hAnsi="Arial"/>
          <w:sz w:val="18"/>
          <w:szCs w:val="18"/>
          <w:color w:val="auto"/>
        </w:rPr>
        <w:t>The total amount of revenue in the year ended December 31, 2021, which was included in deferred revenue at January 1, 2021, was $15.1 million. The total amount of revenue in the year ended December 31, 2020, which was included in deferred revenue at January 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2020, was $3.2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uniQure</w:t>
      </w:r>
    </w:p>
    <w:p>
      <w:pPr>
        <w:spacing w:after="0" w:line="112" w:lineRule="exact"/>
        <w:rPr>
          <w:sz w:val="20"/>
          <w:szCs w:val="20"/>
          <w:color w:val="auto"/>
        </w:rPr>
      </w:pPr>
    </w:p>
    <w:p>
      <w:pPr>
        <w:ind w:right="300" w:firstLine="636"/>
        <w:spacing w:after="0" w:line="227" w:lineRule="auto"/>
        <w:rPr>
          <w:sz w:val="20"/>
          <w:szCs w:val="20"/>
          <w:color w:val="auto"/>
        </w:rPr>
      </w:pPr>
      <w:r>
        <w:rPr>
          <w:rFonts w:ascii="Arial" w:cs="Arial" w:eastAsia="Arial" w:hAnsi="Arial"/>
          <w:sz w:val="18"/>
          <w:szCs w:val="18"/>
          <w:color w:val="auto"/>
        </w:rPr>
        <w:t>In January 2014, the Company and uniQure biopharma B.V. (“uniQure”) entered into a Collaboration and License Agreement (the “uniQure Agreement”) to collaborate on the discovery and non-clinical research activities related to the Company’s Therapeutic Vector Evolution platform in order to generate and validate vectors for gene delivery to treat diseases within the central nervous system and liver (together, the “uniQure Field”).</w:t>
      </w:r>
    </w:p>
    <w:p>
      <w:pPr>
        <w:spacing w:after="0" w:line="189" w:lineRule="exact"/>
        <w:rPr>
          <w:sz w:val="20"/>
          <w:szCs w:val="20"/>
          <w:color w:val="auto"/>
        </w:rPr>
      </w:pPr>
    </w:p>
    <w:p>
      <w:pPr>
        <w:ind w:right="80" w:firstLine="636"/>
        <w:spacing w:after="0" w:line="224" w:lineRule="auto"/>
        <w:rPr>
          <w:sz w:val="20"/>
          <w:szCs w:val="20"/>
          <w:color w:val="auto"/>
        </w:rPr>
      </w:pPr>
      <w:r>
        <w:rPr>
          <w:rFonts w:ascii="Arial" w:cs="Arial" w:eastAsia="Arial" w:hAnsi="Arial"/>
          <w:sz w:val="18"/>
          <w:szCs w:val="18"/>
          <w:color w:val="auto"/>
        </w:rPr>
        <w:t>The uniQure Agreement provided uniQure with a research license as well as an exclusive development and commercialization license for each project variant selected for further development. The initial research term is three years 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 The Company was also required to work exclusively with uniQure in the uniQure Field (the “uniQure Exclusivity Clause”).</w:t>
      </w:r>
    </w:p>
    <w:p>
      <w:pPr>
        <w:spacing w:after="0" w:line="191" w:lineRule="exact"/>
        <w:rPr>
          <w:sz w:val="20"/>
          <w:szCs w:val="20"/>
          <w:color w:val="auto"/>
        </w:rPr>
      </w:pPr>
    </w:p>
    <w:p>
      <w:pPr>
        <w:ind w:right="120" w:firstLine="636"/>
        <w:spacing w:after="0" w:line="223" w:lineRule="auto"/>
        <w:rPr>
          <w:sz w:val="20"/>
          <w:szCs w:val="20"/>
          <w:color w:val="auto"/>
        </w:rPr>
      </w:pPr>
      <w:r>
        <w:rPr>
          <w:rFonts w:ascii="Arial" w:cs="Arial" w:eastAsia="Arial" w:hAnsi="Arial"/>
          <w:sz w:val="18"/>
          <w:szCs w:val="18"/>
          <w:color w:val="auto"/>
        </w:rPr>
        <w:t>Pursuant to the uniQure Agreement, the Company received upfront payments of $0.2 million, and was entitled to receive (i) contingent payments for the achievement of research and development milestones of up to $5.0 million for each licensed product selected under the arrangement, and (ii) royalties in the single digit range on future sales of the potential product candidates and sublicense consideration in the low teens to low thirties range on any future sublicensing arrangements. The Company also received capped research and development service fees based on contractual full-time employee rates per year. In connection with the performance obligations under the uniQure Agreement, the founders of 4D Molecular Therapeutics, LLC received equity options to purchase an aggregate of 609,744 of uniQure ordinary shares that vest over the initial three-year term of the agreement.</w:t>
      </w:r>
    </w:p>
    <w:p>
      <w:pPr>
        <w:spacing w:after="0" w:line="193" w:lineRule="exact"/>
        <w:rPr>
          <w:sz w:val="20"/>
          <w:szCs w:val="20"/>
          <w:color w:val="auto"/>
        </w:rPr>
      </w:pPr>
    </w:p>
    <w:p>
      <w:pPr>
        <w:ind w:firstLine="636"/>
        <w:spacing w:after="0" w:line="224" w:lineRule="auto"/>
        <w:rPr>
          <w:sz w:val="20"/>
          <w:szCs w:val="20"/>
          <w:color w:val="auto"/>
        </w:rPr>
      </w:pPr>
      <w:r>
        <w:rPr>
          <w:rFonts w:ascii="Arial" w:cs="Arial" w:eastAsia="Arial" w:hAnsi="Arial"/>
          <w:sz w:val="18"/>
          <w:szCs w:val="18"/>
          <w:color w:val="auto"/>
        </w:rPr>
        <w:t>The upfront payment of $0.2 million was recorded as deferred revenue and was recognized on a ratable basis over the estimated performance period of four years. Payments and reimbursements for research costs were recognized on an as-incurred basis. The options to purchase uniQure shares 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 $10.6 million, was recognized ratably as revenue over the estimated performance period of four years and the associated compensation expense related to the stock options were recorded as research and development expense.</w:t>
      </w:r>
    </w:p>
    <w:p>
      <w:pPr>
        <w:spacing w:after="0" w:line="204"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In August 2019, the Company and uniQure entered into an Amended and Restated Collaboration and License Agreement (the “Amended uniQure Agreement”), which amended and restated the uniQure Agreement, and a separate Collaboration and License Agreement (the “Second uniQure Agreement”). Under these agreements, the Company agreed to transfer incremental rights and services to uniQure in exchange for uniQure eliminating the uniQure Exclusivity Clause and transferring other rights back to the Company.</w:t>
      </w:r>
    </w:p>
    <w:p>
      <w:pPr>
        <w:spacing w:after="0" w:line="205"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Under the Amended uniQure Agreement, uniQure continues to have an exclusive license to select AAV capsid variants (the “Selected Variants”) in the uniQure Field. uniQure continues to be solely responsible, at its cost, to develop and commercialize the compounds and products containing the Selected Variants. The amended uniQure Agreement eliminated the uniQure Exclusivity Clause in the uniQure Agreement. Furthermore, the contingent payments that the Company was entitled to from uniQure for the achievement of research and development milestones of up to $5.0 million for each licensed product selected under the uniQure Agreement were eliminated and sublicense consideration on any future sublicensing arrangements was reduced from the low teens to low thirties percentages to mid-single digit to mid-twenties percentages.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62" w:name="page163"/>
    <w:bookmarkEnd w:id="162"/>
    <w:p>
      <w:pPr>
        <w:ind w:right="120" w:firstLine="636"/>
        <w:spacing w:after="0" w:line="253" w:lineRule="auto"/>
        <w:rPr>
          <w:sz w:val="20"/>
          <w:szCs w:val="20"/>
          <w:color w:val="auto"/>
        </w:rPr>
      </w:pPr>
      <w:r>
        <w:rPr>
          <w:rFonts w:ascii="Arial" w:cs="Arial" w:eastAsia="Arial" w:hAnsi="Arial"/>
          <w:sz w:val="17"/>
          <w:szCs w:val="17"/>
          <w:color w:val="auto"/>
        </w:rPr>
        <w:t>Under the Second uniQure Agreement, the parties agreed to research and develop new AAV capsid variants (the “New Variants”) that are not Selected Variants that affect certain targets selected by uniQure (the “uniQure Targets”) in the uniQure Field. The Company is solely responsible, at its cost, for the research of the New Variants. The Company granted uniQure an exclusive license to a certain number of the New Variants (the “uniQure New Variants”) that affect the uniQure Targets. uniQure is solely responsible, at its cost, to develop and commercialize the compounds and products containing the uniQure New Variants that affect the uniQure Targets (the “Licensed Products”). The Company retains all rights to New Variants in the uniQure Field that affect targets other than the uniQure Targets.</w:t>
      </w:r>
    </w:p>
    <w:p>
      <w:pPr>
        <w:spacing w:after="0" w:line="195"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Under both the Amended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sublicensing consideration for sublicensing the Company’s intellectual property rights licensed under the Amended uniQure Agreement or the Second uniQure Agreement to third parties at a rate between the mid-single digit to mid-twenties. The Company has reciprocal obligations, at the same percentage rates as uniQure, to pay uniQure royalties and sublicensing consideration for sublicensing certain intellectual property rights licensed under the Amended uniQure Agreement or the Second uniQure Agreement to third parties.</w:t>
      </w:r>
    </w:p>
    <w:p>
      <w:pPr>
        <w:spacing w:after="0" w:line="203"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concluded that the Amended uniQure Agreement and the Second uniQure Agreement should be accounted for as one combined contract that should be accounted for as a separate contract from the uniQure Agreement given that the incremental licensed intellectual property rights and research and development services are distinct from the rights and services previously transferred to uniQure under the uniQure Agreement and the transaction price increased by an amount that equals the standalone selling price of the incremental rights and services to be transferred to uniQure under the Amended uniQure Agreement and Second uniQure Agreement.</w:t>
      </w:r>
    </w:p>
    <w:p>
      <w:pPr>
        <w:spacing w:after="0" w:line="202" w:lineRule="exact"/>
        <w:rPr>
          <w:sz w:val="20"/>
          <w:szCs w:val="20"/>
          <w:color w:val="auto"/>
        </w:rPr>
      </w:pPr>
    </w:p>
    <w:p>
      <w:pPr>
        <w:ind w:right="140" w:firstLine="636"/>
        <w:spacing w:after="0" w:line="237" w:lineRule="auto"/>
        <w:rPr>
          <w:sz w:val="20"/>
          <w:szCs w:val="20"/>
          <w:color w:val="auto"/>
        </w:rPr>
      </w:pPr>
      <w:r>
        <w:rPr>
          <w:rFonts w:ascii="Arial" w:cs="Arial" w:eastAsia="Arial" w:hAnsi="Arial"/>
          <w:sz w:val="18"/>
          <w:szCs w:val="18"/>
          <w:color w:val="auto"/>
        </w:rPr>
        <w:t>Neither party was required to pay monetary consideration in connection with the execution of the Amended uniQure Agreement or the Second uniQure Agreement or for subsequent performance by the parties under those agreements, notwithstanding the potential future royalty and sublicense consideration described above. The fair value of the non-monetary consideration given by uniQure to the Company, for the intellectual property right is $5.1 million. This intellectual property right is considered to be an in-process research and development asset with no alternative future use and, accordingly, was written off as acquired in-process research and development expense in the year ended December 31, 2019.</w:t>
      </w:r>
    </w:p>
    <w:p>
      <w:pPr>
        <w:spacing w:after="0" w:line="20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incremental transaction price described in the paragraph above was recorded as deferred revenue given that the Company identified one single combined performance obligation under ASC 606, which includes the licenses to the New Variants, research services and participation in the joint steering committee (“JSC”). Revenue is being recognized using the input method based on actual costs incurred as a percentage of total budgeted costs as the Company completes its performance obligation. Based on the current estimated timelines, the deferred revenue is expected to be recognized as revenue over approximately one to two years from December 31, 2021.</w:t>
      </w:r>
    </w:p>
    <w:p>
      <w:pPr>
        <w:spacing w:after="0" w:line="20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 Company determined the transaction price using the risk adjusted net present value analysis (“rNPV”) methodology to value the elimination of the uniQure exclusivity clause and other material rights received by the Company, including the potential royalties the Company would receive from uniQure. The rNPVs incorporate estimates and assumptions including the number of products the Company and uniQure would develop, the risk-adjusted probability of successfully developing a biopharmaceutical product, the probability that uniQure will develop a product, the research and development costs, the potential worldwide sales and associated commercialization costs, corporate tax rate, and discount rate.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3" w:name="page164"/>
    <w:bookmarkEnd w:id="163"/>
    <w:p>
      <w:pPr>
        <w:ind w:firstLine="636"/>
        <w:spacing w:after="0" w:line="238" w:lineRule="auto"/>
        <w:rPr>
          <w:sz w:val="20"/>
          <w:szCs w:val="20"/>
          <w:color w:val="auto"/>
        </w:rPr>
      </w:pPr>
      <w:r>
        <w:rPr>
          <w:rFonts w:ascii="Arial" w:cs="Arial" w:eastAsia="Arial" w:hAnsi="Arial"/>
          <w:sz w:val="18"/>
          <w:szCs w:val="18"/>
          <w:color w:val="auto"/>
        </w:rPr>
        <w:t>During each of the years ended December 31, 2021 and 2020 the Company recognized revenue of $0.7 million under the Amended uniQure Agreement and the Second uniQure Agreement. As of December 31, 2021 and 2020, deferred revenue relating to uniQure was $3.7 million and $4.4 million, respectively. There were no amounts due from uniQure under the uniQure Agreement, Amended uniQure Agreement or Second uniQure Agreement as of December 31, 2021 and 2020. As of December 31, 2021 and 2020, the aggregate amount of the transaction price allocated to the remaining performance obligation was $3.7 million and $4.4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CRF</w:t>
      </w:r>
    </w:p>
    <w:p>
      <w:pPr>
        <w:spacing w:after="0" w:line="126" w:lineRule="exact"/>
        <w:rPr>
          <w:sz w:val="20"/>
          <w:szCs w:val="20"/>
          <w:color w:val="auto"/>
        </w:rPr>
      </w:pPr>
    </w:p>
    <w:p>
      <w:pPr>
        <w:ind w:right="120" w:firstLine="644"/>
        <w:spacing w:after="0" w:line="236" w:lineRule="auto"/>
        <w:rPr>
          <w:sz w:val="20"/>
          <w:szCs w:val="20"/>
          <w:color w:val="auto"/>
        </w:rPr>
      </w:pPr>
      <w:r>
        <w:rPr>
          <w:rFonts w:ascii="Arial" w:cs="Arial" w:eastAsia="Arial" w:hAnsi="Arial"/>
          <w:sz w:val="18"/>
          <w:szCs w:val="18"/>
          <w:color w:val="auto"/>
        </w:rPr>
        <w:t>In November 2015, the Company entered into a research funding and collaboration agreement (the “CRF Agreement”) with the Choroideremia Research Foundation (“CRF”), a non-profit organization dedicated to finding a cure for choroideremia, a rare inherited disorder that causes progressive vision loss, ultimately leading to complete blindness. The goal of the CRF Agreement is for CRF to contribute funding to help with the advancement of the Company’s choroideremia research program. The Company is responsible for all decision making and execution of any and all of the related activities to be completed in its sole discretion. The initial term of the CRF Research Plan is two years. The agreement includes contribution by the Company to CRF of up to $2.5 million upon certain development or approval milestones. The overall arrangement has automatic extensions of up to three additional years. As of December 31, 2021, no milestones have been achieved.</w:t>
      </w:r>
    </w:p>
    <w:p>
      <w:pPr>
        <w:spacing w:after="0" w:line="194" w:lineRule="exact"/>
        <w:rPr>
          <w:sz w:val="20"/>
          <w:szCs w:val="20"/>
          <w:color w:val="auto"/>
        </w:rPr>
      </w:pPr>
    </w:p>
    <w:p>
      <w:pPr>
        <w:ind w:right="40" w:firstLine="636"/>
        <w:spacing w:after="0" w:line="229" w:lineRule="auto"/>
        <w:rPr>
          <w:sz w:val="20"/>
          <w:szCs w:val="20"/>
          <w:color w:val="auto"/>
        </w:rPr>
      </w:pPr>
      <w:r>
        <w:rPr>
          <w:rFonts w:ascii="Arial" w:cs="Arial" w:eastAsia="Arial" w:hAnsi="Arial"/>
          <w:sz w:val="18"/>
          <w:szCs w:val="18"/>
          <w:color w:val="auto"/>
        </w:rPr>
        <w:t>Revenue was fully recognized for this agreement in the year ended December 31, 2017. There was no deferred revenue relating to the CRF Agreement as of December 31, 2021 and 2020. No amount was due from or to CRF under the CRF Agreement as of December 31, 2021 and 2020.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w:t>
      </w:r>
    </w:p>
    <w:p>
      <w:pPr>
        <w:spacing w:after="0" w:line="112" w:lineRule="exact"/>
        <w:rPr>
          <w:sz w:val="20"/>
          <w:szCs w:val="20"/>
          <w:color w:val="auto"/>
        </w:rPr>
      </w:pPr>
    </w:p>
    <w:p>
      <w:pPr>
        <w:ind w:right="100" w:firstLine="636"/>
        <w:spacing w:after="0" w:line="227" w:lineRule="auto"/>
        <w:rPr>
          <w:sz w:val="20"/>
          <w:szCs w:val="20"/>
          <w:color w:val="auto"/>
        </w:rPr>
      </w:pPr>
      <w:r>
        <w:rPr>
          <w:rFonts w:ascii="Arial" w:cs="Arial" w:eastAsia="Arial" w:hAnsi="Arial"/>
          <w:sz w:val="18"/>
          <w:szCs w:val="18"/>
          <w:color w:val="auto"/>
        </w:rPr>
        <w:t>In November 2017, the Company entered into a collaboration and license agreement with F. Hoffmann-La Roche Ltd and Hoffmann-La Roche Inc. (together, “Roche”) to discover and develop products containing optimized next generation AAV Vectors focused on ophthalmological diseases and disorders excluding select criteria (the “2017 Roche Agreement”). The Company and Roche both have the ability to nominate products to discover, develop and commercialize.</w:t>
      </w:r>
    </w:p>
    <w:p>
      <w:pPr>
        <w:spacing w:after="0" w:line="189" w:lineRule="exact"/>
        <w:rPr>
          <w:sz w:val="20"/>
          <w:szCs w:val="20"/>
          <w:color w:val="auto"/>
        </w:rPr>
      </w:pPr>
    </w:p>
    <w:p>
      <w:pPr>
        <w:ind w:firstLine="636"/>
        <w:spacing w:after="0" w:line="225" w:lineRule="auto"/>
        <w:rPr>
          <w:sz w:val="20"/>
          <w:szCs w:val="20"/>
          <w:color w:val="auto"/>
        </w:rPr>
      </w:pPr>
      <w:r>
        <w:rPr>
          <w:rFonts w:ascii="Arial" w:cs="Arial" w:eastAsia="Arial" w:hAnsi="Arial"/>
          <w:sz w:val="18"/>
          <w:szCs w:val="18"/>
          <w:color w:val="auto"/>
        </w:rPr>
        <w:t>At the effective date of the 2017 Roche Agreement, choroideremia was designated a Roche product class and the 4D-110 product was licensed to Roche. The Company was responsible for conducting research and development services prior to pivotal clinical studies, and Roche was responsible for conducting subsequent development and commercialization activities. In addition, Roche agreed to pay for research and development services at the agreed upon full-time employee rate for work performed for choroideremia under the 2017 Roche Agreement, and certain external costs, except for the costs associated with the manufacturing work for choroideremia.</w:t>
      </w:r>
    </w:p>
    <w:p>
      <w:pPr>
        <w:spacing w:after="0" w:line="204" w:lineRule="exact"/>
        <w:rPr>
          <w:sz w:val="20"/>
          <w:szCs w:val="20"/>
          <w:color w:val="auto"/>
        </w:rPr>
      </w:pPr>
    </w:p>
    <w:p>
      <w:pPr>
        <w:ind w:right="580" w:firstLine="636"/>
        <w:spacing w:after="0" w:line="246" w:lineRule="auto"/>
        <w:rPr>
          <w:sz w:val="20"/>
          <w:szCs w:val="20"/>
          <w:color w:val="auto"/>
        </w:rPr>
      </w:pPr>
      <w:r>
        <w:rPr>
          <w:rFonts w:ascii="Arial" w:cs="Arial" w:eastAsia="Arial" w:hAnsi="Arial"/>
          <w:sz w:val="18"/>
          <w:szCs w:val="18"/>
          <w:color w:val="auto"/>
        </w:rPr>
        <w:t>Under the 2017 Roche Agreement, Roche had an option, exercisable prior to pivotal clinical studies, to license 4D-125 (for the treatment of XLRP), which was not exercised.</w:t>
      </w:r>
    </w:p>
    <w:p>
      <w:pPr>
        <w:spacing w:after="0" w:line="183" w:lineRule="exact"/>
        <w:rPr>
          <w:sz w:val="20"/>
          <w:szCs w:val="20"/>
          <w:color w:val="auto"/>
        </w:rPr>
      </w:pPr>
    </w:p>
    <w:p>
      <w:pPr>
        <w:ind w:right="60" w:firstLine="636"/>
        <w:spacing w:after="0" w:line="223" w:lineRule="auto"/>
        <w:rPr>
          <w:sz w:val="20"/>
          <w:szCs w:val="20"/>
          <w:color w:val="auto"/>
        </w:rPr>
      </w:pPr>
      <w:r>
        <w:rPr>
          <w:rFonts w:ascii="Arial" w:cs="Arial" w:eastAsia="Arial" w:hAnsi="Arial"/>
          <w:sz w:val="18"/>
          <w:szCs w:val="18"/>
          <w:color w:val="auto"/>
        </w:rPr>
        <w:t>Pursuant to the 2017 Roche Agreement, the Company received a non-refundable upfront payment of $21.0 million as consideration. In addition, the Company was entitled to contingent payments including (i) $1.0 million for each Roche nominated product beyond the first three, (ii) up to $30.0 million upon exercise of the option to convert a product the Company nominated and developed prior to pivotal clinical studies, (iii) development milestone payments of up to $223.0 million, of which $86.0 million related to choroideremia and the rest related to other licensed products; and (iv) sales-based milestones of up to $123.0 million in connection with licensed products. Through December 31, 2021, the Company received $10.0 million for development milestone payments that are non-refundable. The 2017 Roche Agreement also included provisions that entitled the Company to receive royalty payments ranging from the mid-single digits to the mid-teens for the net sales of the licensed products, in each case subject to the reductions in accordance with the terms of the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4" w:name="page165"/>
    <w:bookmarkEnd w:id="164"/>
    <w:p>
      <w:pPr>
        <w:ind w:right="40" w:firstLine="636"/>
        <w:spacing w:after="0" w:line="223" w:lineRule="auto"/>
        <w:rPr>
          <w:sz w:val="20"/>
          <w:szCs w:val="20"/>
          <w:color w:val="auto"/>
        </w:rPr>
      </w:pPr>
      <w:r>
        <w:rPr>
          <w:rFonts w:ascii="Arial" w:cs="Arial" w:eastAsia="Arial" w:hAnsi="Arial"/>
          <w:sz w:val="18"/>
          <w:szCs w:val="18"/>
          <w:color w:val="auto"/>
        </w:rPr>
        <w:t>The Company identified a single combined performance obligation for the license, research services and participation in the JSC and concluded that Roche’s option did not represent a material right. The Company’s contract with Roche did not include a significant financing component. The Company further concluded that the transaction price should not include the variable consideration related to development milestones as they were considered to be constrained as it was probable that the inclusion of such variable consideration could result in a significant reversal of cumulative revenue in the future. The Company excluded any consideration related to sales-based milestones, including royalties, which would be recognized when the related sales occur. The transaction price and estimated period of performance are re-evaluated at each reporting period and adjusted as needed to reflect changes in the scope of the project, reimbursable expenses and other conditions affecting variable consideration.</w:t>
      </w:r>
    </w:p>
    <w:p>
      <w:pPr>
        <w:spacing w:after="0" w:line="189" w:lineRule="exact"/>
        <w:rPr>
          <w:sz w:val="20"/>
          <w:szCs w:val="20"/>
          <w:color w:val="auto"/>
        </w:rPr>
      </w:pPr>
    </w:p>
    <w:p>
      <w:pPr>
        <w:ind w:right="40" w:firstLine="636"/>
        <w:spacing w:after="0" w:line="222" w:lineRule="auto"/>
        <w:rPr>
          <w:sz w:val="20"/>
          <w:szCs w:val="20"/>
          <w:color w:val="auto"/>
        </w:rPr>
      </w:pPr>
      <w:r>
        <w:rPr>
          <w:rFonts w:ascii="Arial" w:cs="Arial" w:eastAsia="Arial" w:hAnsi="Arial"/>
          <w:sz w:val="18"/>
          <w:szCs w:val="18"/>
          <w:color w:val="auto"/>
        </w:rPr>
        <w:t>In June 2021, the Company received from Roche notice of termination without cause of the 2017 Roche Agreement. The licenses granted by the Company to Roche under the 2017 Roche Agreement terminated in their entirety on September 16, 2021. Therefore, as of September 16, 2021, Roche no longer has a license for 4D-110 for the treatment of choroideremia or any other product class, and the Company is no longer entitled to receive any further milestones or royalties from Roche. In July 2021, the Company notified Roche of the Company’s election to continue development of choroideremia. As a result, in accordance with the terms of the agreement, all rights to 4D-110 data and intellectual property generated under the collaboration reverted to the Company. Under the 2017 Roche Agreement, if the Company is required to initiate a new Phase 1/2a clinical trial for 4D-110, the Company would not owe any royalty to Roche on net sales of 4D-110. If, however, the Company moves directly to a pivotal trial of 4D-110, without first being required to conduct a new Phase 1/2a clinical trial, the Company must pay Roche a mid-single digits percentage royalty on the net sales of 4D-110.</w:t>
      </w:r>
    </w:p>
    <w:p>
      <w:pPr>
        <w:spacing w:after="0" w:line="194" w:lineRule="exact"/>
        <w:rPr>
          <w:sz w:val="20"/>
          <w:szCs w:val="20"/>
          <w:color w:val="auto"/>
        </w:rPr>
      </w:pPr>
    </w:p>
    <w:p>
      <w:pPr>
        <w:ind w:firstLine="636"/>
        <w:spacing w:after="0" w:line="223" w:lineRule="auto"/>
        <w:rPr>
          <w:sz w:val="20"/>
          <w:szCs w:val="20"/>
          <w:color w:val="auto"/>
        </w:rPr>
      </w:pPr>
      <w:r>
        <w:rPr>
          <w:rFonts w:ascii="Arial" w:cs="Arial" w:eastAsia="Arial" w:hAnsi="Arial"/>
          <w:sz w:val="18"/>
          <w:szCs w:val="18"/>
          <w:color w:val="auto"/>
        </w:rPr>
        <w:t>As a result of the termination of the 2017 Roche Agreement, an adjustment of $8.7 million was made to the transaction price to reflect the decrease in reimbursable costs for the year ended December 31, 2021. The decrease in the transaction price and total budgeted costs for the remaining performance obligation resulted in an $11.1 million increase in revenue recognized in the year ended December 31, 2021 related to the performance obligation partially satisfied prior to January 1, 2021. For the year ended December 31, 2020, an adjustment of $17.0 million was made to the transaction price to reflect an increase of $7.0 million in the scope of the project and expected reimbursable costs and the addition of $10.0 million of variable consideration as the uncertainty associated with two development milestones was resolved. The adjustments to the transaction price and total budgeted costs in 2020 resulted in a $4.6 million increase in revenue recognized in the year ended December 31, 2020 related to performance obligations partially satisfied in periods prior to January 1, 2020.</w:t>
      </w:r>
    </w:p>
    <w:p>
      <w:pPr>
        <w:spacing w:after="0" w:line="203" w:lineRule="exact"/>
        <w:rPr>
          <w:sz w:val="20"/>
          <w:szCs w:val="20"/>
          <w:color w:val="auto"/>
        </w:rPr>
      </w:pPr>
    </w:p>
    <w:p>
      <w:pPr>
        <w:ind w:right="300" w:firstLine="636"/>
        <w:spacing w:after="0" w:line="238" w:lineRule="auto"/>
        <w:rPr>
          <w:sz w:val="20"/>
          <w:szCs w:val="20"/>
          <w:color w:val="auto"/>
        </w:rPr>
      </w:pPr>
      <w:r>
        <w:rPr>
          <w:rFonts w:ascii="Arial" w:cs="Arial" w:eastAsia="Arial" w:hAnsi="Arial"/>
          <w:sz w:val="18"/>
          <w:szCs w:val="18"/>
          <w:color w:val="auto"/>
        </w:rPr>
        <w:t>During the years ended December 31, 2021 and 2020, the Company recognized revenue of $17.2 million and $12.9 million from Roche, respectively. As of December 31, 2021 and 2020, deferred revenue relating to the Roche Agreement was $0.0 million and $14.3 million, respectively. Accounts receivable from Roche under this agreement as of December 31, 2021 and 2020 was $0.0 million and $1.1 million, respectively. As of December 31, 2021 and 2020, the aggregate amount of the transaction price allocated to the remaining performance obligation was $0.0 million and $25.8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CFF</w:t>
      </w:r>
    </w:p>
    <w:p>
      <w:pPr>
        <w:spacing w:after="0" w:line="126"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In September 2016, the Company entered into an award agreement for the Optimized Adeno-Associated Virus for Lung Epithelia Gene Delivery Development Program with CFF, a non -profit organization dedicated to finding a cure for cystic fibrosis, an inherited disorder that causes disease in the pulmonary airways leading to morbidity and mortality. Under this agreement, CFF contributes funding to help advance the Company’s CF research program. The agreement was subsequently amended in September 2017, August 2018 and February 2021 (all four agreements are collectively referred to as the “CFF Agreement”). The total amount of the award under the CFF Agreement is $3.5 million. As of December 31, 2021 and 2020, the Company achieved milestones totaling $1.8 million and $1.3 million under the CFF Agreement, respectively. The remaining award amount will be paid by CFF based on achievement of certain development milestones by the Company.</w:t>
      </w:r>
    </w:p>
    <w:p>
      <w:pPr>
        <w:spacing w:after="0" w:line="20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The Company expects to make payments to CFF equal to six times the actual award received by the Company in three installments within the first four years of the first commercial sale of a product developed under this agreement. The Company also has agreed to make future sales-based milestone payments to CFF of up to three 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 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p>
    <w:p>
      <w:pPr>
        <w:spacing w:after="0" w:line="207" w:lineRule="exact"/>
        <w:rPr>
          <w:sz w:val="20"/>
          <w:szCs w:val="20"/>
          <w:color w:val="auto"/>
        </w:rPr>
      </w:pPr>
    </w:p>
    <w:p>
      <w:pPr>
        <w:ind w:right="120" w:firstLine="636"/>
        <w:spacing w:after="0" w:line="246" w:lineRule="auto"/>
        <w:rPr>
          <w:sz w:val="20"/>
          <w:szCs w:val="20"/>
          <w:color w:val="auto"/>
        </w:rPr>
      </w:pPr>
      <w:r>
        <w:rPr>
          <w:rFonts w:ascii="Arial" w:cs="Arial" w:eastAsia="Arial" w:hAnsi="Arial"/>
          <w:sz w:val="18"/>
          <w:szCs w:val="18"/>
          <w:color w:val="auto"/>
        </w:rPr>
        <w:t>To date, the Company has not developed a commercial product in connection with the CFF Agreement, and it has not licensed, sold or otherwise transferred to another party the product developed under the CFF Agreement or the underlying technology.</w:t>
      </w:r>
    </w:p>
    <w:p>
      <w:pPr>
        <w:spacing w:after="0" w:line="197"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If at any time prior to the first commercial sale of a product developed as a result of the CFF Agreement, the Company ceases to use commercially reasonable efforts to develop or commercialize any product under the CFF Agreement for a continuous period of 180 consecutive days and fails to present a reasonable plan to resume commercially reasonable efforts, the Company will grant to CFF an irrevocable, exclusive worldwide interruption license under all of the Company’s interest in the research plan technology to exploit such product. Any third-party license granted by the Company shall be subject to such interruption license.</w:t>
      </w:r>
    </w:p>
    <w:p>
      <w:pPr>
        <w:spacing w:after="0" w:line="202" w:lineRule="exact"/>
        <w:rPr>
          <w:sz w:val="20"/>
          <w:szCs w:val="20"/>
          <w:color w:val="auto"/>
        </w:rPr>
      </w:pPr>
    </w:p>
    <w:p>
      <w:pPr>
        <w:ind w:right="420" w:firstLine="636"/>
        <w:spacing w:after="0" w:line="246" w:lineRule="auto"/>
        <w:rPr>
          <w:sz w:val="20"/>
          <w:szCs w:val="20"/>
          <w:color w:val="auto"/>
        </w:rPr>
      </w:pPr>
      <w:r>
        <w:rPr>
          <w:rFonts w:ascii="Arial" w:cs="Arial" w:eastAsia="Arial" w:hAnsi="Arial"/>
          <w:sz w:val="18"/>
          <w:szCs w:val="18"/>
          <w:color w:val="auto"/>
        </w:rPr>
        <w:t>Under ASC 606, the Company identified one performance obligation within the CFF grant agreement for research activities. The Company’s contract with CFF does not include a significant financing component.</w:t>
      </w:r>
    </w:p>
    <w:p>
      <w:pPr>
        <w:spacing w:after="0" w:line="197"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 For the year ended December 31, 2021, an adjustment of $0.5 million was made to the transaction price to reflect the achievement of the fourth milestone related to demonstrating GFP expression and determining a cell specific expression profile in human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and NHP upper airway ALI cultures following apical transduction under the CFF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66" w:name="page167"/>
    <w:bookmarkEnd w:id="166"/>
    <w:p>
      <w:pPr>
        <w:ind w:right="40" w:firstLine="636"/>
        <w:spacing w:after="0" w:line="259" w:lineRule="auto"/>
        <w:rPr>
          <w:sz w:val="20"/>
          <w:szCs w:val="20"/>
          <w:color w:val="auto"/>
        </w:rPr>
      </w:pPr>
      <w:r>
        <w:rPr>
          <w:rFonts w:ascii="Arial" w:cs="Arial" w:eastAsia="Arial" w:hAnsi="Arial"/>
          <w:sz w:val="17"/>
          <w:szCs w:val="17"/>
          <w:color w:val="auto"/>
        </w:rPr>
        <w:t>During the years ended December 31, 2021 and 2020, the Company recognized revenue of $0.1 million and $(0.1) million, respectively. As of December 31, 2021 and 2020, deferred revenue relating to the CFF Agreement was $1.4 million and $1.1 million, respectively. Accounts receivable from CFF under the CFF Agreement as of December 31, 2021 and 2020 was $0.0 million and $0.4 million,</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respectively. As of December 31, 2021 and 2020, the aggregate amount of the transaction price allocated to the remaining performance obligation was $1.4 million and $1.1 million, respectively. Based on current timelines, the deferred revenue is expected to be recognized as revenue over the next three to four years as the Company performs research services through the completion of IND-enabling studies.</w:t>
      </w:r>
    </w:p>
    <w:p>
      <w:pPr>
        <w:spacing w:after="0" w:line="195" w:lineRule="exact"/>
        <w:rPr>
          <w:sz w:val="20"/>
          <w:szCs w:val="20"/>
          <w:color w:val="auto"/>
        </w:rPr>
      </w:pPr>
    </w:p>
    <w:p>
      <w:pPr>
        <w:ind w:right="60" w:firstLine="636"/>
        <w:spacing w:after="0" w:line="246" w:lineRule="auto"/>
        <w:rPr>
          <w:sz w:val="20"/>
          <w:szCs w:val="20"/>
          <w:color w:val="auto"/>
        </w:rPr>
      </w:pPr>
      <w:r>
        <w:rPr>
          <w:rFonts w:ascii="Arial" w:cs="Arial" w:eastAsia="Arial" w:hAnsi="Arial"/>
          <w:sz w:val="18"/>
          <w:szCs w:val="18"/>
          <w:color w:val="auto"/>
        </w:rPr>
        <w:t>The obligation to make payments to CFF upon a change of control meets the definition of an embedded derivative that is required to be bifurcated and separately accounted for as a derivative liability. See Note 16 for further discussion of the embedded derivative.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License Arrangements</w:t>
      </w:r>
    </w:p>
    <w:p>
      <w:pPr>
        <w:spacing w:after="0" w:line="126"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 upon execution, (ii) a non-refundable license fee of $5,000 each year thereafter, until sales of a licensed product are made and royalties are paid to the UC Regents, (iii) reimbursement of domestic and foreign patent filing, prosecution and maintenance fees, and (iv) either $50,000 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an agreement with the UC Regents executed in January 2019 the Company paid a non-refundable license fee of</w:t>
      </w:r>
    </w:p>
    <w:p>
      <w:pPr>
        <w:spacing w:after="0" w:line="234" w:lineRule="auto"/>
        <w:rPr>
          <w:sz w:val="20"/>
          <w:szCs w:val="20"/>
          <w:color w:val="auto"/>
        </w:rPr>
      </w:pPr>
      <w:r>
        <w:rPr>
          <w:rFonts w:ascii="Arial" w:cs="Arial" w:eastAsia="Arial" w:hAnsi="Arial"/>
          <w:sz w:val="18"/>
          <w:szCs w:val="18"/>
          <w:color w:val="auto"/>
        </w:rPr>
        <w:t>$50,000 to the UC Regents upon execution of the agreement. The Company is obligated to pay a non-refundable license fee of $5,000 on</w:t>
      </w:r>
    </w:p>
    <w:p>
      <w:pPr>
        <w:spacing w:after="0" w:line="235" w:lineRule="auto"/>
        <w:rPr>
          <w:sz w:val="20"/>
          <w:szCs w:val="20"/>
          <w:color w:val="auto"/>
        </w:rPr>
      </w:pPr>
      <w:r>
        <w:rPr>
          <w:rFonts w:ascii="Arial" w:cs="Arial" w:eastAsia="Arial" w:hAnsi="Arial"/>
          <w:sz w:val="18"/>
          <w:szCs w:val="18"/>
          <w:color w:val="auto"/>
        </w:rPr>
        <w:t>the one-year anniversary of the contract effective date and each year thereafter, until sales of a licensed product are made and royalties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paid to the UC Regents.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Company is obligated to make certain contingent payments including (i) development milestones up to $3.1 million,</w:t>
      </w:r>
    </w:p>
    <w:p>
      <w:pPr>
        <w:ind w:right="20" w:firstLine="8"/>
        <w:spacing w:after="0" w:line="238" w:lineRule="auto"/>
        <w:tabs>
          <w:tab w:leader="none" w:pos="2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low single digit royalties on the net sales of its developed products that consists of a minimum annual royalty of up to $0.1 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July 2021, the Company entered into an exclusive license agreement with the UC Regents and the Trustees of the University</w:t>
      </w:r>
    </w:p>
    <w:p>
      <w:pPr>
        <w:spacing w:after="0" w:line="234" w:lineRule="auto"/>
        <w:rPr>
          <w:sz w:val="20"/>
          <w:szCs w:val="20"/>
          <w:color w:val="auto"/>
        </w:rPr>
      </w:pPr>
      <w:r>
        <w:rPr>
          <w:rFonts w:ascii="Arial" w:cs="Arial" w:eastAsia="Arial" w:hAnsi="Arial"/>
          <w:sz w:val="18"/>
          <w:szCs w:val="18"/>
          <w:color w:val="auto"/>
        </w:rPr>
        <w:t>Pennsylvania to license intellectual property related to certain vectors. In July 2021, the Company paid a non-refundable license fee of</w:t>
      </w:r>
    </w:p>
    <w:p>
      <w:pPr>
        <w:spacing w:after="0" w:line="235" w:lineRule="auto"/>
        <w:rPr>
          <w:sz w:val="20"/>
          <w:szCs w:val="20"/>
          <w:color w:val="auto"/>
        </w:rPr>
      </w:pPr>
      <w:r>
        <w:rPr>
          <w:rFonts w:ascii="Arial" w:cs="Arial" w:eastAsia="Arial" w:hAnsi="Arial"/>
          <w:sz w:val="18"/>
          <w:szCs w:val="18"/>
          <w:color w:val="auto"/>
        </w:rPr>
        <w:t>$100,000 to the UC Regents upon execution of the agreement. The Company is obligated to pay a non-refundable license maintenance fee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$10,000 on the one-year anniversary of the contract effective date and each year thereafter, except years for which the Company has paid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royalties on the net sales of a licensed product. In addition, the Company is obligated to make certain contingent payments including (i)</w:t>
      </w:r>
    </w:p>
    <w:p>
      <w:pPr>
        <w:spacing w:after="0" w:line="234" w:lineRule="auto"/>
        <w:rPr>
          <w:sz w:val="20"/>
          <w:szCs w:val="20"/>
          <w:color w:val="auto"/>
        </w:rPr>
      </w:pPr>
      <w:r>
        <w:rPr>
          <w:rFonts w:ascii="Arial" w:cs="Arial" w:eastAsia="Arial" w:hAnsi="Arial"/>
          <w:sz w:val="18"/>
          <w:szCs w:val="18"/>
          <w:color w:val="auto"/>
        </w:rPr>
        <w:t>development milestones up to $3.9 million, (ii) low single digit percentage rate royalties on the net sales of its licensed products that consists</w:t>
      </w:r>
    </w:p>
    <w:p>
      <w:pPr>
        <w:spacing w:after="0" w:line="235" w:lineRule="auto"/>
        <w:rPr>
          <w:sz w:val="20"/>
          <w:szCs w:val="20"/>
          <w:color w:val="auto"/>
        </w:rPr>
      </w:pPr>
      <w:r>
        <w:rPr>
          <w:rFonts w:ascii="Arial" w:cs="Arial" w:eastAsia="Arial" w:hAnsi="Arial"/>
          <w:sz w:val="18"/>
          <w:szCs w:val="18"/>
          <w:color w:val="auto"/>
        </w:rPr>
        <w:t>of a minimum annual royalty of up to $0.1 million per year for the term of the Agreement beginning in the first calendar year after the year in</w:t>
      </w:r>
    </w:p>
    <w:p>
      <w:pPr>
        <w:spacing w:after="0" w:line="235" w:lineRule="auto"/>
        <w:rPr>
          <w:sz w:val="20"/>
          <w:szCs w:val="20"/>
          <w:color w:val="auto"/>
        </w:rPr>
      </w:pPr>
      <w:r>
        <w:rPr>
          <w:rFonts w:ascii="Arial" w:cs="Arial" w:eastAsia="Arial" w:hAnsi="Arial"/>
          <w:sz w:val="18"/>
          <w:szCs w:val="18"/>
          <w:color w:val="auto"/>
        </w:rPr>
        <w:t>which net sales first occurred and (iii) sublicense consideration in the mid-single digits to the low twenties percentage rate range on any</w:t>
      </w:r>
    </w:p>
    <w:p>
      <w:pPr>
        <w:spacing w:after="0"/>
        <w:rPr>
          <w:sz w:val="20"/>
          <w:szCs w:val="20"/>
          <w:color w:val="auto"/>
        </w:rPr>
      </w:pPr>
      <w:r>
        <w:rPr>
          <w:rFonts w:ascii="Arial" w:cs="Arial" w:eastAsia="Arial" w:hAnsi="Arial"/>
          <w:sz w:val="18"/>
          <w:szCs w:val="18"/>
          <w:color w:val="auto"/>
        </w:rPr>
        <w:t>future sublicensing arrangements the Company may enter into with third-party licensees.</w:t>
      </w:r>
    </w:p>
    <w:p>
      <w:pPr>
        <w:spacing w:after="0" w:line="212"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During the years ended December 31, 2021 and 2020, the Company incurred expenses of $0.3 million and $0.2 million, respectively, under the provisions of the outstanding license arrangements.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67" w:name="page168"/>
    <w:bookmarkEnd w:id="167"/>
    <w:p>
      <w:pPr>
        <w:ind w:right="8160" w:firstLine="8"/>
        <w:spacing w:after="0" w:line="394" w:lineRule="auto"/>
        <w:tabs>
          <w:tab w:leader="none" w:pos="200" w:val="left"/>
        </w:tabs>
        <w:numPr>
          <w:ilvl w:val="0"/>
          <w:numId w:val="7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b w:val="1"/>
          <w:bCs w:val="1"/>
          <w:color w:val="auto"/>
        </w:rPr>
        <w:t>Operating Lease Commitments</w:t>
      </w:r>
    </w:p>
    <w:p>
      <w:pPr>
        <w:spacing w:after="0" w:line="1"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Prior to the adoption of ASC 842, the Company recognized rent expense for its operating leases on a straight-line basis over the noncancelable lease term and recorded the difference between rent payments and the straight-line rent expense was recorded as a deferred rent liability. As of December 31, 2020, the Company performed an evaluation of its other contracts with customers and suppliers in accordance with ASC 842 and determined that, except for the leases described below, none of the Company’s contracts contain a material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5980 Horton Street Building Lease</w:t>
      </w:r>
    </w:p>
    <w:p>
      <w:pPr>
        <w:spacing w:after="0" w:line="122" w:lineRule="exact"/>
        <w:rPr>
          <w:sz w:val="20"/>
          <w:szCs w:val="20"/>
          <w:color w:val="auto"/>
        </w:rPr>
      </w:pPr>
    </w:p>
    <w:p>
      <w:pPr>
        <w:ind w:right="240" w:firstLine="636"/>
        <w:spacing w:after="0" w:line="238" w:lineRule="auto"/>
        <w:rPr>
          <w:sz w:val="20"/>
          <w:szCs w:val="20"/>
          <w:color w:val="auto"/>
        </w:rPr>
      </w:pPr>
      <w:r>
        <w:rPr>
          <w:rFonts w:ascii="Arial" w:cs="Arial" w:eastAsia="Arial" w:hAnsi="Arial"/>
          <w:sz w:val="18"/>
          <w:szCs w:val="18"/>
          <w:color w:val="auto"/>
        </w:rPr>
        <w:t>In May 2015, the Company executed a lease agreement for office and laboratory space in Emeryville, California. In January 2016, the Company executed the first amendment to the lease agreement for additional rentable office and laboratory space which extended the lease term to March 31, 2023 and updated the option to renew the lease at market rent from the prior additional term of three years to five years. In October 2018, the Company executed a second amendment to extend the lease to September 2026. Additionally, the second amendment provided a tenant improvement allowance of $0.2 million, which was paid to the Company in November 2018.</w:t>
      </w:r>
    </w:p>
    <w:p>
      <w:pPr>
        <w:spacing w:after="0" w:line="202"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The 5980 Horton Street Building Lease is considered an operating lease under ASC 842 as it does not meet the criteria of a finance lease. As of December 31, 2021, the operating lease right-of-use asset and operating lease liability was $1.9 million and $2.3 million, respectively. The discount rate used to determine the lease liability was 7.5%.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5858 Horton Street Building Lease and Expansion</w:t>
      </w:r>
    </w:p>
    <w:p>
      <w:pPr>
        <w:spacing w:after="0" w:line="230"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In October 2018, the Company executed a second lease agreement for additional office and laboratory space in Emeryville, California. The new lease has an initial term of 87 months beginning on the rent commencement date with the option to renew the lease for one additional term of five years at market rent. The Company did not have to pay rent until October 2019. This lease agreement also provided for a tenant improvement allowance of $0.4 million, which was paid to the Company in December 2019. The Company amortizes the tenant improvement allowance on a straight-line basis over the remaining term of the lease as a reduction of rent expense.</w:t>
      </w:r>
    </w:p>
    <w:p>
      <w:pPr>
        <w:spacing w:after="0" w:line="20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In May 2019, the Company amended the second lease agreement executed in October 2018 to add additional office and laboratory space (the "Expansion"). The amendment extended the term of the lease to December 31, 2029. The Company did not have to pay rent until December 2019. The lease agreement also included a tenant improvement allowance, which was increased to $2.3 million in February 2021 pursuant to a second amendment to the second lease agreement. In November 2021, the Company received the first installment of this tenant improvement allowance of $0.6 million. The tenant improvement allowance funds improvements to the additional office and laboratory space, which the Company has determined to be lessee owned. The allowance is treated as a reduction of lease payments used to measure the lease liability.</w:t>
      </w:r>
    </w:p>
    <w:p>
      <w:pPr>
        <w:spacing w:after="0" w:line="203"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5858 Horton Street Building Lease and Expansion is considered an operating lease under ASC 842 as it does not meet the criteria of a finance lease. As of December 31, 2021, the operating lease right-of-use asset and operating lease liability was $12.6 million and $14.2 million, respectively. The discount rate used to determine the lease liability was 7.8%.</w:t>
      </w:r>
    </w:p>
    <w:p>
      <w:pPr>
        <w:spacing w:after="0" w:line="203" w:lineRule="exact"/>
        <w:rPr>
          <w:sz w:val="20"/>
          <w:szCs w:val="20"/>
          <w:color w:val="auto"/>
        </w:rPr>
      </w:pPr>
    </w:p>
    <w:p>
      <w:pPr>
        <w:ind w:right="600" w:firstLine="636"/>
        <w:spacing w:after="0" w:line="246" w:lineRule="auto"/>
        <w:rPr>
          <w:sz w:val="20"/>
          <w:szCs w:val="20"/>
          <w:color w:val="auto"/>
        </w:rPr>
      </w:pPr>
      <w:r>
        <w:rPr>
          <w:rFonts w:ascii="Arial" w:cs="Arial" w:eastAsia="Arial" w:hAnsi="Arial"/>
          <w:sz w:val="18"/>
          <w:szCs w:val="18"/>
          <w:color w:val="auto"/>
        </w:rPr>
        <w:t>Total operating lease expense for the year ended December 31, 2021 was $2.6 million. Cash paid for amounts included in the measurement of lease liabilities was $2.3 million for the year ended December 31, 2021.</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of the leases include a general option for the Company to terminate the leases.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68" w:name="page169"/>
    <w:bookmarkEnd w:id="168"/>
    <w:p>
      <w:pPr>
        <w:ind w:right="420" w:firstLine="636"/>
        <w:spacing w:after="0" w:line="246" w:lineRule="auto"/>
        <w:rPr>
          <w:sz w:val="20"/>
          <w:szCs w:val="20"/>
          <w:color w:val="auto"/>
        </w:rPr>
      </w:pPr>
      <w:r>
        <w:rPr>
          <w:rFonts w:ascii="Arial" w:cs="Arial" w:eastAsia="Arial" w:hAnsi="Arial"/>
          <w:sz w:val="18"/>
          <w:szCs w:val="18"/>
          <w:color w:val="auto"/>
        </w:rPr>
        <w:t>The following table summarizes the components of lease expense for the year ended December 31, 2021, which are included in operating expenses in the Company’s statements of operations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FF0FC"/>
          </w:tcPr>
          <w:p>
            <w:pPr>
              <w:spacing w:after="0"/>
              <w:rPr>
                <w:sz w:val="17"/>
                <w:szCs w:val="17"/>
                <w:color w:val="auto"/>
              </w:rPr>
            </w:pPr>
          </w:p>
        </w:tc>
      </w:tr>
      <w:tr>
        <w:trPr>
          <w:trHeight w:val="203"/>
        </w:trPr>
        <w:tc>
          <w:tcPr>
            <w:tcW w:w="868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w:t>
            </w:r>
          </w:p>
        </w:tc>
        <w:tc>
          <w:tcPr>
            <w:tcW w:w="80" w:type="dxa"/>
            <w:vAlign w:val="bottom"/>
          </w:tcPr>
          <w:p>
            <w:pPr>
              <w:spacing w:after="0"/>
              <w:rPr>
                <w:sz w:val="17"/>
                <w:szCs w:val="17"/>
                <w:color w:val="auto"/>
              </w:rPr>
            </w:pPr>
          </w:p>
        </w:tc>
      </w:tr>
      <w:tr>
        <w:trPr>
          <w:trHeight w:val="236"/>
        </w:trPr>
        <w:tc>
          <w:tcPr>
            <w:tcW w:w="8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both"/>
        <w:ind w:right="100" w:firstLine="636"/>
        <w:spacing w:after="0" w:line="246" w:lineRule="auto"/>
        <w:rPr>
          <w:sz w:val="20"/>
          <w:szCs w:val="20"/>
          <w:color w:val="auto"/>
        </w:rPr>
      </w:pPr>
      <w:r>
        <w:rPr>
          <w:rFonts w:ascii="Arial" w:cs="Arial" w:eastAsia="Arial" w:hAnsi="Arial"/>
          <w:sz w:val="18"/>
          <w:szCs w:val="18"/>
          <w:color w:val="auto"/>
        </w:rPr>
        <w:t>Variable lease payments include amounts relating to common area maintenance and are recognized in the statements of operations as incurred.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supplemental information related to operating leases for the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9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7"/>
                <w:szCs w:val="17"/>
                <w:color w:val="auto"/>
              </w:rPr>
            </w:pPr>
          </w:p>
        </w:tc>
      </w:tr>
      <w:tr>
        <w:trPr>
          <w:trHeight w:val="217"/>
        </w:trPr>
        <w:tc>
          <w:tcPr>
            <w:tcW w:w="4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ind w:left="900"/>
              <w:spacing w:after="0"/>
              <w:rPr>
                <w:sz w:val="20"/>
                <w:szCs w:val="20"/>
                <w:color w:val="auto"/>
              </w:rPr>
            </w:pPr>
            <w:r>
              <w:rPr>
                <w:rFonts w:ascii="Arial" w:cs="Arial" w:eastAsia="Arial" w:hAnsi="Arial"/>
                <w:sz w:val="18"/>
                <w:szCs w:val="18"/>
                <w:color w:val="auto"/>
                <w:w w:val="91"/>
              </w:rPr>
              <w:t>7.8 %</w:t>
            </w:r>
          </w:p>
        </w:tc>
        <w:tc>
          <w:tcPr>
            <w:tcW w:w="100" w:type="dxa"/>
            <w:vAlign w:val="bottom"/>
          </w:tcPr>
          <w:p>
            <w:pPr>
              <w:spacing w:after="0"/>
              <w:rPr>
                <w:sz w:val="18"/>
                <w:szCs w:val="18"/>
                <w:color w:val="auto"/>
              </w:rPr>
            </w:pPr>
          </w:p>
        </w:tc>
      </w:tr>
      <w:tr>
        <w:trPr>
          <w:trHeight w:val="418"/>
        </w:trPr>
        <w:tc>
          <w:tcPr>
            <w:tcW w:w="9800" w:type="dxa"/>
            <w:vAlign w:val="bottom"/>
            <w:gridSpan w:val="3"/>
          </w:tcPr>
          <w:p>
            <w:pPr>
              <w:ind w:left="640"/>
              <w:spacing w:after="0"/>
              <w:rPr>
                <w:sz w:val="20"/>
                <w:szCs w:val="20"/>
                <w:color w:val="auto"/>
              </w:rPr>
            </w:pPr>
            <w:r>
              <w:rPr>
                <w:rFonts w:ascii="Arial" w:cs="Arial" w:eastAsia="Arial" w:hAnsi="Arial"/>
                <w:sz w:val="18"/>
                <w:szCs w:val="18"/>
                <w:color w:val="auto"/>
              </w:rPr>
              <w:t>The following table summarizes the maturities of lease liabilities as of December 31, 2021 (in thousands):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7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5040" w:type="dxa"/>
            <w:vAlign w:val="bottom"/>
            <w:gridSpan w:val="2"/>
            <w:shd w:val="clear" w:color="auto" w:fill="CFF0FC"/>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100" w:type="dxa"/>
            <w:vAlign w:val="bottom"/>
          </w:tcPr>
          <w:p>
            <w:pPr>
              <w:spacing w:after="0"/>
              <w:rPr>
                <w:sz w:val="17"/>
                <w:szCs w:val="17"/>
                <w:color w:val="auto"/>
              </w:rPr>
            </w:pP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9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3,244</w:t>
            </w:r>
          </w:p>
        </w:tc>
        <w:tc>
          <w:tcPr>
            <w:tcW w:w="100" w:type="dxa"/>
            <w:vAlign w:val="bottom"/>
          </w:tcPr>
          <w:p>
            <w:pPr>
              <w:spacing w:after="0"/>
              <w:rPr>
                <w:sz w:val="17"/>
                <w:szCs w:val="17"/>
                <w:color w:val="auto"/>
              </w:rPr>
            </w:pP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9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3,135</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9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8,686</w:t>
            </w:r>
          </w:p>
        </w:tc>
        <w:tc>
          <w:tcPr>
            <w:tcW w:w="100" w:type="dxa"/>
            <w:vAlign w:val="bottom"/>
          </w:tcPr>
          <w:p>
            <w:pPr>
              <w:spacing w:after="0"/>
              <w:rPr>
                <w:sz w:val="17"/>
                <w:szCs w:val="17"/>
                <w:color w:val="auto"/>
              </w:rPr>
            </w:pPr>
          </w:p>
        </w:tc>
      </w:tr>
      <w:tr>
        <w:trPr>
          <w:trHeight w:val="196"/>
        </w:trPr>
        <w:tc>
          <w:tcPr>
            <w:tcW w:w="47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future minimum lease payments</w:t>
            </w:r>
          </w:p>
        </w:tc>
        <w:tc>
          <w:tcPr>
            <w:tcW w:w="39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22,502</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(6,054 )</w:t>
            </w:r>
          </w:p>
        </w:tc>
      </w:tr>
      <w:tr>
        <w:trPr>
          <w:trHeight w:val="196"/>
        </w:trPr>
        <w:tc>
          <w:tcPr>
            <w:tcW w:w="47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39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16,448</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 of operating lease liabilities</w:t>
            </w:r>
          </w:p>
        </w:tc>
        <w:tc>
          <w:tcPr>
            <w:tcW w:w="39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1,231</w:t>
            </w:r>
          </w:p>
        </w:tc>
        <w:tc>
          <w:tcPr>
            <w:tcW w:w="100" w:type="dxa"/>
            <w:vAlign w:val="bottom"/>
          </w:tcPr>
          <w:p>
            <w:pPr>
              <w:spacing w:after="0"/>
              <w:rPr>
                <w:sz w:val="17"/>
                <w:szCs w:val="17"/>
                <w:color w:val="auto"/>
              </w:rPr>
            </w:pPr>
          </w:p>
        </w:tc>
      </w:tr>
      <w:tr>
        <w:trPr>
          <w:trHeight w:val="236"/>
        </w:trPr>
        <w:tc>
          <w:tcPr>
            <w:tcW w:w="4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portion of operating lease liabilities</w:t>
            </w:r>
          </w:p>
        </w:tc>
        <w:tc>
          <w:tcPr>
            <w:tcW w:w="39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4760" w:type="dxa"/>
            <w:vAlign w:val="bottom"/>
          </w:tcPr>
          <w:p>
            <w:pPr>
              <w:spacing w:after="0"/>
              <w:rPr>
                <w:sz w:val="24"/>
                <w:szCs w:val="24"/>
                <w:color w:val="auto"/>
              </w:rPr>
            </w:pPr>
          </w:p>
        </w:tc>
        <w:tc>
          <w:tcPr>
            <w:tcW w:w="5040" w:type="dxa"/>
            <w:vAlign w:val="bottom"/>
            <w:gridSpan w:val="2"/>
          </w:tcPr>
          <w:p>
            <w:pPr>
              <w:jc w:val="right"/>
              <w:ind w:right="3910"/>
              <w:spacing w:after="0"/>
              <w:rPr>
                <w:sz w:val="20"/>
                <w:szCs w:val="20"/>
                <w:color w:val="auto"/>
              </w:rPr>
            </w:pPr>
            <w:r>
              <w:rPr>
                <w:rFonts w:ascii="Arial" w:cs="Arial" w:eastAsia="Arial" w:hAnsi="Arial"/>
                <w:sz w:val="18"/>
                <w:szCs w:val="18"/>
                <w:color w:val="auto"/>
              </w:rPr>
              <w:t>F-27</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76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right="100" w:firstLine="644"/>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 There are no material legal proceedings outstanding at December 31, 2021. See Note 14 for details of a settlement with a former employee in April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Income Taxes</w:t>
      </w:r>
    </w:p>
    <w:p>
      <w:pPr>
        <w:spacing w:after="0" w:line="126" w:lineRule="exact"/>
        <w:rPr>
          <w:sz w:val="20"/>
          <w:szCs w:val="20"/>
          <w:color w:val="auto"/>
        </w:rPr>
      </w:pPr>
    </w:p>
    <w:p>
      <w:pPr>
        <w:ind w:right="280" w:firstLine="636"/>
        <w:spacing w:after="0"/>
        <w:rPr>
          <w:sz w:val="20"/>
          <w:szCs w:val="20"/>
          <w:color w:val="auto"/>
        </w:rPr>
      </w:pPr>
      <w:r>
        <w:rPr>
          <w:rFonts w:ascii="Arial" w:cs="Arial" w:eastAsia="Arial" w:hAnsi="Arial"/>
          <w:sz w:val="18"/>
          <w:szCs w:val="18"/>
          <w:color w:val="auto"/>
        </w:rPr>
        <w:t>The Company did not record any income tax expense during the years ended December 31, 2021 and 2020.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effective tax rate of the Company’s income tax expense (benefit) differs from the federal statutory rate as follows:</w:t>
      </w:r>
    </w:p>
    <w:p>
      <w:pPr>
        <w:spacing w:after="0" w:line="253"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17780</wp:posOffset>
            </wp:positionV>
            <wp:extent cx="2297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gridSpan w:val="2"/>
          </w:tcPr>
          <w:p>
            <w:pPr>
              <w:ind w:left="7960"/>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6"/>
                <w:szCs w:val="16"/>
                <w:color w:val="auto"/>
              </w:rPr>
            </w:pPr>
          </w:p>
        </w:tc>
        <w:tc>
          <w:tcPr>
            <w:tcW w:w="1880" w:type="dxa"/>
            <w:vAlign w:val="bottom"/>
            <w:gridSpan w:val="2"/>
          </w:tcPr>
          <w:p>
            <w:pPr>
              <w:jc w:val="right"/>
              <w:ind w:right="79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8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21.0 %</w:t>
            </w:r>
          </w:p>
        </w:tc>
        <w:tc>
          <w:tcPr>
            <w:tcW w:w="16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21.0 %</w:t>
            </w:r>
          </w:p>
        </w:tc>
        <w:tc>
          <w:tcPr>
            <w:tcW w:w="180" w:type="dxa"/>
            <w:vAlign w:val="bottom"/>
            <w:shd w:val="clear" w:color="auto" w:fill="CFF0FC"/>
          </w:tcPr>
          <w:p>
            <w:pPr>
              <w:spacing w:after="0"/>
              <w:rPr>
                <w:sz w:val="17"/>
                <w:szCs w:val="17"/>
                <w:color w:val="auto"/>
              </w:rPr>
            </w:pPr>
          </w:p>
        </w:tc>
      </w:tr>
      <w:tr>
        <w:trPr>
          <w:trHeight w:val="202"/>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tax credit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2.1 %</w:t>
            </w:r>
          </w:p>
        </w:tc>
        <w:tc>
          <w:tcPr>
            <w:tcW w:w="1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2.8 %</w:t>
            </w:r>
          </w:p>
        </w:tc>
        <w:tc>
          <w:tcPr>
            <w:tcW w:w="180" w:type="dxa"/>
            <w:vAlign w:val="bottom"/>
          </w:tcPr>
          <w:p>
            <w:pPr>
              <w:spacing w:after="0"/>
              <w:rPr>
                <w:sz w:val="17"/>
                <w:szCs w:val="17"/>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8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0.4 %</w:t>
            </w:r>
          </w:p>
        </w:tc>
        <w:tc>
          <w:tcPr>
            <w:tcW w:w="18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(1.7 )%</w:t>
            </w:r>
          </w:p>
        </w:tc>
        <w:tc>
          <w:tcPr>
            <w:tcW w:w="180" w:type="dxa"/>
            <w:vAlign w:val="bottom"/>
            <w:shd w:val="clear" w:color="auto" w:fill="CFF0FC"/>
          </w:tcPr>
          <w:p>
            <w:pPr>
              <w:spacing w:after="0"/>
              <w:rPr>
                <w:sz w:val="17"/>
                <w:szCs w:val="17"/>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(23.5 )%</w:t>
            </w:r>
          </w:p>
        </w:tc>
        <w:tc>
          <w:tcPr>
            <w:tcW w:w="18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(22.1 )%</w:t>
            </w:r>
          </w:p>
        </w:tc>
        <w:tc>
          <w:tcPr>
            <w:tcW w:w="180" w:type="dxa"/>
            <w:vAlign w:val="bottom"/>
          </w:tcPr>
          <w:p>
            <w:pPr>
              <w:spacing w:after="0"/>
              <w:rPr>
                <w:sz w:val="17"/>
                <w:szCs w:val="17"/>
                <w:color w:val="auto"/>
              </w:rPr>
            </w:pPr>
          </w:p>
        </w:tc>
      </w:tr>
      <w:tr>
        <w:trPr>
          <w:trHeight w:val="23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0.0 %</w:t>
            </w:r>
          </w:p>
        </w:tc>
        <w:tc>
          <w:tcPr>
            <w:tcW w:w="16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0.0 %</w:t>
            </w:r>
          </w:p>
        </w:tc>
        <w:tc>
          <w:tcPr>
            <w:tcW w:w="180" w:type="dxa"/>
            <w:vAlign w:val="bottom"/>
            <w:tcBorders>
              <w:bottom w:val="single" w:sz="8" w:color="CFF0FC"/>
            </w:tcBorders>
            <w:shd w:val="clear" w:color="auto" w:fill="CFF0FC"/>
          </w:tcPr>
          <w:p>
            <w:pPr>
              <w:spacing w:after="0"/>
              <w:rPr>
                <w:sz w:val="20"/>
                <w:szCs w:val="20"/>
                <w:color w:val="auto"/>
              </w:rPr>
            </w:pPr>
          </w:p>
        </w:tc>
      </w:tr>
      <w:tr>
        <w:trPr>
          <w:trHeight w:val="615"/>
        </w:trPr>
        <w:tc>
          <w:tcPr>
            <w:tcW w:w="8320" w:type="dxa"/>
            <w:vAlign w:val="bottom"/>
            <w:gridSpan w:val="2"/>
          </w:tcPr>
          <w:p>
            <w:pPr>
              <w:ind w:left="5440"/>
              <w:spacing w:after="0"/>
              <w:rPr>
                <w:sz w:val="20"/>
                <w:szCs w:val="20"/>
                <w:color w:val="auto"/>
              </w:rPr>
            </w:pPr>
            <w:r>
              <w:rPr>
                <w:rFonts w:ascii="Arial" w:cs="Arial" w:eastAsia="Arial" w:hAnsi="Arial"/>
                <w:sz w:val="18"/>
                <w:szCs w:val="18"/>
                <w:color w:val="auto"/>
              </w:rPr>
              <w:t>F-28</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74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-504825</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-487680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-504825</wp:posOffset>
            </wp:positionV>
            <wp:extent cx="1117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-487680</wp:posOffset>
            </wp:positionV>
            <wp:extent cx="1117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70" w:name="page171"/>
    <w:bookmarkEnd w:id="170"/>
    <w:p>
      <w:pPr>
        <w:ind w:left="64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taxes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37,295</w:t>
            </w:r>
          </w:p>
        </w:tc>
        <w:tc>
          <w:tcPr>
            <w:tcW w:w="6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21,132</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accrued liabilities</w:t>
            </w:r>
          </w:p>
        </w:tc>
        <w:tc>
          <w:tcPr>
            <w:tcW w:w="10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937</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422</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993</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3,111</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Research tax credits</w:t>
            </w:r>
          </w:p>
        </w:tc>
        <w:tc>
          <w:tcPr>
            <w:tcW w:w="10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8,078</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6,018</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7"/>
                <w:szCs w:val="17"/>
                <w:color w:val="auto"/>
              </w:rPr>
            </w:pPr>
          </w:p>
        </w:tc>
        <w:tc>
          <w:tcPr>
            <w:tcW w:w="7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2,618</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Intangible asset basis</w:t>
            </w:r>
          </w:p>
        </w:tc>
        <w:tc>
          <w:tcPr>
            <w:tcW w:w="10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907</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977</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10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3,460</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54,288</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32,811</w:t>
            </w:r>
          </w:p>
        </w:tc>
      </w:tr>
      <w:tr>
        <w:trPr>
          <w:trHeight w:val="398"/>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right-of-use assets</w:t>
            </w:r>
          </w:p>
        </w:tc>
        <w:tc>
          <w:tcPr>
            <w:tcW w:w="1000" w:type="dxa"/>
            <w:vAlign w:val="bottom"/>
            <w:shd w:val="clear" w:color="auto" w:fill="CFF0FC"/>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(3,064 )</w:t>
            </w:r>
          </w:p>
        </w:tc>
        <w:tc>
          <w:tcPr>
            <w:tcW w:w="6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w:t>
            </w:r>
          </w:p>
        </w:tc>
        <w:tc>
          <w:tcPr>
            <w:tcW w:w="10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(992 )</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(4,056 )</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(50,232 )</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(32,811 )</w:t>
            </w: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deferred tax</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-956310</wp:posOffset>
            </wp:positionV>
            <wp:extent cx="11112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-296545</wp:posOffset>
            </wp:positionV>
            <wp:extent cx="11112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future tax benefits is currently not likely to be realized and, accordingly, has provided a full valuation allowance. The valuation allowance increased by $17.4 million during 2021 and $12.5 million during the year ended December 31, 2020. The increase in the valuation allowance for each of the years ended December 31, 2021 and 2020 was primarily driven by net losses incurred, stock-based compensation expense and tax credits generated within the U.S.</w:t>
      </w:r>
    </w:p>
    <w:p>
      <w:pPr>
        <w:spacing w:after="0" w:line="189" w:lineRule="exact"/>
        <w:rPr>
          <w:sz w:val="20"/>
          <w:szCs w:val="20"/>
          <w:color w:val="auto"/>
        </w:rPr>
      </w:pPr>
    </w:p>
    <w:p>
      <w:pPr>
        <w:jc w:val="both"/>
        <w:ind w:right="60" w:firstLine="636"/>
        <w:spacing w:after="0" w:line="229" w:lineRule="auto"/>
        <w:rPr>
          <w:sz w:val="20"/>
          <w:szCs w:val="20"/>
          <w:color w:val="auto"/>
        </w:rPr>
      </w:pPr>
      <w:r>
        <w:rPr>
          <w:rFonts w:ascii="Arial" w:cs="Arial" w:eastAsia="Arial" w:hAnsi="Arial"/>
          <w:sz w:val="18"/>
          <w:szCs w:val="18"/>
          <w:color w:val="auto"/>
        </w:rPr>
        <w:t>The Company had net operating loss (“NOL”) carryforwards of $177.5 million and $100.6 million as of December 31, 2021 and 2020, respectively, available to reduce future taxable income, if any, for federal income tax purposes. $9.5 million of the federal NOL carryforwards expire in 2037 and the remaining $168.0 million carryforward indefinitely.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ind w:firstLine="644"/>
        <w:spacing w:after="0" w:line="227" w:lineRule="auto"/>
        <w:rPr>
          <w:sz w:val="20"/>
          <w:szCs w:val="20"/>
          <w:color w:val="auto"/>
        </w:rPr>
      </w:pPr>
      <w:r>
        <w:rPr>
          <w:rFonts w:ascii="Arial" w:cs="Arial" w:eastAsia="Arial" w:hAnsi="Arial"/>
          <w:sz w:val="18"/>
          <w:szCs w:val="18"/>
          <w:color w:val="auto"/>
        </w:rPr>
        <w:t>As of December 31, 2021 and 2020, the Company had federal research and development credit carryforwards of $8.6 million and $5.7 million, respectively, and state research and development credit carryforwards of $5.9 million and $4.3 million, respectively, available to reduce future taxable income, if any, for federal and California state income tax purposes, respectively. The federal credit carryforwards begin expiring in 2035 and the state credits carryforward indefinitely.</w:t>
      </w:r>
    </w:p>
    <w:p>
      <w:pPr>
        <w:spacing w:after="0" w:line="189" w:lineRule="exact"/>
        <w:rPr>
          <w:sz w:val="20"/>
          <w:szCs w:val="20"/>
          <w:color w:val="auto"/>
        </w:rPr>
      </w:pPr>
    </w:p>
    <w:p>
      <w:pPr>
        <w:ind w:right="80" w:firstLine="644"/>
        <w:spacing w:after="0" w:line="224" w:lineRule="auto"/>
        <w:rPr>
          <w:sz w:val="20"/>
          <w:szCs w:val="20"/>
          <w:color w:val="auto"/>
        </w:rPr>
      </w:pPr>
      <w:r>
        <w:rPr>
          <w:rFonts w:ascii="Arial" w:cs="Arial" w:eastAsia="Arial" w:hAnsi="Arial"/>
          <w:sz w:val="18"/>
          <w:szCs w:val="18"/>
          <w:color w:val="auto"/>
        </w:rPr>
        <w:t>Utilization of the NOL carryforwards and research credit carryforwards may be subject to an annual limitation due to the ownership percentage change limitations provided by the Internal Revenue Code and similar state provisions. Annual limitations may result in the expiration of the NOL and tax credit carryforwards before they are utilized. The Company has experienced ownership changes in the past as a result of its Series B redeemable convertible preferred stock financing. As a result of the ownership changes, some of the tax attribute carryforwards may be permanently limited as they will expire unused and such amounts are excluded from our NOLs as of December 31, 2021. Subsequent ownership changes may result in additional limitations.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the beginning and ending unrecognized tax benefits amounts is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center"/>
              <w:ind w:right="295"/>
              <w:spacing w:after="0"/>
              <w:rPr>
                <w:sz w:val="20"/>
                <w:szCs w:val="20"/>
                <w:color w:val="auto"/>
              </w:rPr>
            </w:pPr>
            <w:r>
              <w:rPr>
                <w:rFonts w:ascii="Arial" w:cs="Arial" w:eastAsia="Arial" w:hAnsi="Arial"/>
                <w:sz w:val="14"/>
                <w:szCs w:val="14"/>
                <w:b w:val="1"/>
                <w:bCs w:val="1"/>
                <w:color w:val="auto"/>
              </w:rPr>
              <w:t>Unrecognized</w:t>
            </w:r>
          </w:p>
        </w:tc>
      </w:tr>
      <w:tr>
        <w:trPr>
          <w:trHeight w:val="148"/>
        </w:trPr>
        <w:tc>
          <w:tcPr>
            <w:tcW w:w="9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rPr>
              <w:t>Income Tax</w:t>
            </w:r>
          </w:p>
        </w:tc>
      </w:tr>
      <w:tr>
        <w:trPr>
          <w:trHeight w:val="189"/>
        </w:trPr>
        <w:tc>
          <w:tcPr>
            <w:tcW w:w="9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9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2019</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1,566</w:t>
            </w:r>
          </w:p>
        </w:tc>
      </w:tr>
      <w:tr>
        <w:trPr>
          <w:trHeight w:val="203"/>
        </w:trPr>
        <w:tc>
          <w:tcPr>
            <w:tcW w:w="9200" w:type="dxa"/>
            <w:vAlign w:val="bottom"/>
          </w:tcPr>
          <w:p>
            <w:pPr>
              <w:ind w:left="280"/>
              <w:spacing w:after="0" w:line="202" w:lineRule="exact"/>
              <w:rPr>
                <w:sz w:val="20"/>
                <w:szCs w:val="20"/>
                <w:color w:val="auto"/>
              </w:rPr>
            </w:pPr>
            <w:r>
              <w:rPr>
                <w:rFonts w:ascii="Arial" w:cs="Arial" w:eastAsia="Arial" w:hAnsi="Arial"/>
                <w:sz w:val="18"/>
                <w:szCs w:val="18"/>
                <w:color w:val="auto"/>
              </w:rPr>
              <w:t>Additions for current year tax positions</w:t>
            </w:r>
          </w:p>
        </w:tc>
        <w:tc>
          <w:tcPr>
            <w:tcW w:w="300" w:type="dxa"/>
            <w:vAlign w:val="bottom"/>
          </w:tcPr>
          <w:p>
            <w:pPr>
              <w:spacing w:after="0"/>
              <w:rPr>
                <w:sz w:val="17"/>
                <w:szCs w:val="17"/>
                <w:color w:val="auto"/>
              </w:rPr>
            </w:pPr>
          </w:p>
        </w:tc>
        <w:tc>
          <w:tcPr>
            <w:tcW w:w="1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1,729</w:t>
            </w:r>
          </w:p>
        </w:tc>
      </w:tr>
      <w:tr>
        <w:trPr>
          <w:trHeight w:val="203"/>
        </w:trPr>
        <w:tc>
          <w:tcPr>
            <w:tcW w:w="92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72</w:t>
            </w:r>
          </w:p>
        </w:tc>
      </w:tr>
      <w:tr>
        <w:trPr>
          <w:trHeight w:val="196"/>
        </w:trPr>
        <w:tc>
          <w:tcPr>
            <w:tcW w:w="9200" w:type="dxa"/>
            <w:vAlign w:val="bottom"/>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300" w:type="dxa"/>
            <w:vAlign w:val="bottom"/>
          </w:tcPr>
          <w:p>
            <w:pPr>
              <w:spacing w:after="0"/>
              <w:rPr>
                <w:sz w:val="17"/>
                <w:szCs w:val="17"/>
                <w:color w:val="auto"/>
              </w:rPr>
            </w:pPr>
          </w:p>
        </w:tc>
        <w:tc>
          <w:tcPr>
            <w:tcW w:w="1740" w:type="dxa"/>
            <w:vAlign w:val="bottom"/>
          </w:tcPr>
          <w:p>
            <w:pPr>
              <w:jc w:val="right"/>
              <w:ind w:right="15"/>
              <w:spacing w:after="0" w:line="196" w:lineRule="exact"/>
              <w:rPr>
                <w:sz w:val="20"/>
                <w:szCs w:val="20"/>
                <w:color w:val="auto"/>
              </w:rPr>
            </w:pPr>
            <w:r>
              <w:rPr>
                <w:rFonts w:ascii="Arial" w:cs="Arial" w:eastAsia="Arial" w:hAnsi="Arial"/>
                <w:sz w:val="18"/>
                <w:szCs w:val="18"/>
                <w:color w:val="auto"/>
              </w:rPr>
              <w:t>3,367</w:t>
            </w:r>
          </w:p>
        </w:tc>
      </w:tr>
      <w:tr>
        <w:trPr>
          <w:trHeight w:val="203"/>
        </w:trPr>
        <w:tc>
          <w:tcPr>
            <w:tcW w:w="9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Additions for current year tax positions</w:t>
            </w: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2,219</w:t>
            </w:r>
          </w:p>
        </w:tc>
      </w:tr>
      <w:tr>
        <w:trPr>
          <w:trHeight w:val="203"/>
        </w:trPr>
        <w:tc>
          <w:tcPr>
            <w:tcW w:w="9200" w:type="dxa"/>
            <w:vAlign w:val="bottom"/>
          </w:tcPr>
          <w:p>
            <w:pPr>
              <w:ind w:left="28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36"/>
        </w:trPr>
        <w:tc>
          <w:tcPr>
            <w:tcW w:w="9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2021</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5,586</w:t>
            </w:r>
          </w:p>
        </w:tc>
      </w:tr>
    </w:tbl>
    <w:p>
      <w:pPr>
        <w:spacing w:after="0" w:line="242"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During the years ended December 31, 2021 and 2020, the Company did not recognize accrued interest and penalties related to unrecognized tax benefits. The Company does not anticipate that the amount of existing unrecognized tax benefits will materially increase or decrease during the next 12 months.</w:t>
      </w:r>
    </w:p>
    <w:p>
      <w:pPr>
        <w:spacing w:after="0" w:line="205" w:lineRule="exact"/>
        <w:rPr>
          <w:sz w:val="20"/>
          <w:szCs w:val="20"/>
          <w:color w:val="auto"/>
        </w:rPr>
      </w:pPr>
    </w:p>
    <w:p>
      <w:pPr>
        <w:ind w:right="140" w:firstLine="636"/>
        <w:spacing w:after="0" w:line="238" w:lineRule="auto"/>
        <w:rPr>
          <w:sz w:val="20"/>
          <w:szCs w:val="20"/>
          <w:color w:val="auto"/>
        </w:rPr>
      </w:pPr>
      <w:r>
        <w:rPr>
          <w:rFonts w:ascii="Arial" w:cs="Arial" w:eastAsia="Arial" w:hAnsi="Arial"/>
          <w:sz w:val="18"/>
          <w:szCs w:val="18"/>
          <w:color w:val="auto"/>
        </w:rPr>
        <w:t>The Company files income tax returns in the U.S. federal and California tax jurisdictions. In general, the Company is no longer subject to tax examination by the Internal Revenue Service or state taxing authorities for years before 2017. Although the federal and state statutes are closed for purposes of assessing additional income tax in those prior years, the taxing authorities may still make adjustments to the NOL and credit carryforwards used in open years. Therefore, the tax statutes should be considered open as it relates to the NOL and credit carryforwards used in open years. The Company has no ongoing income tax examinations by tax authorities at this time.</w:t>
      </w:r>
    </w:p>
    <w:p>
      <w:pPr>
        <w:spacing w:after="0" w:line="20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In March 2020, the Coronavirus Aid, Relief, and Economic Security Act (the “CARES Act”) was signed into law. The CARES Act changed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The Company evaluated the impact of the CARES act on its tax provision and concluded that there was not a material impact.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2" w:name="page173"/>
    <w:bookmarkEnd w:id="172"/>
    <w:p>
      <w:pPr>
        <w:ind w:right="40" w:firstLine="644"/>
        <w:spacing w:after="0" w:line="237" w:lineRule="auto"/>
        <w:rPr>
          <w:sz w:val="20"/>
          <w:szCs w:val="20"/>
          <w:color w:val="auto"/>
        </w:rPr>
      </w:pPr>
      <w:r>
        <w:rPr>
          <w:rFonts w:ascii="Arial" w:cs="Arial" w:eastAsia="Arial" w:hAnsi="Arial"/>
          <w:sz w:val="18"/>
          <w:szCs w:val="18"/>
          <w:color w:val="auto"/>
        </w:rPr>
        <w:t>On December 21, 2020, the U.S. president signed into law the Consolidated Appropriations Act, 2021 which includes further COVID-19 economic relief and extension of certain expiring tax provisions. The relief package includes a tax provision clarifying that businesses with forgiven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 The Company evaluated the impact of the Consolidated Appropriations Act, 2021 on its tax provision and concluded that there was not a material impact.</w:t>
      </w:r>
    </w:p>
    <w:p>
      <w:pPr>
        <w:spacing w:after="0" w:line="205" w:lineRule="exact"/>
        <w:rPr>
          <w:sz w:val="20"/>
          <w:szCs w:val="20"/>
          <w:color w:val="auto"/>
        </w:rPr>
      </w:pPr>
    </w:p>
    <w:p>
      <w:pPr>
        <w:jc w:val="both"/>
        <w:ind w:right="40" w:firstLine="644"/>
        <w:spacing w:after="0" w:line="238" w:lineRule="auto"/>
        <w:rPr>
          <w:sz w:val="20"/>
          <w:szCs w:val="20"/>
          <w:color w:val="auto"/>
        </w:rPr>
      </w:pPr>
      <w:r>
        <w:rPr>
          <w:rFonts w:ascii="Arial" w:cs="Arial" w:eastAsia="Arial" w:hAnsi="Arial"/>
          <w:sz w:val="18"/>
          <w:szCs w:val="18"/>
          <w:color w:val="auto"/>
        </w:rPr>
        <w:t>On March 11, 2021, the American Rescue Plan Act was signed into law and contained provisions relating to extending the Employee Retention Tax Credit, additional funding for the PPP loan and Economic Injury Disaster Loans, as well as expanding the covered employees under Section 162(m) for tax years beginning after December 31, 2026. The Company does not expect the American Rescue Plan will have a material impact to its current income tax provision.</w:t>
      </w:r>
    </w:p>
    <w:p>
      <w:pPr>
        <w:spacing w:after="0" w:line="205" w:lineRule="exact"/>
        <w:rPr>
          <w:sz w:val="20"/>
          <w:szCs w:val="20"/>
          <w:color w:val="auto"/>
        </w:rPr>
      </w:pPr>
    </w:p>
    <w:p>
      <w:pPr>
        <w:jc w:val="both"/>
        <w:ind w:right="660" w:firstLine="644"/>
        <w:spacing w:after="0"/>
        <w:rPr>
          <w:sz w:val="20"/>
          <w:szCs w:val="20"/>
          <w:color w:val="auto"/>
        </w:rPr>
      </w:pPr>
      <w:r>
        <w:rPr>
          <w:rFonts w:ascii="Arial" w:cs="Arial" w:eastAsia="Arial" w:hAnsi="Arial"/>
          <w:sz w:val="18"/>
          <w:szCs w:val="18"/>
          <w:color w:val="auto"/>
        </w:rPr>
        <w:t>On November 15, 2021, the Infrastructure Investment and Jobs Act was signed into law and contained several tax provisions including changes to the Employee Retention Tax Credit after September 30, 2021. The Company does not expect the Infrastructure Investment and Jobs Act will have a material impact to its income tax provision.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Redeemable Convertible Preferred Stock</w:t>
      </w:r>
    </w:p>
    <w:p>
      <w:pPr>
        <w:spacing w:after="0" w:line="126" w:lineRule="exact"/>
        <w:rPr>
          <w:sz w:val="20"/>
          <w:szCs w:val="20"/>
          <w:color w:val="auto"/>
        </w:rPr>
      </w:pPr>
    </w:p>
    <w:p>
      <w:pPr>
        <w:ind w:right="340" w:firstLine="644"/>
        <w:spacing w:after="0" w:line="246" w:lineRule="auto"/>
        <w:rPr>
          <w:sz w:val="20"/>
          <w:szCs w:val="20"/>
          <w:color w:val="auto"/>
        </w:rPr>
      </w:pPr>
      <w:r>
        <w:rPr>
          <w:rFonts w:ascii="Arial" w:cs="Arial" w:eastAsia="Arial" w:hAnsi="Arial"/>
          <w:sz w:val="18"/>
          <w:szCs w:val="18"/>
          <w:color w:val="auto"/>
        </w:rPr>
        <w:t>As of December 31, 2019, redeemable convertible preferred stock consisted of the following (in thousands, except per share and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417"/>
              <w:spacing w:after="0"/>
              <w:rPr>
                <w:sz w:val="20"/>
                <w:szCs w:val="20"/>
                <w:color w:val="auto"/>
              </w:rPr>
            </w:pPr>
            <w:r>
              <w:rPr>
                <w:rFonts w:ascii="Arial" w:cs="Arial" w:eastAsia="Arial" w:hAnsi="Arial"/>
                <w:sz w:val="14"/>
                <w:szCs w:val="14"/>
                <w:b w:val="1"/>
                <w:bCs w:val="1"/>
                <w:color w:val="auto"/>
              </w:rPr>
              <w:t>Original</w:t>
            </w:r>
          </w:p>
        </w:tc>
        <w:tc>
          <w:tcPr>
            <w:tcW w:w="240" w:type="dxa"/>
            <w:vAlign w:val="bottom"/>
          </w:tcPr>
          <w:p>
            <w:pPr>
              <w:spacing w:after="0"/>
              <w:rPr>
                <w:sz w:val="14"/>
                <w:szCs w:val="14"/>
                <w:color w:val="auto"/>
              </w:rPr>
            </w:pPr>
          </w:p>
        </w:tc>
        <w:tc>
          <w:tcPr>
            <w:tcW w:w="2020" w:type="dxa"/>
            <w:vAlign w:val="bottom"/>
          </w:tcPr>
          <w:p>
            <w:pPr>
              <w:jc w:val="right"/>
              <w:ind w:right="439"/>
              <w:spacing w:after="0"/>
              <w:rPr>
                <w:sz w:val="20"/>
                <w:szCs w:val="20"/>
                <w:color w:val="auto"/>
              </w:rPr>
            </w:pPr>
            <w:r>
              <w:rPr>
                <w:rFonts w:ascii="Arial" w:cs="Arial" w:eastAsia="Arial" w:hAnsi="Arial"/>
                <w:sz w:val="14"/>
                <w:szCs w:val="14"/>
                <w:b w:val="1"/>
                <w:bCs w:val="1"/>
                <w:color w:val="auto"/>
              </w:rPr>
              <w:t>Shares Issued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336"/>
              <w:spacing w:after="0"/>
              <w:rPr>
                <w:sz w:val="20"/>
                <w:szCs w:val="20"/>
                <w:color w:val="auto"/>
              </w:rPr>
            </w:pPr>
            <w:r>
              <w:rPr>
                <w:rFonts w:ascii="Arial" w:cs="Arial" w:eastAsia="Arial" w:hAnsi="Arial"/>
                <w:sz w:val="14"/>
                <w:szCs w:val="14"/>
                <w:b w:val="1"/>
                <w:bCs w:val="1"/>
                <w:color w:val="auto"/>
              </w:rPr>
              <w:t>Proceeds Net of</w:t>
            </w:r>
          </w:p>
        </w:tc>
        <w:tc>
          <w:tcPr>
            <w:tcW w:w="80" w:type="dxa"/>
            <w:vAlign w:val="bottom"/>
          </w:tcPr>
          <w:p>
            <w:pPr>
              <w:spacing w:after="0"/>
              <w:rPr>
                <w:sz w:val="14"/>
                <w:szCs w:val="14"/>
                <w:color w:val="auto"/>
              </w:rPr>
            </w:pPr>
          </w:p>
        </w:tc>
      </w:tr>
      <w:tr>
        <w:trPr>
          <w:trHeight w:val="189"/>
        </w:trPr>
        <w:tc>
          <w:tcPr>
            <w:tcW w:w="1820" w:type="dxa"/>
            <w:vAlign w:val="bottom"/>
          </w:tcPr>
          <w:p>
            <w:pPr>
              <w:spacing w:after="0"/>
              <w:rPr>
                <w:sz w:val="16"/>
                <w:szCs w:val="16"/>
                <w:color w:val="auto"/>
              </w:rPr>
            </w:pPr>
          </w:p>
        </w:tc>
        <w:tc>
          <w:tcPr>
            <w:tcW w:w="14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Authorized</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Issuance price</w:t>
            </w: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and Outstanding</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Issuance cost</w:t>
            </w:r>
          </w:p>
        </w:tc>
        <w:tc>
          <w:tcPr>
            <w:tcW w:w="80" w:type="dxa"/>
            <w:vAlign w:val="bottom"/>
          </w:tcPr>
          <w:p>
            <w:pPr>
              <w:spacing w:after="0"/>
              <w:rPr>
                <w:sz w:val="16"/>
                <w:szCs w:val="16"/>
                <w:color w:val="auto"/>
              </w:rPr>
            </w:pPr>
          </w:p>
        </w:tc>
      </w:tr>
      <w:tr>
        <w:trPr>
          <w:trHeight w:val="196"/>
        </w:trPr>
        <w:tc>
          <w:tcPr>
            <w:tcW w:w="1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909,312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909,312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7,001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6,960</w:t>
            </w:r>
          </w:p>
        </w:tc>
        <w:tc>
          <w:tcPr>
            <w:tcW w:w="80" w:type="dxa"/>
            <w:vAlign w:val="bottom"/>
            <w:shd w:val="clear" w:color="auto" w:fill="CFF0FC"/>
          </w:tcPr>
          <w:p>
            <w:pPr>
              <w:spacing w:after="0"/>
              <w:rPr>
                <w:sz w:val="17"/>
                <w:szCs w:val="17"/>
                <w:color w:val="auto"/>
              </w:rPr>
            </w:pPr>
          </w:p>
        </w:tc>
      </w:tr>
      <w:tr>
        <w:trPr>
          <w:trHeight w:val="203"/>
        </w:trPr>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Series A-1</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1,311,687</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2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1,311,687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11,595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11,548</w:t>
            </w:r>
          </w:p>
        </w:tc>
        <w:tc>
          <w:tcPr>
            <w:tcW w:w="80" w:type="dxa"/>
            <w:vAlign w:val="bottom"/>
          </w:tcPr>
          <w:p>
            <w:pPr>
              <w:spacing w:after="0"/>
              <w:rPr>
                <w:sz w:val="17"/>
                <w:szCs w:val="17"/>
                <w:color w:val="auto"/>
              </w:rPr>
            </w:pPr>
          </w:p>
        </w:tc>
      </w:tr>
      <w:tr>
        <w:trPr>
          <w:trHeight w:val="203"/>
        </w:trPr>
        <w:tc>
          <w:tcPr>
            <w:tcW w:w="1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w:t>
            </w: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5,154,639</w:t>
            </w:r>
          </w:p>
        </w:tc>
        <w:tc>
          <w:tcPr>
            <w:tcW w:w="4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17.46</w:t>
            </w:r>
          </w:p>
        </w:tc>
        <w:tc>
          <w:tcPr>
            <w:tcW w:w="24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5,154,632</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90,000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84,472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182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7,375,638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7,375,631</w:t>
            </w:r>
          </w:p>
        </w:tc>
        <w:tc>
          <w:tcPr>
            <w:tcW w:w="4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108,596</w:t>
            </w:r>
          </w:p>
        </w:tc>
        <w:tc>
          <w:tcPr>
            <w:tcW w:w="4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102,980</w:t>
            </w:r>
          </w:p>
        </w:tc>
        <w:tc>
          <w:tcPr>
            <w:tcW w:w="80" w:type="dxa"/>
            <w:vAlign w:val="bottom"/>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-159385</wp:posOffset>
            </wp:positionV>
            <wp:extent cx="7747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-159385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-159385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In April and June of 2020, the Company issued a total of 4,200,353 shares of Series C redeemable convertible preferred stock at $18.00 per share for net proceeds of $72.5 million. Upon the closing of the Company's IPO on December 15, 2020, all outstanding redeemable convertible preferred stock automatically converted into shares of common stock and the related carrying value was reclassified to common stock and additional paid-in capital. There were no shares of redeemable convertible preferred stock outstanding as of December 31, 2021 and 2020.</w:t>
      </w:r>
    </w:p>
    <w:p>
      <w:pPr>
        <w:spacing w:after="0" w:line="171" w:lineRule="exact"/>
        <w:rPr>
          <w:sz w:val="20"/>
          <w:szCs w:val="20"/>
          <w:color w:val="auto"/>
        </w:rPr>
      </w:pPr>
    </w:p>
    <w:p>
      <w:pPr>
        <w:ind w:right="100" w:firstLine="644"/>
        <w:spacing w:after="0" w:line="241" w:lineRule="auto"/>
        <w:rPr>
          <w:sz w:val="20"/>
          <w:szCs w:val="20"/>
          <w:color w:val="auto"/>
        </w:rPr>
      </w:pPr>
      <w:r>
        <w:rPr>
          <w:rFonts w:ascii="Arial" w:cs="Arial" w:eastAsia="Arial" w:hAnsi="Arial"/>
          <w:sz w:val="18"/>
          <w:szCs w:val="18"/>
          <w:i w:val="1"/>
          <w:iCs w:val="1"/>
          <w:color w:val="auto"/>
        </w:rPr>
        <w:t xml:space="preserve">Funding Agreement with CFF </w:t>
      </w:r>
      <w:r>
        <w:rPr>
          <w:rFonts w:ascii="Arial" w:cs="Arial" w:eastAsia="Arial" w:hAnsi="Arial"/>
          <w:sz w:val="18"/>
          <w:szCs w:val="18"/>
          <w:color w:val="auto"/>
        </w:rPr>
        <w:t>— In April 2020, CFF made a $10.0 million investment in the Company's Series C redeemable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 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w:t>
      </w:r>
    </w:p>
    <w:p>
      <w:pPr>
        <w:spacing w:after="0" w:line="188" w:lineRule="exact"/>
        <w:rPr>
          <w:sz w:val="20"/>
          <w:szCs w:val="20"/>
          <w:color w:val="auto"/>
        </w:rPr>
      </w:pPr>
    </w:p>
    <w:p>
      <w:pPr>
        <w:ind w:right="200" w:firstLine="644"/>
        <w:spacing w:after="0" w:line="246" w:lineRule="auto"/>
        <w:rPr>
          <w:sz w:val="20"/>
          <w:szCs w:val="20"/>
          <w:color w:val="auto"/>
        </w:rPr>
      </w:pPr>
      <w:r>
        <w:rPr>
          <w:rFonts w:ascii="Arial" w:cs="Arial" w:eastAsia="Arial" w:hAnsi="Arial"/>
          <w:sz w:val="18"/>
          <w:szCs w:val="18"/>
          <w:color w:val="auto"/>
        </w:rPr>
        <w:t>CFF committed to provide an additional $4.0 million of funding upon acceptance of an Investigational New Drug ("IND") application or its equivalent to allow for human testing of the Funding Agreement Product ("Acceptance").</w:t>
      </w:r>
    </w:p>
    <w:p>
      <w:pPr>
        <w:spacing w:after="0" w:line="183" w:lineRule="exact"/>
        <w:rPr>
          <w:sz w:val="20"/>
          <w:szCs w:val="20"/>
          <w:color w:val="auto"/>
        </w:rPr>
      </w:pPr>
    </w:p>
    <w:p>
      <w:pPr>
        <w:ind w:right="260" w:firstLine="644"/>
        <w:spacing w:after="0" w:line="246" w:lineRule="auto"/>
        <w:rPr>
          <w:sz w:val="20"/>
          <w:szCs w:val="20"/>
          <w:color w:val="auto"/>
        </w:rPr>
      </w:pPr>
      <w:r>
        <w:rPr>
          <w:rFonts w:ascii="Arial" w:cs="Arial" w:eastAsia="Arial" w:hAnsi="Arial"/>
          <w:sz w:val="18"/>
          <w:szCs w:val="18"/>
          <w:color w:val="auto"/>
        </w:rPr>
        <w:t>The IND was cleared by the U.S. Food and Drug Administration in October 2021, and CFF made the additional investment of $4.0 million in cash for the issuance of 125,715 shares of the Company's common stock to CFF.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3" w:name="page174"/>
    <w:bookmarkEnd w:id="173"/>
    <w:p>
      <w:pPr>
        <w:ind w:right="20" w:firstLine="644"/>
        <w:spacing w:after="0" w:line="237" w:lineRule="auto"/>
        <w:rPr>
          <w:sz w:val="20"/>
          <w:szCs w:val="20"/>
          <w:color w:val="auto"/>
        </w:rPr>
      </w:pPr>
      <w:r>
        <w:rPr>
          <w:rFonts w:ascii="Arial" w:cs="Arial" w:eastAsia="Arial" w:hAnsi="Arial"/>
          <w:sz w:val="18"/>
          <w:szCs w:val="18"/>
          <w:color w:val="auto"/>
        </w:rPr>
        <w:t>Except in the event of a technical failure, the Company is committed to providing an amount equal to the funding provided by CFF to be used solely to advance the Funding Agreement Product. A technical failure is defined as a determination by the Company, after consultation with and approval of the PAG that (i) the Funding Agreement Product has failed to reach its intended endpoints due to safety issues, lack of sufficient transgene expression and/or efficacy, each despite commercially reasonable efforts and (iii) the exercise of further commercially reasonable efforts is unlikely to correct such failure. Under the terms of the Funding Agreement, neither the $10.0 million investment in the Series C redeemable convertible preferred stock, which converted to common stock as of December 31, 2020, nor the $4.0 million of funding upon Acceptance are restricted as to withdrawal or usage.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Common Stock</w:t>
      </w:r>
    </w:p>
    <w:p>
      <w:pPr>
        <w:spacing w:after="0" w:line="126" w:lineRule="exact"/>
        <w:rPr>
          <w:sz w:val="20"/>
          <w:szCs w:val="20"/>
          <w:color w:val="auto"/>
        </w:rPr>
      </w:pPr>
    </w:p>
    <w:p>
      <w:pPr>
        <w:ind w:right="320" w:firstLine="636"/>
        <w:spacing w:after="0"/>
        <w:rPr>
          <w:sz w:val="20"/>
          <w:szCs w:val="20"/>
          <w:color w:val="auto"/>
        </w:rPr>
      </w:pPr>
      <w:r>
        <w:rPr>
          <w:rFonts w:ascii="Arial" w:cs="Arial" w:eastAsia="Arial" w:hAnsi="Arial"/>
          <w:sz w:val="18"/>
          <w:szCs w:val="18"/>
          <w:color w:val="auto"/>
        </w:rPr>
        <w:t>As of each of December 31, 2021 and 2020, the Company’s certificate of incorporation authorized the Company to issue 300,000,000 shares of common stock, at the par value of $0.0001 per share. The holder of each share of common stock is entitled to one vote per share.</w:t>
      </w:r>
    </w:p>
    <w:p>
      <w:pPr>
        <w:spacing w:after="0" w:line="203"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redeemable preferred stockholders. As of December 31, 2021 and 2020, no dividends on common stock had been declared by the board of directors.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2021 and 2020, the Company has reserved common stock, on an as-converted basis, for future issuance as</w:t>
      </w:r>
    </w:p>
    <w:p>
      <w:pPr>
        <w:spacing w:after="0"/>
        <w:rPr>
          <w:sz w:val="20"/>
          <w:szCs w:val="20"/>
          <w:color w:val="auto"/>
        </w:rPr>
      </w:pPr>
      <w:r>
        <w:rPr>
          <w:rFonts w:ascii="Arial" w:cs="Arial" w:eastAsia="Arial" w:hAnsi="Arial"/>
          <w:sz w:val="18"/>
          <w:szCs w:val="18"/>
          <w:color w:val="auto"/>
        </w:rPr>
        <w:t>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3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17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Issuance of common stock under the 2020 Equity Incentive Plan</w:t>
            </w:r>
          </w:p>
        </w:tc>
        <w:tc>
          <w:tcPr>
            <w:tcW w:w="17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2,690,097</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2,606,546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 under the Employee Stock Share Purchase Plan</w:t>
            </w:r>
          </w:p>
        </w:tc>
        <w:tc>
          <w:tcPr>
            <w:tcW w:w="1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498,747</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252,337</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options issued and outstanding</w:t>
            </w:r>
          </w:p>
        </w:tc>
        <w:tc>
          <w:tcPr>
            <w:tcW w:w="17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3,881,274</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3,194,113</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Exercise of common stock warrants</w:t>
            </w:r>
          </w:p>
        </w:tc>
        <w:tc>
          <w:tcPr>
            <w:tcW w:w="17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53,669</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98,669</w:t>
            </w:r>
          </w:p>
        </w:tc>
      </w:tr>
      <w:tr>
        <w:trPr>
          <w:trHeight w:val="236"/>
        </w:trPr>
        <w:tc>
          <w:tcPr>
            <w:tcW w:w="76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common stock reserved</w:t>
            </w:r>
          </w:p>
        </w:tc>
        <w:tc>
          <w:tcPr>
            <w:tcW w:w="172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7,123,787</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6,151,665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8" w:lineRule="exact"/>
        <w:rPr>
          <w:sz w:val="20"/>
          <w:szCs w:val="20"/>
          <w:color w:val="auto"/>
        </w:rPr>
      </w:pPr>
    </w:p>
    <w:p>
      <w:pPr>
        <w:ind w:right="8560" w:firstLine="8"/>
        <w:spacing w:after="0" w:line="372" w:lineRule="auto"/>
        <w:tabs>
          <w:tab w:leader="none" w:pos="3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b w:val="1"/>
          <w:bCs w:val="1"/>
          <w:color w:val="auto"/>
        </w:rPr>
        <w:t>2020 Incentive Award Plan</w:t>
      </w:r>
    </w:p>
    <w:p>
      <w:pPr>
        <w:spacing w:after="0" w:line="1"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In December 2020, the Company adopted the 2020 Incentive Award Plan (“2020 Plan”), which became effective on December 10, 2020. The 2020 Plan initially reserved 2,606,546 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The number of shares reserved for future issuance under the 2020 Plan will increase annually on the first day of each fiscal year beginning in 2021 and ending in 2030 by the lesser of (i) 5% of the shares of common stock outstanding (on an as converted basis) on the last day of the immediately preceding fiscal year and (ii) such number of shares of common stock as determined by the Company's board of directors, provided, however, no more than 18,000,000 shares of the Company's common stock may be issued upon the exercise of incentive stock options. In 2021, an additional 1,334,099 shares of common stock became available for issuance under the 2020 Plan, as a result of the operation of the automatic annual increase provision. All options are exercisable over a period not to exceed the contractual term of ten years from the date the stock options were issued. As of December 31, 2021, there were 2,690,097 shares available for grant under the 2020 Plan.</w:t>
      </w:r>
    </w:p>
    <w:p>
      <w:pPr>
        <w:spacing w:after="0" w:line="205"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2015 Equity Incentive Plan (the “2015 Plan”). However, the 2015 Plan continues to govern the terms of options that remain outstanding under the 2015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2015 Equity Incentive Plan</w:t>
      </w:r>
    </w:p>
    <w:p>
      <w:pPr>
        <w:spacing w:after="0" w:line="126"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The 2015 Plan provided for grants of stock options, stock appreciation rights, restricted stock and restricted stock unit awards to employees, directors and consultants of the Company. As of December 31, 2021, options to purchase 2,519,217 shares of common stock were outstanding under the 2015 Plan. All options are exercisable over a period not to exceed the contractual term of ten years from the date the stock options were issued and are granted at prices not less than the estimated fair market value of the Company’s common stock on the grant date as determined by the board of directors. If an individual owns stock representing more than 10% of the Company’s outstanding shares, the exercise price of each share shall be at least 110% of the fair market value on the date of grant.</w:t>
      </w:r>
    </w:p>
    <w:p>
      <w:pPr>
        <w:spacing w:after="0" w:line="205" w:lineRule="exact"/>
        <w:rPr>
          <w:sz w:val="20"/>
          <w:szCs w:val="20"/>
          <w:color w:val="auto"/>
        </w:rPr>
      </w:pPr>
    </w:p>
    <w:p>
      <w:pPr>
        <w:ind w:right="680" w:firstLine="644"/>
        <w:spacing w:after="0" w:line="246" w:lineRule="auto"/>
        <w:rPr>
          <w:sz w:val="20"/>
          <w:szCs w:val="20"/>
          <w:color w:val="auto"/>
        </w:rPr>
      </w:pPr>
      <w:r>
        <w:rPr>
          <w:rFonts w:ascii="Arial" w:cs="Arial" w:eastAsia="Arial" w:hAnsi="Arial"/>
          <w:sz w:val="18"/>
          <w:szCs w:val="18"/>
          <w:color w:val="auto"/>
        </w:rPr>
        <w:t>No additional grants will be made under the 2015 Plan, and all outstanding grants under the 2015 Plan that are repurchased, forfeited, expire or are cancelled are returned back to the 2015 Plan and are not available for grant under the 2020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In December 2020, the Company adopted the 2020 Employee Stock Purchase Plan (the “2020 ESPP”). Under the 2020 ESPP, 252,337 shares of the Company's common stock were initially reserved for employee purchases of the Company's common stock under terms and provisions established by the Company's board of directors and approved by the Company's stockholders. The number of shares reserved for future issuance under the 2020 ESPP will increase annually on the first day of each fiscal year beginning in 2021 and ending in 2030 by the lesser of (i) 1% of the shares of common stock outstanding (on an as converted basis) on the last day of the immediately preceding fiscal year and (ii) such number of shares of common stock as determined by the Company's board of directors, provided, however, no more than 15,000,000 shares the Company's common stock may be issued under the 2020 ESPP. On March 28, 2022, an additional 25,000 shares of common stock became available for future issuance under the 2020 ESPP, as a result of the operation of this automatic annual increase provision.</w:t>
      </w:r>
    </w:p>
    <w:p>
      <w:pPr>
        <w:spacing w:after="0" w:line="207"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Under the 2020 ESPP the Company's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 offering periods comprising four six-month purchase periods. The initial offering period under the 2020 ESPP is longer than 24 months, commencing February 15, 2021 and ending on May 14, 2023. Contributions under the 2020 ESPP are limited to a maximum of 15% of an employee's eligible compensation.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stock options activity for the year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Options Outstanding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rPr>
              <w:t>Contractual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Available</w:t>
            </w:r>
          </w:p>
        </w:tc>
        <w:tc>
          <w:tcPr>
            <w:tcW w:w="15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w w:val="99"/>
              </w:rPr>
              <w:t>Term</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209"/>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for Grant</w:t>
            </w:r>
          </w:p>
        </w:tc>
        <w:tc>
          <w:tcPr>
            <w:tcW w:w="40" w:type="dxa"/>
            <w:vAlign w:val="bottom"/>
          </w:tcPr>
          <w:p>
            <w:pPr>
              <w:spacing w:after="0"/>
              <w:rPr>
                <w:sz w:val="16"/>
                <w:szCs w:val="16"/>
                <w:color w:val="auto"/>
              </w:rPr>
            </w:pPr>
          </w:p>
        </w:tc>
        <w:tc>
          <w:tcPr>
            <w:tcW w:w="1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9"/>
              </w:rPr>
              <w:t>(in years)</w:t>
            </w: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9"/>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2,606,546</w:t>
            </w:r>
          </w:p>
        </w:tc>
        <w:tc>
          <w:tcPr>
            <w:tcW w:w="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3,194,113</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11.05</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8.46</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97,105</w:t>
            </w:r>
          </w:p>
        </w:tc>
        <w:tc>
          <w:tcPr>
            <w:tcW w:w="0" w:type="dxa"/>
            <w:vAlign w:val="bottom"/>
          </w:tcPr>
          <w:p>
            <w:pPr>
              <w:spacing w:after="0"/>
              <w:rPr>
                <w:sz w:val="1"/>
                <w:szCs w:val="1"/>
                <w:color w:val="auto"/>
              </w:rPr>
            </w:pPr>
          </w:p>
        </w:tc>
      </w:tr>
      <w:tr>
        <w:trPr>
          <w:trHeight w:val="175"/>
        </w:trPr>
        <w:tc>
          <w:tcPr>
            <w:tcW w:w="3840" w:type="dxa"/>
            <w:vAlign w:val="bottom"/>
          </w:tcPr>
          <w:p>
            <w:pPr>
              <w:ind w:left="20"/>
              <w:spacing w:after="0"/>
              <w:rPr>
                <w:sz w:val="20"/>
                <w:szCs w:val="20"/>
                <w:color w:val="auto"/>
              </w:rPr>
            </w:pPr>
            <w:r>
              <w:rPr>
                <w:rFonts w:ascii="Arial" w:cs="Arial" w:eastAsia="Arial" w:hAnsi="Arial"/>
                <w:sz w:val="14"/>
                <w:szCs w:val="14"/>
                <w:color w:val="auto"/>
              </w:rPr>
              <w:t>Options authorized</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1,334,099</w:t>
            </w:r>
          </w:p>
        </w:tc>
        <w:tc>
          <w:tcPr>
            <w:tcW w:w="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 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(1,566,150 )</w:t>
            </w:r>
          </w:p>
        </w:tc>
        <w:tc>
          <w:tcPr>
            <w:tcW w:w="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1,566,150</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34.83</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20"/>
              <w:spacing w:after="0"/>
              <w:rPr>
                <w:sz w:val="20"/>
                <w:szCs w:val="20"/>
                <w:color w:val="auto"/>
              </w:rPr>
            </w:pPr>
            <w:r>
              <w:rPr>
                <w:rFonts w:ascii="Arial" w:cs="Arial" w:eastAsia="Arial" w:hAnsi="Arial"/>
                <w:sz w:val="14"/>
                <w:szCs w:val="14"/>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(563,387 )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6.26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 expired</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4,324</w:t>
            </w:r>
          </w:p>
        </w:tc>
        <w:tc>
          <w:tcPr>
            <w:tcW w:w="4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(4,324 )</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36.33</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Options forfeited</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311,278</w:t>
            </w:r>
          </w:p>
        </w:tc>
        <w:tc>
          <w:tcPr>
            <w:tcW w:w="4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(311,278 )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29.17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Balances at December 31, 2021</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2,690,097</w:t>
            </w:r>
          </w:p>
        </w:tc>
        <w:tc>
          <w:tcPr>
            <w:tcW w:w="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3,881,274</w:t>
            </w:r>
          </w:p>
        </w:tc>
        <w:tc>
          <w:tcPr>
            <w:tcW w:w="2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FF0FC"/>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19.86</w:t>
            </w:r>
          </w:p>
        </w:tc>
        <w:tc>
          <w:tcPr>
            <w:tcW w:w="2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7.97</w:t>
            </w:r>
          </w:p>
        </w:tc>
        <w:tc>
          <w:tcPr>
            <w:tcW w:w="220" w:type="dxa"/>
            <w:vAlign w:val="bottom"/>
            <w:tcBorders>
              <w:bottom w:val="single" w:sz="8" w:color="CFF0FC"/>
            </w:tcBorders>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CFF0FC"/>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24,666</w:t>
            </w:r>
          </w:p>
        </w:tc>
        <w:tc>
          <w:tcPr>
            <w:tcW w:w="0" w:type="dxa"/>
            <w:vAlign w:val="bottom"/>
          </w:tcPr>
          <w:p>
            <w:pPr>
              <w:spacing w:after="0"/>
              <w:rPr>
                <w:sz w:val="1"/>
                <w:szCs w:val="1"/>
                <w:color w:val="auto"/>
              </w:rPr>
            </w:pPr>
          </w:p>
        </w:tc>
      </w:tr>
      <w:tr>
        <w:trPr>
          <w:trHeight w:val="134"/>
        </w:trPr>
        <w:tc>
          <w:tcPr>
            <w:tcW w:w="3840" w:type="dxa"/>
            <w:vAlign w:val="bottom"/>
          </w:tcPr>
          <w:p>
            <w:pPr>
              <w:ind w:left="20"/>
              <w:spacing w:after="0" w:line="134" w:lineRule="exact"/>
              <w:rPr>
                <w:sz w:val="20"/>
                <w:szCs w:val="20"/>
                <w:color w:val="auto"/>
              </w:rPr>
            </w:pPr>
            <w:r>
              <w:rPr>
                <w:rFonts w:ascii="Arial" w:cs="Arial" w:eastAsia="Arial" w:hAnsi="Arial"/>
                <w:sz w:val="14"/>
                <w:szCs w:val="14"/>
                <w:color w:val="auto"/>
              </w:rPr>
              <w:t>Shares exercisable, December 31,</w:t>
            </w: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ind w:left="140"/>
              <w:spacing w:after="0"/>
              <w:rPr>
                <w:sz w:val="20"/>
                <w:szCs w:val="20"/>
                <w:color w:val="auto"/>
              </w:rPr>
            </w:pPr>
            <w:r>
              <w:rPr>
                <w:rFonts w:ascii="Arial" w:cs="Arial" w:eastAsia="Arial" w:hAnsi="Arial"/>
                <w:sz w:val="14"/>
                <w:szCs w:val="14"/>
                <w:color w:val="auto"/>
              </w:rPr>
              <w:t>2021</w:t>
            </w: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1,592,139</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12.75</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7.07</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17,280</w:t>
            </w:r>
          </w:p>
        </w:tc>
        <w:tc>
          <w:tcPr>
            <w:tcW w:w="0" w:type="dxa"/>
            <w:vAlign w:val="bottom"/>
          </w:tcPr>
          <w:p>
            <w:pPr>
              <w:spacing w:after="0"/>
              <w:rPr>
                <w:sz w:val="1"/>
                <w:szCs w:val="1"/>
                <w:color w:val="auto"/>
              </w:rPr>
            </w:pPr>
          </w:p>
        </w:tc>
      </w:tr>
      <w:tr>
        <w:trPr>
          <w:trHeight w:val="153"/>
        </w:trPr>
        <w:tc>
          <w:tcPr>
            <w:tcW w:w="38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Shares vested and expected to</w:t>
            </w:r>
          </w:p>
        </w:tc>
        <w:tc>
          <w:tcPr>
            <w:tcW w:w="1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54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3,881,274</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40" w:type="dxa"/>
            <w:vAlign w:val="bottom"/>
            <w:tcBorders>
              <w:bottom w:val="single" w:sz="8" w:color="CFF0FC"/>
            </w:tcBorders>
            <w:shd w:val="clear" w:color="auto" w:fill="CFF0FC"/>
          </w:tcPr>
          <w:p>
            <w:pPr>
              <w:ind w:left="140"/>
              <w:spacing w:after="0" w:line="110" w:lineRule="exact"/>
              <w:rPr>
                <w:sz w:val="20"/>
                <w:szCs w:val="20"/>
                <w:color w:val="auto"/>
              </w:rPr>
            </w:pPr>
            <w:r>
              <w:rPr>
                <w:rFonts w:ascii="Arial" w:cs="Arial" w:eastAsia="Arial" w:hAnsi="Arial"/>
                <w:sz w:val="12"/>
                <w:szCs w:val="12"/>
                <w:color w:val="auto"/>
              </w:rPr>
              <w:t>vest, December 31, 2021</w:t>
            </w:r>
          </w:p>
        </w:tc>
        <w:tc>
          <w:tcPr>
            <w:tcW w:w="14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shd w:val="clear" w:color="auto" w:fill="CFF0FC"/>
          </w:tcPr>
          <w:p>
            <w:pPr>
              <w:jc w:val="right"/>
              <w:ind w:right="80"/>
              <w:spacing w:after="0" w:line="110"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CFF0FC"/>
            </w:tcBorders>
            <w:shd w:val="clear" w:color="auto" w:fill="CFF0FC"/>
          </w:tcPr>
          <w:p>
            <w:pPr>
              <w:jc w:val="right"/>
              <w:ind w:right="9"/>
              <w:spacing w:after="0" w:line="110" w:lineRule="exact"/>
              <w:rPr>
                <w:sz w:val="20"/>
                <w:szCs w:val="20"/>
                <w:color w:val="auto"/>
              </w:rPr>
            </w:pPr>
            <w:r>
              <w:rPr>
                <w:rFonts w:ascii="Arial" w:cs="Arial" w:eastAsia="Arial" w:hAnsi="Arial"/>
                <w:sz w:val="12"/>
                <w:szCs w:val="12"/>
                <w:color w:val="auto"/>
              </w:rPr>
              <w:t>19.86</w:t>
            </w:r>
          </w:p>
        </w:tc>
        <w:tc>
          <w:tcPr>
            <w:tcW w:w="200" w:type="dxa"/>
            <w:vAlign w:val="bottom"/>
            <w:tcBorders>
              <w:bottom w:val="single" w:sz="8" w:color="CFF0FC"/>
            </w:tcBorders>
            <w:gridSpan w:val="2"/>
            <w:shd w:val="clear" w:color="auto" w:fill="CFF0FC"/>
          </w:tcPr>
          <w:p>
            <w:pPr>
              <w:jc w:val="right"/>
              <w:ind w:right="80"/>
              <w:spacing w:after="0" w:line="110"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CFF0FC"/>
            </w:tcBorders>
            <w:shd w:val="clear" w:color="auto" w:fill="CFF0FC"/>
          </w:tcPr>
          <w:p>
            <w:pPr>
              <w:jc w:val="right"/>
              <w:ind w:right="9"/>
              <w:spacing w:after="0" w:line="110" w:lineRule="exact"/>
              <w:rPr>
                <w:sz w:val="20"/>
                <w:szCs w:val="20"/>
                <w:color w:val="auto"/>
              </w:rPr>
            </w:pPr>
            <w:r>
              <w:rPr>
                <w:rFonts w:ascii="Arial" w:cs="Arial" w:eastAsia="Arial" w:hAnsi="Arial"/>
                <w:sz w:val="12"/>
                <w:szCs w:val="12"/>
                <w:color w:val="auto"/>
              </w:rPr>
              <w:t>7.97</w:t>
            </w:r>
          </w:p>
        </w:tc>
        <w:tc>
          <w:tcPr>
            <w:tcW w:w="220" w:type="dxa"/>
            <w:vAlign w:val="bottom"/>
            <w:tcBorders>
              <w:bottom w:val="single" w:sz="8" w:color="CFF0FC"/>
            </w:tcBorders>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w:t>
            </w:r>
          </w:p>
        </w:tc>
        <w:tc>
          <w:tcPr>
            <w:tcW w:w="1500" w:type="dxa"/>
            <w:vAlign w:val="bottom"/>
            <w:tcBorders>
              <w:bottom w:val="single" w:sz="8" w:color="CFF0FC"/>
            </w:tcBorders>
            <w:shd w:val="clear" w:color="auto" w:fill="CFF0FC"/>
          </w:tcPr>
          <w:p>
            <w:pPr>
              <w:jc w:val="right"/>
              <w:ind w:right="9"/>
              <w:spacing w:after="0" w:line="110" w:lineRule="exact"/>
              <w:rPr>
                <w:sz w:val="20"/>
                <w:szCs w:val="20"/>
                <w:color w:val="auto"/>
              </w:rPr>
            </w:pPr>
            <w:r>
              <w:rPr>
                <w:rFonts w:ascii="Arial" w:cs="Arial" w:eastAsia="Arial" w:hAnsi="Arial"/>
                <w:sz w:val="12"/>
                <w:szCs w:val="12"/>
                <w:color w:val="auto"/>
              </w:rPr>
              <w:t>24,666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-436245</wp:posOffset>
            </wp:positionV>
            <wp:extent cx="171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-419100</wp:posOffset>
            </wp:positionV>
            <wp:extent cx="171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-436245</wp:posOffset>
            </wp:positionV>
            <wp:extent cx="171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-419100</wp:posOffset>
            </wp:positionV>
            <wp:extent cx="171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171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171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75" w:name="page176"/>
    <w:bookmarkEnd w:id="175"/>
    <w:p>
      <w:pPr>
        <w:ind w:left="640"/>
        <w:spacing w:after="0"/>
        <w:rPr>
          <w:sz w:val="20"/>
          <w:szCs w:val="20"/>
          <w:color w:val="auto"/>
        </w:rPr>
      </w:pPr>
      <w:r>
        <w:rPr>
          <w:rFonts w:ascii="Arial" w:cs="Arial" w:eastAsia="Arial" w:hAnsi="Arial"/>
          <w:sz w:val="18"/>
          <w:szCs w:val="18"/>
          <w:color w:val="auto"/>
        </w:rPr>
        <w:t>The following table is a summary of stock compensation expense for employees and nonemployees by function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7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6,847</w:t>
            </w:r>
          </w:p>
        </w:tc>
        <w:tc>
          <w:tcPr>
            <w:tcW w:w="2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2,670</w:t>
            </w:r>
          </w:p>
        </w:tc>
        <w:tc>
          <w:tcPr>
            <w:tcW w:w="22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6,952</w:t>
            </w:r>
          </w:p>
        </w:tc>
        <w:tc>
          <w:tcPr>
            <w:tcW w:w="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2,314</w:t>
            </w:r>
          </w:p>
        </w:tc>
        <w:tc>
          <w:tcPr>
            <w:tcW w:w="220" w:type="dxa"/>
            <w:vAlign w:val="bottom"/>
          </w:tcPr>
          <w:p>
            <w:pPr>
              <w:spacing w:after="0"/>
              <w:rPr>
                <w:sz w:val="17"/>
                <w:szCs w:val="17"/>
                <w:color w:val="auto"/>
              </w:rPr>
            </w:pPr>
          </w:p>
        </w:tc>
      </w:tr>
      <w:tr>
        <w:trPr>
          <w:trHeight w:val="236"/>
        </w:trPr>
        <w:tc>
          <w:tcPr>
            <w:tcW w:w="75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13,799</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4,984</w:t>
            </w:r>
          </w:p>
        </w:tc>
        <w:tc>
          <w:tcPr>
            <w:tcW w:w="2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During the years ended December 31, 2021 and 2020 the Company granted 1,521,150 and 1,267,743 stock options to employees with a weighted-average grant date fair value of $34.46 and $11.84 per share, respectively and 45,000 and 54,000 stock options to nonemployees with a weighted-average grant date fair value of $47.42 and $11.05 per share, respectively. The total fair value of options vested during the years ended December 31, 2021 and 2020 was $13.8 million and $5.0 million, respectively. As of December 31, 2021, the unrecognized stock-based compensation expense of unvested options was $37.7 million and is expected to be recognized over a weighted-average period of 2.7 years.</w:t>
      </w:r>
    </w:p>
    <w:p>
      <w:pPr>
        <w:spacing w:after="0" w:line="205"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Stock-based compensation expense recorded for employee options was $13.3 million and $4.6 million for the years ended December 31, 2021 and 2020, respectively. Stock-based compensation expense recorded for nonemployee consultants was $0.5 million and $0.4 million for the years ended December 31, 2021 and 2020, respectively.</w:t>
      </w:r>
    </w:p>
    <w:p>
      <w:pPr>
        <w:spacing w:after="0" w:line="20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Prior to the Company’s IPO, the fair value of the shares of common stock underlying the stock options was estimated by the board of directors at various dates considering the Company’s most recently available third-party valuations of common stock as well as a number of objective and subjective factors including valuation of comparable companies, sales of redeemable convertible preferred stock, operating and financial performance and general and industry specific economic outlook, amongst other factors. The fair value was determined in accordance with the guidance provided by the American Institute of Certified Public Accountants’ Practice Guide, Valuation of Privately-Held-Company Equity Securities Issued as Compensation. Subsequent to the Company’s IPO, the fair value of the Company’s common stock is determined based on its closing market price on the respective grant date.</w:t>
      </w:r>
    </w:p>
    <w:p>
      <w:pPr>
        <w:spacing w:after="0" w:line="203" w:lineRule="exact"/>
        <w:rPr>
          <w:sz w:val="20"/>
          <w:szCs w:val="20"/>
          <w:color w:val="auto"/>
        </w:rPr>
      </w:pPr>
    </w:p>
    <w:p>
      <w:pPr>
        <w:jc w:val="both"/>
        <w:ind w:right="220" w:firstLine="636"/>
        <w:spacing w:after="0" w:line="238" w:lineRule="auto"/>
        <w:rPr>
          <w:sz w:val="20"/>
          <w:szCs w:val="20"/>
          <w:color w:val="auto"/>
        </w:rPr>
      </w:pPr>
      <w:r>
        <w:rPr>
          <w:rFonts w:ascii="Arial" w:cs="Arial" w:eastAsia="Arial" w:hAnsi="Arial"/>
          <w:sz w:val="18"/>
          <w:szCs w:val="18"/>
          <w:color w:val="auto"/>
        </w:rPr>
        <w:t>The Company estimates the fair value of employee and nonemployee stock options using the Black-Scholes option pricing model. The fair value of employee and nonemployee options is recognized on a straight-line basis over the requisite service period of the awards. The fair value of the Company's stock options was estimated using the following assumptions for the years ended December 31, 2021 and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 2020</w:t>
            </w:r>
          </w:p>
        </w:tc>
        <w:tc>
          <w:tcPr>
            <w:tcW w:w="1120" w:type="dxa"/>
            <w:vAlign w:val="bottom"/>
            <w:tcBorders>
              <w:bottom w:val="single" w:sz="8" w:color="auto"/>
            </w:tcBorders>
          </w:tcPr>
          <w:p>
            <w:pPr>
              <w:spacing w:after="0"/>
              <w:rPr>
                <w:sz w:val="17"/>
                <w:szCs w:val="17"/>
                <w:color w:val="auto"/>
              </w:rPr>
            </w:pPr>
          </w:p>
        </w:tc>
      </w:tr>
      <w:tr>
        <w:trPr>
          <w:trHeight w:val="188"/>
        </w:trPr>
        <w:tc>
          <w:tcPr>
            <w:tcW w:w="224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Employee</w:t>
            </w:r>
          </w:p>
        </w:tc>
        <w:tc>
          <w:tcPr>
            <w:tcW w:w="3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Nonemployee</w:t>
            </w:r>
          </w:p>
        </w:tc>
        <w:tc>
          <w:tcPr>
            <w:tcW w:w="12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Employee</w:t>
            </w:r>
          </w:p>
        </w:tc>
        <w:tc>
          <w:tcPr>
            <w:tcW w:w="26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Nonemployee</w:t>
            </w:r>
          </w:p>
        </w:tc>
      </w:tr>
      <w:tr>
        <w:trPr>
          <w:trHeight w:val="196"/>
        </w:trPr>
        <w:tc>
          <w:tcPr>
            <w:tcW w:w="2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w:t>
            </w:r>
          </w:p>
        </w:tc>
        <w:tc>
          <w:tcPr>
            <w:tcW w:w="208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rPr>
              <w:t>5.8 – 6.3 years</w:t>
            </w:r>
          </w:p>
        </w:tc>
        <w:tc>
          <w:tcPr>
            <w:tcW w:w="30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6.3 years</w:t>
            </w:r>
          </w:p>
        </w:tc>
        <w:tc>
          <w:tcPr>
            <w:tcW w:w="120" w:type="dxa"/>
            <w:vAlign w:val="bottom"/>
          </w:tcPr>
          <w:p>
            <w:pPr>
              <w:spacing w:after="0"/>
              <w:rPr>
                <w:sz w:val="17"/>
                <w:szCs w:val="17"/>
                <w:color w:val="auto"/>
              </w:rPr>
            </w:pPr>
          </w:p>
        </w:tc>
        <w:tc>
          <w:tcPr>
            <w:tcW w:w="208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rPr>
              <w:t>5.5 – 6.3 years</w:t>
            </w:r>
          </w:p>
        </w:tc>
        <w:tc>
          <w:tcPr>
            <w:tcW w:w="26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6.0 years</w:t>
            </w: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 84.3%</w:t>
            </w:r>
          </w:p>
        </w:tc>
        <w:tc>
          <w:tcPr>
            <w:tcW w:w="23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7"/>
              </w:rPr>
              <w:t>83.5%</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 83.8%</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82.1%</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 83.1%</w:t>
            </w:r>
          </w:p>
        </w:tc>
      </w:tr>
      <w:tr>
        <w:trPr>
          <w:trHeight w:val="203"/>
        </w:trPr>
        <w:tc>
          <w:tcPr>
            <w:tcW w:w="2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1.3%</w:t>
            </w:r>
          </w:p>
        </w:tc>
        <w:tc>
          <w:tcPr>
            <w:tcW w:w="238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rPr>
              <w:t>0.6%</w:t>
            </w:r>
          </w:p>
        </w:tc>
        <w:tc>
          <w:tcPr>
            <w:tcW w:w="120" w:type="dxa"/>
            <w:vAlign w:val="bottom"/>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0.7%</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1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0.7%</w:t>
            </w:r>
          </w:p>
        </w:tc>
      </w:tr>
      <w:tr>
        <w:trPr>
          <w:trHeight w:val="217"/>
        </w:trPr>
        <w:tc>
          <w:tcPr>
            <w:tcW w:w="2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3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34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0%</w:t>
            </w:r>
          </w:p>
        </w:tc>
      </w:tr>
    </w:tbl>
    <w:p>
      <w:pPr>
        <w:spacing w:after="0" w:line="210" w:lineRule="exact"/>
        <w:rPr>
          <w:sz w:val="20"/>
          <w:szCs w:val="20"/>
          <w:color w:val="auto"/>
        </w:rPr>
      </w:pPr>
    </w:p>
    <w:p>
      <w:pPr>
        <w:ind w:right="40" w:firstLine="636"/>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for employee options is calculated using the simplified method as the Company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6" w:name="page177"/>
    <w:bookmarkEnd w:id="176"/>
    <w:p>
      <w:pPr>
        <w:ind w:right="160" w:firstLine="644"/>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study of publicly traded peer companies as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trading history for its common stock. The Company selected the peer group based on similarities in industry, stage of development, size and financial leverage with the Company’s principal business operations. For each grant, the Company measured historical volatility over a period equivalent to the expected term.</w:t>
      </w:r>
    </w:p>
    <w:p>
      <w:pPr>
        <w:spacing w:after="0" w:line="181" w:lineRule="exact"/>
        <w:rPr>
          <w:sz w:val="20"/>
          <w:szCs w:val="20"/>
          <w:color w:val="auto"/>
        </w:rPr>
      </w:pPr>
    </w:p>
    <w:p>
      <w:pPr>
        <w:ind w:firstLine="636"/>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available on U.S. Treasury zero-coupon issues whose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 duration to the expected term of the respective stock option.</w:t>
      </w:r>
    </w:p>
    <w:p>
      <w:pPr>
        <w:spacing w:after="0" w:line="160" w:lineRule="exact"/>
        <w:rPr>
          <w:sz w:val="20"/>
          <w:szCs w:val="20"/>
          <w:color w:val="auto"/>
        </w:rPr>
      </w:pPr>
    </w:p>
    <w:p>
      <w:pPr>
        <w:ind w:right="500" w:firstLine="636"/>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Accordingly, the Company has estimated the dividend yield to be zero.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Common Stock Warrants</w:t>
      </w:r>
    </w:p>
    <w:p>
      <w:pPr>
        <w:spacing w:after="0" w:line="126"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In 2016, the Company issued a warrant for 45,000 shares of the Company’s common stock to a service provider with an exercise price of $1.14 per share, of which 15,000 warrant shares become exercisable upon completion of an offering of securities in a private placement by the Company with net proceeds in excess of $25.0 million and 30,000 warrant shares become exercisable upon completion of an IPO by the Company. The warrant expires in 2023. The fair value of the warrant was determined at the issuance date using the Black-Scholes option pricing model. 15,000 of these warrant shares became exercisable upon the completion of the Series B financing in 2018 and 30,000 of these warrants became exercisable upon completion of the IPO in 2020. 45,000 shares of this warrant were exercised in October 2021.</w:t>
      </w:r>
    </w:p>
    <w:p>
      <w:pPr>
        <w:spacing w:after="0" w:line="203" w:lineRule="exact"/>
        <w:rPr>
          <w:sz w:val="20"/>
          <w:szCs w:val="20"/>
          <w:color w:val="auto"/>
        </w:rPr>
      </w:pPr>
    </w:p>
    <w:p>
      <w:pPr>
        <w:ind w:right="180" w:firstLine="644"/>
        <w:spacing w:after="0"/>
        <w:rPr>
          <w:sz w:val="20"/>
          <w:szCs w:val="20"/>
          <w:color w:val="auto"/>
        </w:rPr>
      </w:pPr>
      <w:r>
        <w:rPr>
          <w:rFonts w:ascii="Arial" w:cs="Arial" w:eastAsia="Arial" w:hAnsi="Arial"/>
          <w:sz w:val="18"/>
          <w:szCs w:val="18"/>
          <w:color w:val="auto"/>
        </w:rPr>
        <w:t>In May 2018, the Company issued a warrant for 23,669 shares of the Company’s common stock to a service provider with an exercise price of $3.19 per share. The fair value of the warrant was determined at the issuance date using the Black-Scholes option pricing model, expires in 2025 and upon issuance was fully vested.</w:t>
      </w:r>
    </w:p>
    <w:p>
      <w:pPr>
        <w:spacing w:after="0" w:line="203"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In December 2020, the Company issued a warrant for 30,000 shares of the Company’s common stock to a service provider with an exercise price of $18.00 per share. This warrant vests over a period of four years and expires in 2027. The fair value of the warrant was determined at the issuance date using the Black-Scholes option pricing model.</w:t>
      </w:r>
    </w:p>
    <w:p>
      <w:pPr>
        <w:spacing w:after="0" w:line="203"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In April 2021, the Company issued a warrant for 40,000 shares of the Company’s common stock to a former employee with an exercise price of $9.41 per share as a result of a settlement agreement with such former employee. The warrant was exercised in May 2021. The Company previously recorded an accrual within accrued and other current liabilities within the balance sheet at December 31, 2020 to accrue for the settlement and the related expense was recognized in general and administrative expenses for the year ended December 31, 2020. Upon the issuance of the warrant in April 2021 in connection with the settlement, $1.1 million was reclassified from accrued and other current liabilities to additional paid-in capital within the balance sheet as of December 31, 2021.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77" w:name="page178"/>
    <w:bookmarkEnd w:id="177"/>
    <w:p>
      <w:pPr>
        <w:ind w:right="600" w:firstLine="636"/>
        <w:spacing w:after="0" w:line="246" w:lineRule="auto"/>
        <w:rPr>
          <w:sz w:val="20"/>
          <w:szCs w:val="20"/>
          <w:color w:val="auto"/>
        </w:rPr>
      </w:pPr>
      <w:r>
        <w:rPr>
          <w:rFonts w:ascii="Arial" w:cs="Arial" w:eastAsia="Arial" w:hAnsi="Arial"/>
          <w:sz w:val="18"/>
          <w:szCs w:val="18"/>
          <w:color w:val="auto"/>
        </w:rPr>
        <w:t>The Company recorded less than $0.1 million expense for the above warrants, within operating expenses in the statements of operations during each of the years ended December 31,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Net Loss Per Share, Basic and Diluted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w:t>
      </w: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(71,317 )</w:t>
            </w: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(56,693 )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outstanding</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27,730,420</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6,430,555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4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Weighted-average shares outstanding used in computing net loss per share, basic and</w:t>
            </w:r>
          </w:p>
        </w:tc>
        <w:tc>
          <w:tcPr>
            <w:tcW w:w="40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27,730,420</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rPr>
              <w:t>6,430,555</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83" w:lineRule="exact"/>
              <w:rPr>
                <w:sz w:val="20"/>
                <w:szCs w:val="20"/>
                <w:color w:val="auto"/>
              </w:rPr>
            </w:pPr>
            <w:r>
              <w:rPr>
                <w:rFonts w:ascii="Arial" w:cs="Arial" w:eastAsia="Arial" w:hAnsi="Arial"/>
                <w:sz w:val="18"/>
                <w:szCs w:val="18"/>
                <w:color w:val="auto"/>
              </w:rPr>
              <w:t>(2.57 )</w:t>
            </w:r>
          </w:p>
        </w:tc>
        <w:tc>
          <w:tcPr>
            <w:tcW w:w="56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(8.82 )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-179070</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-162560</wp:posOffset>
            </wp:positionV>
            <wp:extent cx="111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1028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10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22" w:lineRule="exact"/>
        <w:rPr>
          <w:sz w:val="20"/>
          <w:szCs w:val="20"/>
          <w:color w:val="auto"/>
        </w:rPr>
      </w:pPr>
    </w:p>
    <w:p>
      <w:pPr>
        <w:jc w:val="both"/>
        <w:ind w:right="20" w:firstLine="63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for the periods presented because including them would have been antidilutive: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3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7540" w:type="dxa"/>
            <w:vAlign w:val="bottom"/>
          </w:tcPr>
          <w:p>
            <w:pPr>
              <w:spacing w:after="0"/>
              <w:rPr>
                <w:sz w:val="17"/>
                <w:szCs w:val="17"/>
                <w:color w:val="auto"/>
              </w:rPr>
            </w:pPr>
          </w:p>
        </w:tc>
        <w:tc>
          <w:tcPr>
            <w:tcW w:w="17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r>
      <w:tr>
        <w:trPr>
          <w:trHeight w:val="196"/>
        </w:trPr>
        <w:tc>
          <w:tcPr>
            <w:tcW w:w="7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issued and outstanding</w:t>
            </w:r>
          </w:p>
        </w:tc>
        <w:tc>
          <w:tcPr>
            <w:tcW w:w="17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3,881,274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3,194,113</w:t>
            </w:r>
          </w:p>
        </w:tc>
        <w:tc>
          <w:tcPr>
            <w:tcW w:w="160" w:type="dxa"/>
            <w:vAlign w:val="bottom"/>
            <w:shd w:val="clear" w:color="auto" w:fill="CFF0FC"/>
          </w:tcPr>
          <w:p>
            <w:pPr>
              <w:spacing w:after="0"/>
              <w:rPr>
                <w:sz w:val="17"/>
                <w:szCs w:val="17"/>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Common stock warrants</w:t>
            </w:r>
          </w:p>
        </w:tc>
        <w:tc>
          <w:tcPr>
            <w:tcW w:w="17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53,669</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98,669</w:t>
            </w:r>
          </w:p>
        </w:tc>
        <w:tc>
          <w:tcPr>
            <w:tcW w:w="160" w:type="dxa"/>
            <w:vAlign w:val="bottom"/>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3,934,943</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3,292,782</w:t>
            </w:r>
          </w:p>
        </w:tc>
        <w:tc>
          <w:tcPr>
            <w:tcW w:w="1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Derivative Liability</w:t>
      </w:r>
    </w:p>
    <w:p>
      <w:pPr>
        <w:spacing w:after="0" w:line="126"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$0.0 million to $10.6 million at December 31, 2021 and December 31, 2020), the probability of a change of control event, the probability of the product achieving development or commercial status at time of change of control (range of 4.8% and 17.2% at December 31, 2021 and 3.4% to 12.3% at December 31, 2020) and the discount rate (14.0% at December 31, 2021 and December 31, 2020). The Company determined the estimated fair value of this liability as of the inception date of the CFF Agreement and concluded that the amount was immaterial. The Company determined the fair value of this derivative liability was $0.2 million and $0.1 million as of December 31, 2021 and 2020,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i w:val="1"/>
          <w:iCs w:val="1"/>
          <w:color w:val="auto"/>
        </w:rPr>
        <w:t>17. Related Party Transactions</w:t>
      </w:r>
    </w:p>
    <w:p>
      <w:pPr>
        <w:spacing w:after="0" w:line="12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During the years ended December 31, 2021 and 2020, the Company paid $85,000 and $93,000, respectively, to David Schaffer, Ph.D., the co-founder, director and Chief Scientific Advisor of the Company for consulting services. In April 2019, the Company entered into two sponsored research agreements (“SRAs”) with the UC Regents to conduct research in a research facility on the U.C. Berkeley campus, under the direction of Dr. Schaffer. The SRAs have a three year term ending in May 2022. Under the SRAs, the Company has an option to license (on a royalty-bearing basis) all intellectual property generated under the SRAs. The total amount the Company is committed to pay to the UC Regents under the SRAs is $1.5 million, which was fully paid as of December 31, 2021. In March 2021, the Company entered into another sponsored research agreement with the UC Regents to conduct research in laboratories on the U.C. Berkeley campus that are under the direction of Dr. Schaffer and another U.C. Berkeley professor covering investigations into how machine learning approaches may enhance AAV capsid engineering (the “Machine Learning SRA”). Pursuant to the Machine Learning SRA, the Company has committed to pay the UC Regents a total of $1.4 million, of which $0.4 million was paid as of December 31, 2021. The Machine Learning SRA has a three-year term ending in 2024. Any patent prosecution costs incurred under the SRAs will also be borne by the Company. The Company can terminate the SRAs for convenience and without cause with 60 days’ notice. While the Machine Learning SRA is between the Company and the UC Regents, the payments under the SRA will be used to fund the lab under the direction of Dr. Schaffer. As of December 31, 2021 and 2020, accounts payable to the UC Regents related to the SRAs and Machine Learning SRA was $0.0 million and $0.2 million, respectively. In the years ended December 31, 2021 and 2020, the Company recorded $0.9 million and $0.5 million, respectively, of expense related to SRAs.</w:t>
      </w:r>
    </w:p>
    <w:p>
      <w:pPr>
        <w:spacing w:after="0" w:line="213"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In August 2019, the Company and uniQure entered into the amended uniQure Agreement and the Second uniQure Agreement. Under these agreements, the Company agreed to transfer incremental rights and services to uniQure in exchange for uniQure eliminating the exclusivity clause in the uniQure Agreement and transferring other rights back to the Company. Further details and the accounting for these agreements is discussed in Note 7. As of June 17, 2020, uniQure was no longer a related party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401(k) Plan</w:t>
      </w:r>
    </w:p>
    <w:p>
      <w:pPr>
        <w:spacing w:after="0" w:line="126"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In 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Plan for eligible participants, and recorded contribution expenses of $0.5 million and $0.4 million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182" w:lineRule="exact"/>
        <w:rPr>
          <w:sz w:val="20"/>
          <w:szCs w:val="20"/>
          <w:color w:val="auto"/>
        </w:rPr>
      </w:pPr>
    </w:p>
    <w:p>
      <w:pPr>
        <w:ind w:right="300" w:firstLine="360"/>
        <w:spacing w:after="0" w:line="261" w:lineRule="auto"/>
        <w:rPr>
          <w:sz w:val="20"/>
          <w:szCs w:val="20"/>
          <w:color w:val="auto"/>
        </w:rPr>
      </w:pPr>
      <w:r>
        <w:rPr>
          <w:rFonts w:ascii="Arial" w:cs="Arial" w:eastAsia="Arial" w:hAnsi="Arial"/>
          <w:sz w:val="18"/>
          <w:szCs w:val="18"/>
          <w:color w:val="auto"/>
        </w:rPr>
        <w:t>As of December 31, 2021, 4D Molecular Therapeutics, Inc. had one class of common stock registered under Section 12 of the Securities Exchange Act of 1934, as amended (the “Exchange Act”).</w:t>
      </w:r>
    </w:p>
    <w:p>
      <w:pPr>
        <w:spacing w:after="0" w:line="157"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The following summary describes our capital stock and the material provisions of our amended and restated certificate of incorporation, our amended and restated bylaws, the amended and restated investors’ rights agreement to which we and certain of our stockholders are parties, and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each of which is incorporated herein by reference as an exhibit to the Annual Report on Form 10-K filed with the Securities and Exchange Commission, of which this Exhibit 4.1 is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2" w:lineRule="exact"/>
        <w:rPr>
          <w:sz w:val="20"/>
          <w:szCs w:val="20"/>
          <w:color w:val="auto"/>
        </w:rPr>
      </w:pPr>
    </w:p>
    <w:p>
      <w:pPr>
        <w:ind w:right="140" w:firstLine="360"/>
        <w:spacing w:after="0" w:line="324" w:lineRule="auto"/>
        <w:rPr>
          <w:sz w:val="20"/>
          <w:szCs w:val="20"/>
          <w:color w:val="auto"/>
        </w:rPr>
      </w:pPr>
      <w:r>
        <w:rPr>
          <w:rFonts w:ascii="Arial" w:cs="Arial" w:eastAsia="Arial" w:hAnsi="Arial"/>
          <w:sz w:val="16"/>
          <w:szCs w:val="16"/>
          <w:color w:val="auto"/>
        </w:rPr>
        <w:t>Our authorized capital stock consists of 300,000,000 shares of common stock, $0.0001 par value per share, and 10,000,000 shares of preferred stock, $0.0001 par value per share. Unless our board of directors determines otherwise, we will issue all shares of our capital stock in uncertificated 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2021, there were approximately 31 stockholders of record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ind w:right="20" w:firstLine="360"/>
        <w:spacing w:after="0" w:line="259"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98" w:lineRule="exact"/>
        <w:rPr>
          <w:sz w:val="20"/>
          <w:szCs w:val="20"/>
          <w:color w:val="auto"/>
        </w:rPr>
      </w:pPr>
    </w:p>
    <w:p>
      <w:pPr>
        <w:ind w:right="180" w:firstLine="360"/>
        <w:spacing w:after="0" w:line="248"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198" w:lineRule="exact"/>
        <w:rPr>
          <w:sz w:val="20"/>
          <w:szCs w:val="20"/>
          <w:color w:val="auto"/>
        </w:rPr>
      </w:pPr>
    </w:p>
    <w:p>
      <w:pPr>
        <w:ind w:right="40" w:firstLine="360"/>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i w:val="1"/>
          <w:iCs w:val="1"/>
          <w:color w:val="auto"/>
        </w:rPr>
        <w:t>Fully Paid and Nonassessable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202" w:lineRule="exact"/>
        <w:rPr>
          <w:sz w:val="20"/>
          <w:szCs w:val="20"/>
          <w:color w:val="auto"/>
        </w:rPr>
      </w:pPr>
    </w:p>
    <w:p>
      <w:pPr>
        <w:ind w:right="60" w:firstLine="360"/>
        <w:spacing w:after="0" w:line="274"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As of December 31, 2021, no shares of preferred stock are outstanding, and we have no present plan to issue any shares of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firstLine="360"/>
        <w:spacing w:after="0" w:line="262" w:lineRule="auto"/>
        <w:rPr>
          <w:sz w:val="20"/>
          <w:szCs w:val="20"/>
          <w:color w:val="auto"/>
        </w:rPr>
      </w:pPr>
      <w:r>
        <w:rPr>
          <w:rFonts w:ascii="Arial" w:cs="Arial" w:eastAsia="Arial" w:hAnsi="Arial"/>
          <w:sz w:val="17"/>
          <w:szCs w:val="17"/>
          <w:color w:val="auto"/>
        </w:rPr>
        <w:t>Under our amended and restated investors’ rights agreement, based on the number of shares outstanding as of December 31, 2021, the holders of 11.6 million shares of our common stock, or their transferees, have the right to require us to register their shares under the Securities Act of 1933, as amended (the “Securities Act”) so that those shares may be publicly resold, and the holders of 11.6 million shares of our common stock, or their transferees, have the right to include their shares in any registration statement we file, in each case as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98" w:lineRule="exact"/>
        <w:rPr>
          <w:sz w:val="20"/>
          <w:szCs w:val="20"/>
          <w:color w:val="auto"/>
        </w:rPr>
      </w:pPr>
    </w:p>
    <w:p>
      <w:pPr>
        <w:ind w:right="240" w:firstLine="360"/>
        <w:spacing w:after="0" w:line="243" w:lineRule="auto"/>
        <w:rPr>
          <w:sz w:val="20"/>
          <w:szCs w:val="20"/>
          <w:color w:val="auto"/>
        </w:rPr>
      </w:pPr>
      <w:r>
        <w:rPr>
          <w:rFonts w:ascii="Arial" w:cs="Arial" w:eastAsia="Arial" w:hAnsi="Arial"/>
          <w:sz w:val="18"/>
          <w:szCs w:val="18"/>
          <w:color w:val="auto"/>
        </w:rPr>
        <w:t>Based on the number of shares outstanding as of December 31, 2021, the holders of 11.6 million shares of our common stock (on an as-converted basis), or their transferees, are entitled to certain demand registration rights. The holders of at least 50% of these shares can, on not more than two occasions, request that we register all or a portion of their shares if the aggregate price to the public of the shares offered is at least $30.0 million (before deductions of underwriters’ commissions and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98" w:lineRule="exact"/>
        <w:rPr>
          <w:sz w:val="20"/>
          <w:szCs w:val="20"/>
          <w:color w:val="auto"/>
        </w:rPr>
      </w:pPr>
    </w:p>
    <w:p>
      <w:pPr>
        <w:ind w:right="40" w:firstLine="360"/>
        <w:spacing w:after="0" w:line="272" w:lineRule="auto"/>
        <w:rPr>
          <w:sz w:val="20"/>
          <w:szCs w:val="20"/>
          <w:color w:val="auto"/>
        </w:rPr>
      </w:pPr>
      <w:r>
        <w:rPr>
          <w:rFonts w:ascii="Arial" w:cs="Arial" w:eastAsia="Arial" w:hAnsi="Arial"/>
          <w:sz w:val="16"/>
          <w:szCs w:val="16"/>
          <w:color w:val="auto"/>
        </w:rPr>
        <w:t>Based on the number of shares outstanding as of December 31, 2021, in the event that we determine to register any of our securities under the Securities Act (subject to certain exceptions), either for our own account or for the account of other security holders, the holders of 11.6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98" w:lineRule="exact"/>
        <w:rPr>
          <w:sz w:val="20"/>
          <w:szCs w:val="20"/>
          <w:color w:val="auto"/>
        </w:rPr>
      </w:pPr>
    </w:p>
    <w:p>
      <w:pPr>
        <w:ind w:firstLine="360"/>
        <w:spacing w:after="0" w:line="262" w:lineRule="auto"/>
        <w:rPr>
          <w:sz w:val="20"/>
          <w:szCs w:val="20"/>
          <w:color w:val="auto"/>
        </w:rPr>
      </w:pPr>
      <w:r>
        <w:rPr>
          <w:rFonts w:ascii="Arial" w:cs="Arial" w:eastAsia="Arial" w:hAnsi="Arial"/>
          <w:sz w:val="17"/>
          <w:szCs w:val="17"/>
          <w:color w:val="auto"/>
        </w:rPr>
        <w:t>Based on the number of shares outstanding as of December 31, 2021, the holders of 11.6 million shares of our common stock (on an as-converted basis), or their transferees, are entitled to certain Form S-3 registration rights. The holders of at least 30% of these registrable securities then outstanding can make a written request that we register their shares on Form S-3 if we are eligible to file a registration statement on Form S-3 and if the aggregate price to the public of the shares offered is at least $5.0 million (before deductions of underwriters’ commissions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81" w:name="page182"/>
    <w:bookmarkEnd w:id="181"/>
    <w:p>
      <w:pPr>
        <w:ind w:right="260"/>
        <w:spacing w:after="0" w:line="261" w:lineRule="auto"/>
        <w:rPr>
          <w:sz w:val="20"/>
          <w:szCs w:val="20"/>
          <w:color w:val="auto"/>
        </w:rPr>
      </w:pPr>
      <w:r>
        <w:rPr>
          <w:rFonts w:ascii="Arial" w:cs="Arial" w:eastAsia="Arial" w:hAnsi="Arial"/>
          <w:sz w:val="18"/>
          <w:szCs w:val="18"/>
          <w:color w:val="auto"/>
        </w:rPr>
        <w:t>expenses). These stockholders may make an unlimited number of requests for registration on Form S-3, but in no event shall we be required to file more than two registrations on Form S-3 in any given twelve-month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198" w:lineRule="exact"/>
        <w:rPr>
          <w:sz w:val="20"/>
          <w:szCs w:val="20"/>
          <w:color w:val="auto"/>
        </w:rPr>
      </w:pPr>
    </w:p>
    <w:p>
      <w:pPr>
        <w:ind w:right="520" w:firstLine="360"/>
        <w:spacing w:after="0" w:line="291" w:lineRule="auto"/>
        <w:rPr>
          <w:sz w:val="20"/>
          <w:szCs w:val="20"/>
          <w:color w:val="auto"/>
        </w:rPr>
      </w:pPr>
      <w:r>
        <w:rPr>
          <w:rFonts w:ascii="Arial" w:cs="Arial" w:eastAsia="Arial" w:hAnsi="Arial"/>
          <w:sz w:val="17"/>
          <w:szCs w:val="17"/>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198" w:lineRule="exact"/>
        <w:rPr>
          <w:sz w:val="20"/>
          <w:szCs w:val="20"/>
          <w:color w:val="auto"/>
        </w:rPr>
      </w:pPr>
    </w:p>
    <w:p>
      <w:pPr>
        <w:ind w:right="120" w:firstLine="360"/>
        <w:spacing w:after="0" w:line="294" w:lineRule="auto"/>
        <w:rPr>
          <w:sz w:val="20"/>
          <w:szCs w:val="20"/>
          <w:color w:val="auto"/>
        </w:rPr>
      </w:pPr>
      <w:r>
        <w:rPr>
          <w:rFonts w:ascii="Arial" w:cs="Arial" w:eastAsia="Arial" w:hAnsi="Arial"/>
          <w:sz w:val="16"/>
          <w:szCs w:val="16"/>
          <w:color w:val="auto"/>
        </w:rPr>
        <w:t>The demand, piggyback and Form S-3 registration rights described above will expire, with respect to any particular stockholder, upon the earlier of December 10, 2025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130"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53" w:lineRule="exact"/>
        <w:rPr>
          <w:sz w:val="20"/>
          <w:szCs w:val="20"/>
          <w:color w:val="auto"/>
        </w:rPr>
      </w:pPr>
    </w:p>
    <w:p>
      <w:pPr>
        <w:ind w:right="40" w:firstLine="360"/>
        <w:spacing w:after="0" w:line="241"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76" w:lineRule="exact"/>
        <w:rPr>
          <w:sz w:val="20"/>
          <w:szCs w:val="20"/>
          <w:color w:val="auto"/>
        </w:rPr>
      </w:pPr>
    </w:p>
    <w:p>
      <w:pPr>
        <w:ind w:right="140" w:firstLine="360"/>
        <w:spacing w:after="0" w:line="262"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98" w:lineRule="exact"/>
        <w:rPr>
          <w:sz w:val="20"/>
          <w:szCs w:val="20"/>
          <w:color w:val="auto"/>
        </w:rPr>
      </w:pPr>
    </w:p>
    <w:p>
      <w:pPr>
        <w:ind w:right="40" w:firstLine="360"/>
        <w:spacing w:after="0" w:line="254"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198" w:lineRule="exact"/>
        <w:rPr>
          <w:sz w:val="20"/>
          <w:szCs w:val="20"/>
          <w:color w:val="auto"/>
        </w:rPr>
      </w:pPr>
    </w:p>
    <w:p>
      <w:pPr>
        <w:ind w:firstLine="360"/>
        <w:spacing w:after="0" w:line="248"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ind w:right="120" w:firstLine="360"/>
        <w:spacing w:after="0" w:line="291" w:lineRule="auto"/>
        <w:rPr>
          <w:sz w:val="20"/>
          <w:szCs w:val="20"/>
          <w:color w:val="auto"/>
        </w:rPr>
      </w:pPr>
      <w:r>
        <w:rPr>
          <w:rFonts w:ascii="Arial" w:cs="Arial" w:eastAsia="Arial" w:hAnsi="Arial"/>
          <w:sz w:val="17"/>
          <w:szCs w:val="17"/>
          <w:color w:val="auto"/>
        </w:rPr>
        <w:t>Our amended and restated bylaws provide that a special meeting of stockholders may be called at any time by our board of directors, or our President or Chief Executive Officer, but such special meetings may not be called by our stockholders or any other person or persons.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98" w:lineRule="exact"/>
        <w:rPr>
          <w:sz w:val="20"/>
          <w:szCs w:val="20"/>
          <w:color w:val="auto"/>
        </w:rPr>
      </w:pPr>
    </w:p>
    <w:p>
      <w:pPr>
        <w:ind w:right="220" w:firstLine="360"/>
        <w:spacing w:after="0" w:line="324" w:lineRule="auto"/>
        <w:rPr>
          <w:sz w:val="20"/>
          <w:szCs w:val="20"/>
          <w:color w:val="auto"/>
        </w:rPr>
      </w:pPr>
      <w:r>
        <w:rPr>
          <w:rFonts w:ascii="Arial" w:cs="Arial" w:eastAsia="Arial" w:hAnsi="Arial"/>
          <w:sz w:val="16"/>
          <w:szCs w:val="16"/>
          <w:color w:val="auto"/>
        </w:rPr>
        <w:t>Our amended and restated bylaws established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98" w:lineRule="exact"/>
        <w:rPr>
          <w:sz w:val="20"/>
          <w:szCs w:val="20"/>
          <w:color w:val="auto"/>
        </w:rPr>
      </w:pPr>
    </w:p>
    <w:p>
      <w:pPr>
        <w:ind w:right="460" w:firstLine="360"/>
        <w:spacing w:after="0" w:line="261" w:lineRule="auto"/>
        <w:rPr>
          <w:sz w:val="20"/>
          <w:szCs w:val="20"/>
          <w:color w:val="auto"/>
        </w:rPr>
      </w:pPr>
      <w:r>
        <w:rPr>
          <w:rFonts w:ascii="Arial" w:cs="Arial" w:eastAsia="Arial" w:hAnsi="Arial"/>
          <w:sz w:val="18"/>
          <w:szCs w:val="18"/>
          <w:color w:val="auto"/>
        </w:rPr>
        <w:t>Our amended and restated certificate of incorporation and our amended and restated bylaws do not provide for the right of stockholders to act by written consent without a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Election and Removal of Directors; Filling Vacancies</w:t>
      </w:r>
    </w:p>
    <w:p>
      <w:pPr>
        <w:spacing w:after="0" w:line="198"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are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198" w:lineRule="exact"/>
        <w:rPr>
          <w:sz w:val="20"/>
          <w:szCs w:val="20"/>
          <w:color w:val="auto"/>
        </w:rPr>
      </w:pPr>
    </w:p>
    <w:p>
      <w:pPr>
        <w:ind w:right="60" w:firstLine="360"/>
        <w:spacing w:after="0" w:line="26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61" w:lineRule="exact"/>
        <w:rPr>
          <w:sz w:val="20"/>
          <w:szCs w:val="20"/>
          <w:color w:val="auto"/>
        </w:rPr>
      </w:pPr>
    </w:p>
    <w:p>
      <w:pPr>
        <w:ind w:right="120" w:firstLine="360"/>
        <w:spacing w:after="0" w:line="248"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ind w:right="20"/>
        <w:spacing w:after="0" w:line="241" w:lineRule="auto"/>
        <w:rPr>
          <w:sz w:val="20"/>
          <w:szCs w:val="20"/>
          <w:color w:val="auto"/>
        </w:rPr>
      </w:pPr>
      <w:r>
        <w:rPr>
          <w:rFonts w:ascii="Arial" w:cs="Arial" w:eastAsia="Arial" w:hAnsi="Arial"/>
          <w:sz w:val="18"/>
          <w:szCs w:val="18"/>
          <w:color w:val="auto"/>
        </w:rPr>
        <w:t>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76" w:lineRule="exact"/>
        <w:rPr>
          <w:sz w:val="20"/>
          <w:szCs w:val="20"/>
          <w:color w:val="auto"/>
        </w:rPr>
      </w:pPr>
    </w:p>
    <w:p>
      <w:pPr>
        <w:jc w:val="both"/>
        <w:ind w:right="140" w:firstLine="360"/>
        <w:spacing w:after="0" w:line="24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Provisions</w:t>
      </w:r>
    </w:p>
    <w:p>
      <w:pPr>
        <w:spacing w:after="0" w:line="198" w:lineRule="exact"/>
        <w:rPr>
          <w:sz w:val="20"/>
          <w:szCs w:val="20"/>
          <w:color w:val="auto"/>
        </w:rPr>
      </w:pPr>
    </w:p>
    <w:p>
      <w:pPr>
        <w:ind w:firstLine="360"/>
        <w:spacing w:after="0" w:line="248" w:lineRule="auto"/>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requires approval by a stockholder vote by the holders of at least a 66 2/3% of the voting power of the then outstanding voting stock.</w:t>
      </w:r>
    </w:p>
    <w:p>
      <w:pPr>
        <w:spacing w:after="0" w:line="168" w:lineRule="exact"/>
        <w:rPr>
          <w:sz w:val="20"/>
          <w:szCs w:val="20"/>
          <w:color w:val="auto"/>
        </w:rPr>
      </w:pPr>
    </w:p>
    <w:p>
      <w:pPr>
        <w:ind w:right="60" w:firstLine="360"/>
        <w:spacing w:after="0" w:line="241"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02" w:lineRule="exact"/>
        <w:rPr>
          <w:sz w:val="20"/>
          <w:szCs w:val="20"/>
          <w:color w:val="auto"/>
        </w:rPr>
      </w:pPr>
    </w:p>
    <w:p>
      <w:pPr>
        <w:ind w:right="120" w:firstLine="360"/>
        <w:spacing w:after="0" w:line="248"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68" w:lineRule="exact"/>
        <w:rPr>
          <w:sz w:val="20"/>
          <w:szCs w:val="20"/>
          <w:color w:val="auto"/>
        </w:rPr>
      </w:pPr>
    </w:p>
    <w:p>
      <w:pPr>
        <w:ind w:left="760" w:hanging="378"/>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98" w:lineRule="exact"/>
        <w:rPr>
          <w:rFonts w:ascii="Arial" w:cs="Arial" w:eastAsia="Arial" w:hAnsi="Arial"/>
          <w:sz w:val="18"/>
          <w:szCs w:val="18"/>
          <w:color w:val="auto"/>
        </w:rPr>
      </w:pPr>
    </w:p>
    <w:p>
      <w:pPr>
        <w:ind w:left="760" w:right="160" w:hanging="378"/>
        <w:spacing w:after="0" w:line="261"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98" w:lineRule="exact"/>
        <w:rPr>
          <w:sz w:val="20"/>
          <w:szCs w:val="20"/>
          <w:color w:val="auto"/>
        </w:rPr>
      </w:pPr>
    </w:p>
    <w:p>
      <w:pPr>
        <w:ind w:right="40" w:firstLine="360"/>
        <w:spacing w:after="0" w:line="253" w:lineRule="auto"/>
        <w:rPr>
          <w:sz w:val="20"/>
          <w:szCs w:val="20"/>
          <w:color w:val="auto"/>
        </w:rPr>
      </w:pPr>
      <w:r>
        <w:rPr>
          <w:rFonts w:ascii="Arial" w:cs="Arial" w:eastAsia="Arial" w:hAnsi="Arial"/>
          <w:sz w:val="17"/>
          <w:szCs w:val="17"/>
          <w:color w:val="auto"/>
        </w:rPr>
        <w:t>Each of our amended and restated certificate of incorporation and amended and restated bylaws provides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4" w:name="page185"/>
    <w:bookmarkEnd w:id="184"/>
    <w:p>
      <w:pPr>
        <w:ind w:right="80" w:firstLine="360"/>
        <w:spacing w:after="0" w:line="25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“FDMT.”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333-254701 and 333-251370) of 4D Molecular Therapeutics, Inc. of our report dated March 28, 2022 relating to the financial statements, which appears in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RULES 13a-14(a) AND</w:t>
      </w:r>
    </w:p>
    <w:p>
      <w:pPr>
        <w:jc w:val="center"/>
        <w:ind w:right="40"/>
        <w:spacing w:after="0" w:line="234" w:lineRule="auto"/>
        <w:rPr>
          <w:sz w:val="20"/>
          <w:szCs w:val="20"/>
          <w:color w:val="auto"/>
        </w:rPr>
      </w:pPr>
      <w:r>
        <w:rPr>
          <w:rFonts w:ascii="Arial" w:cs="Arial" w:eastAsia="Arial" w:hAnsi="Arial"/>
          <w:sz w:val="18"/>
          <w:szCs w:val="18"/>
          <w:b w:val="1"/>
          <w:bCs w:val="1"/>
          <w:color w:val="auto"/>
        </w:rPr>
        <w:t>15d-14(a) UNDER THE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David Kirn, certify that:</w:t>
      </w:r>
    </w:p>
    <w:p>
      <w:pPr>
        <w:spacing w:after="0" w:line="117" w:lineRule="exact"/>
        <w:rPr>
          <w:sz w:val="20"/>
          <w:szCs w:val="20"/>
          <w:color w:val="auto"/>
        </w:rPr>
      </w:pPr>
    </w:p>
    <w:p>
      <w:pPr>
        <w:ind w:left="760" w:hanging="378"/>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17" w:lineRule="exact"/>
        <w:rPr>
          <w:rFonts w:ascii="Arial" w:cs="Arial" w:eastAsia="Arial" w:hAnsi="Arial"/>
          <w:sz w:val="18"/>
          <w:szCs w:val="18"/>
          <w:color w:val="auto"/>
        </w:rPr>
      </w:pPr>
    </w:p>
    <w:p>
      <w:pPr>
        <w:ind w:left="760" w:right="340" w:hanging="378"/>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760" w:right="20" w:hanging="378"/>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760" w:right="120" w:hanging="378"/>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ind w:left="1140" w:right="180" w:hanging="383"/>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40" w:right="160" w:hanging="383"/>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40" w:right="100" w:hanging="383"/>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140" w:right="240" w:hanging="383"/>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760" w:right="20" w:hanging="378"/>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1140" w:right="100" w:hanging="383"/>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140" w:right="20" w:hanging="383"/>
        <w:spacing w:after="0" w:line="246"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 w:leader="none" w:pos="6120" w:val="left"/>
        </w:tabs>
        <w:rPr>
          <w:sz w:val="20"/>
          <w:szCs w:val="20"/>
          <w:color w:val="auto"/>
        </w:rPr>
      </w:pPr>
      <w:r>
        <w:rPr>
          <w:rFonts w:ascii="Arial" w:cs="Arial" w:eastAsia="Arial" w:hAnsi="Arial"/>
          <w:sz w:val="18"/>
          <w:szCs w:val="18"/>
          <w:color w:val="auto"/>
        </w:rPr>
        <w:t>Dated: March 28, 2022</w:t>
      </w:r>
      <w:r>
        <w:rPr>
          <w:sz w:val="20"/>
          <w:szCs w:val="20"/>
          <w:color w:val="auto"/>
        </w:rPr>
        <w:tab/>
      </w:r>
      <w:r>
        <w:rPr>
          <w:rFonts w:ascii="Arial" w:cs="Arial" w:eastAsia="Arial" w:hAnsi="Arial"/>
          <w:sz w:val="18"/>
          <w:szCs w:val="18"/>
          <w:color w:val="auto"/>
        </w:rPr>
        <w:t>By:</w:t>
        <w:tab/>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David Kirn</w:t>
      </w:r>
    </w:p>
    <w:p>
      <w:pPr>
        <w:ind w:left="61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590550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PURSUANT TO EXCHANGE ACT RULES 13a-14(a) AND</w:t>
      </w:r>
    </w:p>
    <w:p>
      <w:pPr>
        <w:ind w:left="2960"/>
        <w:spacing w:after="0" w:line="234" w:lineRule="auto"/>
        <w:rPr>
          <w:sz w:val="20"/>
          <w:szCs w:val="20"/>
          <w:color w:val="auto"/>
        </w:rPr>
      </w:pPr>
      <w:r>
        <w:rPr>
          <w:rFonts w:ascii="Arial" w:cs="Arial" w:eastAsia="Arial" w:hAnsi="Arial"/>
          <w:sz w:val="18"/>
          <w:szCs w:val="18"/>
          <w:b w:val="1"/>
          <w:bCs w:val="1"/>
          <w:color w:val="auto"/>
        </w:rPr>
        <w:t>15d-14(a) UNDER THE SECURITIES EXCHANGE ACT OF 1934,</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August J. Moretti, certify that:</w:t>
      </w:r>
    </w:p>
    <w:p>
      <w:pPr>
        <w:spacing w:after="0" w:line="117" w:lineRule="exact"/>
        <w:rPr>
          <w:sz w:val="20"/>
          <w:szCs w:val="20"/>
          <w:color w:val="auto"/>
        </w:rPr>
      </w:pPr>
    </w:p>
    <w:p>
      <w:pPr>
        <w:ind w:left="76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17" w:lineRule="exact"/>
        <w:rPr>
          <w:rFonts w:ascii="Arial" w:cs="Arial" w:eastAsia="Arial" w:hAnsi="Arial"/>
          <w:sz w:val="18"/>
          <w:szCs w:val="18"/>
          <w:color w:val="auto"/>
        </w:rPr>
      </w:pPr>
    </w:p>
    <w:p>
      <w:pPr>
        <w:ind w:left="760" w:right="34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760" w:right="2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760" w:right="12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ind w:left="1140" w:right="180" w:hanging="383"/>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40" w:right="160" w:hanging="383"/>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40" w:right="100" w:hanging="383"/>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140" w:right="240" w:hanging="383"/>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760" w:right="2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1140" w:right="100" w:hanging="383"/>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140" w:right="20" w:hanging="383"/>
        <w:spacing w:after="0" w:line="246"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 w:leader="none" w:pos="6120" w:val="left"/>
        </w:tabs>
        <w:rPr>
          <w:sz w:val="20"/>
          <w:szCs w:val="20"/>
          <w:color w:val="auto"/>
        </w:rPr>
      </w:pPr>
      <w:r>
        <w:rPr>
          <w:rFonts w:ascii="Arial" w:cs="Arial" w:eastAsia="Arial" w:hAnsi="Arial"/>
          <w:sz w:val="18"/>
          <w:szCs w:val="18"/>
          <w:color w:val="auto"/>
        </w:rPr>
        <w:t>Dated: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August J. Moretti</w:t>
      </w:r>
    </w:p>
    <w:p>
      <w:pPr>
        <w:ind w:left="61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582295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connection with the Annual Report on Form 10-K (the “Annual Report”) of 4D Molecular Therapeutics, Inc. (the “Company”) for the year ended December 31, 2021, David Kirn, as Chief Executive Officer of the Company, and August J. Moretti, as Chief Financial Officer of the Company, each hereby certify, pursuant to 18 U.S.C. Section 1350, as adopted pursuant to Section 906 of the Sarbanes-Oxley Act of 2002, that, to the best of his knowledge:</w:t>
      </w:r>
    </w:p>
    <w:p>
      <w:pPr>
        <w:spacing w:after="0" w:line="191" w:lineRule="exact"/>
        <w:rPr>
          <w:sz w:val="20"/>
          <w:szCs w:val="20"/>
          <w:color w:val="auto"/>
        </w:rPr>
      </w:pPr>
    </w:p>
    <w:p>
      <w:pPr>
        <w:ind w:left="760" w:right="40" w:hanging="378"/>
        <w:spacing w:after="0" w:line="246"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Company’s Annual Report for the year ended December 31, 2021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760" w:right="620" w:hanging="378"/>
        <w:spacing w:after="0" w:line="246"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such Annual Report fairly presents, in all material respects, the financial condition and results of operations of 4D Molecular Therapeutics,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2022</w:t>
      </w:r>
    </w:p>
    <w:p>
      <w:pPr>
        <w:spacing w:after="0" w:line="19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tab/>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Kirn</w:t>
      </w:r>
    </w:p>
    <w:p>
      <w:pPr>
        <w:ind w:left="60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2022</w:t>
      </w:r>
    </w:p>
    <w:p>
      <w:pPr>
        <w:spacing w:after="0" w:line="19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tab/>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August J. Moretti</w:t>
      </w:r>
    </w:p>
    <w:p>
      <w:pPr>
        <w:ind w:left="60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4"/>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4"/>
    </w:lvl>
  </w:abstractNum>
  <w:abstractNum w:abstractNumId="12">
    <w:nsid w:val="7644A45C"/>
    <w:multiLevelType w:val="hybridMultilevel"/>
    <w:lvl w:ilvl="0">
      <w:lvlJc w:val="left"/>
      <w:lvlText w:val="(%1)"/>
      <w:numFmt w:val="lowerRoman"/>
      <w:start w:val="3"/>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lowerLetter"/>
      <w:start w:val="1"/>
    </w:lvl>
    <w:lvl w:ilvl="1">
      <w:lvlJc w:val="left"/>
      <w:lvlText w:val="(%2)"/>
      <w:numFmt w:val="decimal"/>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lowerRoman"/>
      <w:start w:val="4"/>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decimal"/>
      <w:start w:val="9"/>
    </w:lvl>
  </w:abstractNum>
  <w:abstractNum w:abstractNumId="78">
    <w:nsid w:val="60B6DF70"/>
    <w:multiLevelType w:val="hybridMultilevel"/>
    <w:lvl w:ilvl="0">
      <w:lvlJc w:val="left"/>
      <w:lvlText w:val="%1."/>
      <w:numFmt w:val="decimal"/>
      <w:start w:val="13"/>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200"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177" Type="http://schemas.openxmlformats.org/officeDocument/2006/relationships/hyperlink" Target="https://www.sec.gov/Archives/edgar/data/1650648/000119312520318186/d13863dex31.htm" TargetMode="External"/><Relationship Id="rId178" Type="http://schemas.openxmlformats.org/officeDocument/2006/relationships/hyperlink" Target="https://www.sec.gov/Archives/edgar/data/1650648/000119312520318186/d13863dex32.htm" TargetMode="External"/><Relationship Id="rId179" Type="http://schemas.openxmlformats.org/officeDocument/2006/relationships/hyperlink" Target="https://www.sec.gov/Archives/edgar/data/1650648/000119312520311111/d69563dex42.htm" TargetMode="External"/><Relationship Id="rId180" Type="http://schemas.openxmlformats.org/officeDocument/2006/relationships/hyperlink" Target="https://www.sec.gov/Archives/edgar/data/1650648/000119312520311111/d69563dex43.htm" TargetMode="External"/><Relationship Id="rId181" Type="http://schemas.openxmlformats.org/officeDocument/2006/relationships/hyperlink" Target="https://www.sec.gov/Archives/edgar/data/1650648/000119312520296146/d69563dex101a.htm" TargetMode="External"/><Relationship Id="rId182" Type="http://schemas.openxmlformats.org/officeDocument/2006/relationships/hyperlink" Target="https://www.sec.gov/Archives/edgar/data/1650648/000119312520296146/d69563dex101b.htm" TargetMode="External"/><Relationship Id="rId183" Type="http://schemas.openxmlformats.org/officeDocument/2006/relationships/hyperlink" Target="https://www.sec.gov/Archives/edgar/data/0001650648/000119312520318232/d28592dex992a.htm" TargetMode="External"/><Relationship Id="rId184" Type="http://schemas.openxmlformats.org/officeDocument/2006/relationships/hyperlink" Target="https://www.sec.gov/Archives/edgar/data/1650648/000119312520311111/d69563dex102b.htm" TargetMode="External"/><Relationship Id="rId185" Type="http://schemas.openxmlformats.org/officeDocument/2006/relationships/hyperlink" Target="https://www.sec.gov/Archives/edgar/data/1650648/000119312520311111/d69563dex102c.htm" TargetMode="External"/><Relationship Id="rId186" Type="http://schemas.openxmlformats.org/officeDocument/2006/relationships/hyperlink" Target="https://www.sec.gov/Archives/edgar/data/1650648/000119312520311111/d69563dex102d.htm" TargetMode="External"/><Relationship Id="rId187" Type="http://schemas.openxmlformats.org/officeDocument/2006/relationships/hyperlink" Target="https://www.sec.gov/Archives/edgar/data/0001650648/000119312520318232/d28592dex993.htm" TargetMode="External"/><Relationship Id="rId188" Type="http://schemas.openxmlformats.org/officeDocument/2006/relationships/hyperlink" Target="https://www.sec.gov/Archives/edgar/data/1650648/000119312520311111/d69563dex104.htm" TargetMode="External"/><Relationship Id="rId189" Type="http://schemas.openxmlformats.org/officeDocument/2006/relationships/hyperlink" Target="https://www.sec.gov/Archives/edgar/data/1650648/000119312520296146/d69563dex105.htm" TargetMode="External"/><Relationship Id="rId190" Type="http://schemas.openxmlformats.org/officeDocument/2006/relationships/hyperlink" Target="https://www.sec.gov/Archives/edgar/data/1650648/000119312520296146/d69563dex106.htm" TargetMode="External"/><Relationship Id="rId191" Type="http://schemas.openxmlformats.org/officeDocument/2006/relationships/hyperlink" Target="https://www.sec.gov/Archives/edgar/data/1650648/000119312520296146/d69563dex107.htm" TargetMode="External"/><Relationship Id="rId192" Type="http://schemas.openxmlformats.org/officeDocument/2006/relationships/hyperlink" Target="https://www.sec.gov/Archives/edgar/data/1650648/000119312520311111/d69563dex108.htm" TargetMode="External"/><Relationship Id="rId193" Type="http://schemas.openxmlformats.org/officeDocument/2006/relationships/hyperlink" Target="https://www.sec.gov/Archives/edgar/data/1650648/000119312520311111/d69563dex109.htm" TargetMode="External"/><Relationship Id="rId194" Type="http://schemas.openxmlformats.org/officeDocument/2006/relationships/hyperlink" Target="https://www.sec.gov/Archives/edgar/data/1650648/000119312520311111/d69563dex1010.htm" TargetMode="External"/><Relationship Id="rId195" Type="http://schemas.openxmlformats.org/officeDocument/2006/relationships/hyperlink" Target="https://www.sec.gov/Archives/edgar/data/1650648/000119312520311111/d69563dex1011.htm" TargetMode="External"/><Relationship Id="rId196" Type="http://schemas.openxmlformats.org/officeDocument/2006/relationships/hyperlink" Target="https://www.sec.gov/Archives/edgar/data/1650648/000119312520311111/d69563dex1012.htm" TargetMode="External"/><Relationship Id="rId197" Type="http://schemas.openxmlformats.org/officeDocument/2006/relationships/hyperlink" Target="https://www.sec.gov/Archives/edgar/data/0001650648/000119312521282451/d151012dex101.htm" TargetMode="External"/><Relationship Id="rId198" Type="http://schemas.openxmlformats.org/officeDocument/2006/relationships/hyperlink" Target="https://www.sec.gov/Archives/edgar/data/0001650648/000119312521282451/d151012dex102.htm" TargetMode="External"/><Relationship Id="rId199" Type="http://schemas.openxmlformats.org/officeDocument/2006/relationships/hyperlink" Target="https://www.sec.gov/Archives/edgar/data/0001650648/000119312521282451/d151012dex103.htm" TargetMode="External"/><Relationship Id="rId201" Type="http://schemas.openxmlformats.org/officeDocument/2006/relationships/hyperlink" Target="https://www.sec.gov/Archives/edgar/data/1650648/000095017021004086/fdmt-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2022-03-28T15:52:42Z</dcterms:created>
  <dcterms:modified xsi:type="dcterms:W3CDTF">2022-03-28T15:52:42Z</dcterms:modified>
</cp:coreProperties>
</file>