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15" w:after="283"/>
        <w:jc w:val="center"/>
        <w:rPr>
          <w:rFonts w:ascii="Times New Roman" w:hAnsi="Times New Roman"/>
          <w:sz w:val="20"/>
        </w:rPr>
      </w:pPr>
      <w:bookmarkStart w:id="0" w:name="fdmt-20260813.htm"/>
      <w:bookmarkStart w:id="1" w:name="ksfdmt20260813"/>
      <w:bookmarkEnd w:id="0"/>
      <w:bookmarkEnd w:id="1"/>
      <w:r>
        <w:rPr>
          <w:rFonts w:ascii="Arial" w:hAnsi="Arial"/>
          <w:b/>
          <w:color w:val="000000"/>
          <w:sz w:val="36"/>
        </w:rPr>
        <w:t>UNITED STATES</w:t>
        <w:br/>
        <w:t>SECURITIES AND EXCHANGE COMMISSION</w:t>
        <w:br/>
      </w:r>
      <w:r>
        <w:rPr>
          <w:rFonts w:ascii="Arial" w:hAnsi="Arial"/>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Arial" w:hAnsi="Arial"/>
          <w:color w:val="000000"/>
          <w:sz w:val="36"/>
        </w:rPr>
        <w:t xml:space="preserve">FORM </w:t>
      </w:r>
      <w:r>
        <w:rPr>
          <w:rFonts w:ascii="Arial" w:hAnsi="Arial"/>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spacing w:before="180" w:after="120"/>
        <w:jc w:val="center"/>
        <w:rPr>
          <w:rFonts w:ascii="Arial" w:hAnsi="Arial"/>
          <w:b/>
          <w:color w:val="000000"/>
          <w:sz w:val="24"/>
        </w:rPr>
      </w:pPr>
      <w:r>
        <w:rPr>
          <w:rFonts w:ascii="Arial" w:hAnsi="Arial"/>
          <w:b/>
          <w:color w:val="000000"/>
          <w:sz w:val="24"/>
        </w:rPr>
        <w:t>Pursuant to Section 13 or 15(d) of the Securities Exchange Act of 1934</w:t>
      </w:r>
    </w:p>
    <w:tbl>
      <w:tblPr>
        <w:tblW w:w="6031" w:type="dxa"/>
        <w:jc w:val="left"/>
        <w:tblInd w:w="0" w:type="dxa"/>
        <w:tblLayout w:type="fixed"/>
        <w:tblCellMar>
          <w:top w:w="28" w:type="dxa"/>
          <w:left w:w="28" w:type="dxa"/>
          <w:bottom w:w="28" w:type="dxa"/>
          <w:right w:w="28" w:type="dxa"/>
        </w:tblCellMar>
      </w:tblPr>
      <w:tblGrid>
        <w:gridCol w:w="6031"/>
      </w:tblGrid>
      <w:tr>
        <w:trPr/>
        <w:tc>
          <w:tcPr>
            <w:tcW w:w="6031" w:type="dxa"/>
            <w:tcBorders/>
            <w:vAlign w:val="center"/>
          </w:tcPr>
          <w:p>
            <w:pPr>
              <w:pStyle w:val="TableContents"/>
              <w:bidi w:val="0"/>
              <w:spacing w:before="0" w:after="283"/>
              <w:jc w:val="left"/>
              <w:rPr>
                <w:sz w:val="4"/>
                <w:szCs w:val="4"/>
              </w:rPr>
            </w:pPr>
            <w:r>
              <w:rPr>
                <w:sz w:val="4"/>
                <w:szCs w:val="4"/>
              </w:rPr>
            </w:r>
          </w:p>
        </w:tc>
      </w:tr>
      <w:tr>
        <w:trPr/>
        <w:tc>
          <w:tcPr>
            <w:tcW w:w="60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Arial" w:hAnsi="Arial"/>
          <w:b/>
          <w:color w:val="000000"/>
          <w:sz w:val="48"/>
        </w:rPr>
      </w:pPr>
      <w:r>
        <w:rPr>
          <w:rFonts w:ascii="Arial" w:hAnsi="Arial"/>
          <w:b/>
          <w:color w:val="000000"/>
          <w:sz w:val="48"/>
        </w:rPr>
        <w:t>4D Molecular Therapeutics, Inc.</w:t>
      </w:r>
    </w:p>
    <w:p>
      <w:pPr>
        <w:pStyle w:val="TextBody"/>
        <w:bidi w:val="0"/>
        <w:spacing w:before="60" w:after="283"/>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26" w:type="dxa"/>
        <w:jc w:val="left"/>
        <w:tblInd w:w="0" w:type="dxa"/>
        <w:tblLayout w:type="fixed"/>
        <w:tblCellMar>
          <w:top w:w="28" w:type="dxa"/>
          <w:left w:w="28" w:type="dxa"/>
          <w:bottom w:w="28" w:type="dxa"/>
          <w:right w:w="28" w:type="dxa"/>
        </w:tblCellMar>
      </w:tblPr>
      <w:tblGrid>
        <w:gridCol w:w="1083"/>
        <w:gridCol w:w="982"/>
        <w:gridCol w:w="994"/>
        <w:gridCol w:w="2041"/>
        <w:gridCol w:w="1426"/>
      </w:tblGrid>
      <w:tr>
        <w:trPr/>
        <w:tc>
          <w:tcPr>
            <w:tcW w:w="108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001-39782</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47-3506994</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59" w:type="dxa"/>
            <w:gridSpan w:val="3"/>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5858 Horton Street</w:t>
            </w:r>
          </w:p>
          <w:p>
            <w:pPr>
              <w:pStyle w:val="TableContents"/>
              <w:bidi w:val="0"/>
              <w:spacing w:before="0" w:after="283"/>
              <w:jc w:val="center"/>
              <w:rPr>
                <w:rFonts w:ascii="Arial" w:hAnsi="Arial"/>
                <w:b/>
                <w:color w:val="000000"/>
                <w:sz w:val="20"/>
              </w:rPr>
            </w:pPr>
            <w:r>
              <w:rPr>
                <w:rFonts w:ascii="Arial" w:hAnsi="Arial"/>
                <w:b/>
                <w:color w:val="000000"/>
                <w:sz w:val="20"/>
              </w:rPr>
              <w:t>#455</w:t>
            </w:r>
          </w:p>
        </w:tc>
        <w:tc>
          <w:tcPr>
            <w:tcW w:w="346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Emeryville, California</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94608</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6511" w:type="dxa"/>
        <w:jc w:val="left"/>
        <w:tblInd w:w="0" w:type="dxa"/>
        <w:tblLayout w:type="fixed"/>
        <w:tblCellMar>
          <w:top w:w="28" w:type="dxa"/>
          <w:left w:w="28" w:type="dxa"/>
          <w:bottom w:w="28" w:type="dxa"/>
          <w:right w:w="28" w:type="dxa"/>
        </w:tblCellMar>
      </w:tblPr>
      <w:tblGrid>
        <w:gridCol w:w="6511"/>
      </w:tblGrid>
      <w:tr>
        <w:trPr/>
        <w:tc>
          <w:tcPr>
            <w:tcW w:w="6511" w:type="dxa"/>
            <w:tcBorders/>
            <w:vAlign w:val="center"/>
          </w:tcPr>
          <w:p>
            <w:pPr>
              <w:pStyle w:val="TableContents"/>
              <w:bidi w:val="0"/>
              <w:spacing w:before="0" w:after="283"/>
              <w:jc w:val="left"/>
              <w:rPr>
                <w:sz w:val="4"/>
                <w:szCs w:val="4"/>
              </w:rPr>
            </w:pPr>
            <w:r>
              <w:rPr>
                <w:sz w:val="4"/>
                <w:szCs w:val="4"/>
              </w:rPr>
            </w:r>
          </w:p>
        </w:tc>
      </w:tr>
      <w:tr>
        <w:trPr/>
        <w:tc>
          <w:tcPr>
            <w:tcW w:w="6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Registrant’s Telephone Number, Including Area Code:</w:t>
            </w:r>
            <w:r>
              <w:rPr>
                <w:rFonts w:ascii="Times New Roman" w:hAnsi="Times New Roman"/>
                <w:color w:val="000000"/>
                <w:sz w:val="20"/>
              </w:rPr>
              <w:t xml:space="preserve"> </w:t>
            </w:r>
            <w:r>
              <w:rPr>
                <w:rFonts w:ascii="Arial" w:hAnsi="Arial"/>
                <w:b/>
                <w:color w:val="000000"/>
                <w:sz w:val="20"/>
              </w:rPr>
              <w:t>(510)</w:t>
            </w:r>
            <w:r>
              <w:rPr>
                <w:rFonts w:ascii="Times New Roman" w:hAnsi="Times New Roman"/>
                <w:color w:val="000000"/>
                <w:sz w:val="20"/>
              </w:rPr>
              <w:t xml:space="preserve"> </w:t>
            </w:r>
            <w:r>
              <w:rPr>
                <w:rFonts w:ascii="Arial" w:hAnsi="Arial"/>
                <w:b/>
                <w:color w:val="000000"/>
                <w:sz w:val="20"/>
              </w:rPr>
              <w:t>505-2680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w:t>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Arial" w:hAnsi="Arial"/>
          <w:color w:val="000000"/>
          <w:sz w:val="20"/>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Arial" w:hAnsi="Arial"/>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Arial" w:hAnsi="Arial"/>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Arial" w:hAnsi="Arial"/>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Arial" w:hAnsi="Arial"/>
          <w:color w:val="000000"/>
          <w:sz w:val="20"/>
        </w:rPr>
        <w:t>Pre-commencement communications pursuant to Rule 13e-4(c) under the Exchange Act (17 CFR 240.13e-4(c))</w:t>
      </w:r>
    </w:p>
    <w:p>
      <w:pPr>
        <w:pStyle w:val="TextBody"/>
        <w:bidi w:val="0"/>
        <w:spacing w:before="180" w:after="180"/>
        <w:jc w:val="center"/>
        <w:rPr>
          <w:rFonts w:ascii="Arial" w:hAnsi="Arial"/>
          <w:b/>
          <w:color w:val="000000"/>
          <w:sz w:val="20"/>
        </w:rPr>
      </w:pPr>
      <w:r>
        <w:rPr>
          <w:rFonts w:ascii="Arial" w:hAnsi="Arial"/>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006"/>
        <w:gridCol w:w="146"/>
        <w:gridCol w:w="1051"/>
        <w:gridCol w:w="146"/>
        <w:gridCol w:w="426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2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b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FDMT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Nasdaq Global Select Market</w:t>
            </w:r>
          </w:p>
        </w:tc>
      </w:tr>
    </w:tbl>
    <w:p>
      <w:pPr>
        <w:pStyle w:val="TextBody"/>
        <w:bidi w:val="0"/>
        <w:spacing w:before="240" w:after="283"/>
        <w:jc w:val="left"/>
        <w:rPr>
          <w:rFonts w:ascii="Times New Roman" w:hAnsi="Times New Roman"/>
          <w:sz w:val="20"/>
        </w:rPr>
      </w:pPr>
      <w:r>
        <w:rPr>
          <w:rFonts w:ascii="Arial" w:hAnsi="Arial"/>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Arial" w:hAnsi="Arial"/>
          <w:b/>
          <w:color w:val="000000"/>
          <w:sz w:val="20"/>
        </w:rPr>
      </w:pPr>
      <w:r>
        <w:rPr>
          <w:rFonts w:ascii="Arial" w:hAnsi="Arial"/>
          <w:b/>
          <w:color w:val="000000"/>
          <w:sz w:val="20"/>
        </w:rPr>
        <w:t>Item 2.02 Results of Operations and Financial Condition.</w:t>
      </w:r>
    </w:p>
    <w:p>
      <w:pPr>
        <w:pStyle w:val="TextBody"/>
        <w:bidi w:val="0"/>
        <w:spacing w:before="120" w:after="283"/>
        <w:jc w:val="left"/>
        <w:rPr>
          <w:rFonts w:ascii="Arial" w:hAnsi="Arial"/>
          <w:color w:val="000000"/>
          <w:sz w:val="20"/>
        </w:rPr>
      </w:pPr>
      <w:r>
        <w:rPr>
          <w:rFonts w:ascii="Arial" w:hAnsi="Arial"/>
          <w:color w:val="000000"/>
          <w:sz w:val="20"/>
        </w:rPr>
        <w:t>On August 13, 2026, 4D Molecular Therapeutics, Inc. (“4DMT”) announced its financial results for the three months ended June 30, 2026. A copy of 4DMT’s press release, titled “4DMT Reports Second Quarter 2026 Financial Results, Operational Highlights and Expected Upcoming Milestones” is furnished pursuant to Item 2.02 as Exhibit 99.1 hereto.</w:t>
      </w:r>
    </w:p>
    <w:p>
      <w:pPr>
        <w:pStyle w:val="TextBody"/>
        <w:bidi w:val="0"/>
        <w:spacing w:before="360" w:after="120"/>
        <w:jc w:val="left"/>
        <w:rPr>
          <w:rFonts w:ascii="Arial" w:hAnsi="Arial"/>
          <w:b/>
          <w:color w:val="000000"/>
          <w:sz w:val="20"/>
        </w:rPr>
      </w:pPr>
      <w:r>
        <w:rPr>
          <w:rFonts w:ascii="Arial" w:hAnsi="Arial"/>
          <w:b/>
          <w:color w:val="000000"/>
          <w:sz w:val="20"/>
        </w:rPr>
        <w:t>Item 9.01 Financial Statements and Exhibits.</w:t>
      </w:r>
    </w:p>
    <w:p>
      <w:pPr>
        <w:pStyle w:val="TextBody"/>
        <w:bidi w:val="0"/>
        <w:spacing w:before="240" w:after="120"/>
        <w:jc w:val="left"/>
        <w:rPr>
          <w:rFonts w:ascii="Arial" w:hAnsi="Arial"/>
          <w:color w:val="000000"/>
          <w:sz w:val="20"/>
        </w:rPr>
      </w:pPr>
      <w:r>
        <w:rPr>
          <w:rFonts w:ascii="Arial" w:hAnsi="Arial"/>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1284"/>
        <w:gridCol w:w="8921"/>
      </w:tblGrid>
      <w:tr>
        <w:trPr/>
        <w:tc>
          <w:tcPr>
            <w:tcW w:w="1284" w:type="dxa"/>
            <w:tcBorders/>
            <w:vAlign w:val="center"/>
          </w:tcPr>
          <w:p>
            <w:pPr>
              <w:pStyle w:val="TableContents"/>
              <w:bidi w:val="0"/>
              <w:spacing w:before="0" w:after="283"/>
              <w:jc w:val="left"/>
              <w:rPr>
                <w:sz w:val="4"/>
                <w:szCs w:val="4"/>
              </w:rPr>
            </w:pPr>
            <w:r>
              <w:rPr>
                <w:sz w:val="4"/>
                <w:szCs w:val="4"/>
              </w:rPr>
            </w:r>
          </w:p>
        </w:tc>
        <w:tc>
          <w:tcPr>
            <w:tcW w:w="8921" w:type="dxa"/>
            <w:tcBorders/>
            <w:vAlign w:val="center"/>
          </w:tcPr>
          <w:p>
            <w:pPr>
              <w:pStyle w:val="TableContents"/>
              <w:bidi w:val="0"/>
              <w:spacing w:before="0" w:after="283"/>
              <w:jc w:val="left"/>
              <w:rPr>
                <w:sz w:val="4"/>
                <w:szCs w:val="4"/>
              </w:rPr>
            </w:pPr>
            <w:r>
              <w:rPr>
                <w:sz w:val="4"/>
                <w:szCs w:val="4"/>
              </w:rPr>
            </w:r>
          </w:p>
        </w:tc>
      </w:tr>
      <w:tr>
        <w:trPr/>
        <w:tc>
          <w:tcPr>
            <w:tcW w:w="12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 Number</w:t>
            </w:r>
          </w:p>
        </w:tc>
        <w:tc>
          <w:tcPr>
            <w:tcW w:w="89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12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8921" w:type="dxa"/>
            <w:tcBorders/>
            <w:tcMar>
              <w:top w:w="0" w:type="dxa"/>
              <w:left w:w="0" w:type="dxa"/>
              <w:bottom w:w="0" w:type="dxa"/>
              <w:right w:w="0" w:type="dxa"/>
            </w:tcMar>
            <w:vAlign w:val="center"/>
          </w:tcPr>
          <w:p>
            <w:pPr>
              <w:pStyle w:val="TableContents"/>
              <w:bidi w:val="0"/>
              <w:spacing w:before="0" w:after="283"/>
              <w:jc w:val="left"/>
              <w:rPr/>
            </w:pPr>
            <w:hyperlink w:anchor="fdmt-ex99_1.htm">
              <w:r>
                <w:rPr>
                  <w:rStyle w:val="InternetLink"/>
                  <w:rFonts w:ascii="Arial" w:hAnsi="Arial"/>
                  <w:color w:val="0000FF"/>
                  <w:sz w:val="20"/>
                  <w:u w:val="single"/>
                </w:rPr>
                <w:t>Press Release, dated August 13, 2026, titled “4DMT Reports Second Quarter 2026 Financial Results, Operational Highlights and Expected Upcoming Milestones”</w:t>
              </w:r>
            </w:hyperlink>
          </w:p>
        </w:tc>
      </w:tr>
      <w:tr>
        <w:trPr/>
        <w:tc>
          <w:tcPr>
            <w:tcW w:w="128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8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Arial" w:hAnsi="Arial"/>
          <w:b/>
          <w:color w:val="000000"/>
          <w:sz w:val="20"/>
        </w:rPr>
      </w:pPr>
      <w:r>
        <w:rPr>
          <w:rFonts w:ascii="Arial" w:hAnsi="Arial"/>
          <w:b/>
          <w:color w:val="000000"/>
          <w:sz w:val="20"/>
        </w:rPr>
        <w:t>SIGNATURES</w:t>
      </w:r>
    </w:p>
    <w:p>
      <w:pPr>
        <w:pStyle w:val="TextBody"/>
        <w:bidi w:val="0"/>
        <w:spacing w:before="0" w:after="187"/>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6304" w:type="dxa"/>
        <w:jc w:val="left"/>
        <w:tblInd w:w="0" w:type="dxa"/>
        <w:tblLayout w:type="fixed"/>
        <w:tblCellMar>
          <w:top w:w="28" w:type="dxa"/>
          <w:left w:w="28" w:type="dxa"/>
          <w:bottom w:w="28" w:type="dxa"/>
          <w:right w:w="28" w:type="dxa"/>
        </w:tblCellMar>
      </w:tblPr>
      <w:tblGrid>
        <w:gridCol w:w="586"/>
        <w:gridCol w:w="1531"/>
        <w:gridCol w:w="451"/>
        <w:gridCol w:w="3736"/>
      </w:tblGrid>
      <w:tr>
        <w:trPr/>
        <w:tc>
          <w:tcPr>
            <w:tcW w:w="58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86" w:after="86"/>
              <w:jc w:val="center"/>
              <w:rPr>
                <w:rFonts w:ascii="Arial" w:hAnsi="Arial"/>
                <w:color w:val="000000"/>
                <w:sz w:val="20"/>
              </w:rPr>
            </w:pPr>
            <w:r>
              <w:rPr>
                <w:rFonts w:ascii="Arial" w:hAnsi="Arial"/>
                <w:color w:val="000000"/>
                <w:sz w:val="20"/>
              </w:rPr>
              <w:t>4D MOLECULAR THERAPEUTICS, INC.</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Date:</w:t>
            </w:r>
          </w:p>
        </w:tc>
        <w:tc>
          <w:tcPr>
            <w:tcW w:w="153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20"/>
              </w:rPr>
            </w:pPr>
            <w:r>
              <w:rPr>
                <w:rFonts w:ascii="Arial" w:hAnsi="Arial"/>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373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Arial" w:hAnsi="Arial"/>
                <w:color w:val="000000"/>
                <w:sz w:val="20"/>
              </w:rPr>
            </w:pPr>
            <w:r>
              <w:rPr>
                <w:rFonts w:ascii="Arial" w:hAnsi="Arial"/>
                <w:color w:val="000000"/>
                <w:sz w:val="20"/>
              </w:rPr>
              <w:t>/s/ Kristian Humer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tcMar>
              <w:top w:w="0" w:type="dxa"/>
              <w:left w:w="0" w:type="dxa"/>
              <w:bottom w:w="0" w:type="dxa"/>
              <w:right w:w="0" w:type="dxa"/>
            </w:tcMar>
            <w:vAlign w:val="center"/>
          </w:tcPr>
          <w:p>
            <w:pPr>
              <w:pStyle w:val="TableContents"/>
              <w:bidi w:val="0"/>
              <w:spacing w:before="14" w:after="187"/>
              <w:jc w:val="center"/>
              <w:rPr>
                <w:rFonts w:ascii="Arial" w:hAnsi="Arial"/>
                <w:b/>
                <w:color w:val="000000"/>
                <w:sz w:val="20"/>
              </w:rPr>
            </w:pPr>
            <w:r>
              <w:rPr>
                <w:rFonts w:ascii="Arial" w:hAnsi="Arial"/>
                <w:b/>
                <w:color w:val="000000"/>
                <w:sz w:val="20"/>
              </w:rPr>
              <w:t>Kristian Humer</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fdmt-ex99_1.htm"/>
      <w:bookmarkStart w:id="3" w:name="ksfdmt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rFonts w:ascii="Arial" w:hAnsi="Arial"/>
          <w:b/>
          <w:color w:val="004987"/>
          <w:sz w:val="24"/>
        </w:rPr>
      </w:pPr>
      <w:r>
        <w:rPr>
          <w:rFonts w:ascii="Arial" w:hAnsi="Arial"/>
          <w:b/>
          <w:color w:val="004987"/>
          <w:sz w:val="24"/>
        </w:rPr>
        <w:t>4DMT Reports Second Quarter 2026 Financial Results, Operational Highlights</w:t>
      </w:r>
    </w:p>
    <w:p>
      <w:pPr>
        <w:pStyle w:val="TextBody"/>
        <w:bidi w:val="0"/>
        <w:jc w:val="center"/>
        <w:rPr>
          <w:rFonts w:ascii="Arial" w:hAnsi="Arial"/>
          <w:b/>
          <w:color w:val="004987"/>
          <w:sz w:val="24"/>
        </w:rPr>
      </w:pPr>
      <w:r>
        <w:rPr>
          <w:rFonts w:ascii="Arial" w:hAnsi="Arial"/>
          <w:b/>
          <w:color w:val="004987"/>
          <w:sz w:val="24"/>
        </w:rPr>
        <w:t>and Expected Upcoming Milestones</w:t>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 xml:space="preserve">Completed enrollment for 4D-150 4FRONT-2 wet AMD Phase 3; topline data expected in H2 2027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4D-150 4FRONT-1 Phase 3 topline data expected in Q2 2027</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Presented positive 2-year data from 4D-150 PRISM Phase 2b at ASRS, highlighting long-term continuous treatment effect and ongoing favorable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Plan to initiate a 4D-150 DME Phase 3 in Q3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Company to host an Investor Day on October 21, 2026, in New York City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i/>
          <w:color w:val="000000"/>
          <w:sz w:val="20"/>
        </w:rPr>
        <w:t>Entered into a strategic credit facility agreement with Hercules Capital, Inc.</w:t>
      </w:r>
      <w:r>
        <w:rPr>
          <w:color w:val="222222"/>
        </w:rPr>
        <w:t xml:space="preserve"> </w:t>
      </w:r>
      <w:r>
        <w:rPr>
          <w:rFonts w:ascii="Arial" w:hAnsi="Arial"/>
          <w:i/>
          <w:color w:val="000000"/>
          <w:sz w:val="20"/>
        </w:rPr>
        <w:t>for up to $200 million, initial draw of $20 million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i/>
          <w:color w:val="000000"/>
          <w:sz w:val="20"/>
        </w:rPr>
      </w:pPr>
      <w:r>
        <w:rPr>
          <w:rFonts w:ascii="Arial" w:hAnsi="Arial"/>
          <w:i/>
          <w:color w:val="000000"/>
          <w:sz w:val="20"/>
        </w:rPr>
        <w:t>$431 million in cash, cash equivalents and marketable securities expected to fund current operating plan into second half of 2028</w:t>
      </w:r>
    </w:p>
    <w:p>
      <w:pPr>
        <w:pStyle w:val="TextBody"/>
        <w:bidi w:val="0"/>
        <w:spacing w:before="360" w:after="283"/>
        <w:jc w:val="left"/>
        <w:rPr>
          <w:rFonts w:ascii="Times New Roman" w:hAnsi="Times New Roman"/>
          <w:sz w:val="20"/>
        </w:rPr>
      </w:pPr>
      <w:r>
        <w:rPr>
          <w:rFonts w:ascii="Arial" w:hAnsi="Arial"/>
          <w:color w:val="000000"/>
          <w:sz w:val="20"/>
        </w:rPr>
        <w:t>EMERYVILLE, Calif., August 13, 2026 (GLOBE NEWSWIRE) -- 4D Molecular Therapeutics (Nasdaq: FDMT, 4DMT or the Company), a leading late-stage biotechnology company advancing durable and disease-targeted therapeutics with potential to transform treatment paradigms and provide unprecedented benefits to patients, today reported Q2 2026 financial results, provided operational highlights and outlined expected upcoming milestones.   </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0"/>
        </w:rPr>
        <w:t>The second quarter of 2026 reflected continued strong execution across 4DMT, including completion of enrollment for 4FRONT-2, presenting positive long-term PRISM data and strengthening our financial flexibility through securing a strategic credit facility with Hercules,” said David Kirn, M.D., Co-founder, President and Chief Executive Officer of 4DMT. “With topline data from both 4FRONT-1 and 4FRONT-2 in wet AMD expected in 2027, our DME Phase 3 expected to initiate in the third quarter and our Investor Day planned in October, we are well positioned to advance 4D-150 as a potential paradigm-changing backbone therapy for patients with wet AMD and DME.”</w:t>
      </w:r>
    </w:p>
    <w:p>
      <w:pPr>
        <w:pStyle w:val="TextBody"/>
        <w:bidi w:val="0"/>
        <w:spacing w:before="360" w:after="283"/>
        <w:jc w:val="left"/>
        <w:rPr>
          <w:rFonts w:ascii="Times New Roman" w:hAnsi="Times New Roman"/>
          <w:sz w:val="20"/>
        </w:rPr>
      </w:pPr>
      <w:r>
        <w:rPr>
          <w:rFonts w:ascii="Arial" w:hAnsi="Arial"/>
          <w:b/>
          <w:color w:val="004987"/>
          <w:sz w:val="20"/>
        </w:rPr>
        <w:t>Recent Highlights and Expected Milestones</w:t>
      </w:r>
      <w:r>
        <w:rPr>
          <w:rFonts w:ascii="Times New Roman" w:hAnsi="Times New Roman"/>
          <w:color w:val="004987"/>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0"/>
        </w:rPr>
      </w:pPr>
      <w:r>
        <w:rPr>
          <w:rFonts w:ascii="Arial" w:hAnsi="Arial"/>
          <w:b/>
          <w:color w:val="000000"/>
          <w:sz w:val="20"/>
        </w:rPr>
        <w:t>Corporate Highlights: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Arial" w:hAnsi="Arial"/>
          <w:color w:val="000000"/>
          <w:sz w:val="20"/>
        </w:rPr>
      </w:pPr>
      <w:r>
        <w:rPr>
          <w:rFonts w:ascii="Arial" w:hAnsi="Arial"/>
          <w:color w:val="000000"/>
          <w:sz w:val="20"/>
        </w:rPr>
        <w:t>Secured credit facility for up to $200 million from Hercules Capital to provide the Company with strategic and operational flexibility</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Under the terms of the agreement, the Company drew an initial $20 million at closing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Arial" w:hAnsi="Arial"/>
          <w:color w:val="000000"/>
          <w:sz w:val="20"/>
        </w:rPr>
      </w:pPr>
      <w:r>
        <w:rPr>
          <w:rFonts w:ascii="Arial" w:hAnsi="Arial"/>
          <w:color w:val="000000"/>
          <w:sz w:val="20"/>
        </w:rPr>
        <w:t>Company to host an Investor Day in New York City on October 21, 2026</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Investor Day will provide an overview of the commercial potential of 4D-150 and include participation from senior leadership and leading retinal disease key opinion leaders. Additional details will be provided in advance of the event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0"/>
        </w:rPr>
      </w:pPr>
      <w:r>
        <w:rPr>
          <w:rFonts w:ascii="Arial" w:hAnsi="Arial"/>
          <w:b/>
          <w:color w:val="000000"/>
          <w:sz w:val="20"/>
        </w:rPr>
        <w:t xml:space="preserve">4D-150 for Wet Age-related Macular Degeneration (AMD):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u w:val="single"/>
        </w:rPr>
      </w:pPr>
      <w:r>
        <w:rPr>
          <w:rFonts w:ascii="Arial" w:hAnsi="Arial"/>
          <w:color w:val="000000"/>
          <w:sz w:val="20"/>
          <w:u w:val="single"/>
        </w:rPr>
        <w:t>4FRONT Global Phase 3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4FRONT-1, North American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Enrollment completed in February 2026 and randomization completed (N=523) in March 2026; topline data expected in Q2 2027 </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0"/>
        </w:rPr>
      </w:pPr>
      <w:r>
        <w:rPr>
          <w:rFonts w:ascii="Arial" w:hAnsi="Arial"/>
          <w:color w:val="000000"/>
          <w:sz w:val="20"/>
        </w:rPr>
        <w:t>4FRONT-2, Global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Enrollment completed in June 2026 with N&gt;500 expected to be randomized; topline data expected in H2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Arial" w:hAnsi="Arial"/>
          <w:color w:val="000000"/>
          <w:sz w:val="20"/>
          <w:u w:val="single"/>
        </w:rPr>
      </w:pPr>
      <w:r>
        <w:rPr>
          <w:rFonts w:ascii="Arial" w:hAnsi="Arial"/>
          <w:color w:val="000000"/>
          <w:sz w:val="20"/>
          <w:u w:val="single"/>
        </w:rPr>
        <w:t>PRISM Phase 1/2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Phase 2b 2-year data in a broad patient population, including the recently diagnosed subgroup population most comparable to the 4FRONT Phase 3 population, presented at American Society of Retina Specialists (ASRS) Annual Meeting on July 18,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Consistent maintenance of best corrected visual acuity (BCVA)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Consistent control of central subfield thickness (CST) as measured by optical coherence tomography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Consistent, durable and clinically meaningful reduction in treatment burden: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Overall cohort: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78% overall treatment burden reduction (2.7 mean supplemental injections per patient vs. 12.0 injections projected with on-label aflibercept 2 mg Q8W)</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Arial" w:hAnsi="Arial"/>
          <w:color w:val="000000"/>
          <w:sz w:val="20"/>
        </w:rPr>
      </w:pPr>
      <w:r>
        <w:rPr>
          <w:rFonts w:ascii="Arial" w:hAnsi="Arial"/>
          <w:color w:val="000000"/>
          <w:sz w:val="20"/>
        </w:rPr>
        <w:t xml:space="preserve">Recently diagnosed subgroup: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87% overall treatment burden reduction (1.6 mean supplemental injections per patient vs. 12.0 injections projected with on-label aflibercept 2 mg Q8W)</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0"/>
        </w:rPr>
      </w:pPr>
      <w:r>
        <w:rPr>
          <w:rFonts w:ascii="Arial" w:hAnsi="Arial"/>
          <w:color w:val="000000"/>
          <w:sz w:val="20"/>
        </w:rPr>
        <w:t xml:space="preserve">4D-150 continues to be well tolerated with no new cases of inflammation with 2 to more than 4 years of follow-up on all patients as of the data cutoff and no 4D-150-related hypotony, endophthalmitis, vasculitis, occlusive/non-occlusive retinal vasculitis or choroidal effusions observed to date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0"/>
        </w:rPr>
      </w:pPr>
      <w:r>
        <w:rPr>
          <w:rFonts w:ascii="Arial" w:hAnsi="Arial"/>
          <w:b/>
          <w:color w:val="000000"/>
          <w:sz w:val="20"/>
        </w:rPr>
        <w:t xml:space="preserve">4D-150 for Diabetic Macular Edema (DME):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Global Phase 3 trial design and initiation expected in Q3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SPECTRA clinical trial 2-year data expected in Q4 2026</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0"/>
        </w:rPr>
      </w:pPr>
      <w:r>
        <w:rPr>
          <w:rFonts w:ascii="Arial" w:hAnsi="Arial"/>
          <w:b/>
          <w:color w:val="000000"/>
          <w:sz w:val="20"/>
        </w:rPr>
        <w:t xml:space="preserve">4D-175 for Geographic Atrophy: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Company maintains an active IND and is evaluating opportunities to advance the program into the clinic</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0"/>
        </w:rPr>
      </w:pPr>
      <w:r>
        <w:rPr>
          <w:rFonts w:ascii="Arial" w:hAnsi="Arial"/>
          <w:b/>
          <w:color w:val="000000"/>
          <w:sz w:val="20"/>
        </w:rPr>
        <w:t xml:space="preserve">4D-710 for Cystic Fibrosis: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AEROW Phase 1/2 clinical trial and program update expected in Q4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4987"/>
          <w:sz w:val="20"/>
        </w:rPr>
      </w:pPr>
      <w:r>
        <w:rPr>
          <w:rFonts w:ascii="Arial" w:hAnsi="Arial"/>
          <w:b/>
          <w:color w:val="004987"/>
          <w:sz w:val="20"/>
        </w:rPr>
        <w:t>Q2 2026 Financial Results</w:t>
      </w:r>
    </w:p>
    <w:p>
      <w:pPr>
        <w:pStyle w:val="TextBody"/>
        <w:bidi w:val="0"/>
        <w:spacing w:before="240" w:after="283"/>
        <w:jc w:val="left"/>
        <w:rPr>
          <w:rFonts w:ascii="Times New Roman" w:hAnsi="Times New Roman"/>
          <w:sz w:val="20"/>
        </w:rPr>
      </w:pPr>
      <w:r>
        <w:rPr>
          <w:rFonts w:ascii="Arial" w:hAnsi="Arial"/>
          <w:i/>
          <w:color w:val="000000"/>
          <w:sz w:val="20"/>
        </w:rPr>
        <w:t xml:space="preserve">Cash Position: </w:t>
      </w:r>
      <w:r>
        <w:rPr>
          <w:rFonts w:ascii="Arial" w:hAnsi="Arial"/>
          <w:color w:val="000000"/>
          <w:sz w:val="20"/>
        </w:rPr>
        <w:t>Cash, cash equivalents and marketable securities were $430.6 million as of June 30, 2026, as compared to $514.0 million as of December 31, 2025. Based on our current operating plan, we estimate that our existing cash, cash equivalents and marketable securities, and expected payments under our collaboration agreement with Otsuka, will be sufficient to fund our operating expenses and capital expenditure requirements at least into the second half of 2028.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Collaboration and License Revenue:</w:t>
      </w:r>
      <w:r>
        <w:rPr>
          <w:rFonts w:ascii="Times New Roman" w:hAnsi="Times New Roman"/>
          <w:color w:val="000000"/>
          <w:sz w:val="20"/>
        </w:rPr>
        <w:t xml:space="preserve"> </w:t>
      </w:r>
      <w:r>
        <w:rPr>
          <w:rFonts w:ascii="Arial" w:hAnsi="Arial"/>
          <w:color w:val="000000"/>
          <w:sz w:val="20"/>
        </w:rPr>
        <w:t>Collaboration and license revenue was $3.8 million for the second quarter of 2026, as compared to an insignificant amount for the second quarter of 2025. The increase in revenue was primarily due to the clinical trial cost sharing and reimbursement amounts from Otsuka. </w:t>
      </w:r>
    </w:p>
    <w:p>
      <w:pPr>
        <w:pStyle w:val="TextBody"/>
        <w:bidi w:val="0"/>
        <w:spacing w:before="240" w:after="283"/>
        <w:jc w:val="left"/>
        <w:rPr>
          <w:rFonts w:ascii="Times New Roman" w:hAnsi="Times New Roman"/>
          <w:sz w:val="20"/>
        </w:rPr>
      </w:pPr>
      <w:r>
        <w:rPr>
          <w:rFonts w:ascii="Arial" w:hAnsi="Arial"/>
          <w:i/>
          <w:color w:val="000000"/>
          <w:sz w:val="20"/>
        </w:rPr>
        <w:t xml:space="preserve">R&amp;D Expenses: </w:t>
      </w:r>
      <w:r>
        <w:rPr>
          <w:rFonts w:ascii="Arial" w:hAnsi="Arial"/>
          <w:color w:val="000000"/>
          <w:sz w:val="20"/>
        </w:rPr>
        <w:t>Research and development expenses were $68.3 million for the second quarter of 2026, as compared to $48.0 million for the second quarter of 2025. This increase was primarily driven by execution of 4D-150 Phase 3 clinical trials in wet AMD.</w:t>
      </w:r>
    </w:p>
    <w:p>
      <w:pPr>
        <w:pStyle w:val="TextBody"/>
        <w:bidi w:val="0"/>
        <w:spacing w:before="240" w:after="283"/>
        <w:jc w:val="left"/>
        <w:rPr>
          <w:rFonts w:ascii="Times New Roman" w:hAnsi="Times New Roman"/>
          <w:sz w:val="20"/>
        </w:rPr>
      </w:pPr>
      <w:r>
        <w:rPr>
          <w:rFonts w:ascii="Arial" w:hAnsi="Arial"/>
          <w:i/>
          <w:color w:val="000000"/>
          <w:sz w:val="20"/>
        </w:rPr>
        <w:t xml:space="preserve">G&amp;A Expenses: </w:t>
      </w:r>
      <w:r>
        <w:rPr>
          <w:rFonts w:ascii="Arial" w:hAnsi="Arial"/>
          <w:color w:val="000000"/>
          <w:sz w:val="20"/>
        </w:rPr>
        <w:t>General and administrative expenses were $12.5 million for the second quarter of 2026, as compared to $11.5 million for the second quarter of 2025.</w:t>
      </w:r>
    </w:p>
    <w:p>
      <w:pPr>
        <w:pStyle w:val="TextBody"/>
        <w:bidi w:val="0"/>
        <w:spacing w:before="240" w:after="283"/>
        <w:jc w:val="left"/>
        <w:rPr>
          <w:rFonts w:ascii="Times New Roman" w:hAnsi="Times New Roman"/>
          <w:sz w:val="20"/>
        </w:rPr>
      </w:pPr>
      <w:r>
        <w:rPr>
          <w:rFonts w:ascii="Arial" w:hAnsi="Arial"/>
          <w:i/>
          <w:color w:val="000000"/>
          <w:sz w:val="20"/>
        </w:rPr>
        <w:t xml:space="preserve">Net Loss: </w:t>
      </w:r>
      <w:r>
        <w:rPr>
          <w:rFonts w:ascii="Arial" w:hAnsi="Arial"/>
          <w:color w:val="000000"/>
          <w:sz w:val="20"/>
        </w:rPr>
        <w:t>Net loss was $72.9 million for the second quarter of 2026, as compared to net loss of $54.7 million for the second quarter of 2025.</w:t>
      </w:r>
    </w:p>
    <w:p>
      <w:pPr>
        <w:pStyle w:val="TextBody"/>
        <w:bidi w:val="0"/>
        <w:spacing w:before="360" w:after="160"/>
        <w:jc w:val="left"/>
        <w:rPr>
          <w:rFonts w:ascii="Times New Roman" w:hAnsi="Times New Roman"/>
          <w:sz w:val="20"/>
        </w:rPr>
      </w:pPr>
      <w:r>
        <w:rPr>
          <w:rFonts w:ascii="Arial" w:hAnsi="Arial"/>
          <w:b/>
          <w:color w:val="004987"/>
          <w:sz w:val="20"/>
        </w:rPr>
        <w:t>About 4DMT</w:t>
      </w:r>
      <w:r>
        <w:rPr>
          <w:rFonts w:ascii="Times New Roman" w:hAnsi="Times New Roman"/>
          <w:color w:val="004987"/>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4DMT is a leading late-stage biotechnology company advancing durable and disease-targeted therapeutics with potential to transform treatment paradigms and provide unprecedented benefits to patients. The Company’s lead product candidate 4D-150 is designed to be a backbone therapy forming the foundation of treatment of blinding retinal vascular diseases by providing multi-year sustained delivery of anti-VEGF biologics (aflibercept and anti-VEGF-C) with a single, safe, intravitreal injection, which substantially reduces the treatment burden associated with current bolus injections. The Company’s lead indication for 4D-150 is wet age-related macular degeneration, which is currently in Phase 3 development, and second indication is diabetic macular edema. The Company’s second product candidate is 4D-710, which is the first known genetic medicine to demonstrate successful delivery and expression of the CFTR transgene in the lungs of people with cystic fibrosis after aerosol delivery. 4D Molecular Therapeutics, 4DMT, Therapeutic Vector Evolution, Backbone 4 Retina, and the 4DMT logo are trademarks of 4DMT.  </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All of the Company’s product candidates are in clinical or preclinical development and have not yet been approved for marketing by the U.S. Food and Drug Administration or any other regulatory authority. No representation is made as to the safety or effectiveness of the Company’s product candidates for the therapeutic uses for which they are being studied. </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Arial" w:hAnsi="Arial"/>
          <w:color w:val="000000"/>
          <w:sz w:val="20"/>
        </w:rPr>
        <w:t xml:space="preserve">Learn more at </w:t>
      </w:r>
      <w:r>
        <w:rPr>
          <w:rFonts w:ascii="Arial" w:hAnsi="Arial"/>
          <w:sz w:val="20"/>
        </w:rPr>
        <w:t>www.4DMT.com</w:t>
      </w:r>
      <w:r>
        <w:rPr>
          <w:rFonts w:ascii="Times New Roman" w:hAnsi="Times New Roman"/>
          <w:color w:val="000000"/>
          <w:sz w:val="20"/>
        </w:rPr>
        <w:t xml:space="preserve"> </w:t>
      </w:r>
      <w:r>
        <w:rPr>
          <w:rFonts w:ascii="Arial" w:hAnsi="Arial"/>
          <w:color w:val="000000"/>
          <w:sz w:val="20"/>
        </w:rPr>
        <w:t xml:space="preserve">and follow us on </w:t>
      </w:r>
      <w:r>
        <w:rPr>
          <w:rFonts w:ascii="Arial" w:hAnsi="Arial"/>
          <w:sz w:val="20"/>
        </w:rPr>
        <w:t>LinkedIn</w:t>
      </w:r>
      <w:r>
        <w:rPr>
          <w:rFonts w:ascii="Arial" w:hAnsi="Arial"/>
          <w:color w:val="000000"/>
          <w:sz w:val="20"/>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60"/>
        <w:jc w:val="left"/>
        <w:rPr>
          <w:rFonts w:ascii="Times New Roman" w:hAnsi="Times New Roman"/>
          <w:sz w:val="20"/>
        </w:rPr>
      </w:pPr>
      <w:r>
        <w:rPr>
          <w:rFonts w:ascii="Arial" w:hAnsi="Arial"/>
          <w:b/>
          <w:color w:val="004987"/>
          <w:sz w:val="20"/>
        </w:rPr>
        <w:t>Forward-Looking Statements: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This press release contains forward-looking statements within the meaning of the Private Securities Litigation Reform Act of 1995, as amended, including, without limitation, implied and express statements regarding the therapeutic potential and clinical benefits of, as well as the plans, announcements and related timing for, the clinical development of our product candidates, the potential benefits of the strategic partnership with Otsuka, the amount of any potential cost sharing or milestone payments pursuant to the Company’s agreement with Otsuka, the Company's expectations regarding financing alternatives and potential partnerships, the Company’s use of proceeds, and statements regarding our financial performance, results of operations and anticipated cash runway.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risks and uncertainties that are described in greater detail in the section entitled "Risk Factors" in 4D Molecular Therapeutics’ most recent Quarterly Report on Form 10-Q to be filed on or about the date hereof,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forward-looking statements. </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4D Molecular Therapeutics, Inc.</w:t>
      </w:r>
    </w:p>
    <w:p>
      <w:pPr>
        <w:pStyle w:val="TextBody"/>
        <w:bidi w:val="0"/>
        <w:jc w:val="center"/>
        <w:rPr>
          <w:rFonts w:ascii="Times New Roman" w:hAnsi="Times New Roman"/>
          <w:sz w:val="20"/>
        </w:rPr>
      </w:pPr>
      <w:r>
        <w:rPr>
          <w:rFonts w:ascii="Arial" w:hAnsi="Arial"/>
          <w:b/>
          <w:color w:val="000000"/>
          <w:sz w:val="20"/>
        </w:rPr>
        <w:t>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Times New Roman" w:hAnsi="Times New Roman"/>
          <w:sz w:val="20"/>
        </w:rPr>
      </w:pPr>
      <w:r>
        <w:rPr>
          <w:rFonts w:ascii="Arial" w:hAnsi="Arial"/>
          <w:b/>
          <w:color w:val="000000"/>
          <w:sz w:val="20"/>
        </w:rPr>
        <w:t>(</w:t>
      </w:r>
      <w:r>
        <w:rPr>
          <w:rFonts w:ascii="Arial" w:hAnsi="Arial"/>
          <w:b/>
          <w:i/>
          <w:color w:val="000000"/>
          <w:sz w:val="20"/>
        </w:rPr>
        <w:t>in thousands, except share and per share amounts</w:t>
      </w:r>
      <w:r>
        <w:rPr>
          <w:rFonts w:ascii="Arial" w:hAnsi="Arial"/>
          <w:b/>
          <w:color w:val="000000"/>
          <w:sz w:val="20"/>
        </w:rPr>
        <w:t>)</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64"/>
        <w:gridCol w:w="146"/>
        <w:gridCol w:w="211"/>
        <w:gridCol w:w="1066"/>
        <w:gridCol w:w="166"/>
        <w:gridCol w:w="146"/>
        <w:gridCol w:w="211"/>
        <w:gridCol w:w="1066"/>
        <w:gridCol w:w="166"/>
        <w:gridCol w:w="146"/>
        <w:gridCol w:w="211"/>
        <w:gridCol w:w="1066"/>
        <w:gridCol w:w="166"/>
        <w:gridCol w:w="146"/>
        <w:gridCol w:w="211"/>
        <w:gridCol w:w="1066"/>
        <w:gridCol w:w="751"/>
      </w:tblGrid>
      <w:tr>
        <w:trPr/>
        <w:tc>
          <w:tcPr>
            <w:tcW w:w="3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Six months ended </w:t>
              <w:br/>
              <w:t>June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Collaboration and license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88,650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24,456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113,106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(113,077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10,447</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(54,658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(102,630</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outstanding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70,272,018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55,927,091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69,175,213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55,836,075</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4D Molecular Therapeutics, Inc.</w:t>
      </w:r>
    </w:p>
    <w:p>
      <w:pPr>
        <w:pStyle w:val="TextBody"/>
        <w:bidi w:val="0"/>
        <w:jc w:val="center"/>
        <w:rPr>
          <w:rFonts w:ascii="Arial" w:hAnsi="Arial"/>
          <w:b/>
          <w:color w:val="000000"/>
          <w:sz w:val="20"/>
        </w:rPr>
      </w:pPr>
      <w:r>
        <w:rPr>
          <w:rFonts w:ascii="Arial" w:hAnsi="Arial"/>
          <w:b/>
          <w:color w:val="000000"/>
          <w:sz w:val="20"/>
        </w:rPr>
        <w:t>Balance Sheet Data</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Times New Roman" w:hAnsi="Times New Roman"/>
          <w:sz w:val="20"/>
        </w:rPr>
      </w:pPr>
      <w:r>
        <w:rPr>
          <w:rFonts w:ascii="Arial" w:hAnsi="Arial"/>
          <w:b/>
          <w:color w:val="000000"/>
          <w:sz w:val="20"/>
        </w:rPr>
        <w:t>(</w:t>
      </w:r>
      <w:r>
        <w:rPr>
          <w:rFonts w:ascii="Arial" w:hAnsi="Arial"/>
          <w:b/>
          <w:i/>
          <w:color w:val="000000"/>
          <w:sz w:val="20"/>
        </w:rPr>
        <w:t>in thousands</w:t>
      </w:r>
      <w:r>
        <w:rPr>
          <w:rFonts w:ascii="Arial" w:hAnsi="Arial"/>
          <w:b/>
          <w:color w:val="000000"/>
          <w:sz w:val="20"/>
        </w:rPr>
        <w:t>)</w:t>
      </w:r>
    </w:p>
    <w:p>
      <w:pPr>
        <w:pStyle w:val="TextBody"/>
        <w:bidi w:val="0"/>
        <w:jc w:val="center"/>
        <w:rPr/>
      </w:pPr>
      <w:r>
        <w:rPr/>
        <w:t> </w:t>
      </w:r>
    </w:p>
    <w:tbl>
      <w:tblPr>
        <w:tblW w:w="7362" w:type="dxa"/>
        <w:jc w:val="left"/>
        <w:tblInd w:w="0" w:type="dxa"/>
        <w:tblLayout w:type="fixed"/>
        <w:tblCellMar>
          <w:top w:w="28" w:type="dxa"/>
          <w:left w:w="28" w:type="dxa"/>
          <w:bottom w:w="28" w:type="dxa"/>
          <w:right w:w="28" w:type="dxa"/>
        </w:tblCellMar>
      </w:tblPr>
      <w:tblGrid>
        <w:gridCol w:w="4456"/>
        <w:gridCol w:w="146"/>
        <w:gridCol w:w="211"/>
        <w:gridCol w:w="856"/>
        <w:gridCol w:w="166"/>
        <w:gridCol w:w="146"/>
        <w:gridCol w:w="231"/>
        <w:gridCol w:w="939"/>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514,034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505,664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left"/>
        <w:rPr>
          <w:rFonts w:ascii="Arial" w:hAnsi="Arial"/>
          <w:b/>
          <w:color w:val="004987"/>
          <w:sz w:val="20"/>
        </w:rPr>
      </w:pPr>
      <w:r>
        <w:rPr>
          <w:rFonts w:ascii="Arial" w:hAnsi="Arial"/>
          <w:b/>
          <w:color w:val="004987"/>
          <w:sz w:val="20"/>
        </w:rPr>
        <w:t>Contacts: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4987"/>
          <w:sz w:val="20"/>
        </w:rPr>
        <w:t>Media: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Jenn Gordon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dna Communications</w:t>
      </w:r>
      <w:r>
        <w:rPr>
          <w:rFonts w:ascii="Times New Roman" w:hAnsi="Times New Roman"/>
          <w:color w:val="000000"/>
          <w:sz w:val="20"/>
        </w:rPr>
        <w:t xml:space="preserve"> </w:t>
      </w:r>
    </w:p>
    <w:p>
      <w:pPr>
        <w:pStyle w:val="TextBody"/>
        <w:bidi w:val="0"/>
        <w:jc w:val="left"/>
        <w:rPr>
          <w:rFonts w:ascii="Arial" w:hAnsi="Arial"/>
          <w:sz w:val="20"/>
        </w:rPr>
      </w:pPr>
      <w:r>
        <w:rPr>
          <w:rFonts w:ascii="Arial" w:hAnsi="Arial"/>
          <w:sz w:val="20"/>
        </w:rPr>
        <w:t>Media@4DMT.com</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4987"/>
          <w:sz w:val="20"/>
        </w:rPr>
        <w:t>Investors: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Julian Pei</w:t>
      </w:r>
    </w:p>
    <w:p>
      <w:pPr>
        <w:pStyle w:val="TextBody"/>
        <w:bidi w:val="0"/>
        <w:jc w:val="left"/>
        <w:rPr>
          <w:rFonts w:ascii="Arial" w:hAnsi="Arial"/>
          <w:color w:val="000000"/>
          <w:sz w:val="20"/>
        </w:rPr>
      </w:pPr>
      <w:r>
        <w:rPr>
          <w:rFonts w:ascii="Arial" w:hAnsi="Arial"/>
          <w:color w:val="000000"/>
          <w:sz w:val="20"/>
        </w:rPr>
        <w:t>Head of Investor Relations and Strategic Finance</w:t>
      </w:r>
    </w:p>
    <w:p>
      <w:pPr>
        <w:pStyle w:val="TextBody"/>
        <w:bidi w:val="0"/>
        <w:jc w:val="left"/>
        <w:rPr>
          <w:rFonts w:ascii="Arial" w:hAnsi="Arial"/>
          <w:sz w:val="20"/>
        </w:rPr>
      </w:pPr>
      <w:r>
        <w:rPr>
          <w:rFonts w:ascii="Arial" w:hAnsi="Arial"/>
          <w:sz w:val="20"/>
        </w:rPr>
        <w:t>Investor.Relations@4DMT.com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21240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60007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2087</Words>
  <Characters>11889</Characters>
  <CharactersWithSpaces>13971</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