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40640</wp:posOffset>
            </wp:positionV>
            <wp:extent cx="548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59690</wp:posOffset>
            </wp:positionV>
            <wp:extent cx="548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920" w:right="2780" w:hanging="3912"/>
        <w:spacing w:after="0" w:line="288" w:lineRule="auto"/>
        <w:tabs>
          <w:tab w:leader="none" w:pos="4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25" w:lineRule="exact"/>
        <w:rPr>
          <w:rFonts w:ascii="MS PGothic" w:cs="MS PGothic" w:eastAsia="MS PGothic" w:hAnsi="MS PGothic"/>
          <w:sz w:val="16"/>
          <w:szCs w:val="16"/>
          <w:color w:val="auto"/>
          <w:highlight w:val="black"/>
        </w:rPr>
      </w:pPr>
    </w:p>
    <w:p>
      <w:pPr>
        <w:ind w:left="4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48895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4D Molecular Therapeutics, Inc.</w:t>
      </w:r>
    </w:p>
    <w:p>
      <w:pPr>
        <w:spacing w:after="0" w:line="51"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6020" w:type="dxa"/>
            <w:vAlign w:val="bottom"/>
          </w:tcPr>
          <w:p>
            <w:pPr>
              <w:ind w:left="216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300" w:type="dxa"/>
            <w:vAlign w:val="bottom"/>
          </w:tcPr>
          <w:p>
            <w:pPr>
              <w:spacing w:after="0"/>
              <w:rPr>
                <w:sz w:val="16"/>
                <w:szCs w:val="16"/>
                <w:color w:val="auto"/>
              </w:rPr>
            </w:pPr>
          </w:p>
        </w:tc>
      </w:tr>
      <w:tr>
        <w:trPr>
          <w:trHeight w:val="202"/>
        </w:trPr>
        <w:tc>
          <w:tcPr>
            <w:tcW w:w="6020" w:type="dxa"/>
            <w:vAlign w:val="bottom"/>
          </w:tcPr>
          <w:p>
            <w:pPr>
              <w:jc w:val="center"/>
              <w:ind w:right="3588"/>
              <w:spacing w:after="0"/>
              <w:rPr>
                <w:sz w:val="20"/>
                <w:szCs w:val="20"/>
                <w:color w:val="auto"/>
              </w:rPr>
            </w:pPr>
            <w:r>
              <w:rPr>
                <w:rFonts w:ascii="Arial" w:cs="Arial" w:eastAsia="Arial" w:hAnsi="Arial"/>
                <w:sz w:val="16"/>
                <w:szCs w:val="16"/>
                <w:b w:val="1"/>
                <w:bCs w:val="1"/>
                <w:color w:val="auto"/>
              </w:rPr>
              <w:t>Delaware</w:t>
            </w:r>
          </w:p>
        </w:tc>
        <w:tc>
          <w:tcPr>
            <w:tcW w:w="1300" w:type="dxa"/>
            <w:vAlign w:val="bottom"/>
          </w:tcPr>
          <w:p>
            <w:pPr>
              <w:jc w:val="right"/>
              <w:ind w:right="30"/>
              <w:spacing w:after="0"/>
              <w:rPr>
                <w:sz w:val="20"/>
                <w:szCs w:val="20"/>
                <w:color w:val="auto"/>
              </w:rPr>
            </w:pPr>
            <w:r>
              <w:rPr>
                <w:rFonts w:ascii="Arial" w:cs="Arial" w:eastAsia="Arial" w:hAnsi="Arial"/>
                <w:sz w:val="16"/>
                <w:szCs w:val="16"/>
                <w:b w:val="1"/>
                <w:bCs w:val="1"/>
                <w:color w:val="auto"/>
              </w:rPr>
              <w:t>47-3506994</w:t>
            </w:r>
          </w:p>
        </w:tc>
      </w:tr>
      <w:tr>
        <w:trPr>
          <w:trHeight w:val="135"/>
        </w:trPr>
        <w:tc>
          <w:tcPr>
            <w:tcW w:w="6020" w:type="dxa"/>
            <w:vAlign w:val="bottom"/>
          </w:tcPr>
          <w:p>
            <w:pPr>
              <w:jc w:val="center"/>
              <w:ind w:right="358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1300" w:type="dxa"/>
            <w:vAlign w:val="bottom"/>
          </w:tcPr>
          <w:p>
            <w:pPr>
              <w:jc w:val="center"/>
              <w:ind w:left="170"/>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9"/>
        </w:trPr>
        <w:tc>
          <w:tcPr>
            <w:tcW w:w="6020" w:type="dxa"/>
            <w:vAlign w:val="bottom"/>
          </w:tcPr>
          <w:p>
            <w:pPr>
              <w:jc w:val="center"/>
              <w:ind w:right="3588"/>
              <w:spacing w:after="0" w:line="139" w:lineRule="exact"/>
              <w:rPr>
                <w:sz w:val="20"/>
                <w:szCs w:val="20"/>
                <w:color w:val="auto"/>
              </w:rPr>
            </w:pPr>
            <w:r>
              <w:rPr>
                <w:rFonts w:ascii="Arial" w:cs="Arial" w:eastAsia="Arial" w:hAnsi="Arial"/>
                <w:sz w:val="13"/>
                <w:szCs w:val="13"/>
                <w:b w:val="1"/>
                <w:bCs w:val="1"/>
                <w:color w:val="auto"/>
                <w:w w:val="96"/>
              </w:rPr>
              <w:t>incorporation or organization)</w:t>
            </w:r>
          </w:p>
        </w:tc>
        <w:tc>
          <w:tcPr>
            <w:tcW w:w="1300" w:type="dxa"/>
            <w:vAlign w:val="bottom"/>
          </w:tcPr>
          <w:p>
            <w:pPr>
              <w:jc w:val="center"/>
              <w:ind w:left="170"/>
              <w:spacing w:after="0" w:line="139" w:lineRule="exact"/>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6020" w:type="dxa"/>
            <w:vAlign w:val="bottom"/>
          </w:tcPr>
          <w:p>
            <w:pPr>
              <w:jc w:val="center"/>
              <w:ind w:right="3588"/>
              <w:spacing w:after="0"/>
              <w:rPr>
                <w:sz w:val="20"/>
                <w:szCs w:val="20"/>
                <w:color w:val="auto"/>
              </w:rPr>
            </w:pPr>
            <w:r>
              <w:rPr>
                <w:rFonts w:ascii="Arial" w:cs="Arial" w:eastAsia="Arial" w:hAnsi="Arial"/>
                <w:sz w:val="16"/>
                <w:szCs w:val="16"/>
                <w:b w:val="1"/>
                <w:bCs w:val="1"/>
                <w:color w:val="auto"/>
              </w:rPr>
              <w:t>5858 Horton Street #455</w:t>
            </w:r>
          </w:p>
        </w:tc>
        <w:tc>
          <w:tcPr>
            <w:tcW w:w="1300" w:type="dxa"/>
            <w:vAlign w:val="bottom"/>
          </w:tcPr>
          <w:p>
            <w:pPr>
              <w:spacing w:after="0"/>
              <w:rPr>
                <w:sz w:val="16"/>
                <w:szCs w:val="16"/>
                <w:color w:val="auto"/>
              </w:rPr>
            </w:pPr>
          </w:p>
        </w:tc>
      </w:tr>
      <w:tr>
        <w:trPr>
          <w:trHeight w:val="185"/>
        </w:trPr>
        <w:tc>
          <w:tcPr>
            <w:tcW w:w="6020" w:type="dxa"/>
            <w:vAlign w:val="bottom"/>
          </w:tcPr>
          <w:p>
            <w:pPr>
              <w:jc w:val="center"/>
              <w:ind w:right="3608"/>
              <w:spacing w:after="0"/>
              <w:rPr>
                <w:sz w:val="20"/>
                <w:szCs w:val="20"/>
                <w:color w:val="auto"/>
              </w:rPr>
            </w:pPr>
            <w:r>
              <w:rPr>
                <w:rFonts w:ascii="Arial" w:cs="Arial" w:eastAsia="Arial" w:hAnsi="Arial"/>
                <w:sz w:val="16"/>
                <w:szCs w:val="16"/>
                <w:b w:val="1"/>
                <w:bCs w:val="1"/>
                <w:color w:val="auto"/>
              </w:rPr>
              <w:t>Emeryville, CA</w:t>
            </w:r>
          </w:p>
        </w:tc>
        <w:tc>
          <w:tcPr>
            <w:tcW w:w="1300" w:type="dxa"/>
            <w:vAlign w:val="bottom"/>
          </w:tcPr>
          <w:p>
            <w:pPr>
              <w:jc w:val="right"/>
              <w:ind w:right="230"/>
              <w:spacing w:after="0"/>
              <w:rPr>
                <w:sz w:val="20"/>
                <w:szCs w:val="20"/>
                <w:color w:val="auto"/>
              </w:rPr>
            </w:pPr>
            <w:r>
              <w:rPr>
                <w:rFonts w:ascii="Arial" w:cs="Arial" w:eastAsia="Arial" w:hAnsi="Arial"/>
                <w:sz w:val="16"/>
                <w:szCs w:val="16"/>
                <w:b w:val="1"/>
                <w:bCs w:val="1"/>
                <w:color w:val="auto"/>
              </w:rPr>
              <w:t>94608</w:t>
            </w:r>
          </w:p>
        </w:tc>
      </w:tr>
      <w:tr>
        <w:trPr>
          <w:trHeight w:val="168"/>
        </w:trPr>
        <w:tc>
          <w:tcPr>
            <w:tcW w:w="6020" w:type="dxa"/>
            <w:vAlign w:val="bottom"/>
          </w:tcPr>
          <w:p>
            <w:pPr>
              <w:jc w:val="center"/>
              <w:ind w:right="358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300" w:type="dxa"/>
            <w:vAlign w:val="bottom"/>
          </w:tcPr>
          <w:p>
            <w:pPr>
              <w:jc w:val="center"/>
              <w:ind w:left="170"/>
              <w:spacing w:after="0"/>
              <w:rPr>
                <w:sz w:val="20"/>
                <w:szCs w:val="20"/>
                <w:color w:val="auto"/>
              </w:rPr>
            </w:pPr>
            <w:r>
              <w:rPr>
                <w:rFonts w:ascii="Arial" w:cs="Arial" w:eastAsia="Arial" w:hAnsi="Arial"/>
                <w:sz w:val="13"/>
                <w:szCs w:val="13"/>
                <w:b w:val="1"/>
                <w:bCs w:val="1"/>
                <w:color w:val="auto"/>
                <w:w w:val="96"/>
              </w:rPr>
              <w:t>(Zip Code)</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(510) 505-2680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43180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46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spacing w:after="0"/>
              <w:rPr>
                <w:sz w:val="14"/>
                <w:szCs w:val="14"/>
                <w:color w:val="auto"/>
              </w:rPr>
            </w:pPr>
          </w:p>
        </w:tc>
      </w:tr>
      <w:tr>
        <w:trPr>
          <w:trHeight w:val="188"/>
        </w:trPr>
        <w:tc>
          <w:tcPr>
            <w:tcW w:w="43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6"/>
                <w:szCs w:val="16"/>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0"/>
        </w:trPr>
        <w:tc>
          <w:tcPr>
            <w:tcW w:w="4460" w:type="dxa"/>
            <w:vAlign w:val="bottom"/>
            <w:gridSpan w:val="2"/>
          </w:tcPr>
          <w:p>
            <w:pPr>
              <w:spacing w:after="0"/>
              <w:rPr>
                <w:sz w:val="20"/>
                <w:szCs w:val="20"/>
                <w:color w:val="auto"/>
              </w:rPr>
            </w:pPr>
            <w:r>
              <w:rPr>
                <w:rFonts w:ascii="Arial" w:cs="Arial" w:eastAsia="Arial" w:hAnsi="Arial"/>
                <w:sz w:val="14"/>
                <w:szCs w:val="14"/>
                <w:color w:val="auto"/>
              </w:rPr>
              <w:t>Common Stock, par value $0.0001 per share</w:t>
            </w:r>
          </w:p>
        </w:tc>
        <w:tc>
          <w:tcPr>
            <w:tcW w:w="2400" w:type="dxa"/>
            <w:vAlign w:val="bottom"/>
            <w:gridSpan w:val="2"/>
          </w:tcPr>
          <w:p>
            <w:pPr>
              <w:jc w:val="center"/>
              <w:ind w:right="80"/>
              <w:spacing w:after="0"/>
              <w:rPr>
                <w:sz w:val="20"/>
                <w:szCs w:val="20"/>
                <w:color w:val="auto"/>
              </w:rPr>
            </w:pPr>
            <w:r>
              <w:rPr>
                <w:rFonts w:ascii="Arial" w:cs="Arial" w:eastAsia="Arial" w:hAnsi="Arial"/>
                <w:sz w:val="14"/>
                <w:szCs w:val="14"/>
                <w:color w:val="auto"/>
              </w:rPr>
              <w:t>FDMT</w:t>
            </w:r>
          </w:p>
        </w:tc>
        <w:tc>
          <w:tcPr>
            <w:tcW w:w="438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r>
        <w:trPr>
          <w:trHeight w:val="203"/>
        </w:trPr>
        <w:tc>
          <w:tcPr>
            <w:tcW w:w="446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bl>
    <w:p>
      <w:pPr>
        <w:ind w:right="2820"/>
        <w:spacing w:after="0" w:line="21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jc w:val="both"/>
        <w:ind w:right="220"/>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2" w:lineRule="exact"/>
        <w:rPr>
          <w:sz w:val="24"/>
          <w:szCs w:val="24"/>
          <w:color w:val="auto"/>
        </w:rPr>
      </w:pPr>
    </w:p>
    <w:p>
      <w:pPr>
        <w:ind w:right="6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22"/>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8"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4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120"/>
        <w:spacing w:after="0" w:line="249" w:lineRule="auto"/>
        <w:rPr>
          <w:sz w:val="20"/>
          <w:szCs w:val="20"/>
          <w:color w:val="auto"/>
        </w:rPr>
      </w:pPr>
      <w:r>
        <w:rPr>
          <w:rFonts w:ascii="Arial" w:cs="Arial" w:eastAsia="Arial" w:hAnsi="Arial"/>
          <w:sz w:val="14"/>
          <w:szCs w:val="14"/>
          <w:color w:val="auto"/>
        </w:rPr>
        <w:t>The registrant was not a public company as of June 30, 2020, the last business day of its most recently completed second fiscal quarter, and therefore, cannot calculate the aggregate market value of its voting and non-voting common equity held by non-affiliates as of such date. The registrant’s Common Stock began trading on the Nasdaq Global Select Market on December 11, 2020.</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15, 2021 was 26,692,879.</w:t>
      </w:r>
    </w:p>
    <w:p>
      <w:pPr>
        <w:spacing w:after="0" w:line="42"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42" w:lineRule="exact"/>
        <w:rPr>
          <w:sz w:val="24"/>
          <w:szCs w:val="24"/>
          <w:color w:val="auto"/>
        </w:rPr>
      </w:pPr>
    </w:p>
    <w:p>
      <w:pPr>
        <w:jc w:val="both"/>
        <w:ind w:right="140"/>
        <w:spacing w:after="0" w:line="249" w:lineRule="auto"/>
        <w:rPr>
          <w:sz w:val="20"/>
          <w:szCs w:val="20"/>
          <w:color w:val="auto"/>
        </w:rPr>
      </w:pPr>
      <w:r>
        <w:rPr>
          <w:rFonts w:ascii="Arial" w:cs="Arial" w:eastAsia="Arial" w:hAnsi="Arial"/>
          <w:sz w:val="14"/>
          <w:szCs w:val="14"/>
          <w:color w:val="auto"/>
        </w:rPr>
        <w:t>Portions of the registrant’s definitive Proxy Statement relating to the 2021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00" w:type="dxa"/>
            <w:vAlign w:val="bottom"/>
            <w:gridSpan w:val="9"/>
          </w:tcPr>
          <w:p>
            <w:pPr>
              <w:ind w:left="5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140"/>
              <w:spacing w:after="0" w:line="176"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76">
              <w:r>
                <w:rPr>
                  <w:rFonts w:ascii="Arial" w:cs="Arial" w:eastAsia="Arial" w:hAnsi="Arial"/>
                  <w:sz w:val="18"/>
                  <w:szCs w:val="18"/>
                  <w:color w:val="0000EE"/>
                  <w:w w:val="97"/>
                </w:rPr>
                <w:t>Risk Factors</w:t>
              </w:r>
            </w:hyperlink>
          </w:p>
        </w:tc>
        <w:tc>
          <w:tcPr>
            <w:tcW w:w="8300" w:type="dxa"/>
            <w:vAlign w:val="bottom"/>
            <w:gridSpan w:val="1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1B.</w:t>
            </w:r>
          </w:p>
        </w:tc>
        <w:tc>
          <w:tcPr>
            <w:tcW w:w="9300" w:type="dxa"/>
            <w:vAlign w:val="bottom"/>
            <w:gridSpan w:val="21"/>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Unresolved Staff Comments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2.</w:t>
            </w:r>
          </w:p>
        </w:tc>
        <w:tc>
          <w:tcPr>
            <w:tcW w:w="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141">
              <w:r>
                <w:rPr>
                  <w:rFonts w:ascii="Arial" w:cs="Arial" w:eastAsia="Arial" w:hAnsi="Arial"/>
                  <w:sz w:val="18"/>
                  <w:szCs w:val="18"/>
                  <w:color w:val="0000EE"/>
                  <w:w w:val="97"/>
                </w:rPr>
                <w:t>Properties</w:t>
              </w:r>
            </w:hyperlink>
          </w:p>
        </w:tc>
        <w:tc>
          <w:tcPr>
            <w:tcW w:w="1420" w:type="dxa"/>
            <w:vAlign w:val="bottom"/>
            <w:tcBorders>
              <w:top w:val="single" w:sz="8" w:color="0000EE"/>
            </w:tcBorders>
            <w:gridSpan w:val="8"/>
          </w:tcPr>
          <w:p>
            <w:pPr>
              <w:spacing w:after="0"/>
              <w:rPr>
                <w:sz w:val="17"/>
                <w:szCs w:val="17"/>
                <w:color w:val="auto"/>
              </w:rPr>
            </w:pPr>
          </w:p>
        </w:tc>
        <w:tc>
          <w:tcPr>
            <w:tcW w:w="706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Legal Proceedings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Mine Safety Disclosures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140"/>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6.</w:t>
            </w: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8"/>
              </w:rPr>
            </w:pPr>
            <w:hyperlink w:anchor="page143">
              <w:r>
                <w:rPr>
                  <w:rFonts w:ascii="Arial" w:cs="Arial" w:eastAsia="Arial" w:hAnsi="Arial"/>
                  <w:sz w:val="18"/>
                  <w:szCs w:val="18"/>
                  <w:color w:val="0000EE"/>
                  <w:w w:val="98"/>
                </w:rPr>
                <w:t>Selected Financial Data</w:t>
              </w:r>
            </w:hyperlink>
          </w:p>
        </w:tc>
        <w:tc>
          <w:tcPr>
            <w:tcW w:w="6960" w:type="dxa"/>
            <w:vAlign w:val="bottom"/>
            <w:tcBorders>
              <w:top w:val="single" w:sz="8" w:color="0000EE"/>
            </w:tcBorders>
            <w:gridSpan w:val="13"/>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144">
              <w:r>
                <w:rPr>
                  <w:rFonts w:ascii="Arial" w:cs="Arial" w:eastAsia="Arial" w:hAnsi="Arial"/>
                  <w:sz w:val="18"/>
                  <w:szCs w:val="18"/>
                  <w:color w:val="0000EE"/>
                  <w:w w:val="99"/>
                </w:rPr>
                <w:t>Management’s Discussion and Analysis of Financial Condition and Results of Operations</w:t>
              </w:r>
            </w:hyperlink>
          </w:p>
        </w:tc>
        <w:tc>
          <w:tcPr>
            <w:tcW w:w="22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7A.</w:t>
            </w:r>
          </w:p>
        </w:tc>
        <w:tc>
          <w:tcPr>
            <w:tcW w:w="9300" w:type="dxa"/>
            <w:vAlign w:val="bottom"/>
            <w:gridSpan w:val="2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Quantitative and Qualitative Disclosures About Market Risk</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9"/>
              </w:rPr>
            </w:pPr>
            <w:hyperlink w:anchor="page157">
              <w:r>
                <w:rPr>
                  <w:rFonts w:ascii="Arial" w:cs="Arial" w:eastAsia="Arial" w:hAnsi="Arial"/>
                  <w:sz w:val="18"/>
                  <w:szCs w:val="18"/>
                  <w:color w:val="0000EE"/>
                  <w:w w:val="99"/>
                </w:rPr>
                <w:t>Financial Statements and Supplementary Data</w:t>
              </w:r>
            </w:hyperlink>
          </w:p>
        </w:tc>
        <w:tc>
          <w:tcPr>
            <w:tcW w:w="980" w:type="dxa"/>
            <w:vAlign w:val="bottom"/>
            <w:tcBorders>
              <w:top w:val="single" w:sz="8" w:color="0000EE"/>
            </w:tcBorders>
            <w:gridSpan w:val="2"/>
          </w:tcPr>
          <w:p>
            <w:pPr>
              <w:spacing w:after="0"/>
              <w:rPr>
                <w:sz w:val="17"/>
                <w:szCs w:val="17"/>
                <w:color w:val="auto"/>
              </w:rPr>
            </w:pPr>
          </w:p>
        </w:tc>
        <w:tc>
          <w:tcPr>
            <w:tcW w:w="46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9.</w:t>
            </w:r>
          </w:p>
        </w:tc>
        <w:tc>
          <w:tcPr>
            <w:tcW w:w="9300" w:type="dxa"/>
            <w:vAlign w:val="bottom"/>
            <w:gridSpan w:val="2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9A.</w:t>
            </w:r>
          </w:p>
        </w:tc>
        <w:tc>
          <w:tcPr>
            <w:tcW w:w="7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Controls and Procedures</w:t>
              </w:r>
            </w:hyperlink>
          </w:p>
        </w:tc>
        <w:tc>
          <w:tcPr>
            <w:tcW w:w="21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9B.</w:t>
            </w:r>
          </w:p>
        </w:tc>
        <w:tc>
          <w:tcPr>
            <w:tcW w:w="1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Other Information</w:t>
              </w:r>
            </w:hyperlink>
          </w:p>
        </w:tc>
        <w:tc>
          <w:tcPr>
            <w:tcW w:w="732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14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158">
              <w:r>
                <w:rPr>
                  <w:rFonts w:ascii="Arial" w:cs="Arial" w:eastAsia="Arial" w:hAnsi="Arial"/>
                  <w:sz w:val="18"/>
                  <w:szCs w:val="18"/>
                  <w:color w:val="0000EE"/>
                  <w:w w:val="99"/>
                </w:rPr>
                <w:t>Directors, Executive Officers and Corporate Governance</w:t>
              </w:r>
            </w:hyperlink>
          </w:p>
        </w:tc>
        <w:tc>
          <w:tcPr>
            <w:tcW w:w="48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11.</w:t>
            </w:r>
          </w:p>
        </w:tc>
        <w:tc>
          <w:tcPr>
            <w:tcW w:w="9300" w:type="dxa"/>
            <w:vAlign w:val="bottom"/>
            <w:gridSpan w:val="2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Executive Compensation</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12.</w:t>
            </w:r>
          </w:p>
        </w:tc>
        <w:tc>
          <w:tcPr>
            <w:tcW w:w="9300" w:type="dxa"/>
            <w:vAlign w:val="bottom"/>
            <w:gridSpan w:val="2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Certain Relationships and Related Transactions, and Director Independence</w:t>
              </w:r>
            </w:hyperlink>
          </w:p>
        </w:tc>
        <w:tc>
          <w:tcPr>
            <w:tcW w:w="13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Principal Accounting Fees and Services</w:t>
              </w:r>
            </w:hyperlink>
          </w:p>
        </w:tc>
        <w:tc>
          <w:tcPr>
            <w:tcW w:w="32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93"/>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300" w:type="dxa"/>
            <w:vAlign w:val="bottom"/>
            <w:gridSpan w:val="21"/>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Arial" w:cs="Arial" w:eastAsia="Arial" w:hAnsi="Arial"/>
                <w:sz w:val="18"/>
                <w:szCs w:val="18"/>
                <w:color w:val="auto"/>
              </w:rPr>
              <w:t>Item 16</w:t>
            </w:r>
          </w:p>
        </w:tc>
        <w:tc>
          <w:tcPr>
            <w:tcW w:w="32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Form 10-K Summary</w:t>
              </w:r>
            </w:hyperlink>
          </w:p>
        </w:tc>
        <w:tc>
          <w:tcPr>
            <w:tcW w:w="610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140" w:firstLine="734"/>
        <w:spacing w:after="0" w:line="253" w:lineRule="auto"/>
        <w:rPr>
          <w:sz w:val="20"/>
          <w:szCs w:val="20"/>
          <w:color w:val="auto"/>
        </w:rPr>
      </w:pPr>
      <w:r>
        <w:rPr>
          <w:rFonts w:ascii="Arial" w:cs="Arial" w:eastAsia="Arial" w:hAnsi="Arial"/>
          <w:sz w:val="17"/>
          <w:szCs w:val="17"/>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83" w:lineRule="exact"/>
        <w:rPr>
          <w:sz w:val="20"/>
          <w:szCs w:val="20"/>
          <w:color w:val="auto"/>
        </w:rPr>
      </w:pPr>
    </w:p>
    <w:p>
      <w:pPr>
        <w:ind w:left="1020" w:right="28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 including our clinical trials for 4D-310, 4D-125 and 4D-110;</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IND-enabling studies and results from such studies, including our IND-enabling studies in 4D-150 and 4D-710;</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lead optimization for our product candidates in lead optimization, including for 4D-135;</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into future clinical trials in humans;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manufacturing runs for materials to be used in patient trials;</w:t>
      </w:r>
    </w:p>
    <w:p>
      <w:pPr>
        <w:spacing w:after="0" w:line="103" w:lineRule="exact"/>
        <w:rPr>
          <w:rFonts w:ascii="Arial" w:cs="Arial" w:eastAsia="Arial" w:hAnsi="Arial"/>
          <w:sz w:val="18"/>
          <w:szCs w:val="18"/>
          <w:color w:val="auto"/>
        </w:rPr>
      </w:pPr>
    </w:p>
    <w:p>
      <w:pPr>
        <w:ind w:left="1020" w:right="54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our planned clinical trials, and what regulatory authorities may require to obtain marketing approval</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the COVID-19 pandemic on our preclinical and clinical programs and business;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03" w:lineRule="exact"/>
        <w:rPr>
          <w:rFonts w:ascii="Arial" w:cs="Arial" w:eastAsia="Arial" w:hAnsi="Arial"/>
          <w:sz w:val="18"/>
          <w:szCs w:val="18"/>
          <w:color w:val="auto"/>
        </w:rPr>
      </w:pPr>
    </w:p>
    <w:p>
      <w:pPr>
        <w:ind w:left="1020" w:right="18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88" w:lineRule="exact"/>
        <w:rPr>
          <w:rFonts w:ascii="Arial" w:cs="Arial" w:eastAsia="Arial" w:hAnsi="Arial"/>
          <w:sz w:val="18"/>
          <w:szCs w:val="18"/>
          <w:color w:val="auto"/>
        </w:rPr>
      </w:pPr>
    </w:p>
    <w:p>
      <w:pPr>
        <w:ind w:left="1020" w:right="84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03" w:lineRule="exact"/>
        <w:rPr>
          <w:rFonts w:ascii="Arial" w:cs="Arial" w:eastAsia="Arial" w:hAnsi="Arial"/>
          <w:sz w:val="18"/>
          <w:szCs w:val="18"/>
          <w:color w:val="auto"/>
        </w:rPr>
      </w:pPr>
    </w:p>
    <w:p>
      <w:pPr>
        <w:ind w:left="1020" w:right="30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03" w:lineRule="exact"/>
        <w:rPr>
          <w:rFonts w:ascii="Arial" w:cs="Arial" w:eastAsia="Arial" w:hAnsi="Arial"/>
          <w:sz w:val="18"/>
          <w:szCs w:val="18"/>
          <w:color w:val="auto"/>
        </w:rPr>
      </w:pPr>
    </w:p>
    <w:p>
      <w:pPr>
        <w:ind w:left="1020" w:right="6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03" w:lineRule="exact"/>
        <w:rPr>
          <w:rFonts w:ascii="Arial" w:cs="Arial" w:eastAsia="Arial" w:hAnsi="Arial"/>
          <w:sz w:val="18"/>
          <w:szCs w:val="18"/>
          <w:color w:val="auto"/>
        </w:rPr>
      </w:pPr>
    </w:p>
    <w:p>
      <w:pPr>
        <w:ind w:left="1020" w:right="16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including our relationships with Roche and uniQure, and our ability to attract collaborators with development, regulatory and commercialization expertise;</w:t>
      </w:r>
    </w:p>
    <w:p>
      <w:pPr>
        <w:spacing w:after="0" w:line="8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3" w:name="page4"/>
    <w:bookmarkEnd w:id="3"/>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239" w:lineRule="exact"/>
        <w:rPr>
          <w:sz w:val="20"/>
          <w:szCs w:val="20"/>
          <w:color w:val="auto"/>
        </w:rPr>
      </w:pPr>
    </w:p>
    <w:p>
      <w:pPr>
        <w:ind w:firstLine="733"/>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the section titled “Risk Factors” and elsewhere in this Annual Report on Form 10-K. Potential investors are urged to consider these factors carefully in evaluating the forward-looking statements. These forward-looking statements speak only as of the date of this Annual Report on Form 10-K. Except as required by law, we assume no obligation to update or revise these forward -looking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Our targeted and evolved vectors are invented with the goals of being delivered through clinically routine, well-tolerated and minimally invasive routes of administration, of transducing diseased cells in target tissues efficiently, of having reduced immunogenicity and, where relevant, of having resistance to pre-existing antibodies. We believe these key features will help us to potentially create targeted gene therapy product candidates with improved therapeutic profiles, and to address a broad range of diseases from rare to large patient populations, including those that other gene therapies are unable to address. Each of our product candidates is created with one of our targeted and evolved AAV vectors. Our platform is designed to be modular, in that an evolved vector invented for a given set of diseases can be equipped with different transgene payloads to treat other diseases affecting the same tissue types. We believe this modularity will help inform the clinical development of subsequent product candidates using the same vector.</w:t>
      </w:r>
    </w:p>
    <w:p>
      <w:pPr>
        <w:spacing w:after="0" w:line="205" w:lineRule="exact"/>
        <w:rPr>
          <w:sz w:val="20"/>
          <w:szCs w:val="20"/>
          <w:color w:val="auto"/>
        </w:rPr>
      </w:pPr>
    </w:p>
    <w:p>
      <w:pPr>
        <w:ind w:right="120" w:firstLine="734"/>
        <w:spacing w:after="0" w:line="237" w:lineRule="auto"/>
        <w:rPr>
          <w:sz w:val="20"/>
          <w:szCs w:val="20"/>
          <w:color w:val="auto"/>
        </w:rPr>
      </w:pPr>
      <w:r>
        <w:rPr>
          <w:rFonts w:ascii="Arial" w:cs="Arial" w:eastAsia="Arial" w:hAnsi="Arial"/>
          <w:sz w:val="18"/>
          <w:szCs w:val="18"/>
          <w:color w:val="auto"/>
        </w:rPr>
        <w:t>We have built a deep portfolio of gene therapy product candidates initially focused in three therapeutic areas: ophthalmology (intravitreal vector), cardiology (intravenous vector) and pulmonology (aerosol vector). We have three product candidates that are in clinical trials: 4D-125 for the treatment of X-linked retinitis pigmentosa (“XLRP”) in a Phase 1/2 clinical trial, 4D-110 for the treatment of choroideremia in a Phase 1 clinical trial, and 4D-310 for the treatment of Fabry disease in a Phase 1/2 clinical trial. Our two IND candidates are 4D-150 for the treatment of wet age-related macular degeneration (“wet AMD”), and 4D-710 for the treatment of cystic fibrosis lung disease. We expect to file the INDs and to initiate clinical trials for both of these programs in the second half of 2021.</w:t>
      </w:r>
    </w:p>
    <w:p>
      <w:pPr>
        <w:spacing w:after="0" w:line="205" w:lineRule="exact"/>
        <w:rPr>
          <w:sz w:val="20"/>
          <w:szCs w:val="20"/>
          <w:color w:val="auto"/>
        </w:rPr>
      </w:pPr>
    </w:p>
    <w:p>
      <w:pPr>
        <w:ind w:right="80" w:firstLine="734"/>
        <w:spacing w:after="0"/>
        <w:rPr>
          <w:sz w:val="20"/>
          <w:szCs w:val="20"/>
          <w:color w:val="auto"/>
        </w:rPr>
      </w:pPr>
      <w:r>
        <w:rPr>
          <w:rFonts w:ascii="Arial" w:cs="Arial" w:eastAsia="Arial" w:hAnsi="Arial"/>
          <w:sz w:val="18"/>
          <w:szCs w:val="18"/>
          <w:color w:val="auto"/>
        </w:rPr>
        <w:t>We believe our competitive advantages, combined with our highly experienced team, help to position our company to create, develop, manufacture and, if approved, effectively commercialize targeted gene therapies that could transform the lives of patients suffering from debilitating diseases.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Therapeutic Vector Evolution Platform</w:t>
      </w:r>
    </w:p>
    <w:p>
      <w:pPr>
        <w:spacing w:after="0" w:line="126" w:lineRule="exact"/>
        <w:rPr>
          <w:sz w:val="20"/>
          <w:szCs w:val="20"/>
          <w:color w:val="auto"/>
        </w:rPr>
      </w:pPr>
    </w:p>
    <w:p>
      <w:pPr>
        <w:ind w:right="40" w:firstLine="734"/>
        <w:spacing w:after="0" w:line="253" w:lineRule="auto"/>
        <w:rPr>
          <w:sz w:val="20"/>
          <w:szCs w:val="20"/>
          <w:color w:val="auto"/>
        </w:rPr>
      </w:pPr>
      <w:r>
        <w:rPr>
          <w:rFonts w:ascii="Arial" w:cs="Arial" w:eastAsia="Arial" w:hAnsi="Arial"/>
          <w:sz w:val="17"/>
          <w:szCs w:val="17"/>
          <w:color w:val="auto"/>
        </w:rPr>
        <w:t>Gene therapy holds tremendous promise as a transformative therapeutic class. However, the majority of gene therapies have encountered limitations such as inflammation and toxicity, high dose requirements, limited efficacy and neutralization by pre-existing antibodies, due in part to their utilization of conventional AAV vectors that are naturally occurring and non-targeted. Through our Therapeutic Vector Evolution platform we apply the principles of directed evolution to invent targeted and evolved vectors for the delivery of genes to specific tissue types for diseases involving the same target tissue(s). Our product candidates are designed and engineered to utilize our targeted and evolved vectors to potentially address the limitations encountered with gene therapies utilizing conventional AAV vectors.</w:t>
      </w:r>
    </w:p>
    <w:p>
      <w:pPr>
        <w:spacing w:after="0" w:line="195"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Leveraging a wide range of molecular biology techniques, we have developed a collection of 40 distinct libraries that are comprised of approximately one billion synthetic capsid sequences. We next define a Target Vector Profile that identifies the optimal vector features for the specific tissue type(s) and related set of diseases we seek to target, with the goal of overcoming limitations encountered by conventional AAVs. We then deploy Therapeutic Vector Evolution with our capsid libraries in NHPs and use competitive selection to identify targeted and evolved vectors from our libraries that demonstrate the strongest match to the Target Vector Profile. Our three lead vectors have unique structural changes as compared to the conventional naturally occurring AAV capsid as shown below.</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5" w:name="page6"/>
    <w:bookmarkEnd w:id="5"/>
    <w:p>
      <w:pPr>
        <w:jc w:val="center"/>
        <w:ind w:left="340" w:right="120"/>
        <w:spacing w:after="0" w:line="250" w:lineRule="auto"/>
        <w:rPr>
          <w:sz w:val="20"/>
          <w:szCs w:val="20"/>
          <w:color w:val="auto"/>
        </w:rPr>
      </w:pPr>
      <w:r>
        <w:rPr>
          <w:rFonts w:ascii="Arial" w:cs="Arial" w:eastAsia="Arial" w:hAnsi="Arial"/>
          <w:sz w:val="18"/>
          <w:szCs w:val="18"/>
          <w:i w:val="1"/>
          <w:iCs w:val="1"/>
          <w:color w:val="auto"/>
        </w:rPr>
        <w:t>Our three lead targeted and evolved vectors comprise numerous diverse and biologically important differences from the conventional AAV capsid, as illustrated in the computer generated representations of the three-dimensional capsid structures depicted below. The colorized areas illustrate these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141605</wp:posOffset>
            </wp:positionV>
            <wp:extent cx="5288915" cy="3763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891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firstLine="734"/>
        <w:spacing w:after="0" w:line="238" w:lineRule="auto"/>
        <w:rPr>
          <w:sz w:val="20"/>
          <w:szCs w:val="20"/>
          <w:color w:val="auto"/>
        </w:rPr>
      </w:pPr>
      <w:r>
        <w:rPr>
          <w:rFonts w:ascii="Arial" w:cs="Arial" w:eastAsia="Arial" w:hAnsi="Arial"/>
          <w:sz w:val="18"/>
          <w:szCs w:val="18"/>
          <w:color w:val="auto"/>
        </w:rPr>
        <w:t>Based on preclinical data reported to date from our NHP and human cell models, including preclinical head-to-head comparisons with relevant conventional AAV vectors, we observed that our targeted and evolved vectors were well-tolerated and achieved enhanced delivery, increased transgene expression, reduced immunogenicity and/or improved antibody resistance when compared to conventional AAV vectors. We have not compared our targeted and evolved vectors to conventional AAV vectors in patients in clinical studies.</w:t>
      </w:r>
    </w:p>
    <w:p>
      <w:pPr>
        <w:spacing w:after="0" w:line="205"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As we advance through clinical trials, we plan to evaluate the following potential design features of our targeted and evolved vectors and product candidates:</w:t>
      </w:r>
    </w:p>
    <w:p>
      <w:pPr>
        <w:spacing w:after="0" w:line="67" w:lineRule="exact"/>
        <w:rPr>
          <w:sz w:val="20"/>
          <w:szCs w:val="20"/>
          <w:color w:val="auto"/>
        </w:rPr>
      </w:pPr>
    </w:p>
    <w:p>
      <w:pPr>
        <w:ind w:left="1020" w:hanging="28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Tolerability</w:t>
      </w:r>
      <w:r>
        <w:rPr>
          <w:rFonts w:ascii="Arial" w:cs="Arial" w:eastAsia="Arial" w:hAnsi="Arial"/>
          <w:sz w:val="18"/>
          <w:szCs w:val="18"/>
          <w:b w:val="1"/>
          <w:bCs w:val="1"/>
          <w:color w:val="auto"/>
        </w:rPr>
        <w:t>:</w:t>
      </w:r>
      <w:r>
        <w:rPr>
          <w:rFonts w:ascii="Arial" w:cs="Arial" w:eastAsia="Arial" w:hAnsi="Arial"/>
          <w:sz w:val="18"/>
          <w:szCs w:val="18"/>
          <w:color w:val="auto"/>
        </w:rPr>
        <w:t xml:space="preserve">  Well-tolerated therapies with a low inflammation profile, low dose requirements and routine, safe routes of delivery</w:t>
      </w:r>
    </w:p>
    <w:p>
      <w:pPr>
        <w:spacing w:after="0" w:line="144" w:lineRule="exact"/>
        <w:rPr>
          <w:rFonts w:ascii="Arial" w:cs="Arial" w:eastAsia="Arial" w:hAnsi="Arial"/>
          <w:sz w:val="18"/>
          <w:szCs w:val="18"/>
          <w:color w:val="auto"/>
        </w:rPr>
      </w:pPr>
    </w:p>
    <w:p>
      <w:pPr>
        <w:ind w:left="1020" w:right="160" w:hanging="283"/>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Biologic activity</w:t>
      </w:r>
      <w:r>
        <w:rPr>
          <w:rFonts w:ascii="Arial" w:cs="Arial" w:eastAsia="Arial" w:hAnsi="Arial"/>
          <w:sz w:val="18"/>
          <w:szCs w:val="18"/>
          <w:b w:val="1"/>
          <w:bCs w:val="1"/>
          <w:color w:val="auto"/>
        </w:rPr>
        <w:t>:</w:t>
      </w:r>
      <w:r>
        <w:rPr>
          <w:rFonts w:ascii="Arial" w:cs="Arial" w:eastAsia="Arial" w:hAnsi="Arial"/>
          <w:sz w:val="18"/>
          <w:szCs w:val="18"/>
          <w:color w:val="auto"/>
        </w:rPr>
        <w:t xml:space="preserve"> Effective delivery to targeted tissues, efficient transgene expression in targeted tissues, and/or resistance to neutralization by pre-existing antibodies</w:t>
      </w:r>
    </w:p>
    <w:p>
      <w:pPr>
        <w:spacing w:after="0" w:line="45" w:lineRule="exact"/>
        <w:rPr>
          <w:rFonts w:ascii="Arial" w:cs="Arial" w:eastAsia="Arial" w:hAnsi="Arial"/>
          <w:sz w:val="18"/>
          <w:szCs w:val="18"/>
          <w:color w:val="auto"/>
        </w:rPr>
      </w:pPr>
    </w:p>
    <w:p>
      <w:pPr>
        <w:ind w:left="1020" w:right="100" w:hanging="283"/>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Routine routes of administration</w:t>
      </w:r>
      <w:r>
        <w:rPr>
          <w:rFonts w:ascii="Arial" w:cs="Arial" w:eastAsia="Arial" w:hAnsi="Arial"/>
          <w:sz w:val="18"/>
          <w:szCs w:val="18"/>
          <w:b w:val="1"/>
          <w:bCs w:val="1"/>
          <w:color w:val="auto"/>
        </w:rPr>
        <w:t>:</w:t>
      </w:r>
      <w:r>
        <w:rPr>
          <w:rFonts w:ascii="Arial" w:cs="Arial" w:eastAsia="Arial" w:hAnsi="Arial"/>
          <w:sz w:val="18"/>
          <w:szCs w:val="18"/>
          <w:color w:val="auto"/>
        </w:rPr>
        <w:t xml:space="preserve"> Routine, well-tolerated and minimally invasive routes of administration, including intravitreal, aerosol and intravenous delivery</w:t>
      </w:r>
    </w:p>
    <w:p>
      <w:pPr>
        <w:spacing w:after="0" w:line="67" w:lineRule="exact"/>
        <w:rPr>
          <w:rFonts w:ascii="Arial" w:cs="Arial" w:eastAsia="Arial" w:hAnsi="Arial"/>
          <w:sz w:val="18"/>
          <w:szCs w:val="18"/>
          <w:color w:val="auto"/>
        </w:rPr>
      </w:pPr>
    </w:p>
    <w:p>
      <w:pPr>
        <w:ind w:left="1020" w:right="820" w:hanging="283"/>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Antibody resistance</w:t>
      </w:r>
      <w:r>
        <w:rPr>
          <w:rFonts w:ascii="Arial" w:cs="Arial" w:eastAsia="Arial" w:hAnsi="Arial"/>
          <w:sz w:val="18"/>
          <w:szCs w:val="18"/>
          <w:color w:val="auto"/>
        </w:rPr>
        <w:t>: Resistance to neutralization by pre-existing antibodies, translating into improved efficacy, larger addressable patient populations, and the potential for re-dosing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126" w:lineRule="exact"/>
        <w:rPr>
          <w:sz w:val="20"/>
          <w:szCs w:val="20"/>
          <w:color w:val="auto"/>
        </w:rPr>
      </w:pPr>
    </w:p>
    <w:p>
      <w:pPr>
        <w:ind w:right="200" w:firstLine="734"/>
        <w:spacing w:after="0" w:line="257" w:lineRule="auto"/>
        <w:rPr>
          <w:sz w:val="20"/>
          <w:szCs w:val="20"/>
          <w:color w:val="auto"/>
        </w:rPr>
      </w:pPr>
      <w:r>
        <w:rPr>
          <w:rFonts w:ascii="Arial" w:cs="Arial" w:eastAsia="Arial" w:hAnsi="Arial"/>
          <w:sz w:val="17"/>
          <w:szCs w:val="17"/>
          <w:color w:val="auto"/>
        </w:rPr>
        <w:t>We are developing a diverse pipeline of product candidates for both rare and large market diseases, including patient populations that other gene therapies are unable to address. Our initial product candidates are focused on the following therapeutic areas: ophthalmology, cardiology and pulmonology. Each of our product candidates leverages a targeted and evolved vector we invented through our Therapeutic Vector Evolution platform. Below is a summary of our product candidate pipeline and our next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137795</wp:posOffset>
            </wp:positionV>
            <wp:extent cx="5177790" cy="2219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77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80" w:right="100" w:hanging="589"/>
        <w:spacing w:after="0" w:line="251" w:lineRule="auto"/>
        <w:tabs>
          <w:tab w:leader="none" w:pos="880" w:val="left"/>
        </w:tabs>
        <w:numPr>
          <w:ilvl w:val="1"/>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4DMT is responsible for the development of this product candidate; Roche has an exclusive option to assume development and commercialization at its sole cost and expense. Such an option may be exercised prior to pivotal trial initiation.</w:t>
      </w:r>
    </w:p>
    <w:p>
      <w:pPr>
        <w:spacing w:after="0" w:line="1" w:lineRule="exact"/>
        <w:rPr>
          <w:rFonts w:ascii="Arial" w:cs="Arial" w:eastAsia="Arial" w:hAnsi="Arial"/>
          <w:sz w:val="14"/>
          <w:szCs w:val="14"/>
          <w:i w:val="1"/>
          <w:iCs w:val="1"/>
          <w:color w:val="auto"/>
        </w:rPr>
      </w:pPr>
    </w:p>
    <w:p>
      <w:pPr>
        <w:ind w:left="4120" w:hanging="123"/>
        <w:spacing w:after="0"/>
        <w:tabs>
          <w:tab w:leader="none" w:pos="4120" w:val="left"/>
        </w:tabs>
        <w:numPr>
          <w:ilvl w:val="2"/>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Reporting in coordination with our partner Roche.</w:t>
      </w:r>
    </w:p>
    <w:p>
      <w:pPr>
        <w:spacing w:after="0" w:line="1" w:lineRule="exact"/>
        <w:rPr>
          <w:rFonts w:ascii="Arial" w:cs="Arial" w:eastAsia="Arial" w:hAnsi="Arial"/>
          <w:sz w:val="14"/>
          <w:szCs w:val="14"/>
          <w:i w:val="1"/>
          <w:iCs w:val="1"/>
          <w:color w:val="auto"/>
        </w:rPr>
      </w:pPr>
    </w:p>
    <w:p>
      <w:pPr>
        <w:jc w:val="both"/>
        <w:ind w:left="100" w:right="60" w:firstLine="15"/>
        <w:spacing w:after="0" w:line="241" w:lineRule="auto"/>
        <w:tabs>
          <w:tab w:leader="none" w:pos="238"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Research stage involves (1) defining the Target Vector Profile then deploying Therapeutic Vector Evolution with our capsid libraries in non-human primates (NHPs) and using competitive selection to identify targeted and evolved vectors from our libraries that demonstrate the strongest match to the Target Vector Profile; then (2) optimizing our</w:t>
      </w:r>
    </w:p>
    <w:p>
      <w:pPr>
        <w:spacing w:after="0" w:line="1" w:lineRule="exact"/>
        <w:rPr>
          <w:sz w:val="20"/>
          <w:szCs w:val="20"/>
          <w:color w:val="auto"/>
        </w:rPr>
      </w:pPr>
    </w:p>
    <w:p>
      <w:pPr>
        <w:jc w:val="center"/>
        <w:ind w:left="340"/>
        <w:spacing w:after="0" w:line="258" w:lineRule="auto"/>
        <w:rPr>
          <w:sz w:val="20"/>
          <w:szCs w:val="20"/>
          <w:color w:val="auto"/>
        </w:rPr>
      </w:pPr>
      <w:r>
        <w:rPr>
          <w:rFonts w:ascii="Arial" w:cs="Arial" w:eastAsia="Arial" w:hAnsi="Arial"/>
          <w:sz w:val="14"/>
          <w:szCs w:val="14"/>
          <w:i w:val="1"/>
          <w:iCs w:val="1"/>
          <w:color w:val="auto"/>
        </w:rPr>
        <w:t>product candidates using the lead vector by conducting in vivo and in vitro evaluation of various transgene and promoter construct candidates in cell and animal models, and the selection of at least one product candidate to move forward into IND-enabling studies.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 Pipeline: Intravitreal Product Candidates</w:t>
      </w:r>
    </w:p>
    <w:p>
      <w:pPr>
        <w:spacing w:after="0" w:line="126" w:lineRule="exact"/>
        <w:rPr>
          <w:sz w:val="20"/>
          <w:szCs w:val="20"/>
          <w:color w:val="auto"/>
        </w:rPr>
      </w:pPr>
    </w:p>
    <w:p>
      <w:pPr>
        <w:ind w:right="280" w:firstLine="734"/>
        <w:spacing w:after="0"/>
        <w:rPr>
          <w:sz w:val="20"/>
          <w:szCs w:val="20"/>
          <w:color w:val="auto"/>
        </w:rPr>
      </w:pPr>
      <w:r>
        <w:rPr>
          <w:rFonts w:ascii="Arial" w:cs="Arial" w:eastAsia="Arial" w:hAnsi="Arial"/>
          <w:sz w:val="18"/>
          <w:szCs w:val="18"/>
          <w:color w:val="auto"/>
        </w:rPr>
        <w:t>We are developing product candidates to treat tissues throughout the retina. Our targeted and evolved AAV vector, R100, was invented for routine intravitreal injection, leading to transgene expression across the entire surface area of the retina, and in the major cell layers of the retina.</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currently have four ophthalmology product candidates that utilize our proprietary intravitreal R100 vector:</w:t>
      </w:r>
    </w:p>
    <w:p>
      <w:pPr>
        <w:spacing w:after="0" w:line="86" w:lineRule="exact"/>
        <w:rPr>
          <w:sz w:val="20"/>
          <w:szCs w:val="20"/>
          <w:color w:val="auto"/>
        </w:rPr>
      </w:pPr>
    </w:p>
    <w:p>
      <w:pPr>
        <w:ind w:left="1020" w:right="180" w:hanging="283"/>
        <w:spacing w:after="0" w:line="250"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4D-125</w:t>
      </w:r>
      <w:r>
        <w:rPr>
          <w:rFonts w:ascii="Arial" w:cs="Arial" w:eastAsia="Arial" w:hAnsi="Arial"/>
          <w:sz w:val="18"/>
          <w:szCs w:val="18"/>
          <w:color w:val="auto"/>
        </w:rPr>
        <w:t xml:space="preserve">: 4D-125 is in an ongoing Phase 1/2 clinical trial in patients with XLRP due to mutations in the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We expect to report initial clinical data from this trial in the second half of 2021. We currently hold worldwide commercialization rights for 4D-125, and Roche holds an exclusive option to in-license the product prior to pivotal trial initiation.</w:t>
      </w:r>
    </w:p>
    <w:p>
      <w:pPr>
        <w:spacing w:after="0" w:line="86"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4D-110</w:t>
      </w:r>
      <w:r>
        <w:rPr>
          <w:rFonts w:ascii="Arial" w:cs="Arial" w:eastAsia="Arial" w:hAnsi="Arial"/>
          <w:sz w:val="18"/>
          <w:szCs w:val="18"/>
          <w:color w:val="auto"/>
        </w:rPr>
        <w:t>: 4D-110 is in an ongoing Phase 1 clinical trial in patients with choroideremia. In coordination with our partner Roche, we expect to report initial clinical data from this trial in 2022. We licensed exclusive worldwide rights to 4D-110 to Roche.</w:t>
      </w:r>
    </w:p>
    <w:p>
      <w:pPr>
        <w:spacing w:after="0" w:line="88" w:lineRule="exact"/>
        <w:rPr>
          <w:rFonts w:ascii="Arial" w:cs="Arial" w:eastAsia="Arial" w:hAnsi="Arial"/>
          <w:sz w:val="18"/>
          <w:szCs w:val="18"/>
          <w:color w:val="auto"/>
        </w:rPr>
      </w:pPr>
    </w:p>
    <w:p>
      <w:pPr>
        <w:ind w:left="1020" w:right="260" w:hanging="28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4D-150</w:t>
      </w:r>
      <w:r>
        <w:rPr>
          <w:rFonts w:ascii="Arial" w:cs="Arial" w:eastAsia="Arial" w:hAnsi="Arial"/>
          <w:sz w:val="18"/>
          <w:szCs w:val="18"/>
          <w:color w:val="auto"/>
        </w:rPr>
        <w:t>: 4D-150 is in IND-enabling preclinical development for wet AMD and diabetic retinopathy, two large market ophthalmology indications. We wholly own this product candidate. We expect to file an IND and to initiate a Phase 1/2 clinical trial for 4D-150 in the second half of 2021.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 w:name="page8"/>
    <w:bookmarkEnd w:id="7"/>
    <w:p>
      <w:pPr>
        <w:ind w:left="1020" w:right="420" w:hanging="28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4D-135</w:t>
      </w:r>
      <w:r>
        <w:rPr>
          <w:rFonts w:ascii="Arial" w:cs="Arial" w:eastAsia="Arial" w:hAnsi="Arial"/>
          <w:sz w:val="18"/>
          <w:szCs w:val="18"/>
          <w:color w:val="auto"/>
        </w:rPr>
        <w:t xml:space="preserve">: 4D-135 is in preclinical development for autosomal dominant retinitis pigmentosa (“adRP”) due to mutations in the </w:t>
      </w:r>
      <w:r>
        <w:rPr>
          <w:rFonts w:ascii="Arial" w:cs="Arial" w:eastAsia="Arial" w:hAnsi="Arial"/>
          <w:sz w:val="18"/>
          <w:szCs w:val="18"/>
          <w:i w:val="1"/>
          <w:iCs w:val="1"/>
          <w:color w:val="auto"/>
        </w:rPr>
        <w:t xml:space="preserve">RHO </w:t>
      </w:r>
      <w:r>
        <w:rPr>
          <w:rFonts w:ascii="Arial" w:cs="Arial" w:eastAsia="Arial" w:hAnsi="Arial"/>
          <w:sz w:val="18"/>
          <w:szCs w:val="18"/>
          <w:color w:val="auto"/>
        </w:rPr>
        <w:t>gene. We wholly own this product candidate. We expect to initiate IND-enabling studies for 4D-135 in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Cardiology Pipeline: Intravenous Product Candidates</w:t>
      </w:r>
    </w:p>
    <w:p>
      <w:pPr>
        <w:spacing w:after="0" w:line="126" w:lineRule="exact"/>
        <w:rPr>
          <w:sz w:val="20"/>
          <w:szCs w:val="20"/>
          <w:color w:val="auto"/>
        </w:rPr>
      </w:pPr>
    </w:p>
    <w:p>
      <w:pPr>
        <w:ind w:right="160" w:firstLine="734"/>
        <w:spacing w:after="0" w:line="237" w:lineRule="auto"/>
        <w:rPr>
          <w:sz w:val="20"/>
          <w:szCs w:val="20"/>
          <w:color w:val="auto"/>
        </w:rPr>
      </w:pPr>
      <w:r>
        <w:rPr>
          <w:rFonts w:ascii="Arial" w:cs="Arial" w:eastAsia="Arial" w:hAnsi="Arial"/>
          <w:sz w:val="18"/>
          <w:szCs w:val="18"/>
          <w:color w:val="auto"/>
        </w:rPr>
        <w:t>With our cardiology product candidates, all of which are wholly owned, we plan to treat patient populations in both primary cardiomyopathies, that involve the heart only, as well as cardiomyopathies that are secondary to systemic diseases, such as lysosomal storage diseases. Our cardiology product candidates utilize our targeted and evolved AAV vector, C102, which was invented for routine low dose intravenous administration and delivery to the heart, leading to transgene expression in heart muscle cells throughout the organ. For lysosomal storage diseases involving the heart and other organs, including Fabry disease, our product candidates are designed for transgene expression both within the heart and in other targeted tissues.</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Our initial cardiology product candidate 4D-310 is in an ongoing Phase 1/2 clinical trial in adult patients with classic (severe) Fabry disease. 4D-310 is designed to address all critically affected organs, including the heart, kidney, and blood vessels through direct intracellular transgene expression. To our knowledge, 4D-310 is the only Fabry disease product candidate specifically designed to treat cardiomyocytes. We expect to report initial clinical data from this trial in the second half of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 Pipeline: Aerosol Delivery Product Candidates</w:t>
      </w:r>
    </w:p>
    <w:p>
      <w:pPr>
        <w:spacing w:after="0" w:line="126" w:lineRule="exact"/>
        <w:rPr>
          <w:sz w:val="20"/>
          <w:szCs w:val="20"/>
          <w:color w:val="auto"/>
        </w:rPr>
      </w:pPr>
    </w:p>
    <w:p>
      <w:pPr>
        <w:ind w:right="220" w:firstLine="734"/>
        <w:spacing w:after="0" w:line="237" w:lineRule="auto"/>
        <w:rPr>
          <w:sz w:val="20"/>
          <w:szCs w:val="20"/>
          <w:color w:val="auto"/>
        </w:rPr>
      </w:pPr>
      <w:r>
        <w:rPr>
          <w:rFonts w:ascii="Arial" w:cs="Arial" w:eastAsia="Arial" w:hAnsi="Arial"/>
          <w:sz w:val="18"/>
          <w:szCs w:val="18"/>
          <w:color w:val="auto"/>
        </w:rPr>
        <w:t>With our pulmonology product candidates, all of which are wholly owned, we plan to treat diseases that affect the lungs. Our pulmonology product candidates utilize our targeted and evolved vector, A101, which was invented for aerosol delivery to all major regions within the lung, including airways and alveoli, and successful penetration of the mucus barrier for transduction of lung airway cells, overcoming potential barriers such as pre-existing AAV antibodies and other inhibitory proteins within the mucus barrier. Our products utilizing A101 are designed for delivery as an aerosol to the lung epithelial cell surface resulting in efficient airway and alveolar cell transduction and transgene expression.</w:t>
      </w:r>
    </w:p>
    <w:p>
      <w:pPr>
        <w:spacing w:after="0" w:line="205" w:lineRule="exact"/>
        <w:rPr>
          <w:sz w:val="20"/>
          <w:szCs w:val="20"/>
          <w:color w:val="auto"/>
        </w:rPr>
      </w:pPr>
    </w:p>
    <w:p>
      <w:pPr>
        <w:ind w:right="320" w:firstLine="734"/>
        <w:spacing w:after="0" w:line="246" w:lineRule="auto"/>
        <w:rPr>
          <w:sz w:val="20"/>
          <w:szCs w:val="20"/>
          <w:color w:val="auto"/>
        </w:rPr>
      </w:pPr>
      <w:r>
        <w:rPr>
          <w:rFonts w:ascii="Arial" w:cs="Arial" w:eastAsia="Arial" w:hAnsi="Arial"/>
          <w:sz w:val="18"/>
          <w:szCs w:val="18"/>
          <w:color w:val="auto"/>
        </w:rPr>
        <w:t>Our initial pulmonology product candidate 4D-710 is in IND-enabling preclinical development for cystic fibrosis lung disease. We expect to file an IND and to initiate a Phase 1/2 clinical trial for 4D-710 in the second half of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126" w:lineRule="exact"/>
        <w:rPr>
          <w:sz w:val="20"/>
          <w:szCs w:val="20"/>
          <w:color w:val="auto"/>
        </w:rPr>
      </w:pPr>
    </w:p>
    <w:p>
      <w:pPr>
        <w:ind w:right="20" w:firstLine="734"/>
        <w:spacing w:after="0" w:line="235" w:lineRule="auto"/>
        <w:rPr>
          <w:sz w:val="20"/>
          <w:szCs w:val="20"/>
          <w:color w:val="auto"/>
        </w:rPr>
      </w:pPr>
      <w:r>
        <w:rPr>
          <w:rFonts w:ascii="Arial" w:cs="Arial" w:eastAsia="Arial" w:hAnsi="Arial"/>
          <w:sz w:val="18"/>
          <w:szCs w:val="18"/>
          <w:color w:val="auto"/>
        </w:rPr>
        <w:t>Our experienced team consists of biotherapeutics developers, entrepreneurs, innovative gene therapy scientists and clinicians to execute our platform, product design and development and commercialization strategies. Collectively, our team has more than 100 years of combined experience in the field of viral vector gene therapy, including leadership of over 30 clinical trials from Phase 1 through Phase 3 and product approval. We are led by our Chief Executive Officer and co-founder, David Kirn, M.D., who has over 25 years of experience creating and growing therapeutic platform companies, including viral vector gene therapy and oncolytic virus technologies, and advising on the design, preclinical translation and clinical development of viral vector gene therapeutics for leading life science companies, such as Onyx Pharmaceuticals, Novartis International AG, Pfizer Inc., Bayer AG and Biogen Inc. Our Executive Chairman, John Milligan, Ph.D., is the former CEO and President of Gilead Sciences, where he spent over 29 years scaling the company and commercializing numerous transformative therapies across multiple disease areas. Our Chief Scientific Advisor and co-founder, David Schaffer, Ph.D., pioneered the application of directed evolution to the capsid of AAV vectors 20 years ago. Our Chief Operating Officer and Chief Technical Officer, Fred Kamal, Ph.D., has over 25 years of industry experience in product manufacturing and quality, including most recently with AveXis, Inc. where he was a key contributor to the development and biologics license application (“BLA”) for the AAV product Zolgensma (onasemnogene abeparvovec). Our Chief Medical Officer, Robert S. Fishman, M.D., brings over 20 years of clinical trial execution and product development expertise. Our board of directors also brings significant experience in biopharmaceutical commercial execution and strategic initiatives.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right="160" w:firstLine="734"/>
        <w:spacing w:after="0" w:line="246" w:lineRule="auto"/>
        <w:rPr>
          <w:sz w:val="20"/>
          <w:szCs w:val="20"/>
          <w:color w:val="auto"/>
        </w:rPr>
      </w:pPr>
      <w:r>
        <w:rPr>
          <w:rFonts w:ascii="Arial" w:cs="Arial" w:eastAsia="Arial" w:hAnsi="Arial"/>
          <w:sz w:val="18"/>
          <w:szCs w:val="18"/>
          <w:color w:val="auto"/>
        </w:rPr>
        <w:t>Our vision is to unlock the full potential of gene therapy to address as many patient populations as possible in both rare and large market diseases. We have developed the following strategies and guiding principles to achieve our goals:</w:t>
      </w:r>
    </w:p>
    <w:p>
      <w:pPr>
        <w:spacing w:after="0" w:line="28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Invent targeted and evolved AAV vectors using the power of directed evolution to unlock the full potential of gene therapy with transformative gene therapy products</w:t>
      </w:r>
    </w:p>
    <w:p>
      <w:pPr>
        <w:spacing w:after="0" w:line="68"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Our Therapeutic Vector Evolution platform allows us to move beyond conventional AAV vectors and has enabled us to develop proprietary targeted and evolved vectors based on a Target Vector Profile for any set of diseases we strive to treat. This platform empowers us to select the best (or “fittest”) targeted and evolved vector, matching the Target Vector Profile for any set of related diseases, out of our 40 distinct libraries comprising approximately one billion synthetic capsid sequences. Our goal is to unlock the full potential of gene therapy by creating targeted gene therapies based on these vectors. As compared to gene therapy products utilizing conventional AAV vectors, we believe our targeted gene therapies, if approved, will enable treatment of broader patient populations within specific diseases, diseases currently not addressed by gene therapy and large market diseases.</w:t>
      </w:r>
    </w:p>
    <w:p>
      <w:pPr>
        <w:spacing w:after="0" w:line="28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Apply our modular product design and engineering to help inform the clinical development of subsequent product candidates using the same vectors used for prior product candidates</w:t>
      </w:r>
    </w:p>
    <w:p>
      <w:pPr>
        <w:spacing w:after="0" w:line="68"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Our targeted gene therapy product candidates are modular, in that a single targeted and evolved vector can be equipped with different transgene payloads to enable treatment of multiple different diseases affecting the same tissue type(s). Our preclinical and clinical development will provide us with insights and clinical proof-of-concept for a given vector equipped with one transgene. Development of subsequent product candidates could also be more efficient, as manufacturing, preclinical, clinical and regulatory activities will be guided by experience with preceding product candidates using the same vector.</w:t>
      </w:r>
    </w:p>
    <w:p>
      <w:pPr>
        <w:spacing w:after="0" w:line="28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Develop and commercialize a diverse portfolio of transformative gene therapy products in a broad range of therapeutic areas with significant unmet needs, including rare and large patient populations</w:t>
      </w:r>
    </w:p>
    <w:p>
      <w:pPr>
        <w:spacing w:after="0" w:line="68"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We are building a diverse portfolio of product candidates. We believe this diversity increases our likelihood of success in contrast to relying on a single vector or disease area as evidenced by our: (1) multiple proprietary vectors delivered by different routine, well-tolerated and minimally invasive routes of administration specific to the disease, (2) therapeutic area diversity including ophthalmology, cardiology and pulmonology; and (3) opportunity to address both rare and large patient populations not currently addressed with conventional AAV vectors. We seek to develop our wholly owned product candidates through market approval and to retain product marketing rights for key products, regions and strategic therapeutic areas.</w:t>
      </w:r>
    </w:p>
    <w:p>
      <w:pPr>
        <w:spacing w:after="0" w:line="291"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b w:val="1"/>
          <w:bCs w:val="1"/>
          <w:i w:val="1"/>
          <w:iCs w:val="1"/>
          <w:color w:val="auto"/>
        </w:rPr>
        <w:t>Build a fully integrated biopharmaceutical company by advancing our capabilities in product development and commercialization, and expanding our manufacturing facilities and internal proprietary Good Manufacturing Practice (“GMP”) capabilities</w:t>
      </w:r>
    </w:p>
    <w:p>
      <w:pPr>
        <w:spacing w:after="0" w:line="45" w:lineRule="exact"/>
        <w:rPr>
          <w:sz w:val="20"/>
          <w:szCs w:val="20"/>
          <w:color w:val="auto"/>
        </w:rPr>
      </w:pPr>
    </w:p>
    <w:p>
      <w:pPr>
        <w:ind w:right="320" w:firstLine="734"/>
        <w:spacing w:after="0" w:line="238" w:lineRule="auto"/>
        <w:rPr>
          <w:sz w:val="20"/>
          <w:szCs w:val="20"/>
          <w:color w:val="auto"/>
        </w:rPr>
      </w:pPr>
      <w:r>
        <w:rPr>
          <w:rFonts w:ascii="Arial" w:cs="Arial" w:eastAsia="Arial" w:hAnsi="Arial"/>
          <w:sz w:val="18"/>
          <w:szCs w:val="18"/>
          <w:color w:val="auto"/>
        </w:rPr>
        <w:t>To become a fully integrated biopharmaceutical company, we are building robust internal capabilities including translational and clinical research and development, regulatory affairs, manufacturing and quality which can mitigate operational risks, reduce costs, and increase product development control and speed. In the future we intend to build commercialization capabilities, including sales and marketing.</w:t>
      </w:r>
    </w:p>
    <w:p>
      <w:pPr>
        <w:spacing w:after="0" w:line="205" w:lineRule="exact"/>
        <w:rPr>
          <w:sz w:val="20"/>
          <w:szCs w:val="20"/>
          <w:color w:val="auto"/>
        </w:rPr>
      </w:pPr>
    </w:p>
    <w:p>
      <w:pPr>
        <w:jc w:val="both"/>
        <w:ind w:right="340" w:firstLine="734"/>
        <w:spacing w:after="0"/>
        <w:rPr>
          <w:sz w:val="20"/>
          <w:szCs w:val="20"/>
          <w:color w:val="auto"/>
        </w:rPr>
      </w:pPr>
      <w:r>
        <w:rPr>
          <w:rFonts w:ascii="Arial" w:cs="Arial" w:eastAsia="Arial" w:hAnsi="Arial"/>
          <w:sz w:val="18"/>
          <w:szCs w:val="18"/>
          <w:color w:val="auto"/>
        </w:rPr>
        <w:t>We believe robust internal manufacturing capabilities are of particular importance in gene therapy due to the high complexity of producing these therapies. Our current in-house manufacturing capabilities include GMP manufacturing, production capabilities for IND-enabling GLP toxicology studies and</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9" w:name="page10"/>
    <w:bookmarkEnd w:id="9"/>
    <w:p>
      <w:pPr>
        <w:ind w:right="280"/>
        <w:spacing w:after="0" w:line="238" w:lineRule="auto"/>
        <w:rPr>
          <w:sz w:val="20"/>
          <w:szCs w:val="20"/>
          <w:color w:val="auto"/>
        </w:rPr>
      </w:pPr>
      <w:r>
        <w:rPr>
          <w:rFonts w:ascii="Arial" w:cs="Arial" w:eastAsia="Arial" w:hAnsi="Arial"/>
          <w:sz w:val="18"/>
          <w:szCs w:val="18"/>
          <w:color w:val="auto"/>
        </w:rPr>
        <w:t>research candidate production (upstream, downstream and fill/finish). We intend to further maximize the robustness and internal control of our manufacturing processes from discovery and process development through to clinical-grade cGMP manufacturing and to scale these capabilities to support later stage clinical programs and indications where clinical trials require more patients and/or higher intravenous doses. In the future we intend to build manufacturing capacity sufficient to support commercialization of any product candidates that are approved.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execute strategic collaborations to maximize the potential value of our Therapeutic Vector Evolution platform</w:t>
      </w:r>
    </w:p>
    <w:p>
      <w:pPr>
        <w:spacing w:after="0" w:line="126" w:lineRule="exact"/>
        <w:rPr>
          <w:sz w:val="20"/>
          <w:szCs w:val="20"/>
          <w:color w:val="auto"/>
        </w:rPr>
      </w:pPr>
    </w:p>
    <w:p>
      <w:pPr>
        <w:ind w:right="240" w:firstLine="734"/>
        <w:spacing w:after="0" w:line="237" w:lineRule="auto"/>
        <w:rPr>
          <w:sz w:val="20"/>
          <w:szCs w:val="20"/>
          <w:color w:val="auto"/>
        </w:rPr>
      </w:pPr>
      <w:r>
        <w:rPr>
          <w:rFonts w:ascii="Arial" w:cs="Arial" w:eastAsia="Arial" w:hAnsi="Arial"/>
          <w:sz w:val="18"/>
          <w:szCs w:val="18"/>
          <w:color w:val="auto"/>
        </w:rPr>
        <w:t>We intend to enter into patient advocacy foundation alliances and academic collaborations, and to evaluate potential strategic corporate partnerships. We believe that alliances with patient advocacy organizations, such as the Cystic Fibrosis Foundation, can be beneficial for funding, patient enrollment, regulatory strategy, product design and clinical development. In addition, we intend to further expand our enabling technologies and our intellectual property portfolio by pursuing new opportunities through our sponsored research agreements with our Chief Scientific Advisor Dr. Schaffer and U.C. Berkeley. We will continue to evaluate new opportunities to partner with biopharmaceutical companies that we believe enhance our ability to deliver value for stockholders and clinical benefits for patients.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Therapeutic Vector Evolution Platform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Successes and Limitations of Current Conventional Non-Targeted AAV Vectors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 Therapy Overview</w:t>
      </w:r>
    </w:p>
    <w:p>
      <w:pPr>
        <w:spacing w:after="0" w:line="12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 xml:space="preserve">Gene therapy aims to address diseases caused by gene mutations and gene dysregulation. Gene therapies hold the promise of delivering transformative and durable benefit to the patient by addressing the underlying molecular root cause of genetic diseases, in many cases, by introducing a functional version of the patient’s defective gene into their own cells. Gene therapy has shown the potential to halt the progression of rare diseases, as well as to enable or restore critical human functions. Gene therapies may be delivered to their target cells either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can be paired with other therapeutic approaches including cell therapy and gene editing.</w:t>
      </w:r>
    </w:p>
    <w:p>
      <w:pPr>
        <w:spacing w:after="0" w:line="202"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The transformative potential of gene therapy has been demonstrated across multiple rare disease areas. There has been significant progress over the last decade in the field of gene and cell therapies, including with AAV based gene therapy. Further, the number of companies developing gene and cell therapy products has increased significantly over the last five years. There are currently a number of approved viral vector gene therapy products, including Zynteglo, Zolgensma, Luxturna, Imlygic and Strimvelis.</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physical construct of gene therapies are comprised of two essential components:</w:t>
      </w:r>
    </w:p>
    <w:p>
      <w:pPr>
        <w:spacing w:after="0" w:line="86" w:lineRule="exact"/>
        <w:rPr>
          <w:sz w:val="20"/>
          <w:szCs w:val="20"/>
          <w:color w:val="auto"/>
        </w:rPr>
      </w:pPr>
    </w:p>
    <w:p>
      <w:pPr>
        <w:ind w:left="1020" w:right="40" w:hanging="283"/>
        <w:spacing w:after="0" w:line="24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Vector</w:t>
      </w:r>
      <w:r>
        <w:rPr>
          <w:rFonts w:ascii="Arial" w:cs="Arial" w:eastAsia="Arial" w:hAnsi="Arial"/>
          <w:sz w:val="18"/>
          <w:szCs w:val="18"/>
          <w:i w:val="1"/>
          <w:iCs w:val="1"/>
          <w:color w:val="auto"/>
        </w:rPr>
        <w:t>:</w:t>
      </w:r>
      <w:r>
        <w:rPr>
          <w:rFonts w:ascii="Arial" w:cs="Arial" w:eastAsia="Arial" w:hAnsi="Arial"/>
          <w:sz w:val="18"/>
          <w:szCs w:val="18"/>
          <w:color w:val="auto"/>
        </w:rPr>
        <w:t xml:space="preserve"> A vehicle that packages and delivers the promoter and transgene into the body and transports them through the protective cell membrane and ultimately into the cell nucleus. As a result, the vector plays an essential role in delivery and transduction, the process of guiding the transgene into the cell with subsequent expression of the transgene product. The vector is foundational to the potential safety and efficacy of gene therapies, as the vector is ideally relied on to deliver the promoter and transgene to the diseased cells safely and in sufficient quantities to result in clinical benefit.</w:t>
      </w:r>
    </w:p>
    <w:p>
      <w:pPr>
        <w:spacing w:after="0" w:line="76" w:lineRule="exact"/>
        <w:rPr>
          <w:rFonts w:ascii="Arial" w:cs="Arial" w:eastAsia="Arial" w:hAnsi="Arial"/>
          <w:sz w:val="18"/>
          <w:szCs w:val="18"/>
          <w:color w:val="auto"/>
        </w:rPr>
      </w:pPr>
    </w:p>
    <w:p>
      <w:pPr>
        <w:ind w:left="1020" w:right="120" w:hanging="283"/>
        <w:spacing w:after="0" w:line="24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Promoter and Transgene Payload</w:t>
      </w:r>
      <w:r>
        <w:rPr>
          <w:rFonts w:ascii="Arial" w:cs="Arial" w:eastAsia="Arial" w:hAnsi="Arial"/>
          <w:sz w:val="18"/>
          <w:szCs w:val="18"/>
          <w:i w:val="1"/>
          <w:iCs w:val="1"/>
          <w:color w:val="auto"/>
        </w:rPr>
        <w:t>:</w:t>
      </w:r>
      <w:r>
        <w:rPr>
          <w:rFonts w:ascii="Arial" w:cs="Arial" w:eastAsia="Arial" w:hAnsi="Arial"/>
          <w:sz w:val="18"/>
          <w:szCs w:val="18"/>
          <w:color w:val="auto"/>
        </w:rPr>
        <w:t xml:space="preserve"> The promoter is the DNA region that controls and initiates transcription of the transgene in the desired cell type(s), while the transgene is the functional gene intended to be delivered into the target cell and expressed at the RNA and/or protein levels. Examples include enzymes, structural proteins, cell surface protein receptors, antibodies, gene editing machinery and inhibitory RNA molecules.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jc w:val="center"/>
        <w:ind w:left="340" w:right="40"/>
        <w:spacing w:after="0" w:line="250" w:lineRule="auto"/>
        <w:rPr>
          <w:sz w:val="20"/>
          <w:szCs w:val="20"/>
          <w:color w:val="auto"/>
        </w:rPr>
      </w:pPr>
      <w:r>
        <w:rPr>
          <w:rFonts w:ascii="Arial" w:cs="Arial" w:eastAsia="Arial" w:hAnsi="Arial"/>
          <w:sz w:val="18"/>
          <w:szCs w:val="18"/>
          <w:i w:val="1"/>
          <w:iCs w:val="1"/>
          <w:color w:val="auto"/>
        </w:rPr>
        <w:t>Generalized components of an AAV gene therapy include the vector and a therapeutic payload consisting of DNA encoding a promoter, transgene, polyadenylated (“pA”) tail for stability, and inverted terminal repeats (“ITR”) to support packaging and other functionality within the target cell.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Challenges with Conventional AAV Vectors</w:t>
      </w:r>
    </w:p>
    <w:p>
      <w:pPr>
        <w:spacing w:after="0" w:line="122" w:lineRule="exact"/>
        <w:rPr>
          <w:sz w:val="20"/>
          <w:szCs w:val="20"/>
          <w:color w:val="auto"/>
        </w:rPr>
      </w:pPr>
    </w:p>
    <w:p>
      <w:pPr>
        <w:ind w:firstLine="734"/>
        <w:spacing w:after="0" w:line="253" w:lineRule="auto"/>
        <w:rPr>
          <w:sz w:val="20"/>
          <w:szCs w:val="20"/>
          <w:color w:val="auto"/>
        </w:rPr>
      </w:pPr>
      <w:r>
        <w:rPr>
          <w:rFonts w:ascii="Arial" w:cs="Arial" w:eastAsia="Arial" w:hAnsi="Arial"/>
          <w:sz w:val="17"/>
          <w:szCs w:val="17"/>
          <w:color w:val="auto"/>
        </w:rPr>
        <w:t>The fundamental gene therapy components used in current gene therapy candidates originated largely from academia, some as early as the 1960s, with limited improvements since their discovery. The majority of AAV gene therapy companies use conventional AAV vectors that are comprised of naturally occurring AAV capsids (protein shells) of a few specific subtypes, including AAV1, AAV2, AAV5, AAV8, AAV9, AAVhu68, AAVrh10, and AAVrh74. In some cases, minor changes have been made to these naturally occurring, non-targeted capsids in an attempt to enhance non-specific transduction. While gene therapy holds tremendous promise as a transformative therapeutic class, the demonstrated hurdles with conventional AAV vectors may limit the diseases and patient populations that can be effectively addressed.</w:t>
      </w:r>
    </w:p>
    <w:p>
      <w:pPr>
        <w:spacing w:after="0" w:line="195" w:lineRule="exact"/>
        <w:rPr>
          <w:sz w:val="20"/>
          <w:szCs w:val="20"/>
          <w:color w:val="auto"/>
        </w:rPr>
      </w:pPr>
    </w:p>
    <w:p>
      <w:pPr>
        <w:ind w:right="200" w:firstLine="734"/>
        <w:spacing w:after="0" w:line="246" w:lineRule="auto"/>
        <w:rPr>
          <w:sz w:val="20"/>
          <w:szCs w:val="20"/>
          <w:color w:val="auto"/>
        </w:rPr>
      </w:pPr>
      <w:r>
        <w:rPr>
          <w:rFonts w:ascii="Arial" w:cs="Arial" w:eastAsia="Arial" w:hAnsi="Arial"/>
          <w:sz w:val="18"/>
          <w:szCs w:val="18"/>
          <w:color w:val="auto"/>
        </w:rPr>
        <w:t>We believe that there are four fundamental challenges that hinder gene therapies that utilize conventional AAV vectors which may adversely impact their product safety, efficacy and commercial potential:</w:t>
      </w:r>
    </w:p>
    <w:p>
      <w:pPr>
        <w:spacing w:after="0" w:line="89" w:lineRule="exact"/>
        <w:rPr>
          <w:sz w:val="20"/>
          <w:szCs w:val="20"/>
          <w:color w:val="auto"/>
        </w:rPr>
      </w:pPr>
    </w:p>
    <w:p>
      <w:pPr>
        <w:ind w:left="1020" w:hanging="283"/>
        <w:spacing w:after="0" w:line="23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Lack of effective delivery to desired target tissues and/or cell types due to physical barriers</w:t>
      </w:r>
      <w:r>
        <w:rPr>
          <w:rFonts w:ascii="Arial" w:cs="Arial" w:eastAsia="Arial" w:hAnsi="Arial"/>
          <w:sz w:val="18"/>
          <w:szCs w:val="18"/>
          <w:color w:val="auto"/>
        </w:rPr>
        <w:t>: Conventional AAV vectors have not been engineered to circumvent natural barriers to viral vector delivery by various routes of delivery, such as the inner-limiting membrane of the retina or clearance by the liver, and they are not targeted to specific tissues or cells. As a result, products using these vectors may require suboptimal delivery mechanisms, such as subretinal injection compared with intravitreal dosing, or high doses, such as with intravenous administration for the treatment of muscle diseases, to achieve therapeutic benefit. These strategies may result in toxicities and even patient deaths, as well as commercialization challenges.</w:t>
      </w:r>
    </w:p>
    <w:p>
      <w:pPr>
        <w:spacing w:after="0" w:line="96" w:lineRule="exact"/>
        <w:rPr>
          <w:rFonts w:ascii="Arial" w:cs="Arial" w:eastAsia="Arial" w:hAnsi="Arial"/>
          <w:sz w:val="18"/>
          <w:szCs w:val="18"/>
          <w:color w:val="auto"/>
        </w:rPr>
      </w:pPr>
    </w:p>
    <w:p>
      <w:pPr>
        <w:ind w:left="1020" w:right="40" w:hanging="283"/>
        <w:spacing w:after="0" w:line="257"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Lack of efficient transduction and transgene expression from target cells</w:t>
      </w:r>
      <w:r>
        <w:rPr>
          <w:rFonts w:ascii="Arial" w:cs="Arial" w:eastAsia="Arial" w:hAnsi="Arial"/>
          <w:sz w:val="17"/>
          <w:szCs w:val="17"/>
          <w:color w:val="auto"/>
        </w:rPr>
        <w:t>: To yield therapeutic benefit, the vector must efficiently deliver its transgene from the cell surface into the target cell nucleus, resulting in subsequent therapeutic transgene expression within the cell. Conventional AAV vectors are not engineered for efficient transduction of specific target cells. As a consequence, conventional AAV vectors may be associated with inefficient transduction and transgene expression which would limit efficacy.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1020" w:hanging="283"/>
        <w:spacing w:after="0" w:line="23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Potential to cause toxicity due to inflammation</w:t>
      </w:r>
      <w:r>
        <w:rPr>
          <w:rFonts w:ascii="Arial" w:cs="Arial" w:eastAsia="Arial" w:hAnsi="Arial"/>
          <w:sz w:val="18"/>
          <w:szCs w:val="18"/>
          <w:color w:val="auto"/>
        </w:rPr>
        <w:t>: Conventional AAV vectors have been associated with inflammation-related toxicities in some patients. Potential contributing factors may include the lack of specificity with current conventional AAV vectors, the high intravenous doses required for delivery to target tissues systemically, and the ability of these conventional AAV vectors to transduce immune cells. For example, intravenous gene therapy programs in patients with DMD using doses of 2E14-3E14 vg/kg have been associated with acute inflammation and transient kidney dysfunction resulting in intermittent clinical holds from the FDA. Another high dose intravenous gene therapy program utilizing a conventional AAV vector, for patients with X-linked myotubular myopathy, resulted in serious adverse events including three patient deaths.</w:t>
      </w:r>
    </w:p>
    <w:p>
      <w:pPr>
        <w:spacing w:after="0" w:line="94" w:lineRule="exact"/>
        <w:rPr>
          <w:rFonts w:ascii="Arial" w:cs="Arial" w:eastAsia="Arial" w:hAnsi="Arial"/>
          <w:sz w:val="18"/>
          <w:szCs w:val="18"/>
          <w:color w:val="auto"/>
        </w:rPr>
      </w:pPr>
    </w:p>
    <w:p>
      <w:pPr>
        <w:ind w:left="1020" w:right="60" w:hanging="283"/>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Neutralization by pre-existing antibodies</w:t>
      </w:r>
      <w:r>
        <w:rPr>
          <w:rFonts w:ascii="Arial" w:cs="Arial" w:eastAsia="Arial" w:hAnsi="Arial"/>
          <w:sz w:val="18"/>
          <w:szCs w:val="18"/>
          <w:color w:val="auto"/>
        </w:rPr>
        <w:t>: The human immune system has evolved to fight viruses, including conventional AAVs which are present in nature. Widespread exposure to these conventional AAVs has resulted in neutralizing antibodies in approximately 30% to 70% of the population depending on the vector serotype and patient population. These antibodies to conventional AAV vectors can limit gene therapy efficacy and the addressable patient population. In addition, re-dosing with the same conventional AAV vector is generally not feasible given the induction of neutralizing antibodies to the vector.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Evolved Vectors for Targeted Gene Therapy</w:t>
      </w:r>
    </w:p>
    <w:p>
      <w:pPr>
        <w:spacing w:after="0" w:line="126" w:lineRule="exact"/>
        <w:rPr>
          <w:sz w:val="20"/>
          <w:szCs w:val="20"/>
          <w:color w:val="auto"/>
        </w:rPr>
      </w:pPr>
    </w:p>
    <w:p>
      <w:pPr>
        <w:ind w:right="140" w:firstLine="734"/>
        <w:spacing w:after="0" w:line="237" w:lineRule="auto"/>
        <w:rPr>
          <w:sz w:val="20"/>
          <w:szCs w:val="20"/>
          <w:color w:val="auto"/>
        </w:rPr>
      </w:pPr>
      <w:r>
        <w:rPr>
          <w:rFonts w:ascii="Arial" w:cs="Arial" w:eastAsia="Arial" w:hAnsi="Arial"/>
          <w:sz w:val="18"/>
          <w:szCs w:val="18"/>
          <w:color w:val="auto"/>
        </w:rPr>
        <w:t>We are pioneering the development of targeted gene therapies based on our targeted and evolved vectors. Using our Therapeutic Vector Evolution platform, we invent targeted and evolved vectors that are designed to address specific diseases and their associated tissue(s). We believe our proprietary vectors will allow us to overcome known limitations of conventional AAV vectors, and to potentially address a broad range of both rare and large patient populations that cannot be addressed with conventional vectors. Based on our Target Vector Profile for a set of diseases, we select vectors in NHPs from our 40 distinct libraries made up of approximately one billion synthetic capsid sequences. Subsequently, we characterize and evaluate a lead targeted and evolved vector for delivery and transgene expression through extensive studies in NHP and human cell and organotypic tissue assays.</w:t>
      </w:r>
    </w:p>
    <w:p>
      <w:pPr>
        <w:spacing w:after="0" w:line="293" w:lineRule="exact"/>
        <w:rPr>
          <w:sz w:val="20"/>
          <w:szCs w:val="20"/>
          <w:color w:val="auto"/>
        </w:rPr>
      </w:pPr>
    </w:p>
    <w:p>
      <w:pPr>
        <w:jc w:val="center"/>
        <w:ind w:left="340" w:right="80"/>
        <w:spacing w:after="0" w:line="250" w:lineRule="auto"/>
        <w:rPr>
          <w:sz w:val="20"/>
          <w:szCs w:val="20"/>
          <w:color w:val="auto"/>
        </w:rPr>
      </w:pPr>
      <w:r>
        <w:rPr>
          <w:rFonts w:ascii="Arial" w:cs="Arial" w:eastAsia="Arial" w:hAnsi="Arial"/>
          <w:sz w:val="18"/>
          <w:szCs w:val="18"/>
          <w:i w:val="1"/>
          <w:iCs w:val="1"/>
          <w:color w:val="auto"/>
        </w:rPr>
        <w:t>The first step in directed evolution is to generate massive genetic diversity. Starting with the genomes of multiple naturally occurring AAV variants, and their ancestral predecessors, we employ numerous molecular biology techniques to create our 40 distinct libraries comprising approximately one billion synthetic capsid 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141605</wp:posOffset>
            </wp:positionV>
            <wp:extent cx="5186680" cy="22542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668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2" w:name="page13"/>
    <w:bookmarkEnd w:id="12"/>
    <w:p>
      <w:pPr>
        <w:jc w:val="center"/>
        <w:ind w:left="360"/>
        <w:spacing w:after="0" w:line="242" w:lineRule="auto"/>
        <w:rPr>
          <w:sz w:val="20"/>
          <w:szCs w:val="20"/>
          <w:color w:val="auto"/>
        </w:rPr>
      </w:pPr>
      <w:r>
        <w:rPr>
          <w:rFonts w:ascii="Arial" w:cs="Arial" w:eastAsia="Arial" w:hAnsi="Arial"/>
          <w:sz w:val="18"/>
          <w:szCs w:val="18"/>
          <w:i w:val="1"/>
          <w:iCs w:val="1"/>
          <w:color w:val="auto"/>
        </w:rPr>
        <w:t>Starting with our 40 distinct libraries comprising approximately one billion synthetic capsid sequences, we conduct Therapeutic Vector Evolution, including competitive selection, to identify targeted and evolved vectors that fit a Target Vector Profile. The illustration below highlights the Target Vector Profile design and subsequent selection process whereby competitive pressure is applied over a varying number of selection rounds for each program. Capsids with the best fitness for the Target Vector Profile are enriched at each round and are designated lead vectors.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146685</wp:posOffset>
            </wp:positionV>
            <wp:extent cx="5246370" cy="283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4637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Design Features of Our Targeted and Evolved Vectors</w:t>
      </w:r>
    </w:p>
    <w:p>
      <w:pPr>
        <w:spacing w:after="0" w:line="122" w:lineRule="exact"/>
        <w:rPr>
          <w:sz w:val="20"/>
          <w:szCs w:val="20"/>
          <w:color w:val="auto"/>
        </w:rPr>
      </w:pPr>
    </w:p>
    <w:p>
      <w:pPr>
        <w:ind w:right="320" w:firstLine="734"/>
        <w:spacing w:after="0" w:line="246" w:lineRule="auto"/>
        <w:rPr>
          <w:sz w:val="20"/>
          <w:szCs w:val="20"/>
          <w:color w:val="auto"/>
        </w:rPr>
      </w:pPr>
      <w:r>
        <w:rPr>
          <w:rFonts w:ascii="Arial" w:cs="Arial" w:eastAsia="Arial" w:hAnsi="Arial"/>
          <w:sz w:val="18"/>
          <w:szCs w:val="18"/>
          <w:color w:val="auto"/>
        </w:rPr>
        <w:t>Through our proprietary Therapeutic Vector Evolution platform, we invent targeted and evolved vectors that we believe have the potential to display superiority to conventional AAV vectors with respect to four key design features:</w:t>
      </w:r>
    </w:p>
    <w:p>
      <w:pPr>
        <w:spacing w:after="0" w:line="89" w:lineRule="exact"/>
        <w:rPr>
          <w:sz w:val="20"/>
          <w:szCs w:val="20"/>
          <w:color w:val="auto"/>
        </w:rPr>
      </w:pPr>
    </w:p>
    <w:p>
      <w:pPr>
        <w:ind w:left="1020" w:hanging="28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Targeted delivery to specific tissues by routine, well-tolerated and minimally invasive routes of administration</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transduction of target cell types and tissues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toxicity with reduced inflammation</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resist neutralization by pre-existing antibodies in humans</w:t>
      </w:r>
    </w:p>
    <w:p>
      <w:pPr>
        <w:spacing w:after="0" w:line="234" w:lineRule="exact"/>
        <w:rPr>
          <w:sz w:val="20"/>
          <w:szCs w:val="20"/>
          <w:color w:val="auto"/>
        </w:rPr>
      </w:pPr>
    </w:p>
    <w:p>
      <w:pPr>
        <w:ind w:right="60" w:firstLine="734"/>
        <w:spacing w:after="0" w:line="245" w:lineRule="auto"/>
        <w:rPr>
          <w:sz w:val="20"/>
          <w:szCs w:val="20"/>
          <w:color w:val="auto"/>
        </w:rPr>
      </w:pPr>
      <w:r>
        <w:rPr>
          <w:rFonts w:ascii="Arial" w:cs="Arial" w:eastAsia="Arial" w:hAnsi="Arial"/>
          <w:sz w:val="18"/>
          <w:szCs w:val="18"/>
          <w:color w:val="auto"/>
        </w:rPr>
        <w:t xml:space="preserve">As shown below, we have generated animal proof-of-concept data in both NHP and knock-out mouse disease models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in human cells </w:t>
      </w:r>
      <w:r>
        <w:rPr>
          <w:rFonts w:ascii="Arial" w:cs="Arial" w:eastAsia="Arial" w:hAnsi="Arial"/>
          <w:sz w:val="18"/>
          <w:szCs w:val="18"/>
          <w:i w:val="1"/>
          <w:iCs w:val="1"/>
          <w:color w:val="auto"/>
        </w:rPr>
        <w:t>in vitro</w:t>
      </w:r>
      <w:r>
        <w:rPr>
          <w:rFonts w:ascii="Arial" w:cs="Arial" w:eastAsia="Arial" w:hAnsi="Arial"/>
          <w:sz w:val="18"/>
          <w:szCs w:val="18"/>
          <w:color w:val="auto"/>
        </w:rPr>
        <w:t>, that we believe provide evidence regarding the potential for our targeted and evolved vectors to show superiority over conventional AAV vectors. Our goal is to develop products that are safer, more efficacious, administered at lower doses, more efficiently manufactured, and, if approved, more effectively commercialized.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Targeted Delivery to, and Transduction of, Specific Tissues by Routine Clinical Routes of Administration</w:t>
      </w:r>
    </w:p>
    <w:p>
      <w:pPr>
        <w:spacing w:after="0" w:line="122" w:lineRule="exact"/>
        <w:rPr>
          <w:sz w:val="20"/>
          <w:szCs w:val="20"/>
          <w:color w:val="auto"/>
        </w:rPr>
      </w:pPr>
    </w:p>
    <w:p>
      <w:pPr>
        <w:ind w:right="280" w:firstLine="734"/>
        <w:spacing w:after="0" w:line="246" w:lineRule="auto"/>
        <w:rPr>
          <w:sz w:val="20"/>
          <w:szCs w:val="20"/>
          <w:color w:val="auto"/>
        </w:rPr>
      </w:pPr>
      <w:r>
        <w:rPr>
          <w:rFonts w:ascii="Arial" w:cs="Arial" w:eastAsia="Arial" w:hAnsi="Arial"/>
          <w:sz w:val="18"/>
          <w:szCs w:val="18"/>
          <w:color w:val="auto"/>
        </w:rPr>
        <w:t>We select targeted and evolved vectors that are administered through what we believe to be the optimal method of delivery for a particular disease, with the goal of circumventing physical barriers en route to specific tissues or cell types in the body.</w:t>
      </w:r>
    </w:p>
    <w:p>
      <w:pPr>
        <w:spacing w:after="0" w:line="179" w:lineRule="exact"/>
        <w:rPr>
          <w:sz w:val="20"/>
          <w:szCs w:val="20"/>
          <w:color w:val="auto"/>
        </w:rPr>
      </w:pPr>
    </w:p>
    <w:p>
      <w:pPr>
        <w:ind w:right="460" w:firstLine="734"/>
        <w:spacing w:after="0" w:line="267" w:lineRule="auto"/>
        <w:rPr>
          <w:sz w:val="20"/>
          <w:szCs w:val="20"/>
          <w:color w:val="auto"/>
        </w:rPr>
      </w:pPr>
      <w:r>
        <w:rPr>
          <w:rFonts w:ascii="Arial" w:cs="Arial" w:eastAsia="Arial" w:hAnsi="Arial"/>
          <w:sz w:val="18"/>
          <w:szCs w:val="18"/>
          <w:color w:val="auto"/>
        </w:rPr>
        <w:t xml:space="preserve">In our first example of targeted delivery in NHPs </w:t>
      </w:r>
      <w:r>
        <w:rPr>
          <w:rFonts w:ascii="Arial" w:cs="Arial" w:eastAsia="Arial" w:hAnsi="Arial"/>
          <w:sz w:val="18"/>
          <w:szCs w:val="18"/>
          <w:i w:val="1"/>
          <w:iCs w:val="1"/>
          <w:color w:val="auto"/>
        </w:rPr>
        <w:t>in vivo</w:t>
      </w:r>
      <w:r>
        <w:rPr>
          <w:rFonts w:ascii="Arial" w:cs="Arial" w:eastAsia="Arial" w:hAnsi="Arial"/>
          <w:sz w:val="18"/>
          <w:szCs w:val="18"/>
          <w:color w:val="auto"/>
        </w:rPr>
        <w:t>, our targeted and evolved vector for the retina, R100, was invented for intravitreal administration. We believe intravitreal injection is the optimal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 w:name="page14"/>
    <w:bookmarkEnd w:id="13"/>
    <w:p>
      <w:pPr>
        <w:spacing w:after="0" w:line="236" w:lineRule="auto"/>
        <w:rPr>
          <w:sz w:val="20"/>
          <w:szCs w:val="20"/>
          <w:color w:val="auto"/>
        </w:rPr>
      </w:pPr>
      <w:r>
        <w:rPr>
          <w:rFonts w:ascii="Arial" w:cs="Arial" w:eastAsia="Arial" w:hAnsi="Arial"/>
          <w:sz w:val="18"/>
          <w:szCs w:val="18"/>
          <w:color w:val="auto"/>
        </w:rPr>
        <w:t>route of gene therapy administration for the retina, as evidenced by widespread use of approved intravitreally administered biologics, that generate over $9.7 billion in annual global sales for the treatment of wet AMD, diabetic retinopathy and related diseases. The R100 vector is leveraged in modular fashion for use in all four of our current ophthalmology product candidates: 4D-110, 4D-125, 4D-135 and 4D-150. Conventional AAV capsid vectors such as AAV2 are not able to reach retinal cells effectively following intravitreal injection due to barriers such as the inner-limiting membrane barrier between the vitreous and target retinal cells. As a result, gene therapies utilizing conventional vectors have relied on delivery by subretinal surgery. This is a complex procedure that requires highly specialized retinal surgeons to perform surgery in an operating room setting, and results in a bleb of fluid within a detached area of retina that comprises less than 1% of the total retina surface, based on published data. Potential complications include retinal tears and retinal detachments.</w:t>
      </w:r>
    </w:p>
    <w:p>
      <w:pPr>
        <w:spacing w:after="0" w:line="208"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In contrast, in preclinical studies intravitreal R100 transduced the entire retinal surface area and a high percentage of cells in all layers of the retina, including photoreceptors and retinal pigment epithelial (“RPE”) cells in NHP. Of note, the ocular anatomy and physiology in NHPs closely mirrors that of humans. We therefore believe our products designed and engineered with R100 have potential tolerability, biologic activity and commercial advantages compared with product candidates that require subretinal surgical injection.</w:t>
      </w:r>
    </w:p>
    <w:p>
      <w:pPr>
        <w:spacing w:after="0" w:line="205"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Structure-function studies suggested that the potential of R100 to penetrate through the inner-limiting membrane barrier may be associated with reduced binding to heparan sulfate, which is a major component of the barrier. R100 subsequently binds and transduces target retinal cells at higher efficiency than the conventional AAV2 vector. The improved transduction was associated with enhanced binding to sialic acid on the target cells.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Target Vector Profile for R100 intravitreal delivery to the retina:</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Following intravitreal injection, conventional AAV vectors (top panel) such as AAV2 are not able to reach retinal cells effectively due to</w:t>
      </w:r>
    </w:p>
    <w:p>
      <w:pPr>
        <w:spacing w:after="0" w:line="14" w:lineRule="exact"/>
        <w:rPr>
          <w:sz w:val="20"/>
          <w:szCs w:val="20"/>
          <w:color w:val="auto"/>
        </w:rPr>
      </w:pPr>
    </w:p>
    <w:p>
      <w:pPr>
        <w:jc w:val="center"/>
        <w:ind w:left="360" w:right="40"/>
        <w:spacing w:after="0" w:line="253" w:lineRule="auto"/>
        <w:rPr>
          <w:sz w:val="20"/>
          <w:szCs w:val="20"/>
          <w:color w:val="auto"/>
        </w:rPr>
      </w:pPr>
      <w:r>
        <w:rPr>
          <w:rFonts w:ascii="Arial" w:cs="Arial" w:eastAsia="Arial" w:hAnsi="Arial"/>
          <w:sz w:val="17"/>
          <w:szCs w:val="17"/>
          <w:i w:val="1"/>
          <w:iCs w:val="1"/>
          <w:color w:val="auto"/>
        </w:rPr>
        <w:t>barriers such as the inner-limiting membrane barrier between the vitreous and target retinal cells. R100 administered by intravitreal injection (bottom panel) was able to penetrate through these barriers to transduce the entire retinal surface area when administered to NHP. A high percentage of cells was subsequently transduced in all layers of the retina, including photoreceptors and retinal pigment epithelial (“RPE”) cells. Structure-function studies suggest that the potential of R100 to penetrate through barriers such as the inner-limiting membrane barrier was associated with reduced binding to heparan sulfate. R100 subsequently bound and transduced target retinal cells at higher efficiency than the conventional AAV2 capsid. This improved transduction was associated with enhanced binding to sialic acid on the target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140970</wp:posOffset>
            </wp:positionV>
            <wp:extent cx="5254625" cy="2726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5462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517525</wp:posOffset>
            </wp:positionV>
            <wp:extent cx="5254625" cy="2726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25462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60960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i w:val="1"/>
          <w:iCs w:val="1"/>
          <w:color w:val="auto"/>
        </w:rPr>
        <w:t>The subretinal surgical injection route of administration with conventional AAV vectors resulted in delivery to a limited bleb area of the retina (top panel, dotted line), leaving the vast majority of the retina untreated; according to published data bleb coverage was &lt;1% of the retina with subretinal injection. Within this bleb, viable retinal cells were transduced (top panel, colorized area). The intravitreal route of administration with conventional vector AAV2 resulted in a small area of transduction around the fovea due to interference across the retina by the inner limiting membrane (“ILM”) (center panel, colorized ring). By contrast, intravitreal injection route of administration with our targeted and evolved vector, R100, resulted in transduction across the entire surface area of the retina, including the major cell layers of the retina (bottom panel, colorized area) in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146050</wp:posOffset>
            </wp:positionV>
            <wp:extent cx="5288915" cy="5177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88915" cy="517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61" w:right="399" w:bottom="1440" w:gutter="0" w:footer="0" w:header="0"/>
        </w:sectPr>
      </w:pPr>
    </w:p>
    <w:bookmarkStart w:id="16" w:name="page17"/>
    <w:bookmarkEnd w:id="16"/>
    <w:p>
      <w:pPr>
        <w:jc w:val="center"/>
        <w:ind w:left="460" w:right="60"/>
        <w:spacing w:after="0" w:line="267" w:lineRule="auto"/>
        <w:rPr>
          <w:sz w:val="20"/>
          <w:szCs w:val="20"/>
          <w:color w:val="auto"/>
        </w:rPr>
      </w:pPr>
      <w:r>
        <w:rPr>
          <w:rFonts w:ascii="Arial" w:cs="Arial" w:eastAsia="Arial" w:hAnsi="Arial"/>
          <w:sz w:val="18"/>
          <w:szCs w:val="18"/>
          <w:i w:val="1"/>
          <w:iCs w:val="1"/>
          <w:color w:val="auto"/>
        </w:rPr>
        <w:t>Intravitreal injection route of administration with our targeted and evolved vector, R100, resulted in transduction across the entire surface area of the retina, including the major cell layers of the retina in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130810</wp:posOffset>
            </wp:positionV>
            <wp:extent cx="5288915" cy="3103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8891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R100 has been well-tolerated in both NHP and in patients. In our on-going clinical trials, we have administered two product candidates utilizing our R100 vector to patients via intravitreal injection. Treatment has been generally well-tolerated with no dose-limiting toxicities. In addition, we have administered these product candidates in 91 NHP eyes injected in three different GLP toxicology studies with no adverse findings reported.</w:t>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17" w:name="page18"/>
    <w:bookmarkEnd w:id="17"/>
    <w:p>
      <w:pPr>
        <w:jc w:val="center"/>
        <w:ind w:left="440"/>
        <w:spacing w:after="0" w:line="267" w:lineRule="auto"/>
        <w:rPr>
          <w:sz w:val="20"/>
          <w:szCs w:val="20"/>
          <w:color w:val="auto"/>
        </w:rPr>
      </w:pPr>
      <w:r>
        <w:rPr>
          <w:rFonts w:ascii="Arial" w:cs="Arial" w:eastAsia="Arial" w:hAnsi="Arial"/>
          <w:sz w:val="18"/>
          <w:szCs w:val="18"/>
          <w:i w:val="1"/>
          <w:iCs w:val="1"/>
          <w:color w:val="auto"/>
        </w:rPr>
        <w:t>To date, our two clinical stage ophthalmology product candidates 4D-125 and 4D-110, both of which utilize the R100 vector, have exhibited favorable toxicity and tolerability profiles in GLP toxicology studies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680" cy="27603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668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firstLine="734"/>
        <w:spacing w:after="0" w:line="245" w:lineRule="auto"/>
        <w:rPr>
          <w:sz w:val="20"/>
          <w:szCs w:val="20"/>
          <w:color w:val="auto"/>
        </w:rPr>
      </w:pPr>
      <w:r>
        <w:rPr>
          <w:rFonts w:ascii="Arial" w:cs="Arial" w:eastAsia="Arial" w:hAnsi="Arial"/>
          <w:sz w:val="18"/>
          <w:szCs w:val="18"/>
          <w:color w:val="auto"/>
        </w:rPr>
        <w:t xml:space="preserve">In our second example of targeted delivery in NHPs </w:t>
      </w:r>
      <w:r>
        <w:rPr>
          <w:rFonts w:ascii="Arial" w:cs="Arial" w:eastAsia="Arial" w:hAnsi="Arial"/>
          <w:sz w:val="18"/>
          <w:szCs w:val="18"/>
          <w:i w:val="1"/>
          <w:iCs w:val="1"/>
          <w:color w:val="auto"/>
        </w:rPr>
        <w:t>in vivo</w:t>
      </w:r>
      <w:r>
        <w:rPr>
          <w:rFonts w:ascii="Arial" w:cs="Arial" w:eastAsia="Arial" w:hAnsi="Arial"/>
          <w:sz w:val="18"/>
          <w:szCs w:val="18"/>
          <w:color w:val="auto"/>
        </w:rPr>
        <w:t>, our targeted and evolved vector, C102, was invented for improved delivery to and transduction of cardiac muscle tissues (cardiomyocytes), when administered by IV at low doses, with minimal inflammation. Barriers to IV delivery to heart muscle may include organs such as the liver and blood components including complement, immune cells and antibodies.</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i w:val="1"/>
          <w:iCs w:val="1"/>
          <w:color w:val="auto"/>
        </w:rPr>
        <w:t>Target Vector Profile for C102 intravenous delivery to the heart:</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Conventional AAV capsid vectors (top panel) such as AAV8 do not effectively deliver to heart muscle tissue following low dose IV</w:t>
      </w:r>
    </w:p>
    <w:p>
      <w:pPr>
        <w:spacing w:after="0" w:line="14" w:lineRule="exact"/>
        <w:rPr>
          <w:sz w:val="20"/>
          <w:szCs w:val="20"/>
          <w:color w:val="auto"/>
        </w:rPr>
      </w:pPr>
    </w:p>
    <w:p>
      <w:pPr>
        <w:jc w:val="center"/>
        <w:ind w:left="400"/>
        <w:spacing w:after="0"/>
        <w:rPr>
          <w:sz w:val="20"/>
          <w:szCs w:val="20"/>
          <w:color w:val="auto"/>
        </w:rPr>
      </w:pPr>
      <w:r>
        <w:rPr>
          <w:rFonts w:ascii="Arial" w:cs="Arial" w:eastAsia="Arial" w:hAnsi="Arial"/>
          <w:sz w:val="18"/>
          <w:szCs w:val="18"/>
          <w:i w:val="1"/>
          <w:iCs w:val="1"/>
          <w:color w:val="auto"/>
        </w:rPr>
        <w:t>administration. Potential barriers include clearance by organs such as the liver, and blood components including complement, immune cells and antibodies. Conversely, IV administered C102 (bottom panel) has exhibited robust delivery and broad transduction of cardiac tissues, including cardiomyocytes.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146050</wp:posOffset>
            </wp:positionV>
            <wp:extent cx="5306060" cy="5066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06060"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20" w:firstLine="734"/>
        <w:spacing w:after="0"/>
        <w:rPr>
          <w:sz w:val="20"/>
          <w:szCs w:val="20"/>
          <w:color w:val="auto"/>
        </w:rPr>
      </w:pPr>
      <w:r>
        <w:rPr>
          <w:rFonts w:ascii="Arial" w:cs="Arial" w:eastAsia="Arial" w:hAnsi="Arial"/>
          <w:sz w:val="18"/>
          <w:szCs w:val="18"/>
          <w:color w:val="auto"/>
        </w:rPr>
        <w:t>In NHPs, we observed that intravenous delivery of C102 at relatively low doses for delivery to muscles (1E13 – 5E13 vg/kg) resulted in genome delivery to 100% of the 30 heart tissue samples evaluated through all regions of the heart in NHP. Transgene protein expression was detected in 29 of the 30 samples, providing evidence of intracellular protein production in cardiomyocytes.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19" w:name="page20"/>
    <w:bookmarkEnd w:id="19"/>
    <w:p>
      <w:pPr>
        <w:jc w:val="center"/>
        <w:ind w:right="-119"/>
        <w:spacing w:after="0"/>
        <w:rPr>
          <w:sz w:val="20"/>
          <w:szCs w:val="20"/>
          <w:color w:val="auto"/>
        </w:rPr>
      </w:pPr>
      <w:r>
        <w:rPr>
          <w:rFonts w:ascii="Arial" w:cs="Arial" w:eastAsia="Arial" w:hAnsi="Arial"/>
          <w:sz w:val="18"/>
          <w:szCs w:val="18"/>
          <w:i w:val="1"/>
          <w:iCs w:val="1"/>
          <w:color w:val="auto"/>
        </w:rPr>
        <w:t>C102 delivery to, and transduction of, NHP cardiomyocytes:</w:t>
      </w:r>
    </w:p>
    <w:p>
      <w:pPr>
        <w:spacing w:after="0" w:line="212" w:lineRule="exact"/>
        <w:rPr>
          <w:sz w:val="20"/>
          <w:szCs w:val="20"/>
          <w:color w:val="auto"/>
        </w:rPr>
      </w:pPr>
    </w:p>
    <w:p>
      <w:pPr>
        <w:jc w:val="center"/>
        <w:ind w:left="440" w:right="100"/>
        <w:spacing w:after="0" w:line="250" w:lineRule="auto"/>
        <w:rPr>
          <w:sz w:val="20"/>
          <w:szCs w:val="20"/>
          <w:color w:val="auto"/>
        </w:rPr>
      </w:pPr>
      <w:r>
        <w:rPr>
          <w:rFonts w:ascii="Arial" w:cs="Arial" w:eastAsia="Arial" w:hAnsi="Arial"/>
          <w:sz w:val="18"/>
          <w:szCs w:val="18"/>
          <w:i w:val="1"/>
          <w:iCs w:val="1"/>
          <w:color w:val="auto"/>
        </w:rPr>
        <w:t>The figure below illustrates the broad distribution of samples collected in our C102 biodistribution study. Samples were collected from 10 locations across the four regions of the heart in 3 NHPs. Intravenous delivery of C102 at relatively low doses (1E13 vg/kg) resulted in genome delivery to 100%, and protein expression in 97%, of the 30 heart tissues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141605</wp:posOffset>
            </wp:positionV>
            <wp:extent cx="3505835" cy="1825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583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734"/>
        <w:spacing w:after="0" w:line="257" w:lineRule="auto"/>
        <w:rPr>
          <w:sz w:val="20"/>
          <w:szCs w:val="20"/>
          <w:color w:val="auto"/>
        </w:rPr>
      </w:pPr>
      <w:r>
        <w:rPr>
          <w:rFonts w:ascii="Arial" w:cs="Arial" w:eastAsia="Arial" w:hAnsi="Arial"/>
          <w:sz w:val="17"/>
          <w:szCs w:val="17"/>
          <w:color w:val="auto"/>
        </w:rPr>
        <w:t>Immunohistochemistry for marker transgene protein expression showed widespread gene expression in cardiomyocytes in a preclinical study. In addition, in a preclinical study we observed that C102 was more efficiently delivered to cardiac tissues than conventional vectors such as AAV8 (shown below) and AAV9. C102 targeted the heart muscle tissue more efficiently than AAV8, and showed a 12-fold improvement in genome delivery to the heart muscle tissue. We have not compared C102 to AAV8 or AAV9 in patients in clinical studies.</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i w:val="1"/>
          <w:iCs w:val="1"/>
          <w:color w:val="auto"/>
        </w:rPr>
        <w:t>C102 delivered genetic payloads to cardiac tissue more efficiently than conventional AAV vectors in NHP: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vector characterization studies in NHP, C102 delivered 12-fold more EGFP marker gene to cardiac tissue on average than did AAV8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1892935</wp:posOffset>
            </wp:positionH>
            <wp:positionV relativeFrom="paragraph">
              <wp:posOffset>170815</wp:posOffset>
            </wp:positionV>
            <wp:extent cx="3000375" cy="3402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0037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600" w:top="661" w:right="61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i w:val="1"/>
          <w:iCs w:val="1"/>
          <w:color w:val="auto"/>
        </w:rPr>
        <w:t>Cardiac muscle tissue transduction and protein expression in NHP heart: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NHP cardiomyocyte transduction and marker transgene expression (“EGFP”) was detected by immunofluorescence 8 weeks after</w:t>
      </w:r>
    </w:p>
    <w:p>
      <w:pPr>
        <w:spacing w:after="0" w:line="14" w:lineRule="exact"/>
        <w:rPr>
          <w:sz w:val="20"/>
          <w:szCs w:val="20"/>
          <w:color w:val="auto"/>
        </w:rPr>
      </w:pPr>
    </w:p>
    <w:p>
      <w:pPr>
        <w:jc w:val="center"/>
        <w:ind w:left="360" w:right="60"/>
        <w:spacing w:after="0" w:line="274" w:lineRule="auto"/>
        <w:rPr>
          <w:sz w:val="20"/>
          <w:szCs w:val="20"/>
          <w:color w:val="auto"/>
        </w:rPr>
      </w:pPr>
      <w:r>
        <w:rPr>
          <w:rFonts w:ascii="Arial" w:cs="Arial" w:eastAsia="Arial" w:hAnsi="Arial"/>
          <w:sz w:val="17"/>
          <w:szCs w:val="17"/>
          <w:i w:val="1"/>
          <w:iCs w:val="1"/>
          <w:color w:val="auto"/>
        </w:rPr>
        <w:t>intravenous injection of C102 (right panel), whereas conventional vector AAV8 transduced cardiomyocytes to a lesser extent than did C102 (center panel). Non-transduced control NHP heart did not exhibit visible EGFP staining (left panel) (L, left; R, right, V, ventricle; A, atrium)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128905</wp:posOffset>
            </wp:positionV>
            <wp:extent cx="4440555" cy="3634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4055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734"/>
        <w:spacing w:after="0" w:line="245" w:lineRule="auto"/>
        <w:rPr>
          <w:sz w:val="20"/>
          <w:szCs w:val="20"/>
          <w:color w:val="auto"/>
        </w:rPr>
      </w:pPr>
      <w:r>
        <w:rPr>
          <w:rFonts w:ascii="Arial" w:cs="Arial" w:eastAsia="Arial" w:hAnsi="Arial"/>
          <w:sz w:val="18"/>
          <w:szCs w:val="18"/>
          <w:color w:val="auto"/>
        </w:rPr>
        <w:t xml:space="preserve">In our third example of targeted delivery in NHPs </w:t>
      </w:r>
      <w:r>
        <w:rPr>
          <w:rFonts w:ascii="Arial" w:cs="Arial" w:eastAsia="Arial" w:hAnsi="Arial"/>
          <w:sz w:val="18"/>
          <w:szCs w:val="18"/>
          <w:i w:val="1"/>
          <w:iCs w:val="1"/>
          <w:color w:val="auto"/>
        </w:rPr>
        <w:t>in vivo</w:t>
      </w:r>
      <w:r>
        <w:rPr>
          <w:rFonts w:ascii="Arial" w:cs="Arial" w:eastAsia="Arial" w:hAnsi="Arial"/>
          <w:sz w:val="18"/>
          <w:szCs w:val="18"/>
          <w:color w:val="auto"/>
        </w:rPr>
        <w:t>, our targeted and evolved AAV vector for lung tissues, A101, was invented for aerosol delivery to lung airway and alveolar cells. This vector was selected for penetration through the mucus and other potential barriers, and for resistance to pre-existing antibodies in humans. A101 is used as the targeted and evolved vector in 4D-710, our product candidate for patients with cystic fibrosis lung disease.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i w:val="1"/>
          <w:iCs w:val="1"/>
          <w:color w:val="auto"/>
        </w:rPr>
        <w:t>Target Vector Profile for A101 aerosol delivery to lung airway and alveoli:</w:t>
      </w:r>
    </w:p>
    <w:p>
      <w:pPr>
        <w:spacing w:after="0" w:line="212" w:lineRule="exact"/>
        <w:rPr>
          <w:sz w:val="20"/>
          <w:szCs w:val="20"/>
          <w:color w:val="auto"/>
        </w:rPr>
      </w:pPr>
    </w:p>
    <w:p>
      <w:pPr>
        <w:jc w:val="center"/>
        <w:ind w:left="360"/>
        <w:spacing w:after="0" w:line="250" w:lineRule="auto"/>
        <w:rPr>
          <w:sz w:val="20"/>
          <w:szCs w:val="20"/>
          <w:color w:val="auto"/>
        </w:rPr>
      </w:pPr>
      <w:r>
        <w:rPr>
          <w:rFonts w:ascii="Arial" w:cs="Arial" w:eastAsia="Arial" w:hAnsi="Arial"/>
          <w:sz w:val="18"/>
          <w:szCs w:val="18"/>
          <w:i w:val="1"/>
          <w:iCs w:val="1"/>
          <w:color w:val="auto"/>
        </w:rPr>
        <w:t>Conventional AAV capsid vectors such as AAV2 (top panel) are not able to reach lung tissue effectively following aerosol administration, due to mucus and other potential barriers including antibodies and components of innate immunity. Conversely, aerosol administered A101 (bottom panel) is designed for robust and broad transduction of lung cells, including trachea, bronchi and alveoli.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141605</wp:posOffset>
            </wp:positionV>
            <wp:extent cx="5186680" cy="511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86680" cy="511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In NHPs, we observed that aerosol delivery of A101 via a standard nebulization device, approved for use in humans, resulted in genome delivery to, and GFP marker gene expression and transduction of, 100% of the 48 lung sites evaluated. We evaluated proximal and medial airways and alveoli in the lung. In addition to efficient lung tissue transduction, we also observed distribution to organs outside the lung was minimal. Genomes in tissues outside the lung were either undetectable or in extremely low concentrations (less than 0.1% of the average genomes per microgram of DNA in the lung tissues) as shown below. This data confirms the efficient protein production throughout all major regions of the lung with minimal biodistribution to the rest of the body.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3" w:name="page24"/>
    <w:bookmarkEnd w:id="23"/>
    <w:p>
      <w:pPr>
        <w:jc w:val="center"/>
        <w:ind w:right="20"/>
        <w:spacing w:after="0" w:line="250" w:lineRule="auto"/>
        <w:rPr>
          <w:sz w:val="20"/>
          <w:szCs w:val="20"/>
          <w:color w:val="auto"/>
        </w:rPr>
      </w:pPr>
      <w:r>
        <w:rPr>
          <w:rFonts w:ascii="Arial" w:cs="Arial" w:eastAsia="Arial" w:hAnsi="Arial"/>
          <w:sz w:val="18"/>
          <w:szCs w:val="18"/>
          <w:i w:val="1"/>
          <w:iCs w:val="1"/>
          <w:color w:val="auto"/>
        </w:rPr>
        <w:t>The figure below illustrates the broad distribution of samples in NHPs collected in our A101 biodistribution study. Samples were collected from 16 locations in the three regions of the lung in 3 NHPs. Aerosol delivery of A101 at a dose of 1E13 vg resulted in genome delivery to, and protein expression in, 100% of the 48 lung tissues evaluated.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141605</wp:posOffset>
            </wp:positionV>
            <wp:extent cx="3660140" cy="1851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6014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Aerosol delivery of A101 carrying the EGFP transgene in NHPs was associated with EGFP protein detection (red) by immunofluorescence in proximal (trachea) and medial (bronchi) airway and alveoli.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130810</wp:posOffset>
            </wp:positionV>
            <wp:extent cx="4406265" cy="3669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06265"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61" w:right="359" w:bottom="1440" w:gutter="0" w:footer="0" w:header="0"/>
        </w:sectPr>
      </w:pPr>
    </w:p>
    <w:bookmarkStart w:id="24" w:name="page25"/>
    <w:bookmarkEnd w:id="24"/>
    <w:p>
      <w:pPr>
        <w:jc w:val="center"/>
        <w:ind w:left="340"/>
        <w:spacing w:after="0" w:line="250" w:lineRule="auto"/>
        <w:rPr>
          <w:sz w:val="20"/>
          <w:szCs w:val="20"/>
          <w:color w:val="auto"/>
        </w:rPr>
      </w:pPr>
      <w:r>
        <w:rPr>
          <w:rFonts w:ascii="Arial" w:cs="Arial" w:eastAsia="Arial" w:hAnsi="Arial"/>
          <w:sz w:val="18"/>
          <w:szCs w:val="18"/>
          <w:i w:val="1"/>
          <w:iCs w:val="1"/>
          <w:color w:val="auto"/>
        </w:rPr>
        <w:t>Aerosol delivery of A101 in NHPs resulted in high levels of genome localization as exhibited in the chart below. A101 genome localization was limited in liver and heart, and not present in other tissues outside the lung. EGFP marker protein expression was also detected in all lung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141605</wp:posOffset>
            </wp:positionV>
            <wp:extent cx="3831590" cy="2254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3159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Improved Transduction and Transgene Expression in Target Human Cell Types and Tissues</w:t>
      </w:r>
    </w:p>
    <w:p>
      <w:pPr>
        <w:spacing w:after="0" w:line="122" w:lineRule="exact"/>
        <w:rPr>
          <w:sz w:val="20"/>
          <w:szCs w:val="20"/>
          <w:color w:val="auto"/>
        </w:rPr>
      </w:pPr>
    </w:p>
    <w:p>
      <w:pPr>
        <w:ind w:right="280" w:firstLine="734"/>
        <w:spacing w:after="0" w:line="246" w:lineRule="auto"/>
        <w:rPr>
          <w:sz w:val="20"/>
          <w:szCs w:val="20"/>
          <w:color w:val="auto"/>
        </w:rPr>
      </w:pPr>
      <w:r>
        <w:rPr>
          <w:rFonts w:ascii="Arial" w:cs="Arial" w:eastAsia="Arial" w:hAnsi="Arial"/>
          <w:sz w:val="18"/>
          <w:szCs w:val="18"/>
          <w:color w:val="auto"/>
        </w:rPr>
        <w:t>We invent targeted and evolved vectors for a specific set of diseases to fit a defined Target Vector Profile, in an effort to generate higher levels of transgene expression than conventional AAV vectors.</w:t>
      </w:r>
    </w:p>
    <w:p>
      <w:pPr>
        <w:spacing w:after="0" w:line="197" w:lineRule="exact"/>
        <w:rPr>
          <w:sz w:val="20"/>
          <w:szCs w:val="20"/>
          <w:color w:val="auto"/>
        </w:rPr>
      </w:pPr>
    </w:p>
    <w:p>
      <w:pPr>
        <w:ind w:right="160" w:firstLine="734"/>
        <w:spacing w:after="0" w:line="237" w:lineRule="auto"/>
        <w:rPr>
          <w:sz w:val="20"/>
          <w:szCs w:val="20"/>
          <w:color w:val="auto"/>
        </w:rPr>
      </w:pPr>
      <w:r>
        <w:rPr>
          <w:rFonts w:ascii="Arial" w:cs="Arial" w:eastAsia="Arial" w:hAnsi="Arial"/>
          <w:sz w:val="18"/>
          <w:szCs w:val="18"/>
          <w:color w:val="auto"/>
        </w:rPr>
        <w:t xml:space="preserve">In our first example of improved target tissue transduction leading to higher levels of expression and more cells transduced, we observed superior transduction with R100, our intravitreally administered targeted and evolved vector. R100 was significantly more efficient than AAV2 at transducing human retina cells </w:t>
      </w:r>
      <w:r>
        <w:rPr>
          <w:rFonts w:ascii="Arial" w:cs="Arial" w:eastAsia="Arial" w:hAnsi="Arial"/>
          <w:sz w:val="18"/>
          <w:szCs w:val="18"/>
          <w:i w:val="1"/>
          <w:iCs w:val="1"/>
          <w:color w:val="auto"/>
        </w:rPr>
        <w:t>in vitro</w:t>
      </w:r>
      <w:r>
        <w:rPr>
          <w:rFonts w:ascii="Arial" w:cs="Arial" w:eastAsia="Arial" w:hAnsi="Arial"/>
          <w:sz w:val="18"/>
          <w:szCs w:val="18"/>
          <w:color w:val="auto"/>
        </w:rPr>
        <w:t>, such as RPE cells below. These in vitro studies comparing R100 to AAV2 helped to inform our decision to move the vector forward and to develop R100-based product candidates. We have not conducted any clinical studies in patients comparing AAV2 to R100. AAV2 is the conventional vector most commonly used for retina treatment in humans. R100 is leveraged in modular fashion for use in all of our ophthalmology product candidates, including 4D-110, 4D-125, 4D-135 and 4D-150.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center"/>
        <w:spacing w:after="0" w:line="250" w:lineRule="auto"/>
        <w:rPr>
          <w:sz w:val="20"/>
          <w:szCs w:val="20"/>
          <w:color w:val="auto"/>
        </w:rPr>
      </w:pPr>
      <w:r>
        <w:rPr>
          <w:rFonts w:ascii="Arial" w:cs="Arial" w:eastAsia="Arial" w:hAnsi="Arial"/>
          <w:sz w:val="18"/>
          <w:szCs w:val="18"/>
          <w:i w:val="1"/>
          <w:iCs w:val="1"/>
          <w:color w:val="auto"/>
        </w:rPr>
        <w:t>R100 exhibited significantly higher transduction of stem cell derived human retinal pigment epithelial cells in vitro compared to conventional AAV2 across a broad range of concentrations. R100 transduced a higher percentage of cells than AAV2, and marker transgene expression was superior to AAV2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141605</wp:posOffset>
            </wp:positionV>
            <wp:extent cx="4911725" cy="3557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11725"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i w:val="1"/>
          <w:iCs w:val="1"/>
          <w:color w:val="auto"/>
        </w:rPr>
        <w:t>PMEL17 = premelanosome protein, a marker of retinal pigmented epithelial cell identity %EGFP+/PMEL17+ Cells = the percentage of EGFP-expressing cells within the PMEL17-expressing retinal pigmented epithelia population, a quantification of the transduction efficiency of the capsid for the target cell type MOI = multiplicity of infection, a description of dose (vg per cell) for in vitro experiments</w:t>
      </w:r>
    </w:p>
    <w:p>
      <w:pPr>
        <w:spacing w:after="0" w:line="195"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In our second example of improved transduction versus conventional AAV vectors, our targeted and evolved vector C102 was invented to efficiently target human heart muscle cells (cardiomyocytes); C102 is used in 4D-310 for Fabry disease. Conventional AAV vectors AAV1, AAV8 and AAV9 have been used by competitors to target heart muscle cells; however, we believe limited transduction with these conventional AAV vectors may limit efficacy and lead to high dose requirements that may present safety challenges. In preclinical studies, C102 exhibited significantly improved transduction of human cardiomyocytes (ventricular phenotype) compared to conventional AAV vectors across a wide range of concentrations, as shown below. These in vitro studies comparing C102 to AAV1, AAV8 and AAV9 helped to inform our decision to move the vector forward and to develop C102-based product candidates. We have not conducted any clinical studies in patients comparing conventional vectors to C102.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ind w:left="340" w:right="20"/>
        <w:spacing w:after="0" w:line="250" w:lineRule="auto"/>
        <w:rPr>
          <w:sz w:val="20"/>
          <w:szCs w:val="20"/>
          <w:color w:val="auto"/>
        </w:rPr>
      </w:pPr>
      <w:r>
        <w:rPr>
          <w:rFonts w:ascii="Arial" w:cs="Arial" w:eastAsia="Arial" w:hAnsi="Arial"/>
          <w:sz w:val="18"/>
          <w:szCs w:val="18"/>
          <w:i w:val="1"/>
          <w:iCs w:val="1"/>
          <w:color w:val="auto"/>
        </w:rPr>
        <w:t>C102 exhibited significantly higher transduction in vitro relative to conventional AAV1, AAV8 and AAV9, in human cardiomyocytes of ventricular phenotype. C102 transduced a higher percentage of cells than conventional AAV, and marker transgene expression was superior to conventional AAV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141605</wp:posOffset>
            </wp:positionV>
            <wp:extent cx="5297805" cy="2219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9780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cTnT = cardiac troponin T, a marker of cardiomyocyte cell identity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DAPI = a marker of cell nuclei</w:t>
      </w:r>
    </w:p>
    <w:p>
      <w:pPr>
        <w:jc w:val="center"/>
        <w:ind w:right="-39"/>
        <w:spacing w:after="0" w:line="234" w:lineRule="auto"/>
        <w:rPr>
          <w:sz w:val="20"/>
          <w:szCs w:val="20"/>
          <w:color w:val="auto"/>
        </w:rPr>
      </w:pPr>
      <w:r>
        <w:rPr>
          <w:rFonts w:ascii="Arial" w:cs="Arial" w:eastAsia="Arial" w:hAnsi="Arial"/>
          <w:sz w:val="18"/>
          <w:szCs w:val="18"/>
          <w:i w:val="1"/>
          <w:iCs w:val="1"/>
          <w:color w:val="auto"/>
        </w:rPr>
        <w:t>MOI = multiplicity of infection, a description of dose (vg per cell) for in vitro experiments</w:t>
      </w:r>
    </w:p>
    <w:p>
      <w:pPr>
        <w:jc w:val="center"/>
        <w:ind w:right="-39"/>
        <w:spacing w:after="0" w:line="235" w:lineRule="auto"/>
        <w:rPr>
          <w:sz w:val="20"/>
          <w:szCs w:val="20"/>
          <w:color w:val="auto"/>
        </w:rPr>
      </w:pPr>
      <w:r>
        <w:rPr>
          <w:rFonts w:ascii="Arial" w:cs="Arial" w:eastAsia="Arial" w:hAnsi="Arial"/>
          <w:sz w:val="18"/>
          <w:szCs w:val="18"/>
          <w:i w:val="1"/>
          <w:iCs w:val="1"/>
          <w:color w:val="auto"/>
        </w:rPr>
        <w:t>%EGFP+/cTnT+ Cells = the percentage of EGFP-expressing cells within the cTnT-expressing cardiomyocyte population, a quantification 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transduction efficiency of the capsid for the target cell type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Low Toxicity with Reduced Inflammation Profile</w:t>
      </w:r>
    </w:p>
    <w:p>
      <w:pPr>
        <w:spacing w:after="0" w:line="122" w:lineRule="exact"/>
        <w:rPr>
          <w:sz w:val="20"/>
          <w:szCs w:val="20"/>
          <w:color w:val="auto"/>
        </w:rPr>
      </w:pPr>
    </w:p>
    <w:p>
      <w:pPr>
        <w:ind w:right="240" w:firstLine="734"/>
        <w:spacing w:after="0" w:line="238" w:lineRule="auto"/>
        <w:rPr>
          <w:sz w:val="20"/>
          <w:szCs w:val="20"/>
          <w:color w:val="auto"/>
        </w:rPr>
      </w:pPr>
      <w:r>
        <w:rPr>
          <w:rFonts w:ascii="Arial" w:cs="Arial" w:eastAsia="Arial" w:hAnsi="Arial"/>
          <w:sz w:val="18"/>
          <w:szCs w:val="18"/>
          <w:color w:val="auto"/>
        </w:rPr>
        <w:t>We believe that targeted and evolved vectors invented via Therapeutic Vector Evolution have the potential to cause less inflammation, require lower doses and lead to a lower overall toxicity profile versus conventional AAV vectors such as AAV8 and AAV9. As others have reported, high IV doses with AAV9-based gene therapies in humans and NHPs have been associated with toxicity and inflammation in heart, kidney, liver and neural tissues. Others have also reported that high dose IV treatments with a product candidate incorporating AAV8 have, tragically, resulted in three patient deaths in a clinical trial for X-linked myotubular myopathy.</w:t>
      </w:r>
    </w:p>
    <w:p>
      <w:pPr>
        <w:spacing w:after="0" w:line="20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As illustrated below, in contrast to AAV9, our targeted and evolved vector C102 (used in 4D-310 for Fabry disease) was not associated with significant inflammation or toxicities in NHP heart tissues after IV administration. AAV9 was associated with inflammation and damage in heart tissue as shown on histology and blood tests shown below. These in vivo studies comparing C102 to AAV9 helped to inform our decision to move the vector forward and to develop C102-based product candidates. We have not conducted any clinical studies in patients comparing AAV9 to C102.</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7" w:name="page28"/>
    <w:bookmarkEnd w:id="27"/>
    <w:p>
      <w:pPr>
        <w:jc w:val="center"/>
        <w:spacing w:after="0" w:line="245" w:lineRule="auto"/>
        <w:rPr>
          <w:sz w:val="20"/>
          <w:szCs w:val="20"/>
          <w:color w:val="auto"/>
        </w:rPr>
      </w:pPr>
      <w:r>
        <w:rPr>
          <w:rFonts w:ascii="Arial" w:cs="Arial" w:eastAsia="Arial" w:hAnsi="Arial"/>
          <w:sz w:val="18"/>
          <w:szCs w:val="18"/>
          <w:i w:val="1"/>
          <w:iCs w:val="1"/>
          <w:color w:val="auto"/>
        </w:rPr>
        <w:t>After dosing of NHPs with IV C102, no meaningful heart inflammation or toxicity was observed, in contrast to meaningful heart inflammation and necrosis observed in NHPs receiving AAV9, as illustrated in the H&amp;E staining below. Immune cell infiltrate (dark purple) and</w:t>
      </w:r>
    </w:p>
    <w:p>
      <w:pPr>
        <w:jc w:val="center"/>
        <w:spacing w:after="0" w:line="238" w:lineRule="auto"/>
        <w:rPr>
          <w:sz w:val="20"/>
          <w:szCs w:val="20"/>
          <w:color w:val="auto"/>
        </w:rPr>
      </w:pPr>
      <w:r>
        <w:rPr>
          <w:rFonts w:ascii="Arial" w:cs="Arial" w:eastAsia="Arial" w:hAnsi="Arial"/>
          <w:sz w:val="18"/>
          <w:szCs w:val="18"/>
          <w:i w:val="1"/>
          <w:iCs w:val="1"/>
          <w:color w:val="auto"/>
        </w:rPr>
        <w:t>cardiomyocyte death (rounded formation of cardiomyocytes in pink) associated with AAV9 are highlighted in the left image below. Lack of similar infiltrate associated with C102 is highlighted in the right image below (no dark purple, elongated cardiomyocytes in pink with magenta cell nuclei). Quantification of the full histological analysis provided by an independent veterinary pathologist is included below these images. Of note, the two vectors carried the same CAG promoter and EGFP transgene payload, were packaged and purified using the same process, were quantified using the same assay, and administered in identical fashion at the same contract research organization (“CRO”).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146050</wp:posOffset>
            </wp:positionV>
            <wp:extent cx="4208780" cy="4465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0878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spacing w:after="0" w:line="245" w:lineRule="auto"/>
        <w:rPr>
          <w:sz w:val="20"/>
          <w:szCs w:val="20"/>
          <w:color w:val="auto"/>
        </w:rPr>
      </w:pPr>
      <w:r>
        <w:rPr>
          <w:rFonts w:ascii="Arial" w:cs="Arial" w:eastAsia="Arial" w:hAnsi="Arial"/>
          <w:sz w:val="18"/>
          <w:szCs w:val="18"/>
          <w:i w:val="1"/>
          <w:iCs w:val="1"/>
          <w:color w:val="auto"/>
        </w:rPr>
        <w:t>After dosing of NHPs with IV C102, no meaningful cardiac troponin release into the blood was observed, in contrast to meaningful elevations in cardiac troponin observed in NHPs receiving AAV9. Of note, the two vectors carried the same CAG promoter and EGFP transgene payload, were packaged and purified using the same process, were quantified using the same assay, and administered in identical fashion at the same CRO.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144145</wp:posOffset>
            </wp:positionV>
            <wp:extent cx="3385820" cy="384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8582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60" w:hanging="589"/>
        <w:spacing w:after="0"/>
        <w:tabs>
          <w:tab w:leader="none" w:pos="86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Peak cardiac troponin levels for both NHP 1 and NHP 5 were detectable within the normal range (0.04 ng/mL)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61" w:right="359" w:bottom="1440" w:gutter="0" w:footer="0" w:header="0"/>
        </w:sectPr>
      </w:pPr>
    </w:p>
    <w:bookmarkStart w:id="29" w:name="page30"/>
    <w:bookmarkEnd w:id="29"/>
    <w:p>
      <w:pPr>
        <w:jc w:val="center"/>
        <w:ind w:left="340"/>
        <w:spacing w:after="0" w:line="267" w:lineRule="auto"/>
        <w:rPr>
          <w:sz w:val="20"/>
          <w:szCs w:val="20"/>
          <w:color w:val="auto"/>
        </w:rPr>
      </w:pPr>
      <w:r>
        <w:rPr>
          <w:rFonts w:ascii="Arial" w:cs="Arial" w:eastAsia="Arial" w:hAnsi="Arial"/>
          <w:sz w:val="18"/>
          <w:szCs w:val="18"/>
          <w:i w:val="1"/>
          <w:iCs w:val="1"/>
          <w:color w:val="auto"/>
        </w:rPr>
        <w:t>Overall, our three lead targeted and evolved vectors, R100, C102 and A101, have exhibited favorable tolerability results in NHPs and mice in toxicology studies across our lead product candidate development programs,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130810</wp:posOffset>
            </wp:positionV>
            <wp:extent cx="5306060" cy="2125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0606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i w:val="1"/>
          <w:iCs w:val="1"/>
          <w:color w:val="auto"/>
        </w:rPr>
        <w:t>Potential to Resist Inhibition by Pre-Existing Neutralizing Antibodies from Humans: Potential for Re-Dosing and Treating Larger Patient Populations</w:t>
      </w:r>
    </w:p>
    <w:p>
      <w:pPr>
        <w:spacing w:after="0" w:line="70"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We have invented targeted and evolved vectors for resistance to inhibition by pre-existing neutralizing antibodies in the human population. We believe that vectors invented in this fashion may broaden our potential addressable patient population compared to conventional AAV vectors. We believe that enhanced resistance to antibodies may result in less neutralization, and therefore potentially better efficacy, after patient treatment. Finally, we believe we have the potential to re-dose patients after receiving other AAV gene therapies, and when desirable by developing product candidates with different targeted and evolved vectors that target the same tissues. This approach would utilize a vector whose antibodies do not cross-react with the vector used in the preceding AAV gene therapy treatment.</w:t>
      </w:r>
    </w:p>
    <w:p>
      <w:pPr>
        <w:spacing w:after="0" w:line="205"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For example, the Target Vector Profile for our targeted and evolved vector A101 included aerosol delivery and resistance to antibodies in humans; A101 is used in 4D-710 for cystic fibrosis. As shown below, we observed that A101 had significantly greater antibody resistance than conventional AAV1, AAV2, AAV5, AAV8 and AAV9. These in vitro studies comparing A101 to conventional vectors helped to inform our decision to move the vector forward and to develop A101-based product candidates. We have not performed any clinical studies in patients comparing conventional vectors to A101.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0" w:name="page31"/>
    <w:bookmarkEnd w:id="30"/>
    <w:p>
      <w:pPr>
        <w:jc w:val="center"/>
        <w:ind w:left="340"/>
        <w:spacing w:after="0" w:line="267" w:lineRule="auto"/>
        <w:rPr>
          <w:sz w:val="20"/>
          <w:szCs w:val="20"/>
          <w:color w:val="auto"/>
        </w:rPr>
      </w:pPr>
      <w:r>
        <w:rPr>
          <w:rFonts w:ascii="Arial" w:cs="Arial" w:eastAsia="Arial" w:hAnsi="Arial"/>
          <w:sz w:val="18"/>
          <w:szCs w:val="18"/>
          <w:i w:val="1"/>
          <w:iCs w:val="1"/>
          <w:color w:val="auto"/>
        </w:rPr>
        <w:t>A101 exhibited superior resistance to human antibodies (present in human IVIG) in vitro compared to conventional AAV vectors AAV1, AAV2, AAV5, AAV8 and AAV9 as measured by transduction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130810</wp:posOffset>
            </wp:positionV>
            <wp:extent cx="4269105" cy="2743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6910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Proprietary Therapeutic Vector Evolution Platform</w:t>
      </w:r>
    </w:p>
    <w:p>
      <w:pPr>
        <w:spacing w:after="0" w:line="122" w:lineRule="exact"/>
        <w:rPr>
          <w:sz w:val="20"/>
          <w:szCs w:val="20"/>
          <w:color w:val="auto"/>
        </w:rPr>
      </w:pPr>
    </w:p>
    <w:p>
      <w:pPr>
        <w:ind w:right="180" w:firstLine="734"/>
        <w:spacing w:after="0" w:line="274" w:lineRule="auto"/>
        <w:rPr>
          <w:sz w:val="20"/>
          <w:szCs w:val="20"/>
          <w:color w:val="auto"/>
        </w:rPr>
      </w:pPr>
      <w:r>
        <w:rPr>
          <w:rFonts w:ascii="Arial" w:cs="Arial" w:eastAsia="Arial" w:hAnsi="Arial"/>
          <w:sz w:val="17"/>
          <w:szCs w:val="17"/>
          <w:color w:val="auto"/>
        </w:rPr>
        <w:t>Our proprietary Therapeutic Vector Evolution platform is based on the principles of directed evolution. Directed evolution is a high-throughput platform approach that harnesses the power of evolution in order to create biologics with new and desirable characteristics.</w:t>
      </w:r>
    </w:p>
    <w:p>
      <w:pPr>
        <w:spacing w:after="0" w:line="175"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The first step of directed evolution involves the generation of massively diverse libraries of biological variants. In the second step, a target profile is designed with desired biological characteristics. In the final step, selective pressures are applied to these libraries forcing competition to select for improved variants with the desired biological characteristics. This method has been successfully utilized by other researchers to generate protein therapeutics with enhanced biological activities, antibodies with enhanced binding affinity and enzymes with new specificities. The importance of this biotechnology was demonstrated when the Nobel Prize for Chemistry was awarded in 2018 for work on directed evolution of proteins, antibodies and enzymes performed by academic investigators including Dr. Frances H. Arnold at Caltech; these investigators have no relationship to 4DMT.</w:t>
      </w:r>
    </w:p>
    <w:p>
      <w:pPr>
        <w:spacing w:after="0" w:line="203"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Our co-founder and Chief Scientific Advisor, Dr. David Schaffer, pioneered the use of directed evolution to create improved AAV capsids for use as gene therapy vectors at U.C. Berkeley over 20 years ago. Over the past seven years, we have developed and industrialized our Therapeutic Vector Evolution platform to invent targeted and evolved vectors for use in human therapeutic products. Since in-licensing several libraries from the U.C. Berkeley and creating over 30 newer libraries at our company, we have a total of 40 diverse libraries comprising approximately one billion proprietary synthetic capsid sequences. In addition, we have developed significant experience in performing Therapeutic Vector Evolution programs in NHPs, with 14 capsid selections completed to date. We believe this will help us to develop product candidates to address a broad swath of diseases in rare and large patient populations, including those other gene therapies cannot.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Diverse Libraries of Synthetic Capsid Sequences</w:t>
      </w:r>
    </w:p>
    <w:p>
      <w:pPr>
        <w:spacing w:after="0" w:line="122"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Each library results from the application of a different genetic diversification methodology, such as variable loop mutagenesis, random peptide insertion, random point mutagenesis, DNA shuffling and ancestral reconstruction, and is also defined by its starting material (AAV capsid gene sequences). Furthermore, we apply bioinformatics, emerging technologies, and experience and know-how resulting from previous discovery programs to continually improve and expand our libraries and improve our ability to select customized targeted and evolved vectors.</w:t>
      </w:r>
    </w:p>
    <w:p>
      <w:pPr>
        <w:spacing w:after="0" w:line="202"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We believe the size and diversity of our proprietary synthetic capsid libraries represent a differentiating competitive advantage for us in the field of gene therapy.</w:t>
      </w:r>
    </w:p>
    <w:p>
      <w:pPr>
        <w:spacing w:after="0" w:line="287" w:lineRule="exact"/>
        <w:rPr>
          <w:sz w:val="20"/>
          <w:szCs w:val="20"/>
          <w:color w:val="auto"/>
        </w:rPr>
      </w:pPr>
    </w:p>
    <w:p>
      <w:pPr>
        <w:jc w:val="center"/>
        <w:ind w:left="340"/>
        <w:spacing w:after="0" w:line="245" w:lineRule="auto"/>
        <w:rPr>
          <w:sz w:val="20"/>
          <w:szCs w:val="20"/>
          <w:color w:val="auto"/>
        </w:rPr>
      </w:pPr>
      <w:r>
        <w:rPr>
          <w:rFonts w:ascii="Arial" w:cs="Arial" w:eastAsia="Arial" w:hAnsi="Arial"/>
          <w:sz w:val="18"/>
          <w:szCs w:val="18"/>
          <w:i w:val="1"/>
          <w:iCs w:val="1"/>
          <w:color w:val="auto"/>
        </w:rPr>
        <w:t>Our 40 distinct libraries comprise approximately one billion synthetic capsid sequences. Each library results from the application of a different genetic diversification methodology, such as variable loop mutagenesis, random peptide insertion, random point mutagenesis, DNA shuffling and ancestral reconstruction, and is also defined by its starting material (AAV capsid gene sequences). We have estimated the number of capsid sequences for 37 of these libraries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144145</wp:posOffset>
            </wp:positionV>
            <wp:extent cx="5306060" cy="3815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06060" cy="381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The Target Vector Profile Followed by Competitive Vector Selection</w:t>
      </w:r>
    </w:p>
    <w:p>
      <w:pPr>
        <w:spacing w:after="0" w:line="122"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employ a rigorous approach to inventing targeted and evolved vectors based on what we consider an optimal vector and product profile, which we term the Target Vector Profile. For any set of target diseases that affect the same tissue(s), this profile includes any combination of the following: the optimal route of administration for targeting the specific tissue(s) in humans, the optimal dose range, the desired distribution of vector transduction within the target organs, overall biodistribution and/or antibody resistance.</w:t>
      </w:r>
    </w:p>
    <w:p>
      <w:pPr>
        <w:spacing w:after="0" w:line="205"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 xml:space="preserve">We use our Therapeutic Vector Evolution platform to select the “fittest” targeted and evolved capsid that best matches our Target Vector Profile. We achieve this through serial rounds of “selection”, or discovery, with each round of selection filtering down to fewer and fewer synthetic capsids from the original library. This funneling process is achieved by applying selective pressures—forcing competition— among all synthetic capsid variants in the library to achieve delivery to the target cells as defined in the Target Vector Profile. Each round is performed in a primate </w:t>
      </w:r>
      <w:r>
        <w:rPr>
          <w:rFonts w:ascii="Arial" w:cs="Arial" w:eastAsia="Arial" w:hAnsi="Arial"/>
          <w:sz w:val="18"/>
          <w:szCs w:val="18"/>
          <w:i w:val="1"/>
          <w:iCs w:val="1"/>
          <w:color w:val="auto"/>
        </w:rPr>
        <w:t>in vivo</w:t>
      </w:r>
      <w:r>
        <w:rPr>
          <w:rFonts w:ascii="Arial" w:cs="Arial" w:eastAsia="Arial" w:hAnsi="Arial"/>
          <w:sz w:val="18"/>
          <w:szCs w:val="18"/>
          <w:color w:val="auto"/>
        </w:rPr>
        <w:t>, sometimes in the presence of human antibodies.</w:t>
      </w:r>
    </w:p>
    <w:p>
      <w:pPr>
        <w:spacing w:after="0" w:line="20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 xml:space="preserve">By the end of a typical Therapeutic Vector Evolution process, we will have identified approximately two to four targeted and evolved vectors, or hits, based on their frequency in the final pool of synthetic capsid sequences, in addition to numerous sequences present at lower frequencies. We then file patent applications disclosing select identified gene sequences from the discovery program. We believe this deliberate approach to selection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NHPs and in human tissues should lead to identification of targeted and evolved vectors with a higher likelihood of therapeutic benefit in humans.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Vector Invention Results to Date</w:t>
      </w:r>
    </w:p>
    <w:p>
      <w:pPr>
        <w:spacing w:after="0" w:line="122"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We have completed 14 unique vector selection programs or “selection processes” for specific proprietary synthetic capsids with specific Target Vector Profiles. Across our clinical development and discovery portfolio, we have utilized four different routes of administration, including intravenous, intravitreal, aerosol, and intrathecal administrations. We have completed discovery programs targeting a diverse array of tissue types including various retinal cell types, heart and skeletal muscle tissues, different lung cell types, liver, brain, dorsal root ganglia, and synovial joints. We have identified and filed patent applications on over 300 unique targeted and evolved vectors.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Characterization of Novel Vector Variant “Hits” and “Leads”</w:t>
      </w:r>
    </w:p>
    <w:p>
      <w:pPr>
        <w:spacing w:after="0" w:line="122"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Vector hits are typically characterized by three major criteria: manufacturing, human cell and human organotypic model transduction, and delivery to tissues in NHPs by the designated route of administration. Vector hits may also be evaluated for transduction in the presence of human antibodies. In order to perform characterization studies, vectors are armed with marker gene payloads such as enhanced green fluorescent protein (“EGFP”). After these hits have been evaluated, a lead vector is selected.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Directed Evolution-Based Promoter and Transgene Discovery Platforms</w:t>
      </w:r>
    </w:p>
    <w:p>
      <w:pPr>
        <w:spacing w:after="0" w:line="122" w:lineRule="exact"/>
        <w:rPr>
          <w:sz w:val="20"/>
          <w:szCs w:val="20"/>
          <w:color w:val="auto"/>
        </w:rPr>
      </w:pPr>
    </w:p>
    <w:p>
      <w:pPr>
        <w:ind w:right="100" w:firstLine="734"/>
        <w:spacing w:after="0" w:line="246" w:lineRule="auto"/>
        <w:rPr>
          <w:sz w:val="20"/>
          <w:szCs w:val="20"/>
          <w:color w:val="auto"/>
        </w:rPr>
      </w:pPr>
      <w:r>
        <w:rPr>
          <w:rFonts w:ascii="Arial" w:cs="Arial" w:eastAsia="Arial" w:hAnsi="Arial"/>
          <w:sz w:val="18"/>
          <w:szCs w:val="18"/>
          <w:color w:val="auto"/>
        </w:rPr>
        <w:t>To complement our Therapeutic Vector Evolution platform and modular development approach, we are generating next-generation optimized promoter elements and transgenes using a combination of directed evolution and proprietary algorithms.</w:t>
      </w:r>
    </w:p>
    <w:p>
      <w:pPr>
        <w:spacing w:after="0" w:line="197"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Currently available promoters may lack sufficient strength of expression and selectivity for clinical benefit of AAV gene therapies. In addition, for some AAV gene therapy products a smaller promoter region may be essential for the gene payload to fit in the AAV. Therefore, we believe there is a need for better promoters for many AAV products to enable or enhance their therapeutic benefit. We generate Target Promoter Profiles for any given product and disease target. This promoter profile includes target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3" w:name="page34"/>
    <w:bookmarkEnd w:id="33"/>
    <w:p>
      <w:pPr>
        <w:ind w:right="80"/>
        <w:spacing w:after="0" w:line="238" w:lineRule="auto"/>
        <w:rPr>
          <w:sz w:val="20"/>
          <w:szCs w:val="20"/>
          <w:color w:val="auto"/>
        </w:rPr>
      </w:pPr>
      <w:r>
        <w:rPr>
          <w:rFonts w:ascii="Arial" w:cs="Arial" w:eastAsia="Arial" w:hAnsi="Arial"/>
          <w:sz w:val="18"/>
          <w:szCs w:val="18"/>
          <w:color w:val="auto"/>
        </w:rPr>
        <w:t>cell specificity and strength in order to maximize tolerability and/or biologic activity, as well as any necessary size constraints. Under one of our sponsored research agreements with U.C. Berkeley, we are working with our co-founder Dr. Schaffer to create customized and proprietary promoters for use in our pipeline products. Our libraries of novel and diverse synthetic promoters have been engineered and currently comprise approximately ten million unique sequences. Our discovery platform identifies the best promoters within the libraries for a specific Target Promoter Profile.</w:t>
      </w:r>
    </w:p>
    <w:p>
      <w:pPr>
        <w:spacing w:after="0" w:line="202"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In addition to our synthetic promoters, we are developing next-generation optimized transgene discovery platform. Our discovery platform uses a high-throughput approach, harnessing both directed evolution and rational design algorithms, to identify novel transgenes that express therapeutics proteins. For example, we have developed transgenes to express RNAi in target cells of interest for treatment of disease. These transgene-expressed RNAi molecules, or ddRNAi, are anchored by a microRNA backbone that not only enhances stability and limits off-target effects, but also facilitates high expression within target cells and thereby increases efficacy. Our technology allows us to powerfully knock down disease-causing transcripts, combining a design for a high degree of selectivity with the goal of long-term expression afforded by AAV-based gene therapy.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ind w:right="80" w:firstLine="734"/>
        <w:spacing w:after="0"/>
        <w:rPr>
          <w:sz w:val="20"/>
          <w:szCs w:val="20"/>
          <w:color w:val="auto"/>
        </w:rPr>
      </w:pPr>
      <w:r>
        <w:rPr>
          <w:rFonts w:ascii="Arial" w:cs="Arial" w:eastAsia="Arial" w:hAnsi="Arial"/>
          <w:sz w:val="18"/>
          <w:szCs w:val="18"/>
          <w:color w:val="auto"/>
        </w:rPr>
        <w:t>Our platform enables a broad and diverse pipeline of transformative targeted gene therapies that we are advancing through clinical trials. We currently have a product pipeline that includes targeted gene therapies in three therapeutic areas: ophthalmology, cardiology (primary or secondary to systemic diseases) and pulmonology.</w:t>
      </w:r>
    </w:p>
    <w:p>
      <w:pPr>
        <w:spacing w:after="0" w:line="203"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For each of these therapeutic areas, we invented a targeted and evolved lead vector employing Therapeutic Vector Evolution. These lead vectors were designed for delivery by optimal and routine clinical routes to the target tissue(s). As illustrated below, our platform is designed to be modular in that an evolved vector invented for a given therapeutic area can be equipped with different transgene payloads to produce unique product candidates to treat other diseases affecting the same tissue type(s). We believe this modularity will help inform the clinical development of subsequent product candidates using the same vector.</w:t>
      </w:r>
    </w:p>
    <w:p>
      <w:pPr>
        <w:spacing w:after="0" w:line="292" w:lineRule="exact"/>
        <w:rPr>
          <w:sz w:val="20"/>
          <w:szCs w:val="20"/>
          <w:color w:val="auto"/>
        </w:rPr>
      </w:pPr>
    </w:p>
    <w:p>
      <w:pPr>
        <w:jc w:val="center"/>
        <w:ind w:left="340" w:right="40"/>
        <w:spacing w:after="0" w:line="259" w:lineRule="auto"/>
        <w:rPr>
          <w:sz w:val="20"/>
          <w:szCs w:val="20"/>
          <w:color w:val="auto"/>
        </w:rPr>
      </w:pPr>
      <w:r>
        <w:rPr>
          <w:rFonts w:ascii="Arial" w:cs="Arial" w:eastAsia="Arial" w:hAnsi="Arial"/>
          <w:sz w:val="17"/>
          <w:szCs w:val="17"/>
          <w:i w:val="1"/>
          <w:iCs w:val="1"/>
          <w:color w:val="auto"/>
        </w:rPr>
        <w:t>Lead vectors that have been invented through Therapeutic Vector Evolution are used to design and engineer product candidates for specific diseases. These product candidates are tested in NHP and in human cell &amp; disease models prior to IND filing and entry into clinical trials.</w:t>
      </w:r>
    </w:p>
    <w:p>
      <w:pPr>
        <w:spacing w:after="0" w:line="1" w:lineRule="exact"/>
        <w:rPr>
          <w:sz w:val="20"/>
          <w:szCs w:val="20"/>
          <w:color w:val="auto"/>
        </w:rPr>
      </w:pPr>
    </w:p>
    <w:p>
      <w:pPr>
        <w:jc w:val="center"/>
        <w:ind w:left="360" w:right="260"/>
        <w:spacing w:after="0" w:line="246" w:lineRule="auto"/>
        <w:rPr>
          <w:sz w:val="20"/>
          <w:szCs w:val="20"/>
          <w:color w:val="auto"/>
        </w:rPr>
      </w:pPr>
      <w:r>
        <w:rPr>
          <w:rFonts w:ascii="Arial" w:cs="Arial" w:eastAsia="Arial" w:hAnsi="Arial"/>
          <w:sz w:val="18"/>
          <w:szCs w:val="18"/>
          <w:i w:val="1"/>
          <w:iCs w:val="1"/>
          <w:color w:val="auto"/>
        </w:rPr>
        <w:t>While a first product candidate utilizing one of our targeted and evolved vectors is advancing through development, we build additional product candidates to follow closely and rapidly by using the same lead vector in modular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142875</wp:posOffset>
            </wp:positionV>
            <wp:extent cx="5306060" cy="20148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0606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4" w:name="page35"/>
    <w:bookmarkEnd w:id="34"/>
    <w:p>
      <w:pPr>
        <w:ind w:left="740"/>
        <w:spacing w:after="0"/>
        <w:rPr>
          <w:sz w:val="20"/>
          <w:szCs w:val="20"/>
          <w:color w:val="auto"/>
        </w:rPr>
      </w:pPr>
      <w:r>
        <w:rPr>
          <w:rFonts w:ascii="Arial" w:cs="Arial" w:eastAsia="Arial" w:hAnsi="Arial"/>
          <w:sz w:val="18"/>
          <w:szCs w:val="18"/>
          <w:color w:val="auto"/>
        </w:rPr>
        <w:t>Our pipeline includes product candidates for both rare disease and large patient populations and is represented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151765</wp:posOffset>
            </wp:positionV>
            <wp:extent cx="5177790" cy="22199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777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80" w:right="100" w:hanging="589"/>
        <w:spacing w:after="0" w:line="251" w:lineRule="auto"/>
        <w:tabs>
          <w:tab w:leader="none" w:pos="880" w:val="left"/>
        </w:tabs>
        <w:numPr>
          <w:ilvl w:val="1"/>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4DMT is responsible for the development of this product candidate; Roche has an exclusive option to assume development and commercialization at its sole cost and expense. Such an option may be exercised prior to pivotal trial initiation.</w:t>
      </w:r>
    </w:p>
    <w:p>
      <w:pPr>
        <w:spacing w:after="0" w:line="1" w:lineRule="exact"/>
        <w:rPr>
          <w:rFonts w:ascii="Arial" w:cs="Arial" w:eastAsia="Arial" w:hAnsi="Arial"/>
          <w:sz w:val="14"/>
          <w:szCs w:val="14"/>
          <w:i w:val="1"/>
          <w:iCs w:val="1"/>
          <w:color w:val="auto"/>
        </w:rPr>
      </w:pPr>
    </w:p>
    <w:p>
      <w:pPr>
        <w:ind w:left="4120" w:hanging="123"/>
        <w:spacing w:after="0"/>
        <w:tabs>
          <w:tab w:leader="none" w:pos="4120" w:val="left"/>
        </w:tabs>
        <w:numPr>
          <w:ilvl w:val="2"/>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Reporting in coordination with our partner Roche.</w:t>
      </w:r>
    </w:p>
    <w:p>
      <w:pPr>
        <w:spacing w:after="0" w:line="1" w:lineRule="exact"/>
        <w:rPr>
          <w:rFonts w:ascii="Arial" w:cs="Arial" w:eastAsia="Arial" w:hAnsi="Arial"/>
          <w:sz w:val="14"/>
          <w:szCs w:val="14"/>
          <w:i w:val="1"/>
          <w:iCs w:val="1"/>
          <w:color w:val="auto"/>
        </w:rPr>
      </w:pPr>
    </w:p>
    <w:p>
      <w:pPr>
        <w:jc w:val="both"/>
        <w:ind w:left="100" w:right="60" w:firstLine="15"/>
        <w:spacing w:after="0" w:line="241" w:lineRule="auto"/>
        <w:tabs>
          <w:tab w:leader="none" w:pos="238"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The Research stage involves (1) defining the Target Vector Profile then deploying Therapeutic Vector Evolution with our capsid libraries in non-human primates (NHPs) and using competitive selection to identify targeted and evolved vectors from our libraries that demonstrate the strongest match to the Target Vector Profile; then (2) optimizing our</w:t>
      </w:r>
    </w:p>
    <w:p>
      <w:pPr>
        <w:spacing w:after="0" w:line="1" w:lineRule="exact"/>
        <w:rPr>
          <w:sz w:val="20"/>
          <w:szCs w:val="20"/>
          <w:color w:val="auto"/>
        </w:rPr>
      </w:pPr>
    </w:p>
    <w:p>
      <w:pPr>
        <w:jc w:val="center"/>
        <w:ind w:left="340"/>
        <w:spacing w:after="0" w:line="258" w:lineRule="auto"/>
        <w:rPr>
          <w:sz w:val="20"/>
          <w:szCs w:val="20"/>
          <w:color w:val="auto"/>
        </w:rPr>
      </w:pPr>
      <w:r>
        <w:rPr>
          <w:rFonts w:ascii="Arial" w:cs="Arial" w:eastAsia="Arial" w:hAnsi="Arial"/>
          <w:sz w:val="14"/>
          <w:szCs w:val="14"/>
          <w:i w:val="1"/>
          <w:iCs w:val="1"/>
          <w:color w:val="auto"/>
        </w:rPr>
        <w:t>product candidates using the lead vector by conducting in vivo and in vitro evaluation of various transgene and promoter construct candidates in cell and animal models, and the selection of at least one product candidate to move forward into IND-enabling studies.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 Therapeutic Area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22"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We are developing product candidates to treat severe ophthalmology diseases. Our targeted and evolved vector, R100, is used in all four of our ophthalmology product candidates and was invented for routine intravitreal injection, leading to transgene expression across the entire surface area of the retina, and in the major cell layers of the retina. We believe this modularity will help inform the clinical development of subsequent product candidates using the same vector.</w:t>
      </w:r>
    </w:p>
    <w:p>
      <w:pPr>
        <w:spacing w:after="0" w:line="205" w:lineRule="exact"/>
        <w:rPr>
          <w:sz w:val="20"/>
          <w:szCs w:val="20"/>
          <w:color w:val="auto"/>
        </w:rPr>
      </w:pPr>
    </w:p>
    <w:p>
      <w:pPr>
        <w:ind w:right="140" w:firstLine="734"/>
        <w:spacing w:after="0" w:line="237" w:lineRule="auto"/>
        <w:rPr>
          <w:sz w:val="20"/>
          <w:szCs w:val="20"/>
          <w:color w:val="auto"/>
        </w:rPr>
      </w:pPr>
      <w:r>
        <w:rPr>
          <w:rFonts w:ascii="Arial" w:cs="Arial" w:eastAsia="Arial" w:hAnsi="Arial"/>
          <w:sz w:val="18"/>
          <w:szCs w:val="18"/>
          <w:color w:val="auto"/>
        </w:rPr>
        <w:t xml:space="preserve">Our product candidate 4D-125 is enrolling patients in an ongoing Phase 1/2 clinical trial in patients with XLRP related to mutations in the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The primary objectives of this trial are to evaluate the safety and maximum-tolerated dose of 4D-125. Secondary endpoints include assessments of biologic activity, including both visual field function and anatomical endpoints. Enrollment has been completed in the dose escalation phase of this study, with six patients treated. The dose expansion phase of this study will enroll patients at the highest Phase 1 dose of 1E12 vg/eye. 4D-125 has been well tolerated without any dose-limiting toxicities. We expect to report initial clinical data in the second half of 2021. 4DMT currently holds the worldwide commercialization rights for 4D-125 and Roche holds an exclusive option to in-license the product prior to pivotal trial initiation.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35" w:name="page36"/>
    <w:bookmarkEnd w:id="35"/>
    <w:p>
      <w:pPr>
        <w:ind w:right="20" w:firstLine="742"/>
        <w:spacing w:after="0" w:line="237" w:lineRule="auto"/>
        <w:rPr>
          <w:sz w:val="20"/>
          <w:szCs w:val="20"/>
          <w:color w:val="auto"/>
        </w:rPr>
      </w:pPr>
      <w:r>
        <w:rPr>
          <w:rFonts w:ascii="Arial" w:cs="Arial" w:eastAsia="Arial" w:hAnsi="Arial"/>
          <w:sz w:val="18"/>
          <w:szCs w:val="18"/>
          <w:color w:val="auto"/>
        </w:rPr>
        <w:t xml:space="preserve">Our product candidate, 4D-110, is enrolling patients in an ongoing Phase 1 clinical trial in patients with choroideremia related to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The primary objectives of this trial are to evaluate the safety and maximum-tolerated dose of 4D-110. Secondary endpoints include assessments of biologic activity, including visual acuity, visual field function and anatomical endpoints. Enrolled patients have been followed previously in our natural history study, in which we have enrolled 55 patients, and have followed 47 of these patients for at least two years. Enrollment has been completed in the dose escalation phase of this study, with six patients treated. The dose expansion phase of this study will enroll patients at the highest Phase 1 dose of 1E12 vg/eye. 4D-110 has been well tolerated without any dose-limiting toxicities. In coordination with our partner Roche, we expect to report initial clinical data in 2022.</w:t>
      </w:r>
    </w:p>
    <w:p>
      <w:pPr>
        <w:spacing w:after="0" w:line="203" w:lineRule="exact"/>
        <w:rPr>
          <w:sz w:val="20"/>
          <w:szCs w:val="20"/>
          <w:color w:val="auto"/>
        </w:rPr>
      </w:pPr>
    </w:p>
    <w:p>
      <w:pPr>
        <w:ind w:right="460" w:firstLine="734"/>
        <w:spacing w:after="0"/>
        <w:rPr>
          <w:sz w:val="20"/>
          <w:szCs w:val="20"/>
          <w:color w:val="auto"/>
        </w:rPr>
      </w:pPr>
      <w:r>
        <w:rPr>
          <w:rFonts w:ascii="Arial" w:cs="Arial" w:eastAsia="Arial" w:hAnsi="Arial"/>
          <w:sz w:val="18"/>
          <w:szCs w:val="18"/>
          <w:color w:val="auto"/>
        </w:rPr>
        <w:t>We also have two wholly owned preclinical product candidates. We are developing 4D-150 for the treatment of wet AMD and diabetic retinopathy, including DME, and we expect to initiate a wet AMD clinical trial for 4D-150 in the second half of 2021. We are also developing 4D-135 for the treatment of adRP. We expect to initiate IND enabling studies for 4D-135 in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4D-125 for X-Linked Retinitis Pigmentosa (“XLRP”)</w:t>
      </w:r>
    </w:p>
    <w:p>
      <w:pPr>
        <w:spacing w:after="0" w:line="122"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Disease Background, Unmet Medical Need and Target Patient Population XLRP is a rare inherited X-linked recessive genetic disorder that causes progressive vision loss and blindness in boys and young men. There are currently no approved therapies for XLRP. Seventy percent of cases are caused by mutations in the retinitis pigmentosa GTPase regulator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The estimated worldwide prevalence of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variants is approximately one in 25,600 people, which represents approximately 24,000 patients in the United States, and France, Germany, Italy, Spain and the United Kingdom (together, EU-5). It is characterized by dysfunction and degeneration of photoreceptors in the retina. Loss of </w:t>
      </w:r>
      <w:r>
        <w:rPr>
          <w:rFonts w:ascii="Arial" w:cs="Arial" w:eastAsia="Arial" w:hAnsi="Arial"/>
          <w:sz w:val="18"/>
          <w:szCs w:val="18"/>
          <w:i w:val="1"/>
          <w:iCs w:val="1"/>
          <w:color w:val="auto"/>
        </w:rPr>
        <w:t>RPGR</w:t>
      </w:r>
      <w:r>
        <w:rPr>
          <w:rFonts w:ascii="Arial" w:cs="Arial" w:eastAsia="Arial" w:hAnsi="Arial"/>
          <w:sz w:val="18"/>
          <w:szCs w:val="18"/>
          <w:color w:val="auto"/>
        </w:rPr>
        <w:t xml:space="preserve"> function in retinal cells causes the progressive loss of rod and cone photoreceptors, leading to the progressive loss of vision. Symptoms of XLRP are initially characterized by night blindness, followed by loss of peripheral visual field, decreasing visual acuity and eventually blindness. While males are usually the most affected, approximately 25% of heterozygous females experience loss of vision.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86" w:lineRule="exact"/>
        <w:rPr>
          <w:sz w:val="20"/>
          <w:szCs w:val="20"/>
          <w:color w:val="auto"/>
        </w:rPr>
      </w:pPr>
    </w:p>
    <w:p>
      <w:pPr>
        <w:ind w:firstLine="734"/>
        <w:spacing w:after="0" w:line="241" w:lineRule="auto"/>
        <w:rPr>
          <w:sz w:val="20"/>
          <w:szCs w:val="20"/>
          <w:color w:val="auto"/>
        </w:rPr>
      </w:pPr>
      <w:r>
        <w:rPr>
          <w:rFonts w:ascii="Arial" w:cs="Arial" w:eastAsia="Arial" w:hAnsi="Arial"/>
          <w:sz w:val="18"/>
          <w:szCs w:val="18"/>
          <w:color w:val="auto"/>
        </w:rPr>
        <w:t xml:space="preserve">We are developing 4D-125 for the treatment of patients with XLRP with </w:t>
      </w:r>
      <w:r>
        <w:rPr>
          <w:rFonts w:ascii="Arial" w:cs="Arial" w:eastAsia="Arial" w:hAnsi="Arial"/>
          <w:sz w:val="18"/>
          <w:szCs w:val="18"/>
          <w:i w:val="1"/>
          <w:iCs w:val="1"/>
          <w:color w:val="auto"/>
        </w:rPr>
        <w:t>RPGR</w:t>
      </w:r>
      <w:r>
        <w:rPr>
          <w:rFonts w:ascii="Arial" w:cs="Arial" w:eastAsia="Arial" w:hAnsi="Arial"/>
          <w:sz w:val="18"/>
          <w:szCs w:val="18"/>
          <w:color w:val="auto"/>
        </w:rPr>
        <w:t xml:space="preserve"> mutations. 4D-125 is designed to benefit patients at all stages of XLRP, including early stage patients whose entire viable retinas are not adequately treated by subretinal surgery. This product candidate is comprised of R100 and carries a codon-optimized </w:t>
      </w:r>
      <w:r>
        <w:rPr>
          <w:rFonts w:ascii="Arial" w:cs="Arial" w:eastAsia="Arial" w:hAnsi="Arial"/>
          <w:sz w:val="18"/>
          <w:szCs w:val="18"/>
          <w:i w:val="1"/>
          <w:iCs w:val="1"/>
          <w:color w:val="auto"/>
        </w:rPr>
        <w:t>RPGR</w:t>
      </w:r>
      <w:r>
        <w:rPr>
          <w:rFonts w:ascii="Arial" w:cs="Arial" w:eastAsia="Arial" w:hAnsi="Arial"/>
          <w:sz w:val="18"/>
          <w:szCs w:val="18"/>
          <w:color w:val="auto"/>
        </w:rPr>
        <w:t xml:space="preserve"> transgene engineered for expression within human photoreceptors. In NHP models, we have observed widespread transduction and transgene expression across the entire retinal surface. We believe that 4D-125 has the potential to successfully treat XLRP patients at the earliest stages of their disease progression and ideally, slow or prevent progression and retain vision.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XLRP</w:t>
      </w:r>
    </w:p>
    <w:p>
      <w:pPr>
        <w:spacing w:after="0" w:line="104" w:lineRule="exact"/>
        <w:rPr>
          <w:sz w:val="20"/>
          <w:szCs w:val="20"/>
          <w:color w:val="auto"/>
        </w:rPr>
      </w:pPr>
    </w:p>
    <w:p>
      <w:pPr>
        <w:ind w:right="80" w:firstLine="734"/>
        <w:spacing w:after="0" w:line="237" w:lineRule="auto"/>
        <w:rPr>
          <w:sz w:val="20"/>
          <w:szCs w:val="20"/>
          <w:color w:val="auto"/>
        </w:rPr>
      </w:pPr>
      <w:r>
        <w:rPr>
          <w:rFonts w:ascii="Arial" w:cs="Arial" w:eastAsia="Arial" w:hAnsi="Arial"/>
          <w:sz w:val="18"/>
          <w:szCs w:val="18"/>
          <w:color w:val="auto"/>
        </w:rPr>
        <w:t>Several companies are developing subretinal AAV gene therapies for patients with XLRP. Subretinal administration results in transduction and direct treatment of only a small fraction of the retina. On Phase 1 and 2 trials, investigators have reported improvements in visual field function within the localized retina area receiving the treatment bleb in a subset of patients. These AAV gene therapies require invasive subretinal surgery, which has been associated with subretinal surgery-related adverse events. In addition, subretinal surgery results in transduction of only a small fraction of the retina and is therefore limited to patients with more advanced disease with a small remaining area of viable retinal cells.</w:t>
      </w:r>
    </w:p>
    <w:p>
      <w:pPr>
        <w:spacing w:after="0" w:line="205" w:lineRule="exact"/>
        <w:rPr>
          <w:sz w:val="20"/>
          <w:szCs w:val="20"/>
          <w:color w:val="auto"/>
        </w:rPr>
      </w:pPr>
    </w:p>
    <w:p>
      <w:pPr>
        <w:ind w:right="180" w:firstLine="734"/>
        <w:spacing w:after="0" w:line="246" w:lineRule="auto"/>
        <w:rPr>
          <w:sz w:val="20"/>
          <w:szCs w:val="20"/>
          <w:color w:val="auto"/>
        </w:rPr>
      </w:pPr>
      <w:r>
        <w:rPr>
          <w:rFonts w:ascii="Arial" w:cs="Arial" w:eastAsia="Arial" w:hAnsi="Arial"/>
          <w:sz w:val="18"/>
          <w:szCs w:val="18"/>
          <w:color w:val="auto"/>
        </w:rPr>
        <w:t>We believe 4D-125 has the potential to be differentiated from other AAV gene therapies in clinical development, to our knowledge, on the basis of four design features:</w:t>
      </w:r>
    </w:p>
    <w:p>
      <w:pPr>
        <w:spacing w:after="0" w:line="89" w:lineRule="exact"/>
        <w:rPr>
          <w:sz w:val="20"/>
          <w:szCs w:val="20"/>
          <w:color w:val="auto"/>
        </w:rPr>
      </w:pPr>
    </w:p>
    <w:p>
      <w:pPr>
        <w:jc w:val="both"/>
        <w:ind w:left="1020" w:right="220" w:hanging="28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Safe and routine intravitreal route of administration</w:t>
      </w:r>
      <w:r>
        <w:rPr>
          <w:rFonts w:ascii="Arial" w:cs="Arial" w:eastAsia="Arial" w:hAnsi="Arial"/>
          <w:sz w:val="18"/>
          <w:szCs w:val="18"/>
          <w:color w:val="auto"/>
        </w:rPr>
        <w:t>: Product candidates that utilize conventional AAV vectors such as AAV2, must be administered by subretinal surgery for XLRP. Unlike those product candidates, R100, which is included in our product candidate 4D-125, was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 w:name="page37"/>
    <w:bookmarkEnd w:id="36"/>
    <w:p>
      <w:pPr>
        <w:ind w:left="1020" w:right="300"/>
        <w:spacing w:after="0" w:line="274" w:lineRule="auto"/>
        <w:rPr>
          <w:sz w:val="20"/>
          <w:szCs w:val="20"/>
          <w:color w:val="auto"/>
        </w:rPr>
      </w:pPr>
      <w:r>
        <w:rPr>
          <w:rFonts w:ascii="Arial" w:cs="Arial" w:eastAsia="Arial" w:hAnsi="Arial"/>
          <w:sz w:val="17"/>
          <w:szCs w:val="17"/>
          <w:color w:val="auto"/>
        </w:rPr>
        <w:t>specifically invented for intravitreal injection. Notwithstanding any potential design features of 4D-125, this easier and widely used route of administration should result in safer and faster clinical trial enrollment, better efficacy and faster market uptake.</w:t>
      </w:r>
    </w:p>
    <w:p>
      <w:pPr>
        <w:spacing w:after="0" w:line="67" w:lineRule="exact"/>
        <w:rPr>
          <w:sz w:val="20"/>
          <w:szCs w:val="20"/>
          <w:color w:val="auto"/>
        </w:rPr>
      </w:pPr>
    </w:p>
    <w:p>
      <w:pPr>
        <w:ind w:left="1020" w:right="180" w:hanging="28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Treatment of the entire retinal surface</w:t>
      </w:r>
      <w:r>
        <w:rPr>
          <w:rFonts w:ascii="Arial" w:cs="Arial" w:eastAsia="Arial" w:hAnsi="Arial"/>
          <w:sz w:val="18"/>
          <w:szCs w:val="18"/>
          <w:color w:val="auto"/>
        </w:rPr>
        <w:t>: Unlike conventional AAV vectors administered by subretinal surgery, which reportedly treat only a small fraction of the retinal surface, 4D-125 can be used to treat the entire retinal surface following intravitreal injection, potentially broadening its therapeutic applicability.</w:t>
      </w:r>
    </w:p>
    <w:p>
      <w:pPr>
        <w:spacing w:after="0" w:line="94" w:lineRule="exact"/>
        <w:rPr>
          <w:rFonts w:ascii="Arial" w:cs="Arial" w:eastAsia="Arial" w:hAnsi="Arial"/>
          <w:sz w:val="18"/>
          <w:szCs w:val="18"/>
          <w:color w:val="auto"/>
        </w:rPr>
      </w:pPr>
    </w:p>
    <w:p>
      <w:pPr>
        <w:ind w:left="1020" w:right="160" w:hanging="283"/>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Feasibility of treating early stage patients</w:t>
      </w:r>
      <w:r>
        <w:rPr>
          <w:rFonts w:ascii="Arial" w:cs="Arial" w:eastAsia="Arial" w:hAnsi="Arial"/>
          <w:sz w:val="18"/>
          <w:szCs w:val="18"/>
          <w:color w:val="auto"/>
        </w:rPr>
        <w:t>: We believe it will be feasible to safely treat early stage patients before they start to lose their retina. 4D-125 is designed to treat the entire surface of the retina, including the periphery where degenerative diseases like XLRP start. In addition, intravitreal injection is recognized as a safe, simple and routinely used method of administering therapeutics.</w:t>
      </w:r>
    </w:p>
    <w:p>
      <w:pPr>
        <w:spacing w:after="0" w:line="96" w:lineRule="exact"/>
        <w:rPr>
          <w:rFonts w:ascii="Arial" w:cs="Arial" w:eastAsia="Arial" w:hAnsi="Arial"/>
          <w:sz w:val="18"/>
          <w:szCs w:val="18"/>
          <w:color w:val="auto"/>
        </w:rPr>
      </w:pPr>
    </w:p>
    <w:p>
      <w:pPr>
        <w:ind w:left="1020" w:right="240" w:hanging="283"/>
        <w:spacing w:after="0" w:line="274"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Commercial opportunity</w:t>
      </w:r>
      <w:r>
        <w:rPr>
          <w:rFonts w:ascii="Arial" w:cs="Arial" w:eastAsia="Arial" w:hAnsi="Arial"/>
          <w:sz w:val="17"/>
          <w:szCs w:val="17"/>
          <w:color w:val="auto"/>
        </w:rPr>
        <w:t>: Intravitreal injections are widely adopted by many practicing ophthalmologists and used to treat a number of ophthalmological indications. As a result, we believe 4D-125 has the potential for rapid market uptake, if approved.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completed a single dose IND-enabling toxicology and biodistribution study in 30 NHPs with 4D-125. 4D-125 was administered at doses of 1E11 vg/eye or 1E12 vg/eye by intravitreal injection. Animals were sacrificed at three weeks, three months or six months. No meaningful toxicities were reported anywhere in the body, including specifically within the retina. Mild, transient uveitis was observed, but no chronic inflammation was reported; all animals were under systemic immunosuppression during the study. We detected vector genomes and XLRP transgene RNA expression in all treated retinas at both dose levels; the genome and RNA levels were higher in the high dose animals.</w:t>
      </w:r>
    </w:p>
    <w:p>
      <w:pPr>
        <w:spacing w:after="0" w:line="184" w:lineRule="exact"/>
        <w:rPr>
          <w:sz w:val="20"/>
          <w:szCs w:val="20"/>
          <w:color w:val="auto"/>
        </w:rPr>
      </w:pPr>
    </w:p>
    <w:p>
      <w:pPr>
        <w:ind w:right="60" w:firstLine="734"/>
        <w:spacing w:after="0" w:line="245" w:lineRule="auto"/>
        <w:rPr>
          <w:sz w:val="20"/>
          <w:szCs w:val="20"/>
          <w:color w:val="auto"/>
        </w:rPr>
      </w:pPr>
      <w:r>
        <w:rPr>
          <w:rFonts w:ascii="Arial" w:cs="Arial" w:eastAsia="Arial" w:hAnsi="Arial"/>
          <w:sz w:val="18"/>
          <w:szCs w:val="18"/>
          <w:color w:val="auto"/>
        </w:rPr>
        <w:t xml:space="preserve">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of the disease, XLRP patient photoreceptors were derived from XLRP-diseased white blood cells that had been reprogrammed into induced pluripotent stem cells. Diseased photoreceptors were transduced with 4D-125 and protein lysates were harvested 30 days post-transduction. 4D-125 transduced cells expressed significantly more transgene product (hRPGRorf15) than control cells. Moreover, this expressed protein was shown to be active as measured by glutamylation (GT335).</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right="260" w:firstLine="734"/>
        <w:spacing w:after="0" w:line="237" w:lineRule="auto"/>
        <w:rPr>
          <w:sz w:val="20"/>
          <w:szCs w:val="20"/>
          <w:color w:val="auto"/>
        </w:rPr>
      </w:pPr>
      <w:r>
        <w:rPr>
          <w:rFonts w:ascii="Arial" w:cs="Arial" w:eastAsia="Arial" w:hAnsi="Arial"/>
          <w:sz w:val="18"/>
          <w:szCs w:val="18"/>
          <w:color w:val="auto"/>
        </w:rPr>
        <w:t xml:space="preserve">We are currently enrolling patients on a Phase 1/2 clinical trial. This is a dose-escalation and dose-expansion trial of intravitreal injection with 4D-125 in patients with clinically significant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gene mutation. The primary objectives of this trial are to evaluate the safety and maximum tolerated dose of 4D-125. Secondary endpoints include assessments of biologic activity, including both visual field function and anatomical endpoints. Enrollment has been completed in the dose escalation phase of this study, with six patients treated. The dose expansion phase of this study will enroll patients at the highest Phase 1 dose of 1E12 vg/eye. 4D-125 has been well-tolerated and has not resulted in dose-limiting toxicities. No serious adverse events related to the agent have been reported. We expect to report initial clinical data from this trial in the second half of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4D-110 for Choroideremia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 xml:space="preserve">Choroideremia is a monogenic blinding disease, affecting approximately 13,000 patients in the United States and EU-5. No products are approved currently for the treatment of this disease in the United States or European Union. This X-linked, progressive degenerative disease of the retina and choroid is caused exclusively by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that encodes for the REP1 protein. While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choroideremia primarily affects men, some heterozygous females also suffer variable visual loss from the condition.</w:t>
      </w:r>
    </w:p>
    <w:p>
      <w:pPr>
        <w:spacing w:after="0" w:line="212"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 xml:space="preserve">Choroideremia initially manifests as night-blindness and peripheral visual field defects, usually starting in the first two decades of life. As the disease progresses, the visual field begins to constrict relatively early in the disease’s progression, which hinders patients’ ability to conduct daily activities, such as driving. Many patients become blind by 30 years of age. A patient with advanced disease will be legally blind by virtue of poor visual acuity and minimal preserved visual field. Almost all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result in production of a non-functional REP1 protein. REP1 is essential for the activation (prenylation) of Ras-associated binding (“Rab”) proteins involved in intracellular vesicle trafficking.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 xml:space="preserve">We are developing 4D-110 for the treatment of choroideremia. 4D-110 is designed for a single intravitreal injection and to benefit patients at all stages of disease, including early stage patients whose entire viable retinas are not adequately treated by subretinal injection. 4D-110 is comprised of R100 and is engineered to deliver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transgene, the dysfunctional gene in choroideremia, to human RPE cells safely. We believe that 4D-110 has the potential, if approved, to successfully treat choroideremia patients at the earliest stages of their disease progression and ideally, slow or prevent progression and retain vision.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Choroideremia</w:t>
      </w:r>
    </w:p>
    <w:p>
      <w:pPr>
        <w:spacing w:after="0" w:line="104"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Conventional subretinal AAV gene therapy approaches are being developed to treat choroideremia. Subretinal administration results in transduction and direct treatment of only a small fraction of the retina. Biogen is developing a subretinally administered product candidate for choroideremia called NSR-REP1. In 2018, data was reported from a Phase 1/2 clinical trial in patients with end-stage choroideremia, who have only a small remaining area of viable retinal cells in the central field of vision and reduced visual acuity. In this trial, investigators concluded that best corrected visual acuity improved in a subset of patients. A pivotal randomized Phase 3 clinical trial was initiated in 2018. This AAV gene therapy approach requires invasive subretinal surgery, which has been associated with subretinal surgery-related adverse events. In addition, subretinal surgery results in transduction of only a small fraction of the retina and is therefore limited to patients with more advanced disease who have a small remaining area of viable retinal cells.</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believe 4D-110 has the potential to be differentiated from AAV gene therapies in development on the basis of four design</w:t>
      </w:r>
    </w:p>
    <w:p>
      <w:pPr>
        <w:spacing w:after="0"/>
        <w:rPr>
          <w:sz w:val="20"/>
          <w:szCs w:val="20"/>
          <w:color w:val="auto"/>
        </w:rPr>
      </w:pPr>
      <w:r>
        <w:rPr>
          <w:rFonts w:ascii="Arial" w:cs="Arial" w:eastAsia="Arial" w:hAnsi="Arial"/>
          <w:sz w:val="18"/>
          <w:szCs w:val="18"/>
          <w:color w:val="auto"/>
        </w:rPr>
        <w:t>features:</w:t>
      </w:r>
    </w:p>
    <w:p>
      <w:pPr>
        <w:spacing w:after="0" w:line="104" w:lineRule="exact"/>
        <w:rPr>
          <w:sz w:val="20"/>
          <w:szCs w:val="20"/>
          <w:color w:val="auto"/>
        </w:rPr>
      </w:pPr>
    </w:p>
    <w:p>
      <w:pPr>
        <w:ind w:left="1020" w:hanging="283"/>
        <w:spacing w:after="0" w:line="23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Safe and routine intravitreal route of administration</w:t>
      </w:r>
      <w:r>
        <w:rPr>
          <w:rFonts w:ascii="Arial" w:cs="Arial" w:eastAsia="Arial" w:hAnsi="Arial"/>
          <w:sz w:val="18"/>
          <w:szCs w:val="18"/>
          <w:color w:val="auto"/>
        </w:rPr>
        <w:t>: Unlike conventional AAV vectors such as AAV2, which are utilized in subretinal surgery product candidates for choroideremia, R100 was specifically selected for simple and safe intravitreal injection. Notwithstanding any potential design features of 4D-110, this ease of administration should result in safer and faster clinical trial enrollment, better efficacy and faster market uptake.</w:t>
      </w:r>
    </w:p>
    <w:p>
      <w:pPr>
        <w:spacing w:after="0" w:line="96" w:lineRule="exact"/>
        <w:rPr>
          <w:rFonts w:ascii="Arial" w:cs="Arial" w:eastAsia="Arial" w:hAnsi="Arial"/>
          <w:sz w:val="18"/>
          <w:szCs w:val="18"/>
          <w:color w:val="auto"/>
        </w:rPr>
      </w:pPr>
    </w:p>
    <w:p>
      <w:pPr>
        <w:jc w:val="both"/>
        <w:ind w:left="1020" w:right="360" w:hanging="28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Treatment of the entire retinal surface:</w:t>
      </w:r>
      <w:r>
        <w:rPr>
          <w:rFonts w:ascii="Arial" w:cs="Arial" w:eastAsia="Arial" w:hAnsi="Arial"/>
          <w:sz w:val="18"/>
          <w:szCs w:val="18"/>
          <w:color w:val="auto"/>
        </w:rPr>
        <w:t xml:space="preserve"> Unlike products candidates utilizing conventional AAV vectors and administered by subretinal surgery, which reportedly treat a small fraction of the retinal surface, 4D-110 can be used to treat the entire retinal surface following intravitreal injection.</w:t>
      </w:r>
    </w:p>
    <w:p>
      <w:pPr>
        <w:spacing w:after="0" w:line="94" w:lineRule="exact"/>
        <w:rPr>
          <w:rFonts w:ascii="Arial" w:cs="Arial" w:eastAsia="Arial" w:hAnsi="Arial"/>
          <w:sz w:val="18"/>
          <w:szCs w:val="18"/>
          <w:color w:val="auto"/>
        </w:rPr>
      </w:pPr>
    </w:p>
    <w:p>
      <w:pPr>
        <w:jc w:val="both"/>
        <w:ind w:left="1020" w:right="100" w:hanging="283"/>
        <w:spacing w:after="0" w:line="23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Feasibility of treating early stage patients:</w:t>
      </w:r>
      <w:r>
        <w:rPr>
          <w:rFonts w:ascii="Arial" w:cs="Arial" w:eastAsia="Arial" w:hAnsi="Arial"/>
          <w:sz w:val="18"/>
          <w:szCs w:val="18"/>
          <w:color w:val="auto"/>
        </w:rPr>
        <w:t xml:space="preserve"> We believe 4D-110 has the potential to safely treat early stage patients before they start to lose their retina. 4D-110 is designed to treat the entire surface of the retina, including the periphery where degenerative diseases like choroideremia start. In addition, intravitreal injection is recognized as a safe, simple and routinely used method of administering therapeutics.</w:t>
      </w:r>
    </w:p>
    <w:p>
      <w:pPr>
        <w:spacing w:after="0" w:line="96" w:lineRule="exact"/>
        <w:rPr>
          <w:rFonts w:ascii="Arial" w:cs="Arial" w:eastAsia="Arial" w:hAnsi="Arial"/>
          <w:sz w:val="18"/>
          <w:szCs w:val="18"/>
          <w:color w:val="auto"/>
        </w:rPr>
      </w:pPr>
    </w:p>
    <w:p>
      <w:pPr>
        <w:ind w:left="1020" w:right="240" w:hanging="283"/>
        <w:spacing w:after="0" w:line="274"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Commercial opportunity</w:t>
      </w:r>
      <w:r>
        <w:rPr>
          <w:rFonts w:ascii="Arial" w:cs="Arial" w:eastAsia="Arial" w:hAnsi="Arial"/>
          <w:sz w:val="17"/>
          <w:szCs w:val="17"/>
          <w:color w:val="auto"/>
        </w:rPr>
        <w:t>: Intravitreal injections are widely adopted by many practicing ophthalmologists and used to treat a number of ophthalmological indications. As a result, we believe 4D-110 has the potential for rapid market uptake, if approved.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right="80" w:firstLine="734"/>
        <w:spacing w:after="0" w:line="246" w:lineRule="auto"/>
        <w:rPr>
          <w:sz w:val="20"/>
          <w:szCs w:val="20"/>
          <w:color w:val="auto"/>
        </w:rPr>
      </w:pPr>
      <w:r>
        <w:rPr>
          <w:rFonts w:ascii="Arial" w:cs="Arial" w:eastAsia="Arial" w:hAnsi="Arial"/>
          <w:sz w:val="18"/>
          <w:szCs w:val="18"/>
          <w:color w:val="auto"/>
        </w:rPr>
        <w:t>A total of 44 NHPs have been treated with 4D-110 on two GLP toxicology and biodistribution studies. No significant adverse effects or toxicities were reported.</w:t>
      </w:r>
    </w:p>
    <w:p>
      <w:pPr>
        <w:spacing w:after="0" w:line="197"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 xml:space="preserve">We completed a single dose IND-enabling toxicology and biodistribution study in 27 NHPs dosed with 4D-110. 4D-110 was administered at doses of 1E11 vg/eye or 1E12 vg/eye by intravitreal injection. Animals were sacrificed at three weeks, three months or six months. No meaningful toxicities were reported anywhere in the body, including specifically within the retina. Mild, transient cortico-steroid responsive anterior uveitis was reported in a minority of treated NHP. No chronic inflammation was reported; all animals were under systemic immunosuppression during the study. We detected vector genomes and </w:t>
      </w:r>
      <w:r>
        <w:rPr>
          <w:rFonts w:ascii="Arial" w:cs="Arial" w:eastAsia="Arial" w:hAnsi="Arial"/>
          <w:sz w:val="18"/>
          <w:szCs w:val="18"/>
          <w:i w:val="1"/>
          <w:iCs w:val="1"/>
          <w:color w:val="auto"/>
        </w:rPr>
        <w:t>CHM/REP1</w:t>
      </w:r>
      <w:r>
        <w:rPr>
          <w:rFonts w:ascii="Arial" w:cs="Arial" w:eastAsia="Arial" w:hAnsi="Arial"/>
          <w:sz w:val="18"/>
          <w:szCs w:val="18"/>
          <w:color w:val="auto"/>
        </w:rPr>
        <w:t xml:space="preserve"> transgene RNA expression in all treated retinas at both dose levels; the genome and RNA levels were higher in the high dose animals.</w:t>
      </w:r>
    </w:p>
    <w:p>
      <w:pPr>
        <w:spacing w:after="0" w:line="205" w:lineRule="exact"/>
        <w:rPr>
          <w:sz w:val="20"/>
          <w:szCs w:val="20"/>
          <w:color w:val="auto"/>
        </w:rPr>
      </w:pPr>
    </w:p>
    <w:p>
      <w:pPr>
        <w:jc w:val="both"/>
        <w:ind w:right="60" w:firstLine="734"/>
        <w:spacing w:after="0"/>
        <w:rPr>
          <w:sz w:val="20"/>
          <w:szCs w:val="20"/>
          <w:color w:val="auto"/>
        </w:rPr>
      </w:pPr>
      <w:r>
        <w:rPr>
          <w:rFonts w:ascii="Arial" w:cs="Arial" w:eastAsia="Arial" w:hAnsi="Arial"/>
          <w:sz w:val="18"/>
          <w:szCs w:val="18"/>
          <w:color w:val="auto"/>
        </w:rPr>
        <w:t>We subsequently completed a bilateral intravitreal 4D-110 GLP toxicology and biodistribution study in 17 NHPs dosed with 4D-110. 4D-110 was administered at doses of 3E11 vg/eye or 1E12 vg/eye by intravitreal injection. Animals were sacrificed at three weeks, 13 weeks and 26 weeks. No meaningful toxicities were reported anywhere in the body, including specifically within the retina.</w:t>
      </w:r>
    </w:p>
    <w:p>
      <w:pPr>
        <w:spacing w:after="0" w:line="203" w:lineRule="exact"/>
        <w:rPr>
          <w:sz w:val="20"/>
          <w:szCs w:val="20"/>
          <w:color w:val="auto"/>
        </w:rPr>
      </w:pPr>
    </w:p>
    <w:p>
      <w:pPr>
        <w:ind w:right="240" w:firstLine="734"/>
        <w:spacing w:after="0"/>
        <w:rPr>
          <w:sz w:val="20"/>
          <w:szCs w:val="20"/>
          <w:color w:val="auto"/>
        </w:rPr>
      </w:pPr>
      <w:r>
        <w:rPr>
          <w:rFonts w:ascii="Arial" w:cs="Arial" w:eastAsia="Arial" w:hAnsi="Arial"/>
          <w:sz w:val="18"/>
          <w:szCs w:val="18"/>
          <w:color w:val="auto"/>
        </w:rPr>
        <w:t xml:space="preserve">Transient cortico-steroid responsive uveitis was reported. No chronic inflammation was reported; all animals were under systemic immunosuppression during the study. We detected vector genomes and </w:t>
      </w:r>
      <w:r>
        <w:rPr>
          <w:rFonts w:ascii="Arial" w:cs="Arial" w:eastAsia="Arial" w:hAnsi="Arial"/>
          <w:sz w:val="18"/>
          <w:szCs w:val="18"/>
          <w:i w:val="1"/>
          <w:iCs w:val="1"/>
          <w:color w:val="auto"/>
        </w:rPr>
        <w:t>CHM/REP1</w:t>
      </w:r>
      <w:r>
        <w:rPr>
          <w:rFonts w:ascii="Arial" w:cs="Arial" w:eastAsia="Arial" w:hAnsi="Arial"/>
          <w:sz w:val="18"/>
          <w:szCs w:val="18"/>
          <w:color w:val="auto"/>
        </w:rPr>
        <w:t xml:space="preserve"> transgene RNA expression in treated retinas at both dose levels.</w:t>
      </w:r>
    </w:p>
    <w:p>
      <w:pPr>
        <w:spacing w:after="0" w:line="203"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In preclinical pharmacology studies involving human choroideremia patient-derived RPE cells, 4D-110 led to functional REP1 protein expression that corrected RAB27A trafficking from the cytoplasm to the cell membrane. In similar fashion to normal RPE cells, 4D-110-treated diseased RPE cells derived from choroideremia patients had RAB27A protein associated with their cell membranes; this finding confirmed the functionality of the REP1 protein expressed from 4D-110. In contrast, in untreated diseased cells, RAB27A was demonstrated diffusely throughout the cytoplasm.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 Clinical Trial and Natural History Study</w:t>
      </w:r>
    </w:p>
    <w:p>
      <w:pPr>
        <w:spacing w:after="0" w:line="104"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have fully enrolled a natural history study of over 50 patients with choroideremia to document rate of visual and anatomical decline, and to identify candidates who are most likely to benefit from participation in our current Phase 1/2 clinical trial. Fifty-five patients were enrolled and 47 of these patients have been followed for at least two years. Statistically significant declines in fundus autofluorescence area were reported by investigators over the two-year span after enrollment, with progression evident within 12 months. We expect that many of these subjects will enroll in our current Phase 1 clinical trial, or in future trials we may conduct.</w:t>
      </w:r>
    </w:p>
    <w:p>
      <w:pPr>
        <w:spacing w:after="0" w:line="202"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 xml:space="preserve">We are currently enrolling patients on a Phase 1 clinical trial. This is a dose-escalation and dose-expansion trial of intravitreal injection with 4D-110 in patients with choroideremia due to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mutation. The primary objectives of this trial are to evaluate the safety and maximum-tolerated dose of 4D-110. Secondary endpoints include assessments of biologic activity, including visual acuity, visual field function and anatomical endpoints. Endpoint changes in each individual treated patient over time, before treatment while on the Natural History Study, will be compared to endpoint changes after 4D-110 treatment in the same patient whenever possible. Patients may therefore serve as their own control for assessments of these endpoints. Enrollment has been completed in the dose escalation phase of this study, with six patients treated. The dose expansion phase of this study will enroll patients at the highest Phase 1 dose of 1E12 vg/eye. 4D-110 has been well-tolerated and has not resulted in dose-limiting toxicities. In coordination with our partner Roche, we expect to report initial clinical data from this trial in 2022. We licensed exclusive worldwide rights to 4D-110 to Roche.</w:t>
      </w:r>
    </w:p>
    <w:p>
      <w:pPr>
        <w:spacing w:after="0" w:line="207" w:lineRule="exact"/>
        <w:rPr>
          <w:sz w:val="20"/>
          <w:szCs w:val="20"/>
          <w:color w:val="auto"/>
        </w:rPr>
      </w:pPr>
    </w:p>
    <w:p>
      <w:pPr>
        <w:ind w:right="160" w:firstLine="734"/>
        <w:spacing w:after="0"/>
        <w:rPr>
          <w:sz w:val="20"/>
          <w:szCs w:val="20"/>
          <w:color w:val="auto"/>
        </w:rPr>
      </w:pPr>
      <w:r>
        <w:rPr>
          <w:rFonts w:ascii="Arial" w:cs="Arial" w:eastAsia="Arial" w:hAnsi="Arial"/>
          <w:sz w:val="18"/>
          <w:szCs w:val="18"/>
          <w:color w:val="auto"/>
        </w:rPr>
        <w:t>We licensed exclusive worldwide rights of 4D-110 to Roche in 2017. We are primarily responsible for initial development, including preclinical development, manufacturing, filing and maintaining the IND and conducting the Phase 1 clinical trial. Upon completion of initial development, Roche will be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9" w:name="page40"/>
    <w:bookmarkEnd w:id="39"/>
    <w:p>
      <w:pPr>
        <w:ind w:right="1020"/>
        <w:spacing w:after="0" w:line="246" w:lineRule="auto"/>
        <w:rPr>
          <w:sz w:val="20"/>
          <w:szCs w:val="20"/>
          <w:color w:val="auto"/>
        </w:rPr>
      </w:pPr>
      <w:r>
        <w:rPr>
          <w:rFonts w:ascii="Arial" w:cs="Arial" w:eastAsia="Arial" w:hAnsi="Arial"/>
          <w:sz w:val="18"/>
          <w:szCs w:val="18"/>
          <w:color w:val="auto"/>
        </w:rPr>
        <w:t>responsible for development including conducting any pivotal clinical trials and commercialization, if approved. We are entitled to development costs reimbursement, development milestones and royalties and sales milestones on this product candidate.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4D-150 for Wet AMD and Diabetic Retinopathy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right="120" w:firstLine="734"/>
        <w:spacing w:after="0" w:line="237" w:lineRule="auto"/>
        <w:rPr>
          <w:sz w:val="20"/>
          <w:szCs w:val="20"/>
          <w:color w:val="auto"/>
        </w:rPr>
      </w:pPr>
      <w:r>
        <w:rPr>
          <w:rFonts w:ascii="Arial" w:cs="Arial" w:eastAsia="Arial" w:hAnsi="Arial"/>
          <w:sz w:val="18"/>
          <w:szCs w:val="18"/>
          <w:color w:val="auto"/>
        </w:rPr>
        <w:t>Wet AMD is a type of macular degeneration where abnormal blood vessels (choroidal neovascularization or CNV) grow into the macula, the central area of the retina. As a consequence, CNV causes retina swelling and edema, and bleeding can occur and cause visual distortion and reduced acuity. The proliferation of abnormal blood vessels in the retina is stimulated by VEGF. This process distorts and can potentially destroy central vision and may progress to blindness without treatment. There are on average 200,000 new incidences of wet AMD per year in the United States alone. Wet AMD accounts for approximately 10% of all diagnosed cases of AMD, but it results in an estimated 90% of the legal blindness caused by all types of AMD. High expression levels of VEGF appear to play a causal role in the symptoms of wet AMD.</w:t>
      </w:r>
    </w:p>
    <w:p>
      <w:pPr>
        <w:spacing w:after="0" w:line="203" w:lineRule="exact"/>
        <w:rPr>
          <w:sz w:val="20"/>
          <w:szCs w:val="20"/>
          <w:color w:val="auto"/>
        </w:rPr>
      </w:pPr>
    </w:p>
    <w:p>
      <w:pPr>
        <w:ind w:right="200" w:firstLine="734"/>
        <w:spacing w:after="0" w:line="237" w:lineRule="auto"/>
        <w:rPr>
          <w:sz w:val="20"/>
          <w:szCs w:val="20"/>
          <w:color w:val="auto"/>
        </w:rPr>
      </w:pPr>
      <w:r>
        <w:rPr>
          <w:rFonts w:ascii="Arial" w:cs="Arial" w:eastAsia="Arial" w:hAnsi="Arial"/>
          <w:sz w:val="18"/>
          <w:szCs w:val="18"/>
          <w:color w:val="auto"/>
        </w:rPr>
        <w:t>Diabetes mellitus affects approximately 400 million adults worldwide and the prevalence is expected to increase by approximately 45% in the next decade. Diabetic eye disease, primarily diabetic retinopathy (“DR”), is a leading cause of vision loss and blindness in working-age adults and occurs due to the development of diabetic macular edema (“DME”; swelling, edema and hemorrhage in the central vision) and complications arising from proliferative diabetic retinopathy (PDR; retinal neovascularization causing bleeding and retinal detachment). The prevalence of diabetic retinopathy is high, affecting almost one-third of adults over 40 years of age with diabetes. In the United States approximately 4.2 million adults have DR and 655,000 have vision-threatening DR.</w:t>
      </w:r>
    </w:p>
    <w:p>
      <w:pPr>
        <w:spacing w:after="0" w:line="205" w:lineRule="exact"/>
        <w:rPr>
          <w:sz w:val="20"/>
          <w:szCs w:val="20"/>
          <w:color w:val="auto"/>
        </w:rPr>
      </w:pPr>
    </w:p>
    <w:p>
      <w:pPr>
        <w:ind w:right="240" w:firstLine="734"/>
        <w:spacing w:after="0" w:line="237" w:lineRule="auto"/>
        <w:rPr>
          <w:sz w:val="20"/>
          <w:szCs w:val="20"/>
          <w:color w:val="auto"/>
        </w:rPr>
      </w:pPr>
      <w:r>
        <w:rPr>
          <w:rFonts w:ascii="Arial" w:cs="Arial" w:eastAsia="Arial" w:hAnsi="Arial"/>
          <w:sz w:val="18"/>
          <w:szCs w:val="18"/>
          <w:color w:val="auto"/>
        </w:rPr>
        <w:t>The current treatment paradigm for wet AMD and diabetic retinopathy, including DME, is intravitreal injection of patients with anti-VEGF proteins that inhibit the proliferation of new blood vessels, reducing edema and bleeding and allowing some visual acuity to be recovered. Most anti-VEGF therapies require repeated intravitreal injections in office every few weeks to every few months to obtain full efficacy. When patients miss doses, they may experience accelerated vision decline. Based on current clinical experience, after several years of treatment, the early vision gains are frequently lost, and acuity declines are observed for reasons that may include variable treatment regimens and poor patient compliance.</w:t>
      </w:r>
    </w:p>
    <w:p>
      <w:pPr>
        <w:spacing w:after="0" w:line="205"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believe these major retinal diseases are ideal candidate applications for gene therapy. There are multiple products on the market that validate the anti-VEGF therapeutic approach, and emerging randomized clinical trial data suggests that inhibiting additional molecular targets can extend the efficacy and durability of anti-VEGF alone. Delivering intravitreal therapies to the eye is routine, and there is an advantage for a single dose gene therapy that can provide long-term efficacy in patients for whom compliance, or treatment resistance, is a problem.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We are developing 4D-150, a wholly owned intravitreal AAV gene therapy candidate for wet AMD and diabetic retinopathy, including DME. These angiogenic diseases of the retina, including wet AMD and diabetic retinopathy, represent therapeutic markets of over $9.7 billion in annual global sales. We retain all worldwide rights to 4D-150.</w:t>
      </w:r>
    </w:p>
    <w:p>
      <w:pPr>
        <w:spacing w:after="0" w:line="203"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This product candidate is engineered for three distinct mechanisms-of-action. 4D-150 is engineered to inhibit VEGF and PlGF (placental growth factor) via aflibercept expression and secretion, and to inhibit a third angiogenic factor via an additional transgene insert. We believe that targeting three different angiogenic factors has the potential for greater efficacy versus a single anti-VEGF mechanism-of-action in patients with these retinal diseases, including patients with resistance to anti-VEGF therapy alone. Intravitreal delivery of biologics to the eye is routine, and there would be an advantage for a single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dose therapy that could provide long-term efficacy in patients for whom compliance, or treatment resistance, is a problem.</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wet AMD and Diabetic Retinopathy</w:t>
      </w:r>
    </w:p>
    <w:p>
      <w:pPr>
        <w:spacing w:after="0" w:line="104"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 xml:space="preserve">AAV gene therapy approaches are being developed by several companies to treat wet AMD by delivering a functional copy of an anti-angiogenic transgene by either subretinal injection with a conventional AAV vector, or intravitreal administration with a mouse-evolved vector. It remains to be demonstrated whether conventional AAVs or mouse-evolved vectors can deliver significant retinal coverage while limiting off-target effects. In comparison, our targeted and evolved vectors are designed and tested in NHPs which more closely resembles the anatomy of the human eye. We believe this provides comprehensive retinal coverage through less invasive and more commonly used intravitreal injections while delivering an improved tolerability profile with limited inflammation. To our knowledge, 4D-150 would be the only AAV gene therapy asset in wet AMD and DR to utilize an intravitreal vector (R100) discovered through directed evolution in NHP. In addition, </w:t>
      </w:r>
      <w:r>
        <w:rPr>
          <w:rFonts w:ascii="Arial" w:cs="Arial" w:eastAsia="Arial" w:hAnsi="Arial"/>
          <w:sz w:val="18"/>
          <w:szCs w:val="18"/>
          <w:i w:val="1"/>
          <w:iCs w:val="1"/>
          <w:color w:val="auto"/>
        </w:rPr>
        <w:t xml:space="preserve">in vitro </w:t>
      </w:r>
      <w:r>
        <w:rPr>
          <w:rFonts w:ascii="Arial" w:cs="Arial" w:eastAsia="Arial" w:hAnsi="Arial"/>
          <w:sz w:val="18"/>
          <w:szCs w:val="18"/>
          <w:color w:val="auto"/>
        </w:rPr>
        <w:t>studies of R100 versus AAV2 have shown superior transduction by R100 on human retinal cells. We have not compared R100 to</w:t>
      </w:r>
      <w:r>
        <w:rPr>
          <w:rFonts w:ascii="Arial" w:cs="Arial" w:eastAsia="Arial" w:hAnsi="Arial"/>
          <w:sz w:val="18"/>
          <w:szCs w:val="18"/>
          <w:i w:val="1"/>
          <w:iCs w:val="1"/>
          <w:color w:val="auto"/>
        </w:rPr>
        <w:t xml:space="preserve"> </w:t>
      </w:r>
      <w:r>
        <w:rPr>
          <w:rFonts w:ascii="Arial" w:cs="Arial" w:eastAsia="Arial" w:hAnsi="Arial"/>
          <w:sz w:val="18"/>
          <w:szCs w:val="18"/>
          <w:color w:val="auto"/>
        </w:rPr>
        <w:t>AAV2 in patients in clinical studies. R100 has been associated with a low inflammation profile and lack of adverse findings in 91 NHP eyes injected on GLP toxicology studies.</w:t>
      </w:r>
    </w:p>
    <w:p>
      <w:pPr>
        <w:spacing w:after="0" w:line="206"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In addition, to our knowledge, 4D-150 is the first gene therapy product candidate for the eye designed to implement three mechanisms of action by directly inhibiting three different angiogenic growth factor targets, including VEGF and PlGF. We therefore believe there is significant differentiation between our gene therapy product candidate and other AAV gene therapeutics in development in this therapeutic area.</w:t>
      </w:r>
    </w:p>
    <w:p>
      <w:pPr>
        <w:spacing w:after="0" w:line="205" w:lineRule="exact"/>
        <w:rPr>
          <w:sz w:val="20"/>
          <w:szCs w:val="20"/>
          <w:color w:val="auto"/>
        </w:rPr>
      </w:pPr>
    </w:p>
    <w:p>
      <w:pPr>
        <w:ind w:right="20" w:firstLine="734"/>
        <w:spacing w:after="0" w:line="246" w:lineRule="auto"/>
        <w:rPr>
          <w:sz w:val="20"/>
          <w:szCs w:val="20"/>
          <w:color w:val="auto"/>
        </w:rPr>
      </w:pPr>
      <w:r>
        <w:rPr>
          <w:rFonts w:ascii="Arial" w:cs="Arial" w:eastAsia="Arial" w:hAnsi="Arial"/>
          <w:sz w:val="18"/>
          <w:szCs w:val="18"/>
          <w:color w:val="auto"/>
        </w:rPr>
        <w:t>We believe 4D-150 has the potential to be differentiated from approved agents, and those in clinical development to our knowledge, on the basis of five design features:</w:t>
      </w:r>
    </w:p>
    <w:p>
      <w:pPr>
        <w:spacing w:after="0" w:line="89" w:lineRule="exact"/>
        <w:rPr>
          <w:sz w:val="20"/>
          <w:szCs w:val="20"/>
          <w:color w:val="auto"/>
        </w:rPr>
      </w:pPr>
    </w:p>
    <w:p>
      <w:pPr>
        <w:ind w:left="1020" w:right="100" w:hanging="28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Three distinct mechanisms-of-action</w:t>
      </w:r>
      <w:r>
        <w:rPr>
          <w:rFonts w:ascii="Arial" w:cs="Arial" w:eastAsia="Arial" w:hAnsi="Arial"/>
          <w:sz w:val="18"/>
          <w:szCs w:val="18"/>
          <w:color w:val="auto"/>
        </w:rPr>
        <w:t>: An intravitreal dose of 4D-150 should result in sustained anti-angiogenic effects through three distinct mechanisms of action.</w:t>
      </w:r>
    </w:p>
    <w:p>
      <w:pPr>
        <w:spacing w:after="0" w:line="88" w:lineRule="exact"/>
        <w:rPr>
          <w:rFonts w:ascii="Arial" w:cs="Arial" w:eastAsia="Arial" w:hAnsi="Arial"/>
          <w:sz w:val="18"/>
          <w:szCs w:val="18"/>
          <w:color w:val="auto"/>
        </w:rPr>
      </w:pPr>
    </w:p>
    <w:p>
      <w:pPr>
        <w:ind w:left="1020" w:right="280" w:hanging="28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intravitreal protein therapeutics that require repeat dosing every few weeks for a patient’s lifetime, 4D-150 is designed as a one-time dose.</w:t>
      </w:r>
    </w:p>
    <w:p>
      <w:pPr>
        <w:spacing w:after="0" w:line="88" w:lineRule="exact"/>
        <w:rPr>
          <w:rFonts w:ascii="Arial" w:cs="Arial" w:eastAsia="Arial" w:hAnsi="Arial"/>
          <w:sz w:val="18"/>
          <w:szCs w:val="18"/>
          <w:color w:val="auto"/>
        </w:rPr>
      </w:pPr>
    </w:p>
    <w:p>
      <w:pPr>
        <w:ind w:left="1020" w:right="180" w:hanging="28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Novel vector evolved in NHPs for efficient intravitreal delivery</w:t>
      </w:r>
      <w:r>
        <w:rPr>
          <w:rFonts w:ascii="Arial" w:cs="Arial" w:eastAsia="Arial" w:hAnsi="Arial"/>
          <w:sz w:val="18"/>
          <w:szCs w:val="18"/>
          <w:color w:val="auto"/>
        </w:rPr>
        <w:t>: Unlike conventional AAV vectors such as AAV2 or the mouse-evolved AAV vector 7m8, R100 was specifically selected from our collection of over one billion synthetic capsid sequences in NHPs and for use in humans.</w:t>
      </w:r>
    </w:p>
    <w:p>
      <w:pPr>
        <w:spacing w:after="0" w:line="94" w:lineRule="exact"/>
        <w:rPr>
          <w:rFonts w:ascii="Arial" w:cs="Arial" w:eastAsia="Arial" w:hAnsi="Arial"/>
          <w:sz w:val="18"/>
          <w:szCs w:val="18"/>
          <w:color w:val="auto"/>
        </w:rPr>
      </w:pPr>
    </w:p>
    <w:p>
      <w:pPr>
        <w:jc w:val="both"/>
        <w:ind w:left="1020" w:right="260" w:hanging="283"/>
        <w:spacing w:after="0" w:line="23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Low inflammation profile design</w:t>
      </w:r>
      <w:r>
        <w:rPr>
          <w:rFonts w:ascii="Arial" w:cs="Arial" w:eastAsia="Arial" w:hAnsi="Arial"/>
          <w:sz w:val="18"/>
          <w:szCs w:val="18"/>
          <w:color w:val="auto"/>
        </w:rPr>
        <w:t>: Following intravitreal injection, R100 has shown low inflammation profile and no significant adverse findings in three GLP toxicology studies, involving 91 NHP eyes, with two different 4DMT products utilizing the R100 vector (4D-110, 4D-125). In addition, R100 vector-based product candidates 4D-125 and 4D-110 have been administered to twelve patients at doses up to 1E12 vg/eye without dose-limiting toxicities or serious adverse events observed to date.</w:t>
      </w:r>
    </w:p>
    <w:p>
      <w:pPr>
        <w:spacing w:after="0" w:line="96" w:lineRule="exact"/>
        <w:rPr>
          <w:rFonts w:ascii="Arial" w:cs="Arial" w:eastAsia="Arial" w:hAnsi="Arial"/>
          <w:sz w:val="18"/>
          <w:szCs w:val="18"/>
          <w:color w:val="auto"/>
        </w:rPr>
      </w:pPr>
    </w:p>
    <w:p>
      <w:pPr>
        <w:ind w:left="1020" w:hanging="283"/>
        <w:spacing w:after="0" w:line="23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Commercial opportunity</w:t>
      </w:r>
      <w:r>
        <w:rPr>
          <w:rFonts w:ascii="Arial" w:cs="Arial" w:eastAsia="Arial" w:hAnsi="Arial"/>
          <w:sz w:val="18"/>
          <w:szCs w:val="18"/>
          <w:color w:val="auto"/>
        </w:rPr>
        <w:t>: Intravitreal injections are widely adopted by many practicing ophthalmologists and used to treat a number of ophthalmological indications. As a result, we believe 4D-150 has the potential for rapid market uptake, if approved. Additionally, the low inflammation profile we have observed in our R100-based GLP toxicology studies, if reproduced in the clinic with 4D-150, may promote broad product adoption if approved.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We carried out a proof-of-concept efficacy study in NHPs with a research construct using the R100 vector to deliver an anti-VEGF transgene (R100.anti-VEGF). In this study using the retinal laser-induced CNV model, we treated animals with intravitreal R100.anti-VEGF at doses of both 1E11 and 1E12 vg per eye. Animals received steroid treatment for 28 days following IVT administration of R100.anti-VEGF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1" w:name="page42"/>
    <w:bookmarkEnd w:id="41"/>
    <w:p>
      <w:pPr>
        <w:spacing w:after="0" w:line="238" w:lineRule="auto"/>
        <w:rPr>
          <w:sz w:val="20"/>
          <w:szCs w:val="20"/>
          <w:color w:val="auto"/>
        </w:rPr>
      </w:pPr>
      <w:r>
        <w:rPr>
          <w:rFonts w:ascii="Arial" w:cs="Arial" w:eastAsia="Arial" w:hAnsi="Arial"/>
          <w:sz w:val="18"/>
          <w:szCs w:val="18"/>
          <w:color w:val="auto"/>
        </w:rPr>
        <w:t>remained off steroids for the remainder of the study. No adverse findings were reported in-life through 12 months of follow up. We demonstrated sustained transgene expression through detection of anti-VEGF activity in serial aqueous humor samples. Control animals had the most severe (grade 4) angiogenic and leaky retina lesions in approximately 26% (19 of 72) of laser-targeted sites at two weeks and four weeks. Conversely, none of the sites in treated animals at either dose level at either timepoint had grade 4 lesions (p&lt;0.0001).</w:t>
      </w:r>
    </w:p>
    <w:p>
      <w:pPr>
        <w:spacing w:after="0" w:line="295" w:lineRule="exact"/>
        <w:rPr>
          <w:sz w:val="20"/>
          <w:szCs w:val="20"/>
          <w:color w:val="auto"/>
        </w:rPr>
      </w:pPr>
    </w:p>
    <w:p>
      <w:pPr>
        <w:jc w:val="center"/>
        <w:ind w:left="360" w:right="20"/>
        <w:spacing w:after="0" w:line="250" w:lineRule="auto"/>
        <w:rPr>
          <w:sz w:val="20"/>
          <w:szCs w:val="20"/>
          <w:color w:val="auto"/>
        </w:rPr>
      </w:pPr>
      <w:r>
        <w:rPr>
          <w:rFonts w:ascii="Arial" w:cs="Arial" w:eastAsia="Arial" w:hAnsi="Arial"/>
          <w:sz w:val="18"/>
          <w:szCs w:val="18"/>
          <w:i w:val="1"/>
          <w:iCs w:val="1"/>
          <w:color w:val="auto"/>
        </w:rPr>
        <w:t>Our 4D-150 prototype comprising R100 expressing an anti-VEGF protein prevented development of Grade IV lesions at 2 and 4 weeks after administration in 100% of lasered locations in the NHP retina (at both low and high doses) with evidence of sustained transgene expression through detection of anti-VEGF activity in serial aqueous humor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141605</wp:posOffset>
            </wp:positionV>
            <wp:extent cx="4680585" cy="45516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80585" cy="455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517525</wp:posOffset>
            </wp:positionV>
            <wp:extent cx="2846070" cy="3008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84607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 w:hanging="142"/>
        <w:spacing w:after="0"/>
        <w:tabs>
          <w:tab w:leader="none" w:pos="3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 the 1E12 vg treatment group, three NHP eyes (18 lesions) and two NHP eyes (12 lesions) were not assessable at the 2 week and 4</w:t>
      </w:r>
    </w:p>
    <w:p>
      <w:pPr>
        <w:spacing w:after="0" w:line="13" w:lineRule="exact"/>
        <w:rPr>
          <w:rFonts w:ascii="Arial" w:cs="Arial" w:eastAsia="Arial" w:hAnsi="Arial"/>
          <w:sz w:val="18"/>
          <w:szCs w:val="18"/>
          <w:i w:val="1"/>
          <w:iCs w:val="1"/>
          <w:color w:val="auto"/>
        </w:rPr>
      </w:pPr>
    </w:p>
    <w:p>
      <w:pPr>
        <w:ind w:left="44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week timepoints, respectively.</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study of 4D-150 is ongoing in the retinal laser-induced CNV model in NHPs to assess efficacy, toxicology and biodistribution.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Development Plan</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expect to initiate a clinical trial in the second half of 2021.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4D-135 for Autosomal Dominant Retinitis Pigmentosa (“adRP”)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 xml:space="preserve">adRP is a rare inherited autosomal dominant genetic disorder that occurs in both sexes and causes progressive vision loss and blindness. There are currently no approved therapies for adRP. adRP is characterized by dysfunction and degeneration of photoreceptors in the retina. Approximately 35% of adRP cases are caused by mutations in the </w:t>
      </w:r>
      <w:r>
        <w:rPr>
          <w:rFonts w:ascii="Arial" w:cs="Arial" w:eastAsia="Arial" w:hAnsi="Arial"/>
          <w:sz w:val="18"/>
          <w:szCs w:val="18"/>
          <w:i w:val="1"/>
          <w:iCs w:val="1"/>
          <w:color w:val="auto"/>
        </w:rPr>
        <w:t>rhodopsin</w:t>
      </w:r>
      <w:r>
        <w:rPr>
          <w:rFonts w:ascii="Arial" w:cs="Arial" w:eastAsia="Arial" w:hAnsi="Arial"/>
          <w:sz w:val="18"/>
          <w:szCs w:val="18"/>
          <w:color w:val="auto"/>
        </w:rPr>
        <w:t xml:space="preserve"> (“RHO”) gene. The estimated worldwide prevalence of adRP due to RHO variants is approximately one in 52,000 people, which represents approximately 11,600 patients in the United States and EU-5. Loss of RHO function in retinal cells causes the progressive loss of rod photoreceptors, leading to the loss of vision experienced by patients. Symptoms of adRP are initially characterized by night blindness, followed by loss of peripheral visual field, decreasing visual acuity and eventually blindness.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 xml:space="preserve">We are developing 4D-135, a wholly owned intravitreal AAV gene therapy product candidate for the treatment of patients with adRP caused by mutations of the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4D-135 is designed to benefit patients at all stages of adRP, including early stage patients whose entire viable retina are not adequately treated by subretinal surgery. This product candidate is comprised of R100, an intravitreally administered targeted and evolved vector. 4D-135 is engineered to carry an RNAi targeting mutation-independent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 xml:space="preserve">adRP and a </w:t>
      </w:r>
      <w:r>
        <w:rPr>
          <w:rFonts w:ascii="Arial" w:cs="Arial" w:eastAsia="Arial" w:hAnsi="Arial"/>
          <w:sz w:val="18"/>
          <w:szCs w:val="18"/>
          <w:i w:val="1"/>
          <w:iCs w:val="1"/>
          <w:color w:val="auto"/>
        </w:rPr>
        <w:t>RHO</w:t>
      </w:r>
      <w:r>
        <w:rPr>
          <w:rFonts w:ascii="Arial" w:cs="Arial" w:eastAsia="Arial" w:hAnsi="Arial"/>
          <w:sz w:val="18"/>
          <w:szCs w:val="18"/>
          <w:color w:val="auto"/>
        </w:rPr>
        <w:t xml:space="preserve"> transgene resistant to the RNAi in a broad suppress and replace approach. We retain all worldwide rights to 4D-135.</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 Therapy for adRP</w:t>
      </w:r>
    </w:p>
    <w:p>
      <w:pPr>
        <w:spacing w:after="0" w:line="104" w:lineRule="exact"/>
        <w:rPr>
          <w:sz w:val="20"/>
          <w:szCs w:val="20"/>
          <w:color w:val="auto"/>
        </w:rPr>
      </w:pPr>
    </w:p>
    <w:p>
      <w:pPr>
        <w:ind w:right="180" w:firstLine="734"/>
        <w:spacing w:after="0"/>
        <w:rPr>
          <w:sz w:val="20"/>
          <w:szCs w:val="20"/>
          <w:color w:val="auto"/>
        </w:rPr>
      </w:pPr>
      <w:r>
        <w:rPr>
          <w:rFonts w:ascii="Arial" w:cs="Arial" w:eastAsia="Arial" w:hAnsi="Arial"/>
          <w:sz w:val="18"/>
          <w:szCs w:val="18"/>
          <w:color w:val="auto"/>
        </w:rPr>
        <w:t>A few companies are developing therapies for patients with adRP, including a subretinal AAV gene therapy product candidate. We believe 4D-135 has the potential to be differentiated from other AAV gene therapies in development to our knowledge, on the basis of five design features:</w:t>
      </w:r>
    </w:p>
    <w:p>
      <w:pPr>
        <w:spacing w:after="0" w:line="95" w:lineRule="exact"/>
        <w:rPr>
          <w:sz w:val="20"/>
          <w:szCs w:val="20"/>
          <w:color w:val="auto"/>
        </w:rPr>
      </w:pPr>
    </w:p>
    <w:p>
      <w:pPr>
        <w:ind w:left="1020" w:right="420" w:hanging="283"/>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Long term durable RNAi activity</w:t>
      </w:r>
      <w:r>
        <w:rPr>
          <w:rFonts w:ascii="Arial" w:cs="Arial" w:eastAsia="Arial" w:hAnsi="Arial"/>
          <w:sz w:val="18"/>
          <w:szCs w:val="18"/>
          <w:color w:val="auto"/>
        </w:rPr>
        <w:t xml:space="preserve">: In contrast to relatively short-acting ASO technology, 4D-135 is designed for DNA-based delivery of long-term RNAi activity against the mutant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product.</w:t>
      </w:r>
    </w:p>
    <w:p>
      <w:pPr>
        <w:spacing w:after="0" w:line="88" w:lineRule="exact"/>
        <w:rPr>
          <w:rFonts w:ascii="Arial" w:cs="Arial" w:eastAsia="Arial" w:hAnsi="Arial"/>
          <w:sz w:val="18"/>
          <w:szCs w:val="18"/>
          <w:color w:val="auto"/>
        </w:rPr>
      </w:pPr>
    </w:p>
    <w:p>
      <w:pPr>
        <w:ind w:left="1020" w:right="200" w:hanging="28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Safe and routine intravitreal route of administration</w:t>
      </w:r>
      <w:r>
        <w:rPr>
          <w:rFonts w:ascii="Arial" w:cs="Arial" w:eastAsia="Arial" w:hAnsi="Arial"/>
          <w:sz w:val="18"/>
          <w:szCs w:val="18"/>
          <w:color w:val="auto"/>
        </w:rPr>
        <w:t>: Unlike conventional AAV such as AAV2, which are utilized in subretinal surgery product candidates for other retinal diseases like XLRP, R100 was specifically selected for safe and routine intravitreal injection. This ease of administration should result in faster clinical trial enrollment.</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Treatment of the entire retinal surface:</w:t>
      </w:r>
      <w:r>
        <w:rPr>
          <w:rFonts w:ascii="Arial" w:cs="Arial" w:eastAsia="Arial" w:hAnsi="Arial"/>
          <w:sz w:val="18"/>
          <w:szCs w:val="18"/>
          <w:color w:val="auto"/>
        </w:rPr>
        <w:t xml:space="preserve"> Unlike product candidates utilizing conventional AAV vectors and administered by subretinal surgery, which reportedly treats a small fraction of the retinal surface, 4D-135 is designed to be used to treat the entire retinal surface following intravitreal injection.</w:t>
      </w:r>
    </w:p>
    <w:p>
      <w:pPr>
        <w:spacing w:after="0" w:line="94" w:lineRule="exact"/>
        <w:rPr>
          <w:rFonts w:ascii="Arial" w:cs="Arial" w:eastAsia="Arial" w:hAnsi="Arial"/>
          <w:sz w:val="18"/>
          <w:szCs w:val="18"/>
          <w:color w:val="auto"/>
        </w:rPr>
      </w:pPr>
    </w:p>
    <w:p>
      <w:pPr>
        <w:ind w:left="1020" w:right="200" w:hanging="283"/>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Feasibility of treating early stage patients:</w:t>
      </w:r>
      <w:r>
        <w:rPr>
          <w:rFonts w:ascii="Arial" w:cs="Arial" w:eastAsia="Arial" w:hAnsi="Arial"/>
          <w:sz w:val="18"/>
          <w:szCs w:val="18"/>
          <w:color w:val="auto"/>
        </w:rPr>
        <w:t xml:space="preserve"> Given the potential of 4D-135 to treat the entire surface of the retina, including the periphery where degenerative disease like adRP start, we believe it will be feasible to safely treat early stage patients before onset of retinal degeneration. In addition, intravitreal injection is recognized as a safe, simple and routinely used method of administering therapeutics.</w:t>
      </w:r>
    </w:p>
    <w:p>
      <w:pPr>
        <w:spacing w:after="0" w:line="96" w:lineRule="exact"/>
        <w:rPr>
          <w:rFonts w:ascii="Arial" w:cs="Arial" w:eastAsia="Arial" w:hAnsi="Arial"/>
          <w:sz w:val="18"/>
          <w:szCs w:val="18"/>
          <w:color w:val="auto"/>
        </w:rPr>
      </w:pPr>
    </w:p>
    <w:p>
      <w:pPr>
        <w:ind w:left="1020" w:right="260" w:hanging="283"/>
        <w:spacing w:after="0" w:line="274"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Commercial opportunity</w:t>
      </w:r>
      <w:r>
        <w:rPr>
          <w:rFonts w:ascii="Arial" w:cs="Arial" w:eastAsia="Arial" w:hAnsi="Arial"/>
          <w:sz w:val="17"/>
          <w:szCs w:val="17"/>
          <w:color w:val="auto"/>
        </w:rPr>
        <w:t>: Intravitreal injections are widely adopted by many practicing ophthalmologists and used to treat a number of ophthalmological indications. As a result, we believe 4D-135 has the potential for rapid market uptake, if approved.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86" w:lineRule="exact"/>
        <w:rPr>
          <w:sz w:val="20"/>
          <w:szCs w:val="20"/>
          <w:color w:val="auto"/>
        </w:rPr>
      </w:pPr>
    </w:p>
    <w:p>
      <w:pPr>
        <w:ind w:right="400" w:firstLine="734"/>
        <w:spacing w:after="0" w:line="267" w:lineRule="auto"/>
        <w:rPr>
          <w:sz w:val="20"/>
          <w:szCs w:val="20"/>
          <w:color w:val="auto"/>
        </w:rPr>
      </w:pPr>
      <w:r>
        <w:rPr>
          <w:rFonts w:ascii="Arial" w:cs="Arial" w:eastAsia="Arial" w:hAnsi="Arial"/>
          <w:sz w:val="18"/>
          <w:szCs w:val="18"/>
          <w:color w:val="auto"/>
        </w:rPr>
        <w:t xml:space="preserve">We plan to complete a single dose IND-enabling toxicology and biodistribution study in NHP. We are also developing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of diseased photoreceptors derived from adRP patients. These diseased photoreceptors will be treated with 4D-135.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Development Plan</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expect to initiate IND-enabling studies for 4D-135 in 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Cardiology Therapeutic Area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22"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We are developing product candidates to treat cardiomyopathies. These target indications may include both primary cardiomyopathies that involve the heart exclusively, as with hypertrophic cardiomyopathies, or secondary cardiomyopathies that occur in the context of a systemic disease syndrome, as with lysosomal storage diseases. In the context of secondary cardiomyopathies, such as Fabry disease, we design and engineer the product to treat all diseased organs including the high unmet medical need in the heart. Our targeted and evolved vector C102, used in all of our cardiology product candidates, was invented for low dose intravenous infusion, leading to transgene expression throughout the myocardium in all regions of the heart. We believe that this modular product approach, utilizing C102 for all of our cardiology product candidates, and by switching the therapeutic transgene inserts, will help inform the clinical development of subsequent product candidates using the same vector.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right="360" w:firstLine="734"/>
        <w:spacing w:after="0" w:line="237" w:lineRule="auto"/>
        <w:rPr>
          <w:sz w:val="20"/>
          <w:szCs w:val="20"/>
          <w:color w:val="auto"/>
        </w:rPr>
      </w:pPr>
      <w:r>
        <w:rPr>
          <w:rFonts w:ascii="Arial" w:cs="Arial" w:eastAsia="Arial" w:hAnsi="Arial"/>
          <w:sz w:val="18"/>
          <w:szCs w:val="18"/>
          <w:color w:val="auto"/>
        </w:rPr>
        <w:t>Our lead product candidate, 4D-310, is currently in an ongoing Phase 1/2 clinical trial in adult patients with Fabry disease. The primary objectives of this trial are to evaluate the safety and maximum-tolerated dose of 4D-310. Secondary endpoints include biomarker assessments of plasma AGA activity and markers of biologic activity in the heart, including cardiac MRI. We expect to treat early onset classic Fabry disease patients as well as severely affected late-onset patients, including those with cardiomyopathy. We expect to report initial clinical data in the second half of 2021. 4D-310 received Fast Track Designation from the FDA in the third quarter of 2020 for the treatment of Fabry disease to improve pain, disability and organ dysfunction.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4D-310 for Fabry Disease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86"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 xml:space="preserve">Fabry disease is a monogenic disease caused by mutations in the </w:t>
      </w:r>
      <w:r>
        <w:rPr>
          <w:rFonts w:ascii="Arial" w:cs="Arial" w:eastAsia="Arial" w:hAnsi="Arial"/>
          <w:sz w:val="18"/>
          <w:szCs w:val="18"/>
          <w:i w:val="1"/>
          <w:iCs w:val="1"/>
          <w:color w:val="auto"/>
        </w:rPr>
        <w:t>GLA</w:t>
      </w:r>
      <w:r>
        <w:rPr>
          <w:rFonts w:ascii="Arial" w:cs="Arial" w:eastAsia="Arial" w:hAnsi="Arial"/>
          <w:sz w:val="18"/>
          <w:szCs w:val="18"/>
          <w:color w:val="auto"/>
        </w:rPr>
        <w:t xml:space="preserve"> gene which encodes for the alpha-galactosidase A (“AGA”) enzyme that results in the body’s inability to produce sufficient AGA enzyme activity, causing the accumulation of toxic levels of sphingolipids, such as the substrate globotriaosylceramide-3 (“Gb3”), in critical organs, including the heart, kidney and blood vessels. The cardiomyopathy in Fabry disease is the leading cause of death, accounting for 54% of deaths, and is secondary to the systemic lysosomal storage disease syndrome. Such substrate accumulation in the heart can lead to life-threatening heart failure, arrhythmias, vascular blockages. Fabry disease is progressive and fatal, with an average life expectancy of approximately 50 years. Progression of the disease causes significant reduction in the quality of life and significant economic burden associated with greater patient needs for supportive care.</w:t>
      </w:r>
    </w:p>
    <w:p>
      <w:pPr>
        <w:spacing w:after="0" w:line="203"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 xml:space="preserve">Annual worldwide sales of Fabry medicines were approximately $1.5 billion in 2019. We estimate the potential initial addressable male Fabry patient population in the United States and EU-5 to be up to 19,000 individuals, 57% of which suffer from Classic Fabry disease. Of note, we estimate the prevalence of individuals with Fabry disease-associated </w:t>
      </w:r>
      <w:r>
        <w:rPr>
          <w:rFonts w:ascii="Arial" w:cs="Arial" w:eastAsia="Arial" w:hAnsi="Arial"/>
          <w:sz w:val="18"/>
          <w:szCs w:val="18"/>
          <w:i w:val="1"/>
          <w:iCs w:val="1"/>
          <w:color w:val="auto"/>
        </w:rPr>
        <w:t>GLA</w:t>
      </w:r>
      <w:r>
        <w:rPr>
          <w:rFonts w:ascii="Arial" w:cs="Arial" w:eastAsia="Arial" w:hAnsi="Arial"/>
          <w:sz w:val="18"/>
          <w:szCs w:val="18"/>
          <w:color w:val="auto"/>
        </w:rPr>
        <w:t xml:space="preserve"> mutations in the United States and EU-5 falls between 50,000 and 70,000 in the United States and the EU-5 based on recent newborn screening. Pre-treatment antibody titers to gene therapy, including 4D-310, may result in a reduction in the addressable patient population, if antibody titers at baseline are shown to be predictive of treatment response and/or tolerability.</w:t>
      </w:r>
    </w:p>
    <w:p>
      <w:pPr>
        <w:spacing w:after="0" w:line="205"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The current treatment paradigm for Fabry disease is an infusion of replacement AGA enzyme every two weeks, a class of therapies broadly referred to as enzyme replacement therapies (“ERT”). For example, Fabrazyme received accelerated regulatory approval in the United States based on improvements in kidney interstitial capillary substrate biopsy endpoint, but it failed the primary endpoint in registrational trials and lacks full approval in the United States.</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In addition to high burdens of therapy, due to the short-half life in the blood, patients on ERTs lack therapeutic concentrations of AGA in their blood for the majority of time between infusions, potentially limiting clinical benefit. Furthermore, since AGA is normally produced within target cells themselves, ERTs reportedly lack efficient uptake by parenchymal cells including cardiomyocytes; hence, patients remain at risk of cardiac complications including death. Finally, antibodies develop to AGA in the majority of classic Fabry disease patients after ERT and can further worsen clinical outcomes.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Therefore, we believe cardiac-targeted treatment of Fabry disease is still an unmet medical need.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104"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 xml:space="preserve">We are developing 4D-310 for the comprehensive systemic treatment of Fabry disease. 4D-310 is designed for an efficient, single low dose IV administration to benefit classic and late onset patients, including those who have previously received ERT. 4D-310 is comprised of C102 and is engineered with a codon-optimized </w:t>
      </w:r>
      <w:r>
        <w:rPr>
          <w:rFonts w:ascii="Arial" w:cs="Arial" w:eastAsia="Arial" w:hAnsi="Arial"/>
          <w:sz w:val="18"/>
          <w:szCs w:val="18"/>
          <w:i w:val="1"/>
          <w:iCs w:val="1"/>
          <w:color w:val="auto"/>
        </w:rPr>
        <w:t>GLA</w:t>
      </w:r>
      <w:r>
        <w:rPr>
          <w:rFonts w:ascii="Arial" w:cs="Arial" w:eastAsia="Arial" w:hAnsi="Arial"/>
          <w:sz w:val="18"/>
          <w:szCs w:val="18"/>
          <w:color w:val="auto"/>
        </w:rPr>
        <w:t xml:space="preserve"> transgene under control of a ubiquitous promoter. 4D-310 is designed to generate both high, stable plasma AGA activity, potentially resulting in cross correction of a broad range of critical organs, and to generate AGA activity via intracellular production within disease cells including cardiomyocytes.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ind w:firstLine="734"/>
        <w:spacing w:after="0" w:line="238" w:lineRule="auto"/>
        <w:rPr>
          <w:sz w:val="20"/>
          <w:szCs w:val="20"/>
          <w:color w:val="auto"/>
        </w:rPr>
      </w:pPr>
      <w:r>
        <w:rPr>
          <w:rFonts w:ascii="Arial" w:cs="Arial" w:eastAsia="Arial" w:hAnsi="Arial"/>
          <w:sz w:val="18"/>
          <w:szCs w:val="18"/>
          <w:color w:val="auto"/>
        </w:rPr>
        <w:t>We believe 4D-310 has the potential for “mutation independent” treatment of both “classic” (early onset, severe) as well as late onset Fabry disease, both of which are often associated with cardiomyopathy. We believe reducing substrate in cardiomyocytes would represent a strategic advantage and significant opportunity in the treatment of Fabry-associated cardiomyopathy, which we believe remains a significant unmet medical need and leading cause of death in Fabry disease patients.</w:t>
      </w:r>
    </w:p>
    <w:p>
      <w:pPr>
        <w:spacing w:after="0" w:line="205" w:lineRule="exact"/>
        <w:rPr>
          <w:sz w:val="20"/>
          <w:szCs w:val="20"/>
          <w:color w:val="auto"/>
        </w:rPr>
      </w:pPr>
    </w:p>
    <w:p>
      <w:pPr>
        <w:ind w:firstLine="734"/>
        <w:spacing w:after="0" w:line="261" w:lineRule="auto"/>
        <w:rPr>
          <w:sz w:val="20"/>
          <w:szCs w:val="20"/>
          <w:color w:val="auto"/>
        </w:rPr>
      </w:pPr>
      <w:r>
        <w:rPr>
          <w:rFonts w:ascii="Arial" w:cs="Arial" w:eastAsia="Arial" w:hAnsi="Arial"/>
          <w:sz w:val="17"/>
          <w:szCs w:val="17"/>
          <w:color w:val="auto"/>
        </w:rPr>
        <w:t>In addition, AGA produced by 4D-310 within target cells themselves will not be exposed to serum antibodies against AGA. These antibodies develop following ERT in approximately 80% of classic Fabry disease patients. We therefore have the potential to treat this patient population via intracellular production of AGA, in contrast to approaches that rely exclusively on delivery of AGA through the bloodstream.</w:t>
      </w:r>
    </w:p>
    <w:p>
      <w:pPr>
        <w:spacing w:after="0" w:line="186" w:lineRule="exact"/>
        <w:rPr>
          <w:sz w:val="20"/>
          <w:szCs w:val="20"/>
          <w:color w:val="auto"/>
        </w:rPr>
      </w:pPr>
    </w:p>
    <w:p>
      <w:pPr>
        <w:ind w:right="140" w:firstLine="734"/>
        <w:spacing w:after="0" w:line="246" w:lineRule="auto"/>
        <w:rPr>
          <w:sz w:val="20"/>
          <w:szCs w:val="20"/>
          <w:color w:val="auto"/>
        </w:rPr>
      </w:pPr>
      <w:r>
        <w:rPr>
          <w:rFonts w:ascii="Arial" w:cs="Arial" w:eastAsia="Arial" w:hAnsi="Arial"/>
          <w:sz w:val="18"/>
          <w:szCs w:val="18"/>
          <w:color w:val="auto"/>
        </w:rPr>
        <w:t>Finally, single dose gene therapy treatment with 4D-310 may obviate the need for biweekly ERT infusions in these patients, and/or for every other day small molecule medicines for patients amenable to AGA chaperone therapy.</w:t>
      </w:r>
    </w:p>
    <w:p>
      <w:pPr>
        <w:spacing w:after="0" w:line="19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Competition and Differentiation: AAV and Lentivirus-Engineered Stem Cell Gene Therapy for Fabry Disease</w:t>
      </w:r>
    </w:p>
    <w:p>
      <w:pPr>
        <w:spacing w:after="0" w:line="212" w:lineRule="exact"/>
        <w:rPr>
          <w:sz w:val="20"/>
          <w:szCs w:val="20"/>
          <w:color w:val="auto"/>
        </w:rPr>
      </w:pPr>
    </w:p>
    <w:p>
      <w:pPr>
        <w:ind w:right="260" w:firstLine="734"/>
        <w:spacing w:after="0" w:line="237" w:lineRule="auto"/>
        <w:rPr>
          <w:sz w:val="20"/>
          <w:szCs w:val="20"/>
          <w:color w:val="auto"/>
        </w:rPr>
      </w:pPr>
      <w:r>
        <w:rPr>
          <w:rFonts w:ascii="Arial" w:cs="Arial" w:eastAsia="Arial" w:hAnsi="Arial"/>
          <w:sz w:val="18"/>
          <w:szCs w:val="18"/>
          <w:color w:val="auto"/>
        </w:rPr>
        <w:t>Several companies are developing liver-expressing AAV gene therapy for Fabry disease through the use of non-targeted AAV designed for expression from the liver only using liver-specific promoters to restrict transgene expression to the liver. These product candidates are designed to produce and secrete AGA enzyme for activity in the blood, as with ERT, but with more stable blood levels than achieved with intermittent ERT infusions. When administered as ERT in patients, the AGA protein has not been shown definitively to enter cardiomyocytes or other affected parenchymal cells. It is therefore unclear whether gene therapy production of AGA from the liver or stem cells alone, with secretion into the bloodstream, would result in effective correction in cardiac muscle cells or other affected parenchymal cells such as in the kidney.</w:t>
      </w:r>
    </w:p>
    <w:p>
      <w:pPr>
        <w:spacing w:after="0" w:line="203" w:lineRule="exact"/>
        <w:rPr>
          <w:sz w:val="20"/>
          <w:szCs w:val="20"/>
          <w:color w:val="auto"/>
        </w:rPr>
      </w:pPr>
    </w:p>
    <w:p>
      <w:pPr>
        <w:ind w:right="80" w:firstLine="734"/>
        <w:spacing w:after="0" w:line="246" w:lineRule="auto"/>
        <w:rPr>
          <w:sz w:val="20"/>
          <w:szCs w:val="20"/>
          <w:color w:val="auto"/>
        </w:rPr>
      </w:pPr>
      <w:r>
        <w:rPr>
          <w:rFonts w:ascii="Arial" w:cs="Arial" w:eastAsia="Arial" w:hAnsi="Arial"/>
          <w:sz w:val="18"/>
          <w:szCs w:val="18"/>
          <w:color w:val="auto"/>
        </w:rPr>
        <w:t>We believe 4D-310 is the only gene therapy candidate designed specifically to express the AGA enzyme in cardiac tissues, as well as in other affected tissues in these patients, potentially addressing a major unmet medical need.</w:t>
      </w:r>
    </w:p>
    <w:p>
      <w:pPr>
        <w:spacing w:after="0" w:line="197" w:lineRule="exact"/>
        <w:rPr>
          <w:sz w:val="20"/>
          <w:szCs w:val="20"/>
          <w:color w:val="auto"/>
        </w:rPr>
      </w:pPr>
    </w:p>
    <w:p>
      <w:pPr>
        <w:ind w:right="20" w:firstLine="734"/>
        <w:spacing w:after="0" w:line="246" w:lineRule="auto"/>
        <w:rPr>
          <w:sz w:val="20"/>
          <w:szCs w:val="20"/>
          <w:color w:val="auto"/>
        </w:rPr>
      </w:pPr>
      <w:r>
        <w:rPr>
          <w:rFonts w:ascii="Arial" w:cs="Arial" w:eastAsia="Arial" w:hAnsi="Arial"/>
          <w:sz w:val="18"/>
          <w:szCs w:val="18"/>
          <w:color w:val="auto"/>
        </w:rPr>
        <w:t>We believe 4D-310 has the potential to be differentiated from approved agents, and those in clinical development to our knowledge, on the basis of four design features:</w:t>
      </w:r>
    </w:p>
    <w:p>
      <w:pPr>
        <w:spacing w:after="0" w:line="89" w:lineRule="exact"/>
        <w:rPr>
          <w:sz w:val="20"/>
          <w:szCs w:val="20"/>
          <w:color w:val="auto"/>
        </w:rPr>
      </w:pPr>
    </w:p>
    <w:p>
      <w:pPr>
        <w:ind w:left="1020" w:right="460" w:hanging="283"/>
        <w:spacing w:after="0" w:line="23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Dual mechanisms-of-action</w:t>
      </w:r>
      <w:r>
        <w:rPr>
          <w:rFonts w:ascii="Arial" w:cs="Arial" w:eastAsia="Arial" w:hAnsi="Arial"/>
          <w:sz w:val="18"/>
          <w:szCs w:val="18"/>
          <w:color w:val="auto"/>
        </w:rPr>
        <w:t>: An IV dose of 4D-310 is designed to generate both stable sustained levels of AGA enzyme activity in blood and endothelial cells following secretion from the liver, plus high AGA levels directly within muscle cells throughout the heart. Cells within the kidney, blood vessels and small intestine also produce intracellular AGA after 4D-310 treatment, albeit at significantly lower levels than in the heart.</w:t>
      </w:r>
    </w:p>
    <w:p>
      <w:pPr>
        <w:spacing w:after="0" w:line="96"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AGA chaperones that require dosing every other day for a patient’s life, or IV ERT every two weeks for life, 4D-310 is designed as a single dose potentially curative therapy.</w:t>
      </w:r>
    </w:p>
    <w:p>
      <w:pPr>
        <w:spacing w:after="0" w:line="88" w:lineRule="exact"/>
        <w:rPr>
          <w:rFonts w:ascii="Arial" w:cs="Arial" w:eastAsia="Arial" w:hAnsi="Arial"/>
          <w:sz w:val="18"/>
          <w:szCs w:val="18"/>
          <w:color w:val="auto"/>
        </w:rPr>
      </w:pPr>
    </w:p>
    <w:p>
      <w:pPr>
        <w:ind w:left="1020" w:right="300" w:hanging="28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AGA mutation-independent biologic activity</w:t>
      </w:r>
      <w:r>
        <w:rPr>
          <w:rFonts w:ascii="Arial" w:cs="Arial" w:eastAsia="Arial" w:hAnsi="Arial"/>
          <w:sz w:val="18"/>
          <w:szCs w:val="18"/>
          <w:color w:val="auto"/>
        </w:rPr>
        <w:t>: Unlike AGA chaperones that are only effective against specific AGA mutations present in a minority of Fabry patients, 4D-310 is designed to treat in Fabry patients with any AGA mutation.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46" w:name="page47"/>
    <w:bookmarkEnd w:id="46"/>
    <w:p>
      <w:pPr>
        <w:ind w:left="1020" w:right="80" w:hanging="283"/>
        <w:spacing w:after="0" w:line="23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Resistance to AGA antibodies</w:t>
      </w:r>
      <w:r>
        <w:rPr>
          <w:rFonts w:ascii="Arial" w:cs="Arial" w:eastAsia="Arial" w:hAnsi="Arial"/>
          <w:sz w:val="18"/>
          <w:szCs w:val="18"/>
          <w:color w:val="auto"/>
        </w:rPr>
        <w:t>: We believe that 4D-310 may be able to treat patients that have anti-AGA antibodies. Those antibodies develop in approximately 80% of classic Fabry disease patients (early onset, severe disease) treated with ERT. This is in contrast to competing approaches that rely exclusively on AGA delivery through the bloodstream, that may be inhibited by these antibodies since AGA comes into contact with anti-AGA antibodies that may inhibit delivery to target organs. Unlike ERT and gene therapies that are designed to rely exclusively on AGA production and secretion from the liver into the blood, 4D-310 is designed to include intracellular AGA production in target tissues themselves, thus avoiding antibody contact and inhibition. We therefore plan to evaluate the treatment of patients with pre-existing AGA antibodies, potentially resulting in a larger addressable patient population.</w:t>
      </w:r>
    </w:p>
    <w:p>
      <w:pPr>
        <w:spacing w:after="0" w:line="298" w:lineRule="exact"/>
        <w:rPr>
          <w:sz w:val="20"/>
          <w:szCs w:val="20"/>
          <w:color w:val="auto"/>
        </w:rPr>
      </w:pPr>
    </w:p>
    <w:p>
      <w:pPr>
        <w:jc w:val="center"/>
        <w:ind w:left="400" w:right="120"/>
        <w:spacing w:after="0" w:line="267" w:lineRule="auto"/>
        <w:rPr>
          <w:sz w:val="20"/>
          <w:szCs w:val="20"/>
          <w:color w:val="auto"/>
        </w:rPr>
      </w:pPr>
      <w:r>
        <w:rPr>
          <w:rFonts w:ascii="Arial" w:cs="Arial" w:eastAsia="Arial" w:hAnsi="Arial"/>
          <w:sz w:val="18"/>
          <w:szCs w:val="18"/>
          <w:i w:val="1"/>
          <w:iCs w:val="1"/>
          <w:color w:val="auto"/>
        </w:rPr>
        <w:t>The target product profile for 4D-310 is compared to competing technologies below. Many aspects of this profile have been supported by data generated to date with either the C102 vector or with 4D-310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680" cy="2743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8668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104"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completed an IND-enabling GLP toxicology and biodistribution study of 4D-310 in normal mice. No meaningful toxicity was reported at doses up to 1.5E14 vg/kg, based both on in-life and histopathology assessments. This dose is 300% of the highest planned dose in our Phase 1/2 clinical trial. 4D-310-mediated AGA expression and/or AGA enzyme activity was observed in all target tissues tested, including heart, kidney, blood vessels, small intestine and blood.</w:t>
      </w:r>
    </w:p>
    <w:p>
      <w:pPr>
        <w:spacing w:after="0" w:line="205" w:lineRule="exact"/>
        <w:rPr>
          <w:sz w:val="20"/>
          <w:szCs w:val="20"/>
          <w:color w:val="auto"/>
        </w:rPr>
      </w:pPr>
    </w:p>
    <w:p>
      <w:pPr>
        <w:jc w:val="both"/>
        <w:ind w:right="40" w:firstLine="734"/>
        <w:spacing w:after="0" w:line="238" w:lineRule="auto"/>
        <w:rPr>
          <w:sz w:val="20"/>
          <w:szCs w:val="20"/>
          <w:color w:val="auto"/>
        </w:rPr>
      </w:pPr>
      <w:r>
        <w:rPr>
          <w:rFonts w:ascii="Arial" w:cs="Arial" w:eastAsia="Arial" w:hAnsi="Arial"/>
          <w:sz w:val="18"/>
          <w:szCs w:val="18"/>
          <w:color w:val="auto"/>
        </w:rPr>
        <w:t>Pharmacology studies have been completed in Fabry disease knock-out mice. We observed that a single IV treatment with 4D-310 resulted in high stable blood concentrations and durable AGA production in target tissues, including the heart and kidney, and that toxic Gb3 metabolites were reduced significantly in all evaluated target tissues versus vehicle control. Efficacy was demonstrated with doses as low as 1E12 vg/kg. No adverse findings were observed in these knock-out animals at doses as high as 5E13 vg/kg.</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47" w:name="page48"/>
    <w:bookmarkEnd w:id="47"/>
    <w:p>
      <w:pPr>
        <w:jc w:val="center"/>
        <w:spacing w:after="0" w:line="267" w:lineRule="auto"/>
        <w:rPr>
          <w:sz w:val="20"/>
          <w:szCs w:val="20"/>
          <w:color w:val="auto"/>
        </w:rPr>
      </w:pPr>
      <w:r>
        <w:rPr>
          <w:rFonts w:ascii="Arial" w:cs="Arial" w:eastAsia="Arial" w:hAnsi="Arial"/>
          <w:sz w:val="18"/>
          <w:szCs w:val="18"/>
          <w:i w:val="1"/>
          <w:iCs w:val="1"/>
          <w:color w:val="auto"/>
        </w:rPr>
        <w:t>Plasma AGA activity in Fabry mice after treatment with 4D-310 was measured to be approximately 1,200-fold higher than in control vehicle-treated Fabry mice at all measured timepoints after treatment with 4D-310 at 5E13 vg/kg.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130810</wp:posOffset>
            </wp:positionV>
            <wp:extent cx="3660140" cy="2408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601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WT = wild type</w:t>
      </w:r>
    </w:p>
    <w:p>
      <w:pPr>
        <w:spacing w:after="0" w:line="104" w:lineRule="exact"/>
        <w:rPr>
          <w:sz w:val="20"/>
          <w:szCs w:val="20"/>
          <w:color w:val="auto"/>
        </w:rPr>
      </w:pPr>
    </w:p>
    <w:p>
      <w:pPr>
        <w:ind w:left="4100"/>
        <w:spacing w:after="0"/>
        <w:rPr>
          <w:sz w:val="20"/>
          <w:szCs w:val="20"/>
          <w:color w:val="auto"/>
        </w:rPr>
      </w:pPr>
      <w:r>
        <w:rPr>
          <w:rFonts w:ascii="Arial" w:cs="Arial" w:eastAsia="Arial" w:hAnsi="Arial"/>
          <w:sz w:val="18"/>
          <w:szCs w:val="18"/>
          <w:i w:val="1"/>
          <w:iCs w:val="1"/>
          <w:color w:val="auto"/>
        </w:rPr>
        <w:t>KO = Fabry knock out mouse model</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Dose-dependent decrease in plasma lyso-Gb3 was measured at Week 8 in Fabry mice after treatment with 4D-310. 1E13 and 5E13 dose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levels achieved reduction of plasma lyso-Gb3 by greater than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151765</wp:posOffset>
            </wp:positionV>
            <wp:extent cx="4234815" cy="28721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34815"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661" w:right="41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i w:val="1"/>
          <w:iCs w:val="1"/>
          <w:color w:val="auto"/>
        </w:rPr>
        <w:t>WT = wild type</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KO = Fabry knock out mouse model</w:t>
      </w:r>
    </w:p>
    <w:p>
      <w:pPr>
        <w:spacing w:after="0" w:line="104" w:lineRule="exact"/>
        <w:rPr>
          <w:sz w:val="20"/>
          <w:szCs w:val="20"/>
          <w:color w:val="auto"/>
        </w:rPr>
      </w:pPr>
    </w:p>
    <w:p>
      <w:pPr>
        <w:jc w:val="center"/>
        <w:ind w:left="400"/>
        <w:spacing w:after="0" w:line="250" w:lineRule="auto"/>
        <w:rPr>
          <w:sz w:val="20"/>
          <w:szCs w:val="20"/>
          <w:color w:val="auto"/>
        </w:rPr>
      </w:pPr>
      <w:r>
        <w:rPr>
          <w:rFonts w:ascii="Arial" w:cs="Arial" w:eastAsia="Arial" w:hAnsi="Arial"/>
          <w:sz w:val="18"/>
          <w:szCs w:val="18"/>
          <w:i w:val="1"/>
          <w:iCs w:val="1"/>
          <w:color w:val="auto"/>
        </w:rPr>
        <w:t>Dose-dependent decrease in tissue Gb3 was measured at Week 8 in Fabry mice after treatment with 4D-310). Tissue Gb3 levels in Fabry mice approached that of normal mice in both heart and liver at 1E13 vg/kg and 5E13 vg/kg dose levels. Kidney Gb3 levels were reduced by approximately 75% in the 1E13 vg/kg group and levels approached normal in the 5E13 vg/kg dose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141605</wp:posOffset>
            </wp:positionV>
            <wp:extent cx="4517390" cy="2640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1739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40" w:firstLine="734"/>
        <w:spacing w:after="0" w:line="250" w:lineRule="auto"/>
        <w:rPr>
          <w:sz w:val="20"/>
          <w:szCs w:val="20"/>
          <w:color w:val="auto"/>
        </w:rPr>
      </w:pPr>
      <w:r>
        <w:rPr>
          <w:rFonts w:ascii="Arial" w:cs="Arial" w:eastAsia="Arial" w:hAnsi="Arial"/>
          <w:sz w:val="18"/>
          <w:szCs w:val="18"/>
          <w:color w:val="auto"/>
        </w:rPr>
        <w:t xml:space="preserve">In studies with 4D-310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human Fabry patient-derived cardiomyocytes, we observed dose-related AGA expression and function. Data in Fabry patient-derived cardiomyocytes demonstrated that treatment with 4D-310 results in efficient transduction and functional AGA protein production; AGA activity was observed both within Fabry cardiomyocytes and secreted into the media.</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49" w:name="page50"/>
    <w:bookmarkEnd w:id="49"/>
    <w:p>
      <w:pPr>
        <w:jc w:val="center"/>
        <w:ind w:left="340" w:right="120"/>
        <w:spacing w:after="0" w:line="267" w:lineRule="auto"/>
        <w:rPr>
          <w:sz w:val="20"/>
          <w:szCs w:val="20"/>
          <w:color w:val="auto"/>
        </w:rPr>
      </w:pPr>
      <w:r>
        <w:rPr>
          <w:rFonts w:ascii="Arial" w:cs="Arial" w:eastAsia="Arial" w:hAnsi="Arial"/>
          <w:sz w:val="18"/>
          <w:szCs w:val="18"/>
          <w:i w:val="1"/>
          <w:iCs w:val="1"/>
          <w:color w:val="auto"/>
        </w:rPr>
        <w:t>Cardiomyocytes that were differentiated from Fabry patient-derived fibroblasts expressed functional secreted AGA enzyme after treatment with 4D-310.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53975</wp:posOffset>
            </wp:positionV>
            <wp:extent cx="3540125" cy="2708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4012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MOI = multiplicity of infection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n.s. = not significant</w:t>
      </w:r>
    </w:p>
    <w:p>
      <w:pPr>
        <w:jc w:val="center"/>
        <w:ind w:right="-19"/>
        <w:spacing w:after="0"/>
        <w:rPr>
          <w:sz w:val="20"/>
          <w:szCs w:val="20"/>
          <w:color w:val="auto"/>
        </w:rPr>
      </w:pPr>
      <w:r>
        <w:rPr>
          <w:rFonts w:ascii="Arial" w:cs="Arial" w:eastAsia="Arial" w:hAnsi="Arial"/>
          <w:sz w:val="18"/>
          <w:szCs w:val="18"/>
          <w:i w:val="1"/>
          <w:iCs w:val="1"/>
          <w:color w:val="auto"/>
        </w:rPr>
        <w:t>NT = not treated</w:t>
      </w:r>
    </w:p>
    <w:p>
      <w:pPr>
        <w:spacing w:after="0" w:line="21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 xml:space="preserve">We performed a dose-ranging toxicity and biodistribution study in NHPs. Doses of 3E12, 1E13 and 5E13 vg/kg were well-tolerated and resulted in AGA activity concentrations in blood equal to </w:t>
      </w:r>
      <w:r>
        <w:rPr>
          <w:rFonts w:ascii="Arial" w:cs="Arial" w:eastAsia="Arial" w:hAnsi="Arial"/>
          <w:sz w:val="18"/>
          <w:szCs w:val="18"/>
          <w:i w:val="1"/>
          <w:iCs w:val="1"/>
          <w:color w:val="auto"/>
        </w:rPr>
        <w:t>1.9-fold, 3.4-fold and 70-fold</w:t>
      </w:r>
      <w:r>
        <w:rPr>
          <w:rFonts w:ascii="Arial" w:cs="Arial" w:eastAsia="Arial" w:hAnsi="Arial"/>
          <w:sz w:val="18"/>
          <w:szCs w:val="18"/>
          <w:color w:val="auto"/>
        </w:rPr>
        <w:t xml:space="preserve"> higher than pretreatment blood levels, respectively, within 14 days after treatment. NHPs used in this study were healthy and had normal baseline levels of AGA activity. No meaningful toxicity was noted clinically or with blood testing. Histopathology assessments were normal. Tissue analyses demonstrated dose-related 4D-310 genome delivery, RNA expression and AGA activity throughout the heart, especially within the left ventricle which is the key target tissue; AGA expression and enzymatic activity were also demonstrated within the kidney.</w:t>
      </w:r>
    </w:p>
    <w:p>
      <w:pPr>
        <w:spacing w:after="0" w:line="295" w:lineRule="exact"/>
        <w:rPr>
          <w:sz w:val="20"/>
          <w:szCs w:val="20"/>
          <w:color w:val="auto"/>
        </w:rPr>
      </w:pPr>
    </w:p>
    <w:p>
      <w:pPr>
        <w:jc w:val="center"/>
        <w:ind w:left="340"/>
        <w:spacing w:after="0" w:line="296" w:lineRule="auto"/>
        <w:rPr>
          <w:sz w:val="20"/>
          <w:szCs w:val="20"/>
          <w:color w:val="auto"/>
        </w:rPr>
      </w:pPr>
      <w:r>
        <w:rPr>
          <w:rFonts w:ascii="Arial" w:cs="Arial" w:eastAsia="Arial" w:hAnsi="Arial"/>
          <w:sz w:val="17"/>
          <w:szCs w:val="17"/>
          <w:i w:val="1"/>
          <w:iCs w:val="1"/>
          <w:color w:val="auto"/>
        </w:rPr>
        <w:t>Delivery (genomes) and transduction (mRNA) were consistently measured throughout organs important to the management of Fabry disease in all NHPs treated with 4D-310. The number of positive tissue samples within NHPs across all three dose levels are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117475</wp:posOffset>
            </wp:positionV>
            <wp:extent cx="3480435" cy="514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804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0" w:name="page51"/>
    <w:bookmarkEnd w:id="50"/>
    <w:p>
      <w:pPr>
        <w:jc w:val="center"/>
        <w:spacing w:after="0" w:line="250" w:lineRule="auto"/>
        <w:rPr>
          <w:sz w:val="20"/>
          <w:szCs w:val="20"/>
          <w:color w:val="auto"/>
        </w:rPr>
      </w:pPr>
      <w:r>
        <w:rPr>
          <w:rFonts w:ascii="Arial" w:cs="Arial" w:eastAsia="Arial" w:hAnsi="Arial"/>
          <w:sz w:val="18"/>
          <w:szCs w:val="18"/>
          <w:i w:val="1"/>
          <w:iCs w:val="1"/>
          <w:color w:val="auto"/>
        </w:rPr>
        <w:t>Median plasma AGA activity in NHPs after treatment with 4D-310 was measured to be approximately 70-fold, 3.4-fold and 1.9-fold higher than baseline at 8 weeks after treatment with 4D-310 at 5E13, 1E13 and 3E12 vg/kg doses, respectively. Average plasma AGA activity levels for these time points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141605</wp:posOffset>
            </wp:positionV>
            <wp:extent cx="4020185" cy="2254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2018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0" w:right="500" w:hanging="589"/>
        <w:spacing w:after="0" w:line="279" w:lineRule="auto"/>
        <w:tabs>
          <w:tab w:leader="none" w:pos="860"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One NHP in the low dose cohort has been excluded from the dataset as a positive statistical outlier as it exhibited AGA activity that was 66 to 124 standard deviations higher than the average of other NHPs treated with low dose 4D-310.</w:t>
      </w:r>
    </w:p>
    <w:p>
      <w:pPr>
        <w:spacing w:after="0" w:line="264"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Tissue AGA activity was measured in key organs in healthy NHPs, with normal baseline AGA activity levels, after treatment with 4D-310 at low, medium and high doses. Below are data for tissues which are most important to the management of Fabry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130810</wp:posOffset>
            </wp:positionV>
            <wp:extent cx="5288915" cy="25031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8891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61" w:right="359" w:bottom="1440" w:gutter="0" w:footer="0" w:header="0"/>
        </w:sectPr>
      </w:pPr>
    </w:p>
    <w:bookmarkStart w:id="51" w:name="page52"/>
    <w:bookmarkEnd w:id="51"/>
    <w:p>
      <w:pPr>
        <w:jc w:val="center"/>
        <w:ind w:left="340" w:right="80"/>
        <w:spacing w:after="0" w:line="267" w:lineRule="auto"/>
        <w:rPr>
          <w:sz w:val="20"/>
          <w:szCs w:val="20"/>
          <w:color w:val="auto"/>
        </w:rPr>
      </w:pPr>
      <w:r>
        <w:rPr>
          <w:rFonts w:ascii="Arial" w:cs="Arial" w:eastAsia="Arial" w:hAnsi="Arial"/>
          <w:sz w:val="18"/>
          <w:szCs w:val="18"/>
          <w:i w:val="1"/>
          <w:iCs w:val="1"/>
          <w:color w:val="auto"/>
        </w:rPr>
        <w:t>IV delivery of 4D-310 in NHPs was associated with AGA enzyme detection (brown) by immunohistochemistry in the heart, kidneys and liver at low and high dose. Illustrative images below highlight transduction of cardiomyocytes at 5E13 vg/kg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130810</wp:posOffset>
            </wp:positionV>
            <wp:extent cx="5306060" cy="1800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0606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104" w:lineRule="exact"/>
        <w:rPr>
          <w:sz w:val="20"/>
          <w:szCs w:val="20"/>
          <w:color w:val="auto"/>
        </w:rPr>
      </w:pPr>
    </w:p>
    <w:p>
      <w:pPr>
        <w:ind w:right="280" w:firstLine="734"/>
        <w:spacing w:after="0" w:line="238" w:lineRule="auto"/>
        <w:rPr>
          <w:sz w:val="20"/>
          <w:szCs w:val="20"/>
          <w:color w:val="auto"/>
        </w:rPr>
      </w:pPr>
      <w:r>
        <w:rPr>
          <w:rFonts w:ascii="Arial" w:cs="Arial" w:eastAsia="Arial" w:hAnsi="Arial"/>
          <w:sz w:val="18"/>
          <w:szCs w:val="18"/>
          <w:color w:val="auto"/>
        </w:rPr>
        <w:t>We are currently enrolling patients on a Phase 1/2 clinical trial. The first patient dosed in the first quarter of 2021. This is a dose-escalation and dose-expansion trial expected to enroll early onset classic Fabry disease patients and severely affected late-onset patients with cardiomyopathy. The primary objectives of this trial are to evaluate the safety and maximum-tolerated dose of 4D-310. Secondary objectives include biomarker assessments of plasma AGA activity and markers of biologic activity in the heart, including cardiac MRI. We expect to report initial clinical data from this trial in the second half of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 Therapeutic Area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22"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are developing product candidates to treat lung diseases. Our targeted and evolved vector, A101, is used in all of our pulmonology disease product candidates and was invented for aerosol delivery, leading to transgene expression throughout all regions of the lung airways and alveoli, as well as resistance to pre-existing antibodies in the human population. We believe that this modular product approach, utilizing A101 for multiple product candidates by switching the therapeutic transgene insert, will help inform the clinical development of subsequent product candidates using the same vector.</w:t>
      </w:r>
    </w:p>
    <w:p>
      <w:pPr>
        <w:spacing w:after="0" w:line="20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Our first pulmonology product candidate is 4D-710 for cystic fibrosis lung disease. This IND candidate has completed a non-GLP dose-ranging toxicology and biodistribution testing study in NHPs by aerosol delivery. No notable adverse effects were reported, and widespread biodistribution and transgene expression were observed throughout all lung segments tested in all NHPs. We have initiated an IND-enabling GLP toxicology and biodistribution study in NHPs. We expect to initiate a Phase 1/2 clinical trial for 4D-710 in the second half of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4D-710 for Cystic Fibrosis Lung Disease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04"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Cystic fibrosis is the most common fatal inherited disease in the United States and results from mutations in the cystic fibrosis transmembrane conductance regulator (“CFTR”) gene. Cystic fibrosis causes impaired lung function, inflammation and bronchiectasis and is commonly associated with repeat and persistent lung infections due to the inability to clear thickened mucus from the lung, often resulting in frequent exacerbations and hospitalizations and eventual end-stage respiratory failure. There is no cure for cystic fibrosis, and the median age of death for patients is approximately 40 years in developed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right="20"/>
        <w:spacing w:after="0" w:line="237" w:lineRule="auto"/>
        <w:rPr>
          <w:sz w:val="20"/>
          <w:szCs w:val="20"/>
          <w:color w:val="auto"/>
        </w:rPr>
      </w:pPr>
      <w:r>
        <w:rPr>
          <w:rFonts w:ascii="Arial" w:cs="Arial" w:eastAsia="Arial" w:hAnsi="Arial"/>
          <w:sz w:val="18"/>
          <w:szCs w:val="18"/>
          <w:color w:val="auto"/>
        </w:rPr>
        <w:t>countries. Cystic fibrosis is considered a rare, or orphan, disease by both the FDA and the EMA. According to the Cystic Fibrosis Foundation, more than 30,000 people in the United States and more than 70,000 people worldwide are living with cystic fibrosis, and approximately 1,000 new cases of cystic fibrosis are diagnosed in the United States each year. Patients with cystic fibrosis require lifelong treatment with multiple daily medications, frequent hospitalizations and, ultimately, lung transplants in some end-stage patients. The quality of life for cystic fibrosis patients is compromised as a result of spending significant time on self-care every day and frequent outpatient doctor visits and hospitalizations.</w:t>
      </w:r>
    </w:p>
    <w:p>
      <w:pPr>
        <w:spacing w:after="0" w:line="205" w:lineRule="exact"/>
        <w:rPr>
          <w:sz w:val="20"/>
          <w:szCs w:val="20"/>
          <w:color w:val="auto"/>
        </w:rPr>
      </w:pPr>
    </w:p>
    <w:p>
      <w:pPr>
        <w:ind w:right="420" w:firstLine="734"/>
        <w:spacing w:after="0"/>
        <w:rPr>
          <w:sz w:val="20"/>
          <w:szCs w:val="20"/>
          <w:color w:val="auto"/>
        </w:rPr>
      </w:pPr>
      <w:r>
        <w:rPr>
          <w:rFonts w:ascii="Arial" w:cs="Arial" w:eastAsia="Arial" w:hAnsi="Arial"/>
          <w:sz w:val="18"/>
          <w:szCs w:val="18"/>
          <w:color w:val="auto"/>
        </w:rPr>
        <w:t>Until recently, approved therapies to treat cystic fibrosis patients were only designed to treat the symptoms of cystic fibrosis, for example by preventing and controlling infections that occur in the lungs, rather than addressing the underlying cause of the disease. Accordingly, antibiotics are frequently used along with mucus-thinning drugs.</w:t>
      </w:r>
    </w:p>
    <w:p>
      <w:pPr>
        <w:spacing w:after="0" w:line="203"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More recently, a new class of drugs called correctors and modulators target CFTR for patients with certain gene mutations. Several therapies from Vertex Pharmaceuticals Inc. have been approved for marketing in the United States and the European Union based on their ability to improve lung function in genetically defined subsets of cystic fibrosis patients. In 2019, the FDA approved triple drug therapy with Trikafta (elexacaftor/ivacaftor/tezacaftor), which Vertex believes would be applicable for up to 90% of cystic fibrosis patients, leaving at least 10% with no CFTR-targeted options. While these therapies improve lung function, they fall short of restoring it to the normal range in most patients, and these chronic therapies require daily dosing for the patient’s lifetime. In addition, the existing cystic fibrosis drugs have been associated with tolerability issues, thus limiting their use.</w:t>
      </w:r>
    </w:p>
    <w:p>
      <w:pPr>
        <w:spacing w:after="0" w:line="203"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We believe there is a clinical need and market opportunity for a durable aerosolized therapy, delivered by breath-actuated nebulizer, that can restore normal CFTR function across all cystic fibrosis patient subgroups, including patients who are receiving combination CFTR-modulator therapies and/or do not have appreciable CFTR protein expression and are therefore not amenable to CFTR modulators. We expect to explore single agent therapy with 4D-710 initially in patients who are not amenable to CFTR modulators (estimated to include approximately 10% of all cystic fibrosis patients), and to explore single agent or combination therapy with CFTR modulators for the remaining approximately 90% of cystic fibrosis patients.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86"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 xml:space="preserve">We are developing 4D-710 for the treatment of a broad range of cystic fibrosis patients independent of their specific </w:t>
      </w:r>
      <w:r>
        <w:rPr>
          <w:rFonts w:ascii="Arial" w:cs="Arial" w:eastAsia="Arial" w:hAnsi="Arial"/>
          <w:sz w:val="18"/>
          <w:szCs w:val="18"/>
          <w:i w:val="1"/>
          <w:iCs w:val="1"/>
          <w:color w:val="auto"/>
        </w:rPr>
        <w:t>CFTR</w:t>
      </w:r>
      <w:r>
        <w:rPr>
          <w:rFonts w:ascii="Arial" w:cs="Arial" w:eastAsia="Arial" w:hAnsi="Arial"/>
          <w:sz w:val="18"/>
          <w:szCs w:val="18"/>
          <w:color w:val="auto"/>
        </w:rPr>
        <w:t xml:space="preserve"> mutation. 4D-710 is designed for efficient single dose aerosol delivery to the proximal and medial airways and alveoli, subsequent mucus barrier penetration, lung epithelial cell transduction, and resistance to pre-existing antibodies in humans. The intended result is to achieve CFTR expression within lung airway epithelial cells for correction of cystic fibrosis lung disease. 4D-710 is comprised of our targeted and evolved vector, A101, and a codon-optimized version of a synthetic truncated </w:t>
      </w:r>
      <w:r>
        <w:rPr>
          <w:rFonts w:ascii="Arial" w:cs="Arial" w:eastAsia="Arial" w:hAnsi="Arial"/>
          <w:sz w:val="18"/>
          <w:szCs w:val="18"/>
          <w:i w:val="1"/>
          <w:iCs w:val="1"/>
          <w:color w:val="auto"/>
        </w:rPr>
        <w:t>CFTR</w:t>
      </w:r>
      <w:r>
        <w:rPr>
          <w:rFonts w:ascii="Arial" w:cs="Arial" w:eastAsia="Arial" w:hAnsi="Arial"/>
          <w:sz w:val="18"/>
          <w:szCs w:val="18"/>
          <w:color w:val="auto"/>
        </w:rPr>
        <w:t xml:space="preserve"> transgene </w:t>
      </w:r>
      <w:r>
        <w:rPr>
          <w:rFonts w:ascii="Arial" w:cs="Arial" w:eastAsia="Arial" w:hAnsi="Arial"/>
          <w:sz w:val="18"/>
          <w:szCs w:val="18"/>
          <w:i w:val="1"/>
          <w:iCs w:val="1"/>
          <w:color w:val="auto"/>
        </w:rPr>
        <w:t>deltaR-CFTR</w:t>
      </w:r>
      <w:r>
        <w:rPr>
          <w:rFonts w:ascii="Arial" w:cs="Arial" w:eastAsia="Arial" w:hAnsi="Arial"/>
          <w:sz w:val="18"/>
          <w:szCs w:val="18"/>
          <w:color w:val="auto"/>
        </w:rPr>
        <w:t xml:space="preserve">, which we refer to as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microCFTR </w:t>
      </w:r>
      <w:r>
        <w:rPr>
          <w:rFonts w:ascii="Arial" w:cs="Arial" w:eastAsia="Arial" w:hAnsi="Arial"/>
          <w:sz w:val="18"/>
          <w:szCs w:val="18"/>
          <w:color w:val="auto"/>
        </w:rPr>
        <w:t>is a construct that retains the most critical functional components of the full-size</w:t>
      </w:r>
      <w:r>
        <w:rPr>
          <w:rFonts w:ascii="Arial" w:cs="Arial" w:eastAsia="Arial" w:hAnsi="Arial"/>
          <w:sz w:val="18"/>
          <w:szCs w:val="18"/>
          <w:i w:val="1"/>
          <w:iCs w:val="1"/>
          <w:color w:val="auto"/>
        </w:rPr>
        <w:t xml:space="preserve"> CFTR </w:t>
      </w:r>
      <w:r>
        <w:rPr>
          <w:rFonts w:ascii="Arial" w:cs="Arial" w:eastAsia="Arial" w:hAnsi="Arial"/>
          <w:sz w:val="18"/>
          <w:szCs w:val="18"/>
          <w:color w:val="auto"/>
        </w:rPr>
        <w:t>gene and is small enough to fit within AAV</w:t>
      </w:r>
      <w:r>
        <w:rPr>
          <w:rFonts w:ascii="Arial" w:cs="Arial" w:eastAsia="Arial" w:hAnsi="Arial"/>
          <w:sz w:val="18"/>
          <w:szCs w:val="18"/>
          <w:i w:val="1"/>
          <w:iCs w:val="1"/>
          <w:color w:val="auto"/>
        </w:rPr>
        <w:t xml:space="preserve"> </w:t>
      </w:r>
      <w:r>
        <w:rPr>
          <w:rFonts w:ascii="Arial" w:cs="Arial" w:eastAsia="Arial" w:hAnsi="Arial"/>
          <w:sz w:val="18"/>
          <w:szCs w:val="18"/>
          <w:color w:val="auto"/>
        </w:rPr>
        <w:t>vector packaging constraints.</w:t>
      </w:r>
    </w:p>
    <w:p>
      <w:pPr>
        <w:spacing w:after="0" w:line="185" w:lineRule="exact"/>
        <w:rPr>
          <w:sz w:val="20"/>
          <w:szCs w:val="20"/>
          <w:color w:val="auto"/>
        </w:rPr>
      </w:pPr>
    </w:p>
    <w:p>
      <w:pPr>
        <w:ind w:right="60" w:firstLine="734"/>
        <w:spacing w:after="0" w:line="241" w:lineRule="auto"/>
        <w:rPr>
          <w:sz w:val="20"/>
          <w:szCs w:val="20"/>
          <w:color w:val="auto"/>
        </w:rPr>
      </w:pPr>
      <w:r>
        <w:rPr>
          <w:rFonts w:ascii="Arial" w:cs="Arial" w:eastAsia="Arial" w:hAnsi="Arial"/>
          <w:sz w:val="18"/>
          <w:szCs w:val="18"/>
          <w:color w:val="auto"/>
        </w:rPr>
        <w:t xml:space="preserve">We believe 4D -710 has the potential to treat a broad range of cystic fibrosis patients independent of their specific </w:t>
      </w:r>
      <w:r>
        <w:rPr>
          <w:rFonts w:ascii="Arial" w:cs="Arial" w:eastAsia="Arial" w:hAnsi="Arial"/>
          <w:sz w:val="18"/>
          <w:szCs w:val="18"/>
          <w:i w:val="1"/>
          <w:iCs w:val="1"/>
          <w:color w:val="auto"/>
        </w:rPr>
        <w:t>CFTR</w:t>
      </w:r>
      <w:r>
        <w:rPr>
          <w:rFonts w:ascii="Arial" w:cs="Arial" w:eastAsia="Arial" w:hAnsi="Arial"/>
          <w:sz w:val="18"/>
          <w:szCs w:val="18"/>
          <w:color w:val="auto"/>
        </w:rPr>
        <w:t xml:space="preserve"> mutation. Initially we plan to focus on the approximately 10% of all patients who are not amenable to existing medicines targeting the CFTR protein as we believe these patients have the highest unmet medical need. In patients with CFTR mutations that are amenable to modulator medicines, while therapies demonstrate improvements in lung function, these modulators do not restore normal lung function in most patients. Further, these chronic therapies require daily dosing for the patient’s lifetime. We therefore expect to eventually develop 4D-710 in this patient population, as a single agent and/or in combination with these CFTR modulator small molecule medicines.</w:t>
      </w:r>
    </w:p>
    <w:p>
      <w:pPr>
        <w:spacing w:after="0" w:line="202" w:lineRule="exact"/>
        <w:rPr>
          <w:sz w:val="20"/>
          <w:szCs w:val="20"/>
          <w:color w:val="auto"/>
        </w:rPr>
      </w:pPr>
    </w:p>
    <w:p>
      <w:pPr>
        <w:ind w:right="60" w:firstLine="734"/>
        <w:spacing w:after="0" w:line="246" w:lineRule="auto"/>
        <w:rPr>
          <w:sz w:val="20"/>
          <w:szCs w:val="20"/>
          <w:color w:val="auto"/>
        </w:rPr>
      </w:pPr>
      <w:r>
        <w:rPr>
          <w:rFonts w:ascii="Arial" w:cs="Arial" w:eastAsia="Arial" w:hAnsi="Arial"/>
          <w:sz w:val="18"/>
          <w:szCs w:val="18"/>
          <w:color w:val="auto"/>
        </w:rPr>
        <w:t>We have funding and an on-going research and development collaboration with the Cystic Fibrosis Foundation for the development of 4D-710.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Competition and Differentiation: AAV Gene Therapy for Target Disease</w:t>
      </w:r>
    </w:p>
    <w:p>
      <w:pPr>
        <w:spacing w:after="0" w:line="104"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A number of biotechnology companies have pursued gene therapy solutions to treat cystic fibrosis. We believe these prior attempts to deliver AAV gene therapy to the lungs of cystic fibrosis patients have failed due to an inability of conventional AAV vectors to penetrate through the lung mucus barrier and transduce lung cells efficiently. Further, we believe antibody neutralization of AAV likely also played a role in the lack of significant efficacy, as the mucosal immune system actively transports large quantities of antibodies into all mucus secretions, including the lung mucosa.</w:t>
      </w:r>
    </w:p>
    <w:p>
      <w:pPr>
        <w:spacing w:after="0" w:line="20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While a number of companies are currently pursuing other gene therapy solutions utilizing liposomes, lentivirus or conventional AAV vectors, these product candidates are in early stages of development. Moreover, they are not, to our knowledge, comprised of AAV vectors evolved in NHPs for aerosol delivery diffusely throughout the lung airways and alveoli. In addition, we believe these products were not designed for resistance to pre-existing antibodies to conventional AAVs, which is potentially a key requirement for successful delivery in the lung. As a result, to our knowledge, 4D-710 is the only AAV gene therapy product candidate in development designed specifically with a vector selected for aerosol delivery in NHPs, including humans, and with resistance to antibodies in the human population.</w:t>
      </w:r>
    </w:p>
    <w:p>
      <w:pPr>
        <w:spacing w:after="0" w:line="205" w:lineRule="exact"/>
        <w:rPr>
          <w:sz w:val="20"/>
          <w:szCs w:val="20"/>
          <w:color w:val="auto"/>
        </w:rPr>
      </w:pPr>
    </w:p>
    <w:p>
      <w:pPr>
        <w:ind w:right="20" w:firstLine="734"/>
        <w:spacing w:after="0" w:line="246" w:lineRule="auto"/>
        <w:rPr>
          <w:sz w:val="20"/>
          <w:szCs w:val="20"/>
          <w:color w:val="auto"/>
        </w:rPr>
      </w:pPr>
      <w:r>
        <w:rPr>
          <w:rFonts w:ascii="Arial" w:cs="Arial" w:eastAsia="Arial" w:hAnsi="Arial"/>
          <w:sz w:val="18"/>
          <w:szCs w:val="18"/>
          <w:color w:val="auto"/>
        </w:rPr>
        <w:t>We believe 4D-710 has the potential to be differentiated from approved agents, and those in clinical development to our knowledge, on the basis of four design features:</w:t>
      </w:r>
    </w:p>
    <w:p>
      <w:pPr>
        <w:spacing w:after="0" w:line="89" w:lineRule="exact"/>
        <w:rPr>
          <w:sz w:val="20"/>
          <w:szCs w:val="20"/>
          <w:color w:val="auto"/>
        </w:rPr>
      </w:pPr>
    </w:p>
    <w:p>
      <w:pPr>
        <w:jc w:val="both"/>
        <w:ind w:left="1020" w:right="26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Corrective mechanism-of-action</w:t>
      </w:r>
      <w:r>
        <w:rPr>
          <w:rFonts w:ascii="Arial" w:cs="Arial" w:eastAsia="Arial" w:hAnsi="Arial"/>
          <w:sz w:val="18"/>
          <w:szCs w:val="18"/>
          <w:color w:val="auto"/>
        </w:rPr>
        <w:t>: An aerosol dose of 4D-710 is designed to result in high levels of the CFTR protein directly within target cells lining the airway and alveoli. 4D-710 comprises a targeted and evolved vector invented for aerosol delivery, mucus barrier penetration and transduction of epithelial cells within the airways and alveoli of NHPs and humans.</w:t>
      </w:r>
    </w:p>
    <w:p>
      <w:pPr>
        <w:spacing w:after="0" w:line="94" w:lineRule="exact"/>
        <w:rPr>
          <w:rFonts w:ascii="Arial" w:cs="Arial" w:eastAsia="Arial" w:hAnsi="Arial"/>
          <w:sz w:val="18"/>
          <w:szCs w:val="18"/>
          <w:color w:val="auto"/>
        </w:rPr>
      </w:pPr>
    </w:p>
    <w:p>
      <w:pPr>
        <w:ind w:left="1020" w:right="740" w:hanging="28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CFTR-targeted small molecules that require daily dosing for a patient’s entire life, 4D-710 is designed for single or significantly less frequent dosing.</w:t>
      </w:r>
    </w:p>
    <w:p>
      <w:pPr>
        <w:spacing w:after="0" w:line="88" w:lineRule="exact"/>
        <w:rPr>
          <w:rFonts w:ascii="Arial" w:cs="Arial" w:eastAsia="Arial" w:hAnsi="Arial"/>
          <w:sz w:val="18"/>
          <w:szCs w:val="18"/>
          <w:color w:val="auto"/>
        </w:rPr>
      </w:pPr>
    </w:p>
    <w:p>
      <w:pPr>
        <w:ind w:left="1020" w:right="20" w:hanging="28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CFTR mutation-independent efficacy</w:t>
      </w:r>
      <w:r>
        <w:rPr>
          <w:rFonts w:ascii="Arial" w:cs="Arial" w:eastAsia="Arial" w:hAnsi="Arial"/>
          <w:sz w:val="18"/>
          <w:szCs w:val="18"/>
          <w:color w:val="auto"/>
        </w:rPr>
        <w:t>: Unlike CFTR-targeted small molecules that are only effective against specific mutations, 4D-710 is designed to be used in cystic fibrosis patients with any mutation, including in the approximately 10% of patients who are not amenable to standard medical therapy.</w:t>
      </w:r>
    </w:p>
    <w:p>
      <w:pPr>
        <w:spacing w:after="0" w:line="94" w:lineRule="exact"/>
        <w:rPr>
          <w:rFonts w:ascii="Arial" w:cs="Arial" w:eastAsia="Arial" w:hAnsi="Arial"/>
          <w:sz w:val="18"/>
          <w:szCs w:val="18"/>
          <w:color w:val="auto"/>
        </w:rPr>
      </w:pPr>
    </w:p>
    <w:p>
      <w:pPr>
        <w:ind w:left="1020" w:right="260" w:hanging="283"/>
        <w:spacing w:after="0" w:line="24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Resistance to AAV antibodies</w:t>
      </w:r>
      <w:r>
        <w:rPr>
          <w:rFonts w:ascii="Arial" w:cs="Arial" w:eastAsia="Arial" w:hAnsi="Arial"/>
          <w:sz w:val="18"/>
          <w:szCs w:val="18"/>
          <w:color w:val="auto"/>
        </w:rPr>
        <w:t>: Unlike conventional AAV vectors, which are sensitive to anti-AAV antibody inhibition, 4D-710 utilizes A101, a vector invented for resistance to human antibody inhibition.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Preclinical Proof-of-Concept Study with Evolved AAV for Aerosol Delivery in the Cystic Fibrosis Pig Model</w:t>
      </w:r>
    </w:p>
    <w:p>
      <w:pPr>
        <w:spacing w:after="0" w:line="104"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 xml:space="preserve">Our co-founder Dr. Schaffer and his academic colleagues conducted preclinical proof-of-concept studies for utilizing directed evolution to discover vectors for delivering a corrective </w:t>
      </w:r>
      <w:r>
        <w:rPr>
          <w:rFonts w:ascii="Arial" w:cs="Arial" w:eastAsia="Arial" w:hAnsi="Arial"/>
          <w:sz w:val="18"/>
          <w:szCs w:val="18"/>
          <w:i w:val="1"/>
          <w:iCs w:val="1"/>
          <w:color w:val="auto"/>
        </w:rPr>
        <w:t>CFTR</w:t>
      </w:r>
      <w:r>
        <w:rPr>
          <w:rFonts w:ascii="Arial" w:cs="Arial" w:eastAsia="Arial" w:hAnsi="Arial"/>
          <w:sz w:val="18"/>
          <w:szCs w:val="18"/>
          <w:color w:val="auto"/>
        </w:rPr>
        <w:t xml:space="preserve"> gene construct to cystic fibrosis lung tissue in a large animal model of cystic fibrosis, and in a human cystic fibrosis patient lung tissue model. Building on these previous proof-of-concept studies, our product candidate 4D-710 will utilize a vector, A101, that was evolved and selected in NHPs, which we believe is more relevant for human use. The product was designed to package the same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transgene payload in this vector that was customized for use in humans.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54" w:name="page55"/>
    <w:bookmarkEnd w:id="54"/>
    <w:p>
      <w:pPr>
        <w:ind w:firstLine="742"/>
        <w:spacing w:after="0" w:line="236" w:lineRule="auto"/>
        <w:rPr>
          <w:sz w:val="20"/>
          <w:szCs w:val="20"/>
          <w:color w:val="auto"/>
        </w:rPr>
      </w:pPr>
      <w:r>
        <w:rPr>
          <w:rFonts w:ascii="Arial" w:cs="Arial" w:eastAsia="Arial" w:hAnsi="Arial"/>
          <w:sz w:val="18"/>
          <w:szCs w:val="18"/>
          <w:color w:val="auto"/>
        </w:rPr>
        <w:t xml:space="preserve">Dr. Schaffer and his colleagues first demonstrated the potential to treat cystic fibrosis via aerosolized delivery of a targeted and evolved AAV vector (AAV2H22) in a pig model of cystic fibrosis. AAV2H22 was selected for highly efficient transduction of lung epithelial cells in pigs by conducting multiple rounds of directed evolution using aerosolized dosing in pigs. Aerosol delivery of </w:t>
      </w:r>
      <w:r>
        <w:rPr>
          <w:rFonts w:ascii="Arial" w:cs="Arial" w:eastAsia="Arial" w:hAnsi="Arial"/>
          <w:sz w:val="18"/>
          <w:szCs w:val="18"/>
          <w:i w:val="1"/>
          <w:iCs w:val="1"/>
          <w:color w:val="auto"/>
        </w:rPr>
        <w:t>micro</w:t>
      </w:r>
      <w:r>
        <w:rPr>
          <w:rFonts w:ascii="Arial" w:cs="Arial" w:eastAsia="Arial" w:hAnsi="Arial"/>
          <w:sz w:val="18"/>
          <w:szCs w:val="18"/>
          <w:color w:val="auto"/>
        </w:rPr>
        <w:t xml:space="preserve">CFTR using the </w:t>
      </w:r>
      <w:r>
        <w:rPr>
          <w:rFonts w:ascii="Arial" w:cs="Arial" w:eastAsia="Arial" w:hAnsi="Arial"/>
          <w:sz w:val="18"/>
          <w:szCs w:val="18"/>
          <w:i w:val="1"/>
          <w:iCs w:val="1"/>
          <w:color w:val="auto"/>
        </w:rPr>
        <w:t xml:space="preserve">AAV2H22 vector </w:t>
      </w:r>
      <w:r>
        <w:rPr>
          <w:rFonts w:ascii="Arial" w:cs="Arial" w:eastAsia="Arial" w:hAnsi="Arial"/>
          <w:sz w:val="18"/>
          <w:szCs w:val="18"/>
          <w:color w:val="auto"/>
        </w:rPr>
        <w:t>resulted in CFTR expression in diseased pig lungs with expression patterns that resembled those observed in normal lungs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both pigs and humans. In addition to CFTR protein expression, </w:t>
      </w:r>
      <w:r>
        <w:rPr>
          <w:rFonts w:ascii="Arial" w:cs="Arial" w:eastAsia="Arial" w:hAnsi="Arial"/>
          <w:sz w:val="18"/>
          <w:szCs w:val="18"/>
          <w:i w:val="1"/>
          <w:iCs w:val="1"/>
          <w:color w:val="auto"/>
        </w:rPr>
        <w:t>AAV2H22-CFTR</w:t>
      </w:r>
      <w:r>
        <w:rPr>
          <w:rFonts w:ascii="Arial" w:cs="Arial" w:eastAsia="Arial" w:hAnsi="Arial"/>
          <w:sz w:val="18"/>
          <w:szCs w:val="18"/>
          <w:color w:val="auto"/>
        </w:rPr>
        <w:t xml:space="preserve"> gene therapy also resulted in a significant increase in chloride ion transport compared to untreated controls as well as a reduction in bacterial colonies within the lungs of treated animals. Therefore, selection of an aerosol AAV vector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normal pigs led to the discovery of an AAV vector that was subsequently able to penetrate the thickened mucus barrier in the severe pig cystic fibrosis model.</w:t>
      </w:r>
    </w:p>
    <w:p>
      <w:pPr>
        <w:spacing w:after="0" w:line="82" w:lineRule="exact"/>
        <w:rPr>
          <w:sz w:val="20"/>
          <w:szCs w:val="20"/>
          <w:color w:val="auto"/>
        </w:rPr>
      </w:pPr>
    </w:p>
    <w:p>
      <w:pPr>
        <w:ind w:right="120" w:firstLine="734"/>
        <w:spacing w:after="0" w:line="241" w:lineRule="auto"/>
        <w:rPr>
          <w:sz w:val="20"/>
          <w:szCs w:val="20"/>
          <w:color w:val="auto"/>
        </w:rPr>
      </w:pPr>
      <w:r>
        <w:rPr>
          <w:rFonts w:ascii="Arial" w:cs="Arial" w:eastAsia="Arial" w:hAnsi="Arial"/>
          <w:sz w:val="18"/>
          <w:szCs w:val="18"/>
          <w:i w:val="1"/>
          <w:iCs w:val="1"/>
          <w:color w:val="auto"/>
        </w:rPr>
        <w:t>Illustrative images in the top panels below exhibit the pattern of microCFTR expression observed by Steines et al. in normal pigs, untreated cystic fibrosis pigs and cystic fibrosis pigs treated with AAV2H22 carrying the microCFTR transgene payload (also referred to as CFTR-deltaR; same transgene utilized in 4D-710, but different AAV vector). The study involved six healthy pigs, six untreated cystic fibrosis pigs and three AAV2H22.microCFTR-treated cystic fibrosis pigs. These animals are represented by the dots in each of the graphs in the bottom panels which illustrate the range of responses between animals, and the significant difference between treated and untreated cystic fibrosis pigs.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146050</wp:posOffset>
            </wp:positionV>
            <wp:extent cx="4157345" cy="3360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5734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right="180"/>
        <w:spacing w:after="0" w:line="243" w:lineRule="auto"/>
        <w:rPr>
          <w:sz w:val="20"/>
          <w:szCs w:val="20"/>
          <w:color w:val="auto"/>
        </w:rPr>
      </w:pPr>
      <w:r>
        <w:rPr>
          <w:rFonts w:ascii="Arial" w:cs="Arial" w:eastAsia="Arial" w:hAnsi="Arial"/>
          <w:sz w:val="18"/>
          <w:szCs w:val="18"/>
          <w:i w:val="1"/>
          <w:iCs w:val="1"/>
          <w:color w:val="auto"/>
        </w:rPr>
        <w:t>CFTR</w:t>
      </w:r>
      <w:r>
        <w:rPr>
          <w:rFonts w:ascii="Arial" w:cs="Arial" w:eastAsia="Arial" w:hAnsi="Arial"/>
          <w:sz w:val="18"/>
          <w:szCs w:val="18"/>
          <w:color w:val="auto"/>
        </w:rPr>
        <w:t>D</w:t>
      </w:r>
      <w:r>
        <w:rPr>
          <w:rFonts w:ascii="Arial" w:cs="Arial" w:eastAsia="Arial" w:hAnsi="Arial"/>
          <w:sz w:val="18"/>
          <w:szCs w:val="18"/>
          <w:i w:val="1"/>
          <w:iCs w:val="1"/>
          <w:color w:val="auto"/>
        </w:rPr>
        <w:t>R = MicroCFTR, Cystic Fibrosis transmembrane conductance regulator with removal of the R domain, a truncated version of the CFTR transgene engineered to fit within the payload size limitations of AAV Cl-= chloride 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5"/>
          <w:szCs w:val="15"/>
          <w:i w:val="1"/>
          <w:iCs w:val="1"/>
          <w:color w:val="auto"/>
        </w:rPr>
        <w:t>sc</w:t>
      </w:r>
      <w:r>
        <w:rPr>
          <w:rFonts w:ascii="Arial" w:cs="Arial" w:eastAsia="Arial" w:hAnsi="Arial"/>
          <w:sz w:val="18"/>
          <w:szCs w:val="18"/>
          <w:i w:val="1"/>
          <w:iCs w:val="1"/>
          <w:color w:val="auto"/>
        </w:rPr>
        <w:t xml:space="preserve"> = short circuit current, a measurement of Cl- movement through cell membranes</w:t>
      </w:r>
    </w:p>
    <w:p>
      <w:pPr>
        <w:jc w:val="center"/>
        <w:ind w:right="-39"/>
        <w:spacing w:after="0" w:line="234" w:lineRule="auto"/>
        <w:rPr>
          <w:sz w:val="20"/>
          <w:szCs w:val="20"/>
          <w:color w:val="auto"/>
        </w:rPr>
      </w:pPr>
      <w:r>
        <w:rPr>
          <w:rFonts w:ascii="Arial" w:cs="Arial" w:eastAsia="Arial" w:hAnsi="Arial"/>
          <w:sz w:val="18"/>
          <w:szCs w:val="18"/>
          <w:color w:val="auto"/>
        </w:rPr>
        <w:t>µ</w:t>
      </w:r>
      <w:r>
        <w:rPr>
          <w:rFonts w:ascii="Arial" w:cs="Arial" w:eastAsia="Arial" w:hAnsi="Arial"/>
          <w:sz w:val="18"/>
          <w:szCs w:val="18"/>
          <w:i w:val="1"/>
          <w:iCs w:val="1"/>
          <w:color w:val="auto"/>
        </w:rPr>
        <w:t>A = microAmp</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cm2 = square centimeter.</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55" w:name="page56"/>
    <w:bookmarkEnd w:id="55"/>
    <w:p>
      <w:pPr>
        <w:ind w:right="120" w:firstLine="734"/>
        <w:spacing w:after="0" w:line="245" w:lineRule="auto"/>
        <w:rPr>
          <w:sz w:val="20"/>
          <w:szCs w:val="20"/>
          <w:color w:val="auto"/>
        </w:rPr>
      </w:pPr>
      <w:r>
        <w:rPr>
          <w:rFonts w:ascii="Arial" w:cs="Arial" w:eastAsia="Arial" w:hAnsi="Arial"/>
          <w:sz w:val="18"/>
          <w:szCs w:val="18"/>
          <w:color w:val="auto"/>
        </w:rPr>
        <w:t xml:space="preserve">In addition, Dr. Schaffer and colleagues used directed evolution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organotypic air-liquid interface model of lung epithelium to select AAV2.5T, which we in-licensed with exclusive worldwide rights. In preclinical studies, AAV2.5T carrying </w:t>
      </w:r>
      <w:r>
        <w:rPr>
          <w:rFonts w:ascii="Arial" w:cs="Arial" w:eastAsia="Arial" w:hAnsi="Arial"/>
          <w:sz w:val="18"/>
          <w:szCs w:val="18"/>
          <w:i w:val="1"/>
          <w:iCs w:val="1"/>
          <w:color w:val="auto"/>
        </w:rPr>
        <w:t>micro</w:t>
      </w:r>
      <w:r>
        <w:rPr>
          <w:rFonts w:ascii="Arial" w:cs="Arial" w:eastAsia="Arial" w:hAnsi="Arial"/>
          <w:sz w:val="18"/>
          <w:szCs w:val="18"/>
          <w:color w:val="auto"/>
        </w:rPr>
        <w:t>CFTR transduced human lung epithelial tissue and resulted in expression of functional protein as suggested by increased chloride ion transport as compared to untreated control.</w:t>
      </w:r>
    </w:p>
    <w:p>
      <w:pPr>
        <w:spacing w:after="0" w:line="199" w:lineRule="exact"/>
        <w:rPr>
          <w:sz w:val="20"/>
          <w:szCs w:val="20"/>
          <w:color w:val="auto"/>
        </w:rPr>
      </w:pPr>
    </w:p>
    <w:p>
      <w:pPr>
        <w:ind w:right="260" w:firstLine="734"/>
        <w:spacing w:after="0"/>
        <w:rPr>
          <w:sz w:val="20"/>
          <w:szCs w:val="20"/>
          <w:color w:val="auto"/>
        </w:rPr>
      </w:pPr>
      <w:r>
        <w:rPr>
          <w:rFonts w:ascii="Arial" w:cs="Arial" w:eastAsia="Arial" w:hAnsi="Arial"/>
          <w:sz w:val="18"/>
          <w:szCs w:val="18"/>
          <w:color w:val="auto"/>
        </w:rPr>
        <w:t>We believe that these results demonstrate that a targeted and evolved vector can penetrate the mucus layer of diseased cystic fibrosis lungs and deliver functional CFTR protein in a well-validated large animal model of the disease, as well as in human cystic fibrosis patient-derived organotypic lung models.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Animal Model Pharmacology and Toxicology Studies</w:t>
      </w:r>
    </w:p>
    <w:p>
      <w:pPr>
        <w:spacing w:after="0" w:line="12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 xml:space="preserve">In our NHP study of a single aerosol delivered dose of 4D-710 at two different dose levels, treatment resulted in widespread distribution, CFTR transgene expression throughout both proximal and medial airways and alveoli. No meaningful inflammation or adverse findings were reported on in-life examinations, hematology or clinical chemistry analyses, or lung histology analyses.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demonstrated highly significant resistance to neutralization by human pooled antibody preparations, with human IVIG pooled from over 1,000 individuals.</w:t>
      </w:r>
    </w:p>
    <w:p>
      <w:pPr>
        <w:spacing w:after="0" w:line="292" w:lineRule="exact"/>
        <w:rPr>
          <w:sz w:val="20"/>
          <w:szCs w:val="20"/>
          <w:color w:val="auto"/>
        </w:rPr>
      </w:pPr>
    </w:p>
    <w:p>
      <w:pPr>
        <w:jc w:val="center"/>
        <w:ind w:left="340" w:right="200"/>
        <w:spacing w:after="0" w:line="267" w:lineRule="auto"/>
        <w:rPr>
          <w:sz w:val="20"/>
          <w:szCs w:val="20"/>
          <w:color w:val="auto"/>
        </w:rPr>
      </w:pPr>
      <w:r>
        <w:rPr>
          <w:rFonts w:ascii="Arial" w:cs="Arial" w:eastAsia="Arial" w:hAnsi="Arial"/>
          <w:sz w:val="18"/>
          <w:szCs w:val="18"/>
          <w:i w:val="1"/>
          <w:iCs w:val="1"/>
          <w:color w:val="auto"/>
        </w:rPr>
        <w:t>Delivery (genomes) and transduction (mRNA) were consistently measured throughout lung segments and samples in NHPs treated with 3E13 vg of aerosolized 4D-710. Number of positive tissue samples across three NHPs are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113665</wp:posOffset>
            </wp:positionV>
            <wp:extent cx="2443480" cy="6000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434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340" w:right="100"/>
        <w:spacing w:after="0" w:line="296" w:lineRule="auto"/>
        <w:rPr>
          <w:sz w:val="20"/>
          <w:szCs w:val="20"/>
          <w:color w:val="auto"/>
        </w:rPr>
      </w:pPr>
      <w:r>
        <w:rPr>
          <w:rFonts w:ascii="Arial" w:cs="Arial" w:eastAsia="Arial" w:hAnsi="Arial"/>
          <w:sz w:val="17"/>
          <w:szCs w:val="17"/>
          <w:i w:val="1"/>
          <w:iCs w:val="1"/>
          <w:color w:val="auto"/>
        </w:rPr>
        <w:t>Aerosol delivery of 4D-710 in NHPs was associated with microCFTR protein detection by IHC (brown) in the proximal (trachea) and medial (bronchi) airway and in alveoli at low and high dose. Illustrative images below highlight transduction of the NHP lung at the 3E13 dose.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2016760</wp:posOffset>
            </wp:positionH>
            <wp:positionV relativeFrom="page">
              <wp:posOffset>380365</wp:posOffset>
            </wp:positionV>
            <wp:extent cx="3514725" cy="29914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351472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734"/>
        <w:spacing w:after="0" w:line="267" w:lineRule="auto"/>
        <w:rPr>
          <w:sz w:val="20"/>
          <w:szCs w:val="20"/>
          <w:color w:val="auto"/>
        </w:rPr>
      </w:pPr>
      <w:r>
        <w:rPr>
          <w:rFonts w:ascii="Arial" w:cs="Arial" w:eastAsia="Arial" w:hAnsi="Arial"/>
          <w:sz w:val="18"/>
          <w:szCs w:val="18"/>
          <w:color w:val="auto"/>
        </w:rPr>
        <w:t xml:space="preserve">We plan to perform pharmacology studies in human cystic fibrosis lung tissues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 order to evaluate the function of the </w:t>
      </w:r>
      <w:r>
        <w:rPr>
          <w:rFonts w:ascii="Arial" w:cs="Arial" w:eastAsia="Arial" w:hAnsi="Arial"/>
          <w:sz w:val="18"/>
          <w:szCs w:val="18"/>
          <w:i w:val="1"/>
          <w:iCs w:val="1"/>
          <w:color w:val="auto"/>
        </w:rPr>
        <w:t xml:space="preserve">microCFTR </w:t>
      </w:r>
      <w:r>
        <w:rPr>
          <w:rFonts w:ascii="Arial" w:cs="Arial" w:eastAsia="Arial" w:hAnsi="Arial"/>
          <w:sz w:val="18"/>
          <w:szCs w:val="18"/>
          <w:color w:val="auto"/>
        </w:rPr>
        <w:t>transgene product; this protein has previously been shown to have relatively normal functional activity in a similar model</w:t>
      </w:r>
      <w:r>
        <w:rPr>
          <w:rFonts w:ascii="Arial" w:cs="Arial" w:eastAsia="Arial" w:hAnsi="Arial"/>
          <w:sz w:val="18"/>
          <w:szCs w:val="18"/>
          <w:i w:val="1"/>
          <w:iCs w:val="1"/>
          <w:color w:val="auto"/>
        </w:rPr>
        <w:t xml:space="preserve"> ex vivo</w:t>
      </w:r>
      <w:r>
        <w:rPr>
          <w:rFonts w:ascii="Arial" w:cs="Arial" w:eastAsia="Arial" w:hAnsi="Arial"/>
          <w:sz w:val="18"/>
          <w:szCs w:val="18"/>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Development Plan</w:t>
      </w:r>
    </w:p>
    <w:p>
      <w:pPr>
        <w:spacing w:after="0" w:line="104" w:lineRule="exact"/>
        <w:rPr>
          <w:sz w:val="20"/>
          <w:szCs w:val="20"/>
          <w:color w:val="auto"/>
        </w:rPr>
      </w:pPr>
    </w:p>
    <w:p>
      <w:pPr>
        <w:ind w:right="280" w:firstLine="734"/>
        <w:spacing w:after="0" w:line="246" w:lineRule="auto"/>
        <w:rPr>
          <w:sz w:val="20"/>
          <w:szCs w:val="20"/>
          <w:color w:val="auto"/>
        </w:rPr>
      </w:pPr>
      <w:r>
        <w:rPr>
          <w:rFonts w:ascii="Arial" w:cs="Arial" w:eastAsia="Arial" w:hAnsi="Arial"/>
          <w:sz w:val="18"/>
          <w:szCs w:val="18"/>
          <w:color w:val="auto"/>
        </w:rPr>
        <w:t>We have initiated an IND-enabling GLP toxicology and biodistribution study of 4D-710 in NHP. We expect to initiate a Phase 1/2 clinical trial for 4D-710 in the second half of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are aware of several companies focused on developing gene therapies in various indications as well as companies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205"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With respect to 4D-125 for the treatment of XLRP, we consider our most direct AAV gene therapy competitors to be as follows: Biogen Inc. (candidate administered by subretinal surgery in a Phase 2 clinical trial), Applied Genetic Technologies Corporation (candidate administered by subretinal surgery in a Phase 1/2 clinical trial), Janssen Pharmaceuticals Inc. / MeiraGTx Holdings Plc (candidate administered by subretinal surgery in a Phase 1/2 clinical trial).</w:t>
      </w:r>
    </w:p>
    <w:p>
      <w:pPr>
        <w:spacing w:after="0" w:line="205" w:lineRule="exact"/>
        <w:rPr>
          <w:sz w:val="20"/>
          <w:szCs w:val="20"/>
          <w:color w:val="auto"/>
        </w:rPr>
      </w:pPr>
    </w:p>
    <w:p>
      <w:pPr>
        <w:jc w:val="both"/>
        <w:ind w:right="160" w:firstLine="734"/>
        <w:spacing w:after="0"/>
        <w:rPr>
          <w:sz w:val="20"/>
          <w:szCs w:val="20"/>
          <w:color w:val="auto"/>
        </w:rPr>
      </w:pPr>
      <w:r>
        <w:rPr>
          <w:rFonts w:ascii="Arial" w:cs="Arial" w:eastAsia="Arial" w:hAnsi="Arial"/>
          <w:sz w:val="18"/>
          <w:szCs w:val="18"/>
          <w:color w:val="auto"/>
        </w:rPr>
        <w:t>With respect to 4D-110 for the treatment of choroideremia, we consider our most direct competitors to be as follows: Biogen Inc. (candidate administered by subretinal surgery in a Phase 3 clinical trial) and Spark Therapeutics, Inc., a wholly owned subsidiary of Roche Holdings AG (candidate administered by subretinal surgery in a Phase 1/2 clinical trial).</w:t>
      </w:r>
    </w:p>
    <w:p>
      <w:pPr>
        <w:spacing w:after="0" w:line="203" w:lineRule="exact"/>
        <w:rPr>
          <w:sz w:val="20"/>
          <w:szCs w:val="20"/>
          <w:color w:val="auto"/>
        </w:rPr>
      </w:pPr>
    </w:p>
    <w:p>
      <w:pPr>
        <w:ind w:right="80" w:firstLine="734"/>
        <w:spacing w:after="0" w:line="246" w:lineRule="auto"/>
        <w:rPr>
          <w:sz w:val="20"/>
          <w:szCs w:val="20"/>
          <w:color w:val="auto"/>
        </w:rPr>
      </w:pPr>
      <w:r>
        <w:rPr>
          <w:rFonts w:ascii="Arial" w:cs="Arial" w:eastAsia="Arial" w:hAnsi="Arial"/>
          <w:sz w:val="18"/>
          <w:szCs w:val="18"/>
          <w:color w:val="auto"/>
        </w:rPr>
        <w:t>We consider our most direct competitors with respect to 4D-150 for the treatment of diabetic retinopathy and wet AMD to be Eylea (aflibercept) from Regeneron Pharmaceuticals Inc., which is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7" w:name="page58"/>
    <w:bookmarkEnd w:id="57"/>
    <w:p>
      <w:pPr>
        <w:ind w:right="340"/>
        <w:spacing w:after="0" w:line="238" w:lineRule="auto"/>
        <w:rPr>
          <w:sz w:val="20"/>
          <w:szCs w:val="20"/>
          <w:color w:val="auto"/>
        </w:rPr>
      </w:pPr>
      <w:r>
        <w:rPr>
          <w:rFonts w:ascii="Arial" w:cs="Arial" w:eastAsia="Arial" w:hAnsi="Arial"/>
          <w:sz w:val="18"/>
          <w:szCs w:val="18"/>
          <w:color w:val="auto"/>
        </w:rPr>
        <w:t>current wet AMD standard of care, and a combination of antibody-based programs including Lucentis and faricimab from Roche, KSI-301 from Kodiak Sciences Inc., and OPT-302 from Opthea Limited, and gene-therapy based programs including ADVM-022 from Adverum Biotechnologies and RGX-314 from RegenxBio Inc., which are both AAV-based programs in Phase 1 studies. In addition, Roche is developing the Port Delivery System with Lucentis for use in patients with wet AMD.</w:t>
      </w:r>
    </w:p>
    <w:p>
      <w:pPr>
        <w:spacing w:after="0" w:line="205"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 xml:space="preserve">We consider our most direct competitors with respect to 4D-310 for the treatment of Fabry disease to be Amicus Therapeutics, which has Galafold (migalastat) approved as a small molecule chaperone for specific mutations, and several gene therapy companies including AvroBio Inc., which is in Phase 3 development of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lenti-AGA based program, Freeline Therapeutics Holdings Plc, which is in Phase 1 development of AAVS2-based FLT-190, and Sangamo, which is in Phase 1 development of AAV2/6-based ST-920. Other competitors include Sanofi Genzyme, Takeda Pharmaceutical Company Limited and Protalix BioTherapeutics, all of which either commercialize or develop enzyme replacement therapy for the treatment of Fabry disease.</w:t>
      </w:r>
    </w:p>
    <w:p>
      <w:pPr>
        <w:spacing w:after="0" w:line="205" w:lineRule="exact"/>
        <w:rPr>
          <w:sz w:val="20"/>
          <w:szCs w:val="20"/>
          <w:color w:val="auto"/>
        </w:rPr>
      </w:pPr>
    </w:p>
    <w:p>
      <w:pPr>
        <w:ind w:right="200" w:firstLine="734"/>
        <w:spacing w:after="0"/>
        <w:rPr>
          <w:sz w:val="20"/>
          <w:szCs w:val="20"/>
          <w:color w:val="auto"/>
        </w:rPr>
      </w:pPr>
      <w:r>
        <w:rPr>
          <w:rFonts w:ascii="Arial" w:cs="Arial" w:eastAsia="Arial" w:hAnsi="Arial"/>
          <w:sz w:val="18"/>
          <w:szCs w:val="18"/>
          <w:color w:val="auto"/>
        </w:rPr>
        <w:t>We consider our most direct competitors with respect to 4D-710 for the treatment of cystic fibrosis to be Vertex, which has several approved CFTR modulators, as well as other gene therapy companies in preclinical development of cystic fibrosis programs, including Krystal Biotech Inc., Abeona Therapeutics Inc., Spirovant Sciences Inc. and Editas Medicine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CMC Strategy</w:t>
      </w:r>
    </w:p>
    <w:p>
      <w:pPr>
        <w:spacing w:after="0" w:line="126"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In order to fulfill our strategy to maximize the robustness and internal control of our manufacturing processes from discovery and process development through to clinical-grade cGMP manufacturing, we have designed and are continually developing and scaling a robust in-house manufacturing platform for both GMP and non-GMP manufacturing. While many companies in the AAV gene therapy field in-license clinical trial material or manufacturing technologies from other companies or academic manufacturing centers, in contrast, our manufacturing processes were developed internally using internal technology transfers from our own process development labs. Our current in-house manufacturing capabilities include GMP manufacturing (upstream, downstream and fill/finish), production capabilities for IND-enabling GLP toxicology studies and research candidate production. We intend to further scale these capabilities to support later stage clinical programs and indications requiring more patients and/or higher intravenous doses. In addition to our internal activities, we also collaborate with CMOs (Contract Manufacturing Organizations) such as Catalent.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Good Manufacturing Practices (“cGMP”) Capabilities</w:t>
      </w:r>
    </w:p>
    <w:p>
      <w:pPr>
        <w:spacing w:after="0" w:line="126"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Our team has extensive experience with the manufacturing and analytical testing of numerous unique AAV capsids. Our team has internally manufactured approximately 90 unique AAV vectors, including both proprietary evolved 4DMT capsid variants and naturally occurring capsids. Our team has manufactured over 160 total lots of AAV vectors for research or clinical use. We have in-house cGMP manufacturing capabilities for clinical trial material production. Our manufacturing team has completed and released multiple lots of clinical trial material for our three product candidates in clinical development. This total also includes 13 lots of product candidate material for GLP toxicology and biodistribution studies. Leveraging internal testing capabilities in addition to qualified contract testing laboratories, we fully test and release our GLP and GMP lots for use in toxicology and clinical trials, respectively. We have developed and qualified assays for characterization, in-process testing and release and stability testing of our internally and externally manufactured proprietary AAV vectors.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 Development Capabilities</w:t>
      </w:r>
    </w:p>
    <w:p>
      <w:pPr>
        <w:spacing w:after="0" w:line="126" w:lineRule="exact"/>
        <w:rPr>
          <w:sz w:val="20"/>
          <w:szCs w:val="20"/>
          <w:color w:val="auto"/>
        </w:rPr>
      </w:pPr>
    </w:p>
    <w:p>
      <w:pPr>
        <w:ind w:right="300" w:firstLine="734"/>
        <w:spacing w:after="0"/>
        <w:rPr>
          <w:sz w:val="20"/>
          <w:szCs w:val="20"/>
          <w:color w:val="auto"/>
        </w:rPr>
      </w:pPr>
      <w:r>
        <w:rPr>
          <w:rFonts w:ascii="Arial" w:cs="Arial" w:eastAsia="Arial" w:hAnsi="Arial"/>
          <w:sz w:val="18"/>
          <w:szCs w:val="18"/>
          <w:color w:val="auto"/>
        </w:rPr>
        <w:t>We use robust, scalable and transferable manufacturing unit operations throughout both the vector characterization process and product development, which are both platform-specific and product-specific. The upstream manufacturing step involves triple plasmid transfections in an adherent HEK293 mammalian production cell line. Downstream manufacturing steps for purification and concentration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8" w:name="page59"/>
    <w:bookmarkEnd w:id="58"/>
    <w:p>
      <w:pPr>
        <w:spacing w:after="0" w:line="238" w:lineRule="auto"/>
        <w:rPr>
          <w:sz w:val="20"/>
          <w:szCs w:val="20"/>
          <w:color w:val="auto"/>
        </w:rPr>
      </w:pPr>
      <w:r>
        <w:rPr>
          <w:rFonts w:ascii="Arial" w:cs="Arial" w:eastAsia="Arial" w:hAnsi="Arial"/>
          <w:sz w:val="18"/>
          <w:szCs w:val="18"/>
          <w:color w:val="auto"/>
        </w:rPr>
        <w:t>include multiple orthogonal column chromatography steps and tangential flow filtration. The downstream purification columns used in our process are from stable sources including General Electric. Using internally developed manufacturing processes and testing, we characterize our novel capsids and payloads. In addition, leveraging internal expertise and capabilities, we package and test our novel vectors with payloads using internally developed manufacturing processes.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Facilities</w:t>
      </w:r>
    </w:p>
    <w:p>
      <w:pPr>
        <w:spacing w:after="0" w:line="126"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Our manufacturing facilities are on site at company headquarters in Emeryville, California and include process development labs, an analytical development lab, and a cGMP manufacturing facility. These manufacturing facilities are also designed for production of material for GLP toxicology and biodistribution studies. Our manufacturing facility is approximately 3,200 square feet, of which approximately 1,500 square feet is dedicated to product manufacturing. For larger scale production for Phase 1 to Phase 3 clinical trials as well as potentially commercial launch materials, we intend to build a second cGMP facility. In this new facility, we expect to utilize large-scale bioreactors that are designed to enable higher titer clinical trial material lots as well as commercial launch materials. These manufacturing facilities are also designed for production of material for GLP toxicology and biodistribution studies.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Team</w:t>
      </w:r>
    </w:p>
    <w:p>
      <w:pPr>
        <w:spacing w:after="0" w:line="126"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Our team of approximately 30 highly trained individuals is led by our Chief Technical Officer and Chief Operating Officer, Dr. Kamal, and includes eight Ph.D. scientists. Collectively, they have significant experience in viral vector manufacturing, chemistry-manufacturing-controls (“CMC”), regulatory affairs, analytical and process development, and quality assurance and controls. Our team also has experience prior to 4DMT with manufacturing multiple viral vectors from preclinical studies through to multiple Phase 3 trials. For example, Dr. Kamal helped to write and compile the AAV gene therapy BLA for Zolgensma (Novartis), the first AAV gene therapy approved for intravenous administration in infants and babies.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product candidates,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Our product and lead optimization candidates were discovered by us utilizing our proprietary technology. We have filed several non-provisional and provisional patent applications, all owned by us, relating to our product and lead optimization candidates in the United States, certain foreign countries, and the World Intellectual Property Organization that are directed to compositions-of-matter, dosage unit forms, methods-of-treatment and medical use. We have also licensed several non-provisional patent applications, granted patents and international patent applications relating to our product and lead optimization candidates from U.C. Berkeley.</w:t>
      </w:r>
    </w:p>
    <w:p>
      <w:pPr>
        <w:spacing w:after="0" w:line="20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As of March 15, 2021, our solely owned patent portfolio includes seven pending U.S. non-provisional applications, seventy-one pending foreign applications, ten allowed foreign applications and six granted foreign patents. We expect that United States and European patents and the patent applications, if issued, would expire between May 2037 and November 2038, excluding any additional term from patent term adjustment or patent term extension if appropriate maintenance and other governmental fees are paid. Additional patent term for the presently issued or later issued U.S. patents may be awarded as a result of the patent term extension provision of the Hatch-Waxman Amendments of 1984. In the European Union member countries, a supplementary protection certificate, if obtained, provides a maximum five years of market exclusivity. Our solely owned patent portfolio also includes five pending U.S. provisional patent applications.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9" w:name="page60"/>
    <w:bookmarkEnd w:id="59"/>
    <w:p>
      <w:pPr>
        <w:ind w:firstLine="734"/>
        <w:spacing w:after="0" w:line="236" w:lineRule="auto"/>
        <w:rPr>
          <w:sz w:val="20"/>
          <w:szCs w:val="20"/>
          <w:color w:val="auto"/>
        </w:rPr>
      </w:pPr>
      <w:r>
        <w:rPr>
          <w:rFonts w:ascii="Arial" w:cs="Arial" w:eastAsia="Arial" w:hAnsi="Arial"/>
          <w:sz w:val="18"/>
          <w:szCs w:val="18"/>
          <w:color w:val="auto"/>
        </w:rPr>
        <w:t>In other jurisdictions (currently, Australia, Bahrain, Brazil, Canada, Chile, China, Colombia, Costa Rica, Egypt, India, Indonesia, Iran, Israel, Japan, Korea, Kuwait, Malaysia, Mexico, New Zealand, Oman, Peru, Philippines, Qatar, Russia, Saudi Arabia, Singapore, South Africa, Thailand, United Arab Emirates, Ukraine and Vietnam), granted patents, and any patents issued on pending applications, where applicable, relating to our product and lead optimization candidates, including composition of matter, dosage unit form, method-of-treatment and medical use, are expected to expire between May 2037 and November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208"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As of March 15, 2021, our in-licensed patent portfolio includes five granted U.S. patents and nine granted foreign patents or allowed foreign applications; each of these patents is expected to expire between June 2024 and June 2029. Our in-licensed patent portfolio also includes seven pending U.S. non-provisional patent applications and thirty-eight pending foreign patent applications. We expect that United States and European patents, if issued from applications in our in-licensed portfolio would expire between June 2024 and June 2038.</w:t>
      </w:r>
    </w:p>
    <w:p>
      <w:pPr>
        <w:spacing w:after="0" w:line="205" w:lineRule="exact"/>
        <w:rPr>
          <w:sz w:val="20"/>
          <w:szCs w:val="20"/>
          <w:color w:val="auto"/>
        </w:rPr>
      </w:pPr>
    </w:p>
    <w:p>
      <w:pPr>
        <w:ind w:right="160" w:firstLine="734"/>
        <w:spacing w:after="0" w:line="237" w:lineRule="auto"/>
        <w:rPr>
          <w:sz w:val="20"/>
          <w:szCs w:val="20"/>
          <w:color w:val="auto"/>
        </w:rPr>
      </w:pPr>
      <w:r>
        <w:rPr>
          <w:rFonts w:ascii="Arial" w:cs="Arial" w:eastAsia="Arial" w:hAnsi="Arial"/>
          <w:sz w:val="18"/>
          <w:szCs w:val="18"/>
          <w:color w:val="auto"/>
        </w:rPr>
        <w:t>In other jurisdictions (currently, Australia, Brazil, Canada, China, France, Germany, Great Britain, Hong Kong, India, Italy, Japan, Korea and Mexico), granted patents issued on pending applications, where applicable, relating to our product and lead optimization candidates, including composition of matter and various other patents, including dosage unit form, method-of-treatment and medical use patents are expected to expire between June 2024 and June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203"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effective for 20 years from the earliest effective non-provisional filing date. In addition, in certain instances, a patent term can be extended to recapture a portion of the U.S. Patent and Trademark Office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02" w:lineRule="exact"/>
        <w:rPr>
          <w:sz w:val="20"/>
          <w:szCs w:val="20"/>
          <w:color w:val="auto"/>
        </w:rPr>
      </w:pPr>
    </w:p>
    <w:p>
      <w:pPr>
        <w:jc w:val="both"/>
        <w:ind w:right="260" w:firstLine="734"/>
        <w:spacing w:after="0"/>
        <w:rPr>
          <w:sz w:val="20"/>
          <w:szCs w:val="20"/>
          <w:color w:val="auto"/>
        </w:rPr>
      </w:pPr>
      <w:r>
        <w:rPr>
          <w:rFonts w:ascii="Arial" w:cs="Arial" w:eastAsia="Arial" w:hAnsi="Arial"/>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alter our drugs or processes, obtain licenses or cease certain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0" w:name="page61"/>
    <w:bookmarkEnd w:id="60"/>
    <w:p>
      <w:pPr>
        <w:ind w:right="800"/>
        <w:spacing w:after="0" w:line="246" w:lineRule="auto"/>
        <w:rPr>
          <w:sz w:val="20"/>
          <w:szCs w:val="20"/>
          <w:color w:val="auto"/>
        </w:rPr>
      </w:pPr>
      <w:r>
        <w:rPr>
          <w:rFonts w:ascii="Arial" w:cs="Arial" w:eastAsia="Arial" w:hAnsi="Arial"/>
          <w:sz w:val="18"/>
          <w:szCs w:val="18"/>
          <w:color w:val="auto"/>
        </w:rPr>
        <w:t>activities. Our breach of any license agreements or failure to obtain a license to proprietary rights that we may require to develop or commercialize our future drugs may have a material adverse impact on 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F. Hoffmann-La Roche Ltd and Hoffmann-La Roche Inc.</w:t>
      </w:r>
    </w:p>
    <w:p>
      <w:pPr>
        <w:spacing w:after="0" w:line="126"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In November 2017, we entered into a Collaboration and License Agreement (the “Roche Agreement”), with F. Hoffmann-La Roche Ltd and Hoffmann-La Roche Inc., collectively referred to as Roche. Under the Roche Agreement, we granted Roche an exclusive, sublicensable, worldwide license under certain intellectual property rights to research, develop, make, use, import, export, and sell products and constructs using our proprietary AAV vectors to treat ophthalmological diseases and disorders, excluding treatment and prevention of cancer and central nervous system conditions (but not retinal nerves) and delivery of DNA-directed RNA interference (the “Roche Field”).</w:t>
      </w:r>
    </w:p>
    <w:p>
      <w:pPr>
        <w:spacing w:after="0" w:line="202" w:lineRule="exact"/>
        <w:rPr>
          <w:sz w:val="20"/>
          <w:szCs w:val="20"/>
          <w:color w:val="auto"/>
        </w:rPr>
      </w:pPr>
    </w:p>
    <w:p>
      <w:pPr>
        <w:ind w:firstLine="734"/>
        <w:spacing w:after="0" w:line="255" w:lineRule="auto"/>
        <w:rPr>
          <w:sz w:val="20"/>
          <w:szCs w:val="20"/>
          <w:color w:val="auto"/>
        </w:rPr>
      </w:pPr>
      <w:r>
        <w:rPr>
          <w:rFonts w:ascii="Arial" w:cs="Arial" w:eastAsia="Arial" w:hAnsi="Arial"/>
          <w:sz w:val="17"/>
          <w:szCs w:val="17"/>
          <w:color w:val="auto"/>
        </w:rPr>
        <w:t>Under the terms of the Roche Agreement, we and Roche will engage in collaboration programs to develop one or more products, and choroideremia has been designated as the first collaboration program. We are primarily responsible for the initial development of such collaboration programs and Roche agreed to reimburse us for our development costs and expenses in accordance with the terms of the agreement. Upon completion of such initial development, we will transfer data, know-how and regulatory filings to the applicable collaboration program to Roche and Roche will be responsible for the development and commercialization of such program at its own cost and expense.</w:t>
      </w:r>
    </w:p>
    <w:p>
      <w:pPr>
        <w:spacing w:after="0" w:line="190"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Subject to the terms of the Roche Agreement, either party may also develop one or more programs in the Roche Field independent of the other party at such party’s own cost and expense. Roche has an option to elect one or more of the programs that we may independently develop under the agreement, including XLRP, which we have designated as our initial independent program. If Roche exercises its option, and subject to its payment of the applicable option exercise fee, we will transfer our data, know-how and regulatory filings related to such programs. If Roche does not exercise its option within the applicable option period, we will have the sole right to commercialization of such product. Each party agreed to various diligence obligations under the agreement.</w:t>
      </w:r>
    </w:p>
    <w:p>
      <w:pPr>
        <w:spacing w:after="0" w:line="20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Pursuant to the Roche Agreement, we received an upfront payment from Roche of $21.0 million. In addition, we are entitled to contingent payments including (i) $1.0 million for each Roche nominated product beyond the first three, (ii) up to $30.0 million upon exercise of the option to convert a product we nominated and developed prior to pivotal clinical studies, (iii) up to $223.0 million in specified development milestones in connection with the licensed products, $86.0 million of which relate to choroideremia; and (iv) sales-based milestones of up to $123.0 million based on worldwide calendar year net sales in connection with licensed products. On a product-by-product basis, Roche will also be required to pay us tiered royalties for worldwide calendar year net sales of products at percentages ranging from the mid-to high-single digit to mid-teens, in each case subject to reductions in accordance with the terms of the agreement. The royalties are payable on a product-by-product and country-by-country basis until the later of ten years after the date of first commercial sale of such product in such country and the expiration of the last-to-expire licensed patent right covering such product, which will expire on May 12, 2037.</w:t>
      </w:r>
    </w:p>
    <w:p>
      <w:pPr>
        <w:spacing w:after="0" w:line="206" w:lineRule="exact"/>
        <w:rPr>
          <w:sz w:val="20"/>
          <w:szCs w:val="20"/>
          <w:color w:val="auto"/>
        </w:rPr>
      </w:pPr>
    </w:p>
    <w:p>
      <w:pPr>
        <w:ind w:right="180" w:firstLine="734"/>
        <w:spacing w:after="0" w:line="237" w:lineRule="auto"/>
        <w:rPr>
          <w:sz w:val="20"/>
          <w:szCs w:val="20"/>
          <w:color w:val="auto"/>
        </w:rPr>
      </w:pPr>
      <w:r>
        <w:rPr>
          <w:rFonts w:ascii="Arial" w:cs="Arial" w:eastAsia="Arial" w:hAnsi="Arial"/>
          <w:sz w:val="18"/>
          <w:szCs w:val="18"/>
          <w:color w:val="auto"/>
        </w:rPr>
        <w:t>The Roche Agreement will expire on the later of expiration of all payment obligations and the date when no products are actively developed by either party or both parties in accordance with the terms of the agreement. Either party may terminate the agreement in its entirety or on a country-by-country basis if the other party fails to cure its material breach within 90 days of receiving notice. Roche may terminate the agreement in its entirety, on a product-by-product basis or on a country-by-country basis upon 90 days’ prior written notice. If we terminate the agreement for Roche’s material breach or if Roche terminates the agreement without cause, the rights to the products generally revert back to us. If we commercialize reverted products after such termination, we may be required to pay Roche tiered royalties for worldwide calendar year net sales of such products at percentages ranging from zero to the low-teens,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1" w:name="page62"/>
    <w:bookmarkEnd w:id="61"/>
    <w:p>
      <w:pPr>
        <w:ind w:right="460"/>
        <w:spacing w:after="0"/>
        <w:rPr>
          <w:sz w:val="20"/>
          <w:szCs w:val="20"/>
          <w:color w:val="auto"/>
        </w:rPr>
      </w:pPr>
      <w:r>
        <w:rPr>
          <w:rFonts w:ascii="Arial" w:cs="Arial" w:eastAsia="Arial" w:hAnsi="Arial"/>
          <w:sz w:val="18"/>
          <w:szCs w:val="18"/>
          <w:color w:val="auto"/>
        </w:rPr>
        <w:t>in each case subject to reductions in accordance with the terms of the agreement. If Roche terminates the agreement for our material breach, Roche may retain its rights under the license that we grant to Roche under our intellectual property rights and Roche’s payment obligations will survive.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Agreements with uniQure biopharma B.V.</w:t>
      </w:r>
    </w:p>
    <w:p>
      <w:pPr>
        <w:spacing w:after="0" w:line="126" w:lineRule="exact"/>
        <w:rPr>
          <w:sz w:val="20"/>
          <w:szCs w:val="20"/>
          <w:color w:val="auto"/>
        </w:rPr>
      </w:pPr>
    </w:p>
    <w:p>
      <w:pPr>
        <w:ind w:right="340" w:firstLine="734"/>
        <w:spacing w:after="0"/>
        <w:rPr>
          <w:sz w:val="20"/>
          <w:szCs w:val="20"/>
          <w:color w:val="auto"/>
        </w:rPr>
      </w:pPr>
      <w:r>
        <w:rPr>
          <w:rFonts w:ascii="Arial" w:cs="Arial" w:eastAsia="Arial" w:hAnsi="Arial"/>
          <w:sz w:val="18"/>
          <w:szCs w:val="18"/>
          <w:color w:val="auto"/>
        </w:rPr>
        <w:t>In August 2019, we entered into an Amended and Restated Collaboration and License Agreement (the “Amended and Restated uniQure Agreement”) with uniQure biopharma B.V., now uniQure N.V. (“uniQure”), which amended and restated the Collaboration and License Agreement that we entered into with uniQure in January 2014.</w:t>
      </w:r>
    </w:p>
    <w:p>
      <w:pPr>
        <w:spacing w:after="0" w:line="203"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Under the Amended and Restated uniQure Agreement, we granted uniQure an exclusive, sublicensable, worldwide license under certain of our intellectual property rights, and other rights, to research, develop, make, use, and commercialize pre-selected AAV capsid variants (“Selected Variants”), and compounds and products containing such Selected Variants, using our proprietary AAV technology for delivery of gene therapy constructs to cells in the central nervous system and the liver (the “uniQure Field”). uniQure is solely responsible, at its cost and expense, to develop and commercialize the compounds and products containing the Selected Variants in accordance with the terms of the Amended and Restated uniQure Agreement. We retain all rights to all other AAV capsid variants, and compounds and products containing such AAV capsid variants, in the uniQure Field.</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Also in August 2019, we entered into a separate Collaboration and License Agreement with uniQure (“Second uniQure Agreement”). Under the Second uniQure Agreement, the parties agreed to research and develop new AAV capsid variants that are not Selected Variants (New Variants) using our proprietary AAV technology for delivery of transgene constructs that affect certain targets (“uniQure Targets”) in the uniQure Field. We are responsible for the research of the New Variants, and uniQure is responsible for the development and commercialization of a certain number of compounds and products containing New Variants, that affect the uniQure Targets (“Licensed Products”). We granted uniQure an exclusive, sublicensable, worldwide license under certain of our intellectual property rights, and other rights, to research, develop, make, use, and commercialize the Licensed Products. We retain all rights to New Variants in the uniQure Field that affect targets other than the uniQure Targets. We also retain all rights to any new AAV capsid variants developed under the agreements that are not New Variants, and compounds and products containing such variants.</w:t>
      </w:r>
    </w:p>
    <w:p>
      <w:pPr>
        <w:spacing w:after="0" w:line="207"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Under both the Amended and Restated uniQure Agreement and the Second uniQure Agreement, uniQure will be required to pay us royalties on worldwide annual net sales of licensed products at a mid-single digit percentage rate, subject to certain specified reductions. These royalties are payable on a product-by-product and country-by-country basis until the latest of ten years after the date of the first commercial sale of such product in such country, the expiration of the last-to-expire licensed patent right covering such product in such country (of which there are none), and the expiration of any applicable exclusivity granted by a regulatory authority in such country for such product (the “uniQure Royalty Term”). uniQure will also be required to pay us a portion of the amounts it receives for licensing or sublicensing to third parties our intellectual property rights licensed or other rights otherwise granted under the Amended and Restated uniQure Agreement, and a portion of the amounts it receives for licensing to third parties our intellectual property rights granted under the Second uniQure Agreement, each at a rate between mid-single digit to mid-twenties percentages, depending on the stage of development at which such third-party grant occurs.</w:t>
      </w:r>
    </w:p>
    <w:p>
      <w:pPr>
        <w:spacing w:after="0" w:line="206" w:lineRule="exact"/>
        <w:rPr>
          <w:sz w:val="20"/>
          <w:szCs w:val="20"/>
          <w:color w:val="auto"/>
        </w:rPr>
      </w:pPr>
    </w:p>
    <w:p>
      <w:pPr>
        <w:ind w:right="120" w:firstLine="734"/>
        <w:spacing w:after="0" w:line="237" w:lineRule="auto"/>
        <w:rPr>
          <w:sz w:val="20"/>
          <w:szCs w:val="20"/>
          <w:color w:val="auto"/>
        </w:rPr>
      </w:pPr>
      <w:r>
        <w:rPr>
          <w:rFonts w:ascii="Arial" w:cs="Arial" w:eastAsia="Arial" w:hAnsi="Arial"/>
          <w:sz w:val="18"/>
          <w:szCs w:val="18"/>
          <w:color w:val="auto"/>
        </w:rPr>
        <w:t>Under both the Amended and Restated uniQure Agreement and the Second uniQure Agreement, under certain circumstances, we may propose to uniQure, and uniQure may grant to us, a non-exclusive right for us to develop and commercialize certain licensed products based on Selected Variants in the uniQure Field, or the New Variants in the uniQure Field to deliver transgene constructs that affect the uniQure Targets (“4DMT Proposed Products”). Pursuant to the Second uniQure Agreement, under certain circumstances, uniQure may propose to us, and we may grant to uniQure a non -exclusive right for uniQure to develop and commercialize certain licensed products using any new AAV capsid variants developed under the agreement that are not New Variants in the uniQure Field to deliver transgene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2" w:name="page63"/>
    <w:bookmarkEnd w:id="62"/>
    <w:p>
      <w:pPr>
        <w:ind w:right="60"/>
        <w:spacing w:after="0" w:line="237" w:lineRule="auto"/>
        <w:rPr>
          <w:sz w:val="20"/>
          <w:szCs w:val="20"/>
          <w:color w:val="auto"/>
        </w:rPr>
      </w:pPr>
      <w:r>
        <w:rPr>
          <w:rFonts w:ascii="Arial" w:cs="Arial" w:eastAsia="Arial" w:hAnsi="Arial"/>
          <w:sz w:val="18"/>
          <w:szCs w:val="18"/>
          <w:color w:val="auto"/>
        </w:rPr>
        <w:t>constructs that affect targets other than the uniQure Targets (“uniQure Proposed Products”). If either party obtains the rights to develop and commercialize a 4DMT Proposed Product or a uniQure Proposed Product, as applicable, such party will be required to pay the other party royalties on worldwide annual net sales of such products at a mid-single digit percentage rate, subject to specified reductions. These royalties will be payable on a product-by-product basis during the uniQure Royalty Term for such products. The party receiving such license will also be required to pay the other party a portion of the amounts that it may receive for licensing or sublicensing to third parties rights for such 4DMT Proposed Products or uniQure Proposed Products, as applicable, at a rate between mid-single digit to mid-twenties percentages depending on the stage of development at which the sublicense is granted.</w:t>
      </w:r>
    </w:p>
    <w:p>
      <w:pPr>
        <w:spacing w:after="0" w:line="203" w:lineRule="exact"/>
        <w:rPr>
          <w:sz w:val="20"/>
          <w:szCs w:val="20"/>
          <w:color w:val="auto"/>
        </w:rPr>
      </w:pPr>
    </w:p>
    <w:p>
      <w:pPr>
        <w:ind w:right="180" w:firstLine="734"/>
        <w:spacing w:after="0" w:line="235" w:lineRule="auto"/>
        <w:rPr>
          <w:sz w:val="20"/>
          <w:szCs w:val="20"/>
          <w:color w:val="auto"/>
        </w:rPr>
      </w:pPr>
      <w:r>
        <w:rPr>
          <w:rFonts w:ascii="Arial" w:cs="Arial" w:eastAsia="Arial" w:hAnsi="Arial"/>
          <w:sz w:val="18"/>
          <w:szCs w:val="18"/>
          <w:color w:val="auto"/>
        </w:rPr>
        <w:t>Each of the Amended and Restated uniQure Agreement and the Second uniQure Agreement will expire on the expiration of all payment obligations of the parties under such agreement. Each party may terminate either agreement for the other party’s insolvency or bankruptcy. Each party may also terminate either agreement in its entirety in some circumstances or on an indication-by-indication basis if the other party fails to cure its material breach under the applicable agreement within 90 days of receiving notice, subject to an additional cure period in accordance with the terms of such agreement. uniQure may terminate either agreement upon 90 days’ prior written notice. In addition, uniQure may terminate the Second uniQure Agreement at any point prior to the first anniversary of the effective date if the joint research committee determines that it would be futile to continue the research program under the agreement, including if such committee determines that certain agreed-upon development success criteria will not be able to be met, or if we are not making bona fide efforts to achieve the mutually agreed timelines set forth in the research plan. If we terminate either agreement for uniQure’s material breach, insolvency or bankruptcy or if uniQure terminates either agreement for convenience or due to its determination of futility, the rights to the Selected Variants, and compounds and products containing such Selected Variants, or the uniQure New Variants, and compounds and products containing such uniQure New Variants, as applicable, generally revert back to us. If uniQure terminates either agreement for our material breach under the applicable agreement, insolvency or bankruptcy, uniQure may retain its rights to the intellectual property license grant under such agreement and uniQure’s payment obligations will survive.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and Bailment Agreements with The Regents of the University of California</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In December 2013, we entered into two Exclusive License and Bailment Agreements (the “UC Agreements”) with The Regents of the University of California (the “UC Regents”) with one of the agreements covering AAV2 capsid mutants with novel properties for enhanced performance in gene therapy and the other covering AAV for enhanced gene delivery in the presence of neutralizing antibodies. Under both UC Agreements, the UC Regents granted us an exclusive, sublicensable license under certain patent rights to make, use, sell, offer to sell, and import products and services, and to practice methods in the United States and foreign countries where the licensed patent rights exist. The license grant under one UC Agreement is in all fields of use and the license grant under the other UC Agreement is in all fields of use, with the exception of the ophthalmic field. We agreed to certain general and specific diligence obligations under both UC Agreements in connection with the development, manufacture and sales of the licensed products, services and methods, in accordance with the terms of the UC Agreements.</w:t>
      </w:r>
    </w:p>
    <w:p>
      <w:pPr>
        <w:spacing w:after="0" w:line="207"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Under each UC Agreement, we paid the UC Regents an upfront payment of $5,000. Further, at the closing of our Series A financing that was a qualified financing pursuant to the UC Agreements, we issued 311,812 shares of our common stock in aggregate under both agreements. Under each UC Agreement, we agreed to pay the UC Regents a specified annual license maintenance fee in each year in which we do not owe royalties to the UC Regents. We also agreed to pay the UC Regents a mid -teens to mid-twenties percentage range of any consideration, including royalties (“Sublicense Consideration”), we receive for the grant of a sublicense under the licensed patent rights under each UC Agreement, with the consideration payable to the UC Regents to not exceed such percentage range in the aggregate under both UC Agreements for the same sublicense grant. We may reduce any Sublicense Consideration if we sublicense any of our own or third-party patent rights under the sublicense grant based on the relative value of the sublicensed patents. Upon the achievement of specified development and regulatory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3" w:name="page64"/>
    <w:bookmarkEnd w:id="63"/>
    <w:p>
      <w:pPr>
        <w:ind w:right="100"/>
        <w:spacing w:after="0" w:line="234" w:lineRule="auto"/>
        <w:rPr>
          <w:sz w:val="20"/>
          <w:szCs w:val="20"/>
          <w:color w:val="auto"/>
        </w:rPr>
      </w:pPr>
      <w:r>
        <w:rPr>
          <w:rFonts w:ascii="Arial" w:cs="Arial" w:eastAsia="Arial" w:hAnsi="Arial"/>
          <w:sz w:val="18"/>
          <w:szCs w:val="18"/>
          <w:color w:val="auto"/>
        </w:rPr>
        <w:t>milestones by the first licensed product or method, we will be required to pay the UC Regents up to $3.1 million under each UC Agreement. We will also be required to pay the UC Regents a royalty on net sales of licensed products, services and methods covered by the patents licensed under the UC Agreements at a percentage in the low single-digit percentage rate, subject to certain specified reductions. Under the UC Agreements, a specified minimum annual royalty will also be due to the UC Regents beginning the first calendar year after the year in which any net sales of a licensed product first occur, such minimum royalty amount to increase on an annual basis, but not to exceed</w:t>
      </w:r>
    </w:p>
    <w:p>
      <w:pPr>
        <w:spacing w:after="0" w:line="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$0.1 million in the aggregate under both UC Agreements. Under each UC Agreement, royalties are payable until the expiration of the last-to-expire licensed patent right covering the licensed product, service or method, which will expire on June 28, 2038 (the “UC Royalty Term”). Milestone, royalty and sublicense revenue payments will be due to the UC Regents under only one of the UC Agreements covering any licensed product, regardless of the number of patents covering a given licensed product.</w:t>
      </w:r>
    </w:p>
    <w:p>
      <w:pPr>
        <w:spacing w:after="0" w:line="205" w:lineRule="exact"/>
        <w:rPr>
          <w:sz w:val="20"/>
          <w:szCs w:val="20"/>
          <w:color w:val="auto"/>
        </w:rPr>
      </w:pPr>
    </w:p>
    <w:p>
      <w:pPr>
        <w:ind w:right="180" w:firstLine="734"/>
        <w:spacing w:after="0" w:line="237" w:lineRule="auto"/>
        <w:rPr>
          <w:sz w:val="20"/>
          <w:szCs w:val="20"/>
          <w:color w:val="auto"/>
        </w:rPr>
      </w:pPr>
      <w:r>
        <w:rPr>
          <w:rFonts w:ascii="Arial" w:cs="Arial" w:eastAsia="Arial" w:hAnsi="Arial"/>
          <w:sz w:val="18"/>
          <w:szCs w:val="18"/>
          <w:color w:val="auto"/>
        </w:rPr>
        <w:t>Each UC Agreement will expire at the end of the UC Royalty Term. The UC Regents may terminate each of the UC Agreements if we fail to cure a breach of such UC Agreement within 60 days of notice. If we fail to meet our diligence obligations, the UC Regents has the right to either terminate the UC Agreement or to reduce our exclusive license to a non-exclusive license, after giving us 60 days to cure or request arbitration. We may terminate either UC Agreement at-will in its entirety or with respect to any portion of the licensed patent rights upon 90 days prior written notice. Each UC Agreement will terminate immediately if we or a third party on our behalf files a claim asserting that the licensed patent rights are invalid or unenforceable.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 Foundation</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In 2016, we received a grant from Cystic Fibrosis Foundation (“CFF”) in the amount of $525,000 to support discovery and development of product candidates to treat cystic fibrosis. The grant was increased to $3.5 million in 2017 and was subsequently amended to allocate the $3.5 million to different milestones. The grant provides for repayment to CFF upon the commercialization of any product developed under the grant. The repayment is capped at nine times multiple of the grant actually paid to us.</w:t>
      </w:r>
    </w:p>
    <w:p>
      <w:pPr>
        <w:spacing w:after="0" w:line="205"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In April 2020, CFF made a $10.0 million investment in our Series C redeemable convertible preferred stock financing. In return for the investment, CFF received shares of our Series C redeemable convertible preferred stock, and we and CFF entered into a Funding Agreement (the Funding Agreement). Pursuant to the terms of the Funding Agreement, we agreed to use the proceeds of the CFF investment to support development of 4D-710, our product candidate for the treatment of cystic fibrosis, and to match CFF’s support for the product candidate. Upon acceptance by the FDA of an IND for 4D-710 (“Acceptance”), CFF will make an additional $4.0 million investment (the “Subsequent Investment”), except in the event of a change of control transaction occurring prior to Acceptance or Acceptance occurring after April 29, 2026. At the time of Acceptance, CFF will receive shares of common stock priced at the 10-day average reported closing price of our common stock for the date of Acceptance. We have agreed to use the additional $4.0 million from the Subsequent Investment to support development of 4D-710 and to match CFF’s support of the product candidate. Under the terms of the Funding Agreement, neither the $10.0 million investment in the Series C redeemable convertible preferred stock nor the $4.0 million of funding upon Acceptance are restricted as to withdrawal or usage.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We, along with third -party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4" w:name="page65"/>
    <w:bookmarkEnd w:id="64"/>
    <w:p>
      <w:pPr>
        <w:ind w:right="320"/>
        <w:spacing w:after="0" w:line="246" w:lineRule="auto"/>
        <w:rPr>
          <w:sz w:val="20"/>
          <w:szCs w:val="20"/>
          <w:color w:val="auto"/>
        </w:rPr>
      </w:pPr>
      <w:r>
        <w:rPr>
          <w:rFonts w:ascii="Arial" w:cs="Arial" w:eastAsia="Arial" w:hAnsi="Arial"/>
          <w:sz w:val="18"/>
          <w:szCs w:val="18"/>
          <w:color w:val="auto"/>
        </w:rPr>
        <w:t>the subsequent compliance with applicable federal, state, local and foreign statutes and regulations require the expenditure of substantial time and financial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26" w:lineRule="exact"/>
        <w:rPr>
          <w:sz w:val="20"/>
          <w:szCs w:val="20"/>
          <w:color w:val="auto"/>
        </w:rPr>
      </w:pPr>
    </w:p>
    <w:p>
      <w:pPr>
        <w:jc w:val="both"/>
        <w:ind w:right="440" w:firstLine="734"/>
        <w:spacing w:after="0"/>
        <w:rPr>
          <w:sz w:val="20"/>
          <w:szCs w:val="20"/>
          <w:color w:val="auto"/>
        </w:rPr>
      </w:pPr>
      <w:r>
        <w:rPr>
          <w:rFonts w:ascii="Arial" w:cs="Arial" w:eastAsia="Arial" w:hAnsi="Arial"/>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w:t>
      </w:r>
    </w:p>
    <w:p>
      <w:pPr>
        <w:spacing w:after="0" w:line="95" w:lineRule="exact"/>
        <w:rPr>
          <w:sz w:val="20"/>
          <w:szCs w:val="20"/>
          <w:color w:val="auto"/>
        </w:rPr>
      </w:pPr>
    </w:p>
    <w:p>
      <w:pPr>
        <w:ind w:left="1020" w:hanging="28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by an IRB or ethics committee at each clinical site before the trial is commenced;</w:t>
      </w:r>
    </w:p>
    <w:p>
      <w:pPr>
        <w:spacing w:after="0" w:line="144" w:lineRule="exact"/>
        <w:rPr>
          <w:rFonts w:ascii="Arial" w:cs="Arial" w:eastAsia="Arial" w:hAnsi="Arial"/>
          <w:sz w:val="18"/>
          <w:szCs w:val="18"/>
          <w:color w:val="auto"/>
        </w:rPr>
      </w:pPr>
    </w:p>
    <w:p>
      <w:pPr>
        <w:ind w:left="1020" w:right="400" w:hanging="283"/>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44" w:lineRule="exact"/>
        <w:rPr>
          <w:rFonts w:ascii="Arial" w:cs="Arial" w:eastAsia="Arial" w:hAnsi="Arial"/>
          <w:sz w:val="18"/>
          <w:szCs w:val="18"/>
          <w:color w:val="auto"/>
        </w:rPr>
      </w:pPr>
    </w:p>
    <w:p>
      <w:pPr>
        <w:ind w:left="1020" w:hanging="283"/>
        <w:spacing w:after="0" w:line="238"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(“GCPs”); and</w:t>
      </w:r>
    </w:p>
    <w:p>
      <w:pPr>
        <w:spacing w:after="0" w:line="96" w:lineRule="exact"/>
        <w:rPr>
          <w:rFonts w:ascii="Arial" w:cs="Arial" w:eastAsia="Arial" w:hAnsi="Arial"/>
          <w:sz w:val="18"/>
          <w:szCs w:val="18"/>
          <w:color w:val="auto"/>
        </w:rPr>
      </w:pPr>
    </w:p>
    <w:p>
      <w:pPr>
        <w:ind w:left="1020" w:right="560" w:hanging="283"/>
        <w:spacing w:after="0" w:line="246"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197"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In addition to the submission of an IND to the FDA, under the National Institutes of Health, or NIH, Guidelines for Research Involving Recombinant DNA Molecules (NIH Guidelines), supervision of certain human gene transfer trials may also require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assessment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5" w:name="page66"/>
    <w:bookmarkEnd w:id="65"/>
    <w:p>
      <w:pPr>
        <w:ind w:right="40" w:firstLine="734"/>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ind w:right="540" w:firstLine="734"/>
        <w:spacing w:after="0" w:line="246"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or be combined:</w:t>
      </w:r>
    </w:p>
    <w:p>
      <w:pPr>
        <w:spacing w:after="0" w:line="89" w:lineRule="exact"/>
        <w:rPr>
          <w:sz w:val="20"/>
          <w:szCs w:val="20"/>
          <w:color w:val="auto"/>
        </w:rPr>
      </w:pPr>
    </w:p>
    <w:p>
      <w:pPr>
        <w:ind w:left="1020" w:right="140" w:hanging="283"/>
        <w:spacing w:after="0" w:line="23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96" w:lineRule="exact"/>
        <w:rPr>
          <w:rFonts w:ascii="Arial" w:cs="Arial" w:eastAsia="Arial" w:hAnsi="Arial"/>
          <w:sz w:val="18"/>
          <w:szCs w:val="18"/>
          <w:color w:val="auto"/>
        </w:rPr>
      </w:pPr>
    </w:p>
    <w:p>
      <w:pPr>
        <w:ind w:left="1020" w:hanging="283"/>
        <w:spacing w:after="0" w:line="23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96" w:lineRule="exact"/>
        <w:rPr>
          <w:rFonts w:ascii="Arial" w:cs="Arial" w:eastAsia="Arial" w:hAnsi="Arial"/>
          <w:sz w:val="18"/>
          <w:szCs w:val="18"/>
          <w:color w:val="auto"/>
        </w:rPr>
      </w:pPr>
    </w:p>
    <w:p>
      <w:pPr>
        <w:ind w:left="1020" w:right="160" w:hanging="283"/>
        <w:spacing w:after="0" w:line="23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05" w:lineRule="exact"/>
        <w:rPr>
          <w:sz w:val="20"/>
          <w:szCs w:val="20"/>
          <w:color w:val="auto"/>
        </w:rPr>
      </w:pPr>
    </w:p>
    <w:p>
      <w:pPr>
        <w:ind w:right="240" w:firstLine="734"/>
        <w:spacing w:after="0" w:line="24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also be made a condition to approval of the BLA.</w:t>
      </w:r>
    </w:p>
    <w:p>
      <w:pPr>
        <w:spacing w:after="0" w:line="197"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26" w:lineRule="exact"/>
        <w:rPr>
          <w:sz w:val="20"/>
          <w:szCs w:val="20"/>
          <w:color w:val="auto"/>
        </w:rPr>
      </w:pPr>
    </w:p>
    <w:p>
      <w:pPr>
        <w:ind w:right="440" w:firstLine="734"/>
        <w:spacing w:after="0" w:line="246"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6" w:name="page67"/>
    <w:bookmarkEnd w:id="66"/>
    <w:p>
      <w:pPr>
        <w:ind w:right="20"/>
        <w:spacing w:after="0" w:line="236" w:lineRule="auto"/>
        <w:rPr>
          <w:sz w:val="20"/>
          <w:szCs w:val="20"/>
          <w:color w:val="auto"/>
        </w:rPr>
      </w:pPr>
      <w:r>
        <w:rPr>
          <w:rFonts w:ascii="Arial" w:cs="Arial" w:eastAsia="Arial" w:hAnsi="Arial"/>
          <w:sz w:val="18"/>
          <w:szCs w:val="18"/>
          <w:color w:val="auto"/>
        </w:rPr>
        <w:t>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 annual program fee. A waiver of user fees may be obtained under certain limited circumstances. Additionally, no user fees are assessed on BLAs for products designated as orphan drugs, unless the product also includes a non-orphan indication.</w:t>
      </w:r>
    </w:p>
    <w:p>
      <w:pPr>
        <w:spacing w:after="0" w:line="208"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filing date. Priority review designation will direct overall attention and resources to the evaluation of applications for products that, if approved, would be significant improvements in the safety or effectiveness of the treatment, diagnosis, or prevention of serious conditions.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recommendations of an advisory committee, but it considers such recommendations when making decisions regarding approval.</w:t>
      </w:r>
    </w:p>
    <w:p>
      <w:pPr>
        <w:spacing w:after="0" w:line="204"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7"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7" w:name="page68"/>
    <w:bookmarkEnd w:id="67"/>
    <w:p>
      <w:pPr>
        <w:ind w:right="140"/>
        <w:spacing w:after="0" w:line="237" w:lineRule="auto"/>
        <w:rPr>
          <w:sz w:val="20"/>
          <w:szCs w:val="20"/>
          <w:color w:val="auto"/>
        </w:rPr>
      </w:pPr>
      <w:r>
        <w:rPr>
          <w:rFonts w:ascii="Arial" w:cs="Arial" w:eastAsia="Arial" w:hAnsi="Arial"/>
          <w:sz w:val="18"/>
          <w:szCs w:val="18"/>
          <w:color w:val="auto"/>
        </w:rPr>
        <w:t>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IV post-market studies and surveillance to further assess and monitor the product’s safety and effectiveness after commercialization, and may limit further marketing of the product based on the results of these post-marketing studies.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applicable FDA review team during product development and, once a BLA is submitted, the product candidate may be eligible for priority review. For a fast track product, the FDA may consider sections of the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A fast track designated product candidate may also qualify for priority review, under which the FDA sets the target date for FDA action on the BLA at six months after the FDA accepts the application for filing.</w:t>
      </w:r>
    </w:p>
    <w:p>
      <w:pPr>
        <w:spacing w:after="0" w:line="205"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In 2017, the FDA established a new regenerative medicine advanced therapy (“RMAT”) designation as part of its implementation of the 21st Century Cures Act. The RMAT designation program is intended to fulfill the 21st Century Cures Act requirement that the FDA facilitate an efficient development program for, and expedite review of, any drug or biologic that meets the following criteria: (i) the drug or biologic qualifies as a RMAT, which is defined as a cell therapy, therapeutic tissue engineering product, human cell and tissue product, or any combination product using such therapies or products, with limited exceptions; (ii) the drug or biologic is intended to treat, modify, reverse, or cure a serious or life-threatening disease or condition; and (iii) preliminary clinical evidence indicates that the drug or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205" w:lineRule="exact"/>
        <w:rPr>
          <w:sz w:val="20"/>
          <w:szCs w:val="20"/>
          <w:color w:val="auto"/>
        </w:rPr>
      </w:pPr>
    </w:p>
    <w:p>
      <w:pPr>
        <w:ind w:right="240" w:firstLine="734"/>
        <w:spacing w:after="0"/>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fast track designation, RMAT designation and/or breakthrough therapy designation, may be eligible for other types of FDA programs intended to expedite the FDA review and approval process, such as priority review and accelerated approval. A product candidate is eligible for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8" w:name="page69"/>
    <w:bookmarkEnd w:id="68"/>
    <w:p>
      <w:pPr>
        <w:spacing w:after="0" w:line="236" w:lineRule="auto"/>
        <w:rPr>
          <w:sz w:val="20"/>
          <w:szCs w:val="20"/>
          <w:color w:val="auto"/>
        </w:rPr>
      </w:pPr>
      <w:r>
        <w:rPr>
          <w:rFonts w:ascii="Arial" w:cs="Arial" w:eastAsia="Arial" w:hAnsi="Arial"/>
          <w:sz w:val="18"/>
          <w:szCs w:val="18"/>
          <w:color w:val="auto"/>
        </w:rPr>
        <w:t>priority review if it is designed to treat a serious or life-threatening disease or condition, and if approved, would provide a significant improvement in safety or effectiveness compared to available alternatives for such disease or condition. For original BLAs, priority review designation means the FDA’s goal is to take action on the marketing application within six months of the 60-day filing date (as compared to ten months under standard review).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on an expedited basis if, for example, the sponsor fails to conduct required post-marketing trials in a timely manner or if such trials fail to verify the predicted clinical benefit of the product.</w:t>
      </w:r>
    </w:p>
    <w:p>
      <w:pPr>
        <w:spacing w:after="0" w:line="204"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Fast Track designation, priority review, accelerated approval, RMAT designation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26"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w:t>
      </w:r>
    </w:p>
    <w:p>
      <w:pPr>
        <w:spacing w:after="0" w:line="20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208"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We have obtained orphan drug designation for 4D-110 for the treatment of Choroideremia and for 4D-310 for the treatment of Fabry disease, and we plan to seek additional orphan drug designations for some or all of our product candidates in specific orphan indications in which there is a medically plausible basis for the use of these products.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26"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5" w:lineRule="exact"/>
        <w:rPr>
          <w:sz w:val="20"/>
          <w:szCs w:val="20"/>
          <w:color w:val="auto"/>
        </w:rPr>
      </w:pPr>
    </w:p>
    <w:p>
      <w:pPr>
        <w:ind w:right="220" w:firstLine="734"/>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7" w:lineRule="exact"/>
        <w:rPr>
          <w:sz w:val="20"/>
          <w:szCs w:val="20"/>
          <w:color w:val="auto"/>
        </w:rPr>
      </w:pPr>
    </w:p>
    <w:p>
      <w:pPr>
        <w:ind w:left="1020" w:right="340" w:hanging="28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44" w:lineRule="exact"/>
        <w:rPr>
          <w:rFonts w:ascii="Arial" w:cs="Arial" w:eastAsia="Arial" w:hAnsi="Arial"/>
          <w:sz w:val="18"/>
          <w:szCs w:val="18"/>
          <w:color w:val="auto"/>
        </w:rPr>
      </w:pPr>
    </w:p>
    <w:p>
      <w:pPr>
        <w:ind w:left="1020" w:right="360" w:hanging="28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44"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The Affordable Care Act, signed into law in 2010, includes a subtitle called the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20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08" w:lineRule="exact"/>
        <w:rPr>
          <w:sz w:val="20"/>
          <w:szCs w:val="20"/>
          <w:color w:val="auto"/>
        </w:rPr>
      </w:pPr>
    </w:p>
    <w:p>
      <w:pPr>
        <w:ind w:right="100" w:firstLine="742"/>
        <w:spacing w:after="0" w:line="238"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05" w:lineRule="exact"/>
        <w:rPr>
          <w:sz w:val="20"/>
          <w:szCs w:val="20"/>
          <w:color w:val="auto"/>
        </w:rPr>
      </w:pPr>
    </w:p>
    <w:p>
      <w:pPr>
        <w:ind w:right="480" w:firstLine="734"/>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data privacy and security, and transparency laws and regulations as well as similar foreign laws in the jurisdictions outside the U.S. 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1" w:name="page72"/>
    <w:bookmarkEnd w:id="71"/>
    <w:p>
      <w:pPr>
        <w:ind w:right="20"/>
        <w:spacing w:after="0" w:line="236" w:lineRule="auto"/>
        <w:rPr>
          <w:sz w:val="20"/>
          <w:szCs w:val="20"/>
          <w:color w:val="auto"/>
        </w:rPr>
      </w:pPr>
      <w:r>
        <w:rPr>
          <w:rFonts w:ascii="Arial" w:cs="Arial" w:eastAsia="Arial" w:hAnsi="Arial"/>
          <w:sz w:val="18"/>
          <w:szCs w:val="18"/>
          <w:color w:val="auto"/>
        </w:rPr>
        <w:t>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certain other health care professionals beginning in 2022, and teaching hospitals, and applicable manufacturers and applicable group purchasing organizations to report annually to CMS ownership and investment interests held by physicians and their immediate family members.</w:t>
      </w:r>
    </w:p>
    <w:p>
      <w:pPr>
        <w:spacing w:after="0" w:line="20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 healthcare programs and imprisonment.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6"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Pharmaceutical companies may be subject to domestic and foreign privacy, security and data breach notification laws, which are rapidly evolving in many jurisdictions worldwide. In the United States, federal and state health information laws may govern the collection, use, disclosure and protection of health-related and other personal information. HIPAA, as amended by the Health Information Technology for Economic and Clinical Health Act of 2009, and regulations implemented thereunder,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State laws may be more stringent, broader in scope or offer greater individual rights with respect to protected health information (“PHI”) than HIPAA and state laws may differ from each other, which may complicate compliance efforts. For example, California enacted the California Consumer Privacy Act (the “CCPA”) on June 28, 2018, which went into effect on January 1, 2020. The CCPA gives California residents expanded rights regarding their personal information. Although CCPA contains certain exemptions for health-related information, including PHI, uncertainties over how it applies and how our treatment of non-PHI personal information may be interpreted mean that the CCPA may ultimately increase our compliance costs and potential liability. Entities that are found to be in violation of HIPAA as the result of a breach of unsecured PHI, a complaint about privacy practices or an audit by the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2" w:name="page73"/>
    <w:bookmarkEnd w:id="72"/>
    <w:p>
      <w:pPr>
        <w:ind w:firstLine="734"/>
        <w:spacing w:after="0" w:line="235" w:lineRule="auto"/>
        <w:rPr>
          <w:sz w:val="20"/>
          <w:szCs w:val="20"/>
          <w:color w:val="auto"/>
        </w:rPr>
      </w:pPr>
      <w:r>
        <w:rPr>
          <w:rFonts w:ascii="Arial" w:cs="Arial" w:eastAsia="Arial" w:hAnsi="Arial"/>
          <w:sz w:val="18"/>
          <w:szCs w:val="18"/>
          <w:color w:val="auto"/>
        </w:rPr>
        <w:t>European Union member states, the United Kingdom, Switzerland and other jurisdictions have also adopted data protection laws and regulations, which impose significant compliance obligations. In the European Economic Area (“EEA”) and the United Kingdom, the collection and use of personal data, including clinical trial data, is governed by the provisions of the General Data Protection Regulation (“GDPR”). The GDPR became effective on May 25, 2018, and imposes strict requirements for processing the personal data of individuals within the EEA and the United Kingdom. The GDPR, together with national legislation, regulations and guidelines of the European Union and EEA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The law is also developing rapidly and, in July 2020, the Court of Justice of the European Union limited how organizations could lawfully transfer personal data from the EU to the U.S.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particularly for gene therapy products where the Centers for Medicare &amp; Medicaid Services (“CMS”) and other third-party payors in the United States have not yet established a uniform policy of coverage and reimbursement. Therefore, decisions.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03" w:lineRule="exact"/>
        <w:rPr>
          <w:sz w:val="20"/>
          <w:szCs w:val="20"/>
          <w:color w:val="auto"/>
        </w:rPr>
      </w:pPr>
    </w:p>
    <w:p>
      <w:pPr>
        <w:ind w:right="80" w:firstLine="734"/>
        <w:spacing w:after="0" w:line="237"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3"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73" w:name="page74"/>
    <w:bookmarkEnd w:id="73"/>
    <w:p>
      <w:pPr>
        <w:ind w:right="140"/>
        <w:spacing w:after="0" w:line="237" w:lineRule="auto"/>
        <w:rPr>
          <w:sz w:val="20"/>
          <w:szCs w:val="20"/>
          <w:color w:val="auto"/>
        </w:rPr>
      </w:pPr>
      <w:r>
        <w:rPr>
          <w:rFonts w:ascii="Arial" w:cs="Arial" w:eastAsia="Arial" w:hAnsi="Arial"/>
          <w:sz w:val="18"/>
          <w:szCs w:val="18"/>
          <w:color w:val="auto"/>
        </w:rPr>
        <w:t>medicinal product or it may instead adopt a system of direct or indirect controls on the profitability of us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(the “Texas District Court Judge”), ruled that the individual mandate is a critical and inseverable feature of the ACA, and therefore, because it was repealed as part of the Tax Cuts and Jobs Act, the remaining provisions of the ACA are invalid as well. On March 2, 2020, the U.S. Supreme Court granted the petitions for writs of certiorari to review the case, although it is unclear when a decision will be made or how the Supreme Court will rule. It is also unclear how other efforts to challenge, repeal or replace the ACA will impact the ACA.</w:t>
      </w:r>
    </w:p>
    <w:p>
      <w:pPr>
        <w:spacing w:after="0" w:line="207" w:lineRule="exact"/>
        <w:rPr>
          <w:sz w:val="20"/>
          <w:szCs w:val="20"/>
          <w:color w:val="auto"/>
        </w:rPr>
      </w:pPr>
    </w:p>
    <w:p>
      <w:pPr>
        <w:ind w:right="380" w:firstLine="734"/>
        <w:spacing w:after="0" w:line="238"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2030, with the exception of a temporary suspension from May 1, 2020 through December 31, 2020, absent additional congressional action.</w:t>
      </w:r>
    </w:p>
    <w:p>
      <w:pPr>
        <w:spacing w:after="0" w:line="205"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p>
      <w:pPr>
        <w:ind w:right="40"/>
        <w:spacing w:after="0" w:line="237" w:lineRule="auto"/>
        <w:rPr>
          <w:sz w:val="20"/>
          <w:szCs w:val="20"/>
          <w:color w:val="auto"/>
        </w:rPr>
      </w:pPr>
      <w:r>
        <w:rPr>
          <w:rFonts w:ascii="Arial" w:cs="Arial" w:eastAsia="Arial" w:hAnsi="Arial"/>
          <w:sz w:val="18"/>
          <w:szCs w:val="18"/>
          <w:color w:val="auto"/>
        </w:rPr>
        <w:t>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and biosimilar drugs. Further, on July 24, 2020, the Trump administration announced four executive orders related to prescription drug pricing that attempt to implement several of the administration’s proposals. While some existing measures may require additional authorization to become effective, Congress and the Trump administration have each indicated that it will continue to seek new legislative and/or administrative measures to control drug costs.</w:t>
      </w:r>
    </w:p>
    <w:p>
      <w:pPr>
        <w:spacing w:after="0" w:line="205"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26" w:lineRule="exact"/>
        <w:rPr>
          <w:sz w:val="20"/>
          <w:szCs w:val="20"/>
          <w:color w:val="auto"/>
        </w:rPr>
      </w:pPr>
    </w:p>
    <w:p>
      <w:pPr>
        <w:ind w:right="40" w:firstLine="734"/>
        <w:spacing w:after="0"/>
        <w:rPr>
          <w:sz w:val="20"/>
          <w:szCs w:val="20"/>
          <w:color w:val="auto"/>
        </w:rPr>
      </w:pPr>
      <w:r>
        <w:rPr>
          <w:rFonts w:ascii="Arial" w:cs="Arial" w:eastAsia="Arial" w:hAnsi="Arial"/>
          <w:sz w:val="18"/>
          <w:szCs w:val="18"/>
          <w:color w:val="auto"/>
        </w:rPr>
        <w:t>As of December 31, 2020, we had 83 full-time employees. Of these employees, 61 are engaged in research and development. Our employees are not represented by labor unions or covered by collective bargaining agreements. We consider our relationship with our employees to be good.</w:t>
      </w:r>
    </w:p>
    <w:p>
      <w:pPr>
        <w:spacing w:after="0" w:line="203" w:lineRule="exact"/>
        <w:rPr>
          <w:sz w:val="20"/>
          <w:szCs w:val="20"/>
          <w:color w:val="auto"/>
        </w:rPr>
      </w:pPr>
    </w:p>
    <w:p>
      <w:pPr>
        <w:ind w:right="340" w:firstLine="734"/>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jc w:val="both"/>
        <w:ind w:right="340" w:firstLine="864"/>
        <w:spacing w:after="0"/>
        <w:rPr>
          <w:sz w:val="20"/>
          <w:szCs w:val="20"/>
          <w:color w:val="auto"/>
        </w:rPr>
      </w:pPr>
      <w:r>
        <w:rPr>
          <w:rFonts w:ascii="Arial" w:cs="Arial" w:eastAsia="Arial" w:hAnsi="Arial"/>
          <w:sz w:val="18"/>
          <w:szCs w:val="18"/>
          <w:color w:val="auto"/>
        </w:rPr>
        <w:t>We lease approximately 51,000 square feet of office and laboratory space in Emeryville, California under leases that expire in September 2026 and December 2029. We believe that our facilities are adequate to meet our current needs, and that suitable additional alternative spaces will be available in the future on commercially reasonable terms, if required.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right="200" w:firstLine="734"/>
        <w:spacing w:after="0" w:line="238" w:lineRule="auto"/>
        <w:rPr>
          <w:sz w:val="20"/>
          <w:szCs w:val="20"/>
          <w:color w:val="auto"/>
        </w:rPr>
      </w:pPr>
      <w:r>
        <w:rPr>
          <w:rFonts w:ascii="Arial" w:cs="Arial" w:eastAsia="Arial" w:hAnsi="Arial"/>
          <w:sz w:val="18"/>
          <w:szCs w:val="18"/>
          <w:color w:val="auto"/>
        </w:rPr>
        <w:t>We were formed on September 12, 2013 as a Delaware limited liability corporation under the name 4D Molecular Therapeutics, LLC. On March 11, 2015, 4D Molecular Therapeutics, Inc. was incorporated as a Delaware corporation. On March 20, 2015, 4D Molecular Therapeutics, LLC merged with 4D Molecular Therapeutics, Inc., with 4D Molecular Therapeutics, Inc. being the surviving entity. Our principal executive offices are located at 5858 Horton Street #455, Emeryville, California 94608, and our telephone number is (510) 505-2680.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6"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Our website address is www.4dmoleculartherapeutics.com. The information on, or that can be accessed through, our website is not part of this Annual Report on Form 10-K. The U.S. Securities and Exchange Commission (“SEC”) maintains an Internet site that contains reports, proxy and information statements, and other information regarding issuers that file electronically with the SEC at www.sec.gov. Our Annual Report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as soon as reasonably practicable after we electronically file such material with, or furnish it to, the SEC.</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40" w:firstLine="432"/>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and the section of this Annual Report on Form 10-K “Management’s Discussion and Analysis of Financial Condition and Results of Operations,” before deciding whether to invest in our common stock. If any of the following risks actually occurs,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future prospects and stock price. In that event, the market price of our common stock could decline, and you could lose part or all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61" w:lineRule="exact"/>
        <w:rPr>
          <w:sz w:val="20"/>
          <w:szCs w:val="20"/>
          <w:color w:val="auto"/>
        </w:rPr>
      </w:pPr>
    </w:p>
    <w:p>
      <w:pPr>
        <w:ind w:right="100" w:firstLine="432"/>
        <w:spacing w:after="0" w:line="238"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 following is a summary of the principal risks that could materially adversely affect our business, results of operations, and financial condition, all of which are more fully described in the section titled “Risk Factors.” This summary should be read in conjunction with the “Risk Factors” section and should not be relied upon as an exhaustive summary of the material risks facing our business.</w:t>
      </w:r>
    </w:p>
    <w:p>
      <w:pPr>
        <w:spacing w:after="0" w:line="232" w:lineRule="exact"/>
        <w:rPr>
          <w:sz w:val="20"/>
          <w:szCs w:val="20"/>
          <w:color w:val="auto"/>
        </w:rPr>
      </w:pPr>
    </w:p>
    <w:p>
      <w:pPr>
        <w:ind w:left="880" w:right="740" w:hanging="440"/>
        <w:spacing w:after="0" w:line="24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1" w:lineRule="exact"/>
        <w:rPr>
          <w:rFonts w:ascii="Arial" w:cs="Arial" w:eastAsia="Arial" w:hAnsi="Arial"/>
          <w:sz w:val="17"/>
          <w:szCs w:val="17"/>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had recurring net losses, and we expect to continue to incur significant net losses for the foreseeable future.</w:t>
      </w:r>
    </w:p>
    <w:p>
      <w:pPr>
        <w:spacing w:after="0" w:line="9" w:lineRule="exact"/>
        <w:rPr>
          <w:rFonts w:ascii="Arial" w:cs="Arial" w:eastAsia="Arial" w:hAnsi="Arial"/>
          <w:sz w:val="18"/>
          <w:szCs w:val="18"/>
          <w:color w:val="auto"/>
        </w:rPr>
      </w:pPr>
    </w:p>
    <w:p>
      <w:pPr>
        <w:ind w:left="880" w:right="160" w:hanging="440"/>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2" w:lineRule="exact"/>
        <w:rPr>
          <w:rFonts w:ascii="Arial" w:cs="Arial" w:eastAsia="Arial" w:hAnsi="Arial"/>
          <w:sz w:val="18"/>
          <w:szCs w:val="18"/>
          <w:color w:val="auto"/>
        </w:rPr>
      </w:pPr>
    </w:p>
    <w:p>
      <w:pPr>
        <w:ind w:left="880" w:right="20" w:hanging="440"/>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product candidates are based on a novel AAV gene therapy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spacing w:after="0" w:line="2" w:lineRule="exact"/>
        <w:rPr>
          <w:rFonts w:ascii="Arial" w:cs="Arial" w:eastAsia="Arial" w:hAnsi="Arial"/>
          <w:sz w:val="18"/>
          <w:szCs w:val="18"/>
          <w:color w:val="auto"/>
        </w:rPr>
      </w:pPr>
    </w:p>
    <w:p>
      <w:pPr>
        <w:ind w:left="880" w:right="80" w:hanging="440"/>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1" w:lineRule="exact"/>
        <w:rPr>
          <w:rFonts w:ascii="Arial" w:cs="Arial" w:eastAsia="Arial" w:hAnsi="Arial"/>
          <w:sz w:val="18"/>
          <w:szCs w:val="18"/>
          <w:color w:val="auto"/>
        </w:rPr>
      </w:pPr>
    </w:p>
    <w:p>
      <w:pPr>
        <w:ind w:left="880" w:hanging="440"/>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 perception or regulatory scrutiny of gene therapy technology may negatively impact the developmental progress or commercial success of products that we develop alone or with collaborators.</w:t>
      </w:r>
    </w:p>
    <w:p>
      <w:pPr>
        <w:spacing w:after="0" w:line="1" w:lineRule="exact"/>
        <w:rPr>
          <w:rFonts w:ascii="Arial" w:cs="Arial" w:eastAsia="Arial" w:hAnsi="Arial"/>
          <w:sz w:val="18"/>
          <w:szCs w:val="18"/>
          <w:color w:val="auto"/>
        </w:rPr>
      </w:pPr>
    </w:p>
    <w:p>
      <w:pPr>
        <w:ind w:left="880" w:right="200" w:hanging="440"/>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safety and efficacy of our product candidates, which would prevent, delay or limit the scope of regulatory approval and commercialization.</w:t>
      </w:r>
    </w:p>
    <w:p>
      <w:pPr>
        <w:spacing w:after="0" w:line="1" w:lineRule="exact"/>
        <w:rPr>
          <w:rFonts w:ascii="Arial" w:cs="Arial" w:eastAsia="Arial" w:hAnsi="Arial"/>
          <w:sz w:val="18"/>
          <w:szCs w:val="18"/>
          <w:color w:val="auto"/>
        </w:rPr>
      </w:pPr>
    </w:p>
    <w:p>
      <w:pPr>
        <w:ind w:left="880" w:right="100" w:hanging="440"/>
        <w:spacing w:after="0" w:line="23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p>
    <w:p>
      <w:pPr>
        <w:spacing w:after="0" w:line="2" w:lineRule="exact"/>
        <w:rPr>
          <w:rFonts w:ascii="Arial" w:cs="Arial" w:eastAsia="Arial" w:hAnsi="Arial"/>
          <w:sz w:val="18"/>
          <w:szCs w:val="18"/>
          <w:color w:val="auto"/>
        </w:rPr>
      </w:pPr>
    </w:p>
    <w:p>
      <w:pPr>
        <w:ind w:left="880" w:hanging="440"/>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76" w:name="page77"/>
    <w:bookmarkEnd w:id="76"/>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9" w:lineRule="exact"/>
        <w:rPr>
          <w:rFonts w:ascii="Arial" w:cs="Arial" w:eastAsia="Arial" w:hAnsi="Arial"/>
          <w:sz w:val="18"/>
          <w:szCs w:val="18"/>
          <w:color w:val="auto"/>
        </w:rPr>
      </w:pPr>
    </w:p>
    <w:p>
      <w:pPr>
        <w:jc w:val="both"/>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04" w:lineRule="exact"/>
        <w:rPr>
          <w:sz w:val="20"/>
          <w:szCs w:val="20"/>
          <w:color w:val="auto"/>
        </w:rPr>
      </w:pPr>
    </w:p>
    <w:p>
      <w:pPr>
        <w:ind w:right="780"/>
        <w:spacing w:after="0" w:line="301" w:lineRule="auto"/>
        <w:rPr>
          <w:sz w:val="20"/>
          <w:szCs w:val="20"/>
          <w:color w:val="auto"/>
        </w:rPr>
      </w:pPr>
      <w:r>
        <w:rPr>
          <w:rFonts w:ascii="Arial" w:cs="Arial" w:eastAsia="Arial" w:hAnsi="Arial"/>
          <w:sz w:val="17"/>
          <w:szCs w:val="17"/>
          <w:b w:val="1"/>
          <w:bCs w:val="1"/>
          <w:i w:val="1"/>
          <w:iCs w:val="1"/>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4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commenced operations in September 2013, have no products approved for commercial sale and have not generated any product revenue. Drug development is a highly uncertain undertaking and involves a substantial degree of risk. If our product candidates are not successfully developed and approved, we may never generate any revenue. To date, we have not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be seriously harmed.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recurring net losses, and we expect to continue to incur significant net losses for the foreseeable future.</w:t>
      </w:r>
    </w:p>
    <w:p>
      <w:pPr>
        <w:spacing w:after="0" w:line="126" w:lineRule="exact"/>
        <w:rPr>
          <w:sz w:val="20"/>
          <w:szCs w:val="20"/>
          <w:color w:val="auto"/>
        </w:rPr>
      </w:pPr>
    </w:p>
    <w:p>
      <w:pPr>
        <w:ind w:right="320" w:firstLine="734"/>
        <w:spacing w:after="0" w:line="246" w:lineRule="auto"/>
        <w:rPr>
          <w:sz w:val="20"/>
          <w:szCs w:val="20"/>
          <w:color w:val="auto"/>
        </w:rPr>
      </w:pPr>
      <w:r>
        <w:rPr>
          <w:rFonts w:ascii="Arial" w:cs="Arial" w:eastAsia="Arial" w:hAnsi="Arial"/>
          <w:sz w:val="18"/>
          <w:szCs w:val="18"/>
          <w:color w:val="auto"/>
        </w:rPr>
        <w:t>We have incurred recurring net losses, including net losses of $56.7 million and $49.3 million for the years ended December 31, 2020 and 2019, respectively. As of December 31, 2020, we had an accumulated deficit of $135.7 million.</w:t>
      </w:r>
    </w:p>
    <w:p>
      <w:pPr>
        <w:spacing w:after="0" w:line="197"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We have devoted substantially all of our financial resources and efforts on research and development activities, including for our product candidates and our Therapeutic Vector Evolution platform.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205" w:lineRule="exact"/>
        <w:rPr>
          <w:sz w:val="20"/>
          <w:szCs w:val="20"/>
          <w:color w:val="auto"/>
        </w:rPr>
      </w:pPr>
    </w:p>
    <w:p>
      <w:pPr>
        <w:ind w:right="360" w:firstLine="734"/>
        <w:spacing w:after="0" w:line="246"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89" w:lineRule="exact"/>
        <w:rPr>
          <w:sz w:val="20"/>
          <w:szCs w:val="20"/>
          <w:color w:val="auto"/>
        </w:rPr>
      </w:pPr>
    </w:p>
    <w:p>
      <w:pPr>
        <w:ind w:left="1020" w:hanging="28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03"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delays in our preclinical studies and clinical trials, whether current or planned, due to the novel coronavirus (“COVID-19”) pandemic, or other factors;</w:t>
      </w:r>
    </w:p>
    <w:p>
      <w:pPr>
        <w:spacing w:after="0" w:line="88" w:lineRule="exact"/>
        <w:rPr>
          <w:rFonts w:ascii="Arial" w:cs="Arial" w:eastAsia="Arial" w:hAnsi="Arial"/>
          <w:sz w:val="18"/>
          <w:szCs w:val="18"/>
          <w:color w:val="auto"/>
        </w:rPr>
      </w:pPr>
    </w:p>
    <w:p>
      <w:pPr>
        <w:ind w:left="1020" w:right="220" w:hanging="28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 our manufacturing facilities and work with our contract manufacturers to scale up the manufacturing processes for our product candidates;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the development of our Therapeutic Vector Evolution platform;</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7" w:name="page78"/>
    <w:bookmarkEnd w:id="77"/>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p>
    <w:p>
      <w:pPr>
        <w:spacing w:after="0" w:line="28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3"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from cash received pursuant to our collaboration and license agreements. We have initiated clinical trials, which are ongoing, and have several other product candidates in preclinical development that may enter clinical development shortly thereafter. Developing our product candidates is expensive, and we expect to continue to spend substantial amounts as we fund our early stage research projects, continue preclinical and 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funding.</w:t>
      </w:r>
    </w:p>
    <w:p>
      <w:pPr>
        <w:spacing w:after="0" w:line="207" w:lineRule="exact"/>
        <w:rPr>
          <w:sz w:val="20"/>
          <w:szCs w:val="20"/>
          <w:color w:val="auto"/>
        </w:rPr>
      </w:pPr>
    </w:p>
    <w:p>
      <w:pPr>
        <w:ind w:right="80" w:firstLine="734"/>
        <w:spacing w:after="0"/>
        <w:rPr>
          <w:sz w:val="20"/>
          <w:szCs w:val="20"/>
          <w:color w:val="auto"/>
        </w:rPr>
      </w:pPr>
      <w:r>
        <w:rPr>
          <w:rFonts w:ascii="Arial" w:cs="Arial" w:eastAsia="Arial" w:hAnsi="Arial"/>
          <w:sz w:val="18"/>
          <w:szCs w:val="18"/>
          <w:color w:val="auto"/>
        </w:rPr>
        <w:t>As of December 31, 2020, we had $276.7 million in cash and cash equivalents. Based on our current operating plan, we believe that our existing cash and cash equivalents will allow us to fund our planned operations for at least one year from the date of the issuance of the financial statements included in this Form 10-K.</w:t>
      </w:r>
    </w:p>
    <w:p>
      <w:pPr>
        <w:spacing w:after="0" w:line="203" w:lineRule="exact"/>
        <w:rPr>
          <w:sz w:val="20"/>
          <w:szCs w:val="20"/>
          <w:color w:val="auto"/>
        </w:rPr>
      </w:pPr>
    </w:p>
    <w:p>
      <w:pPr>
        <w:ind w:right="40" w:firstLine="734"/>
        <w:spacing w:after="0"/>
        <w:rPr>
          <w:sz w:val="20"/>
          <w:szCs w:val="20"/>
          <w:color w:val="auto"/>
        </w:rPr>
      </w:pPr>
      <w:r>
        <w:rPr>
          <w:rFonts w:ascii="Arial" w:cs="Arial" w:eastAsia="Arial" w:hAnsi="Arial"/>
          <w:sz w:val="18"/>
          <w:szCs w:val="18"/>
          <w:color w:val="auto"/>
        </w:rPr>
        <w:t>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78" w:name="page79"/>
    <w:bookmarkEnd w:id="78"/>
    <w:p>
      <w:pPr>
        <w:ind w:right="80"/>
        <w:spacing w:after="0" w:line="246" w:lineRule="auto"/>
        <w:rPr>
          <w:sz w:val="20"/>
          <w:szCs w:val="20"/>
          <w:color w:val="auto"/>
        </w:rPr>
      </w:pPr>
      <w:r>
        <w:rPr>
          <w:rFonts w:ascii="Arial" w:cs="Arial" w:eastAsia="Arial" w:hAnsi="Arial"/>
          <w:sz w:val="18"/>
          <w:szCs w:val="18"/>
          <w:color w:val="auto"/>
        </w:rPr>
        <w:t>United States and worldwide resulting from the ongoing COVID-19 pandemic. If adequate funds are not available to us on a timely basis, we may be required to:</w:t>
      </w:r>
    </w:p>
    <w:p>
      <w:pPr>
        <w:spacing w:after="0" w:line="89" w:lineRule="exact"/>
        <w:rPr>
          <w:sz w:val="20"/>
          <w:szCs w:val="20"/>
          <w:color w:val="auto"/>
        </w:rPr>
      </w:pPr>
    </w:p>
    <w:p>
      <w:pPr>
        <w:ind w:left="1020" w:right="60" w:hanging="283"/>
        <w:spacing w:after="0" w:line="24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our product candidates, or reduce our flexibility in developing or maintaining our sales and marketing strategy.</w:t>
      </w:r>
    </w:p>
    <w:p>
      <w:pPr>
        <w:spacing w:after="0" w:line="203" w:lineRule="exact"/>
        <w:rPr>
          <w:sz w:val="20"/>
          <w:szCs w:val="20"/>
          <w:color w:val="auto"/>
        </w:rPr>
      </w:pPr>
    </w:p>
    <w:p>
      <w:pPr>
        <w:ind w:right="160" w:firstLine="734"/>
        <w:spacing w:after="0" w:line="238" w:lineRule="auto"/>
        <w:rPr>
          <w:sz w:val="20"/>
          <w:szCs w:val="20"/>
          <w:color w:val="auto"/>
        </w:rPr>
      </w:pPr>
      <w:r>
        <w:rPr>
          <w:rFonts w:ascii="Arial" w:cs="Arial" w:eastAsia="Arial" w:hAnsi="Arial"/>
          <w:sz w:val="18"/>
          <w:szCs w:val="18"/>
          <w:color w:val="auto"/>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p>
    <w:p>
      <w:pPr>
        <w:spacing w:after="0" w:line="205"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08"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seriously harm our business and cause the price of our common stock to decline.</w:t>
      </w:r>
    </w:p>
    <w:p>
      <w:pPr>
        <w:spacing w:after="0" w:line="291" w:lineRule="exact"/>
        <w:rPr>
          <w:sz w:val="20"/>
          <w:szCs w:val="20"/>
          <w:color w:val="auto"/>
        </w:rPr>
      </w:pPr>
    </w:p>
    <w:p>
      <w:pPr>
        <w:ind w:right="100" w:firstLine="4"/>
        <w:spacing w:after="0" w:line="247"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8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Due to the significant resources required for the development of our product candidates, in particular our product candidates in IND-enabling studies and those in clinical trials,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in particular for ophthalmology, cardiology and pulmonology diseases, our business could be seriously harmed. As a result, we may fail to capitalize on viable commercial products or profitable market opportunities, be required to forego or delay pursuit of opportunities with other product candidates or other diseases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ind w:right="200"/>
        <w:spacing w:after="0" w:line="271"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68" w:lineRule="exact"/>
        <w:rPr>
          <w:sz w:val="20"/>
          <w:szCs w:val="20"/>
          <w:color w:val="auto"/>
        </w:rPr>
      </w:pPr>
    </w:p>
    <w:p>
      <w:pPr>
        <w:ind w:right="200" w:firstLine="734"/>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5" w:lineRule="exact"/>
        <w:rPr>
          <w:sz w:val="20"/>
          <w:szCs w:val="20"/>
          <w:color w:val="auto"/>
        </w:rPr>
      </w:pPr>
    </w:p>
    <w:p>
      <w:pPr>
        <w:ind w:left="1020" w:right="100" w:hanging="28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94" w:lineRule="exact"/>
        <w:rPr>
          <w:rFonts w:ascii="Arial" w:cs="Arial" w:eastAsia="Arial" w:hAnsi="Arial"/>
          <w:sz w:val="18"/>
          <w:szCs w:val="18"/>
          <w:color w:val="auto"/>
        </w:rPr>
      </w:pPr>
    </w:p>
    <w:p>
      <w:pPr>
        <w:ind w:left="1020" w:right="280" w:hanging="283"/>
        <w:spacing w:after="0" w:line="24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timing of receipt of approvals from regulatory authorities in the United States and internationally;</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timing and status of enrollment and safety and efficacy readouts for our clinical trials;</w:t>
      </w:r>
    </w:p>
    <w:p>
      <w:pPr>
        <w:spacing w:after="0" w:line="103" w:lineRule="exact"/>
        <w:rPr>
          <w:rFonts w:ascii="Arial" w:cs="Arial" w:eastAsia="Arial" w:hAnsi="Arial"/>
          <w:sz w:val="18"/>
          <w:szCs w:val="18"/>
          <w:color w:val="auto"/>
        </w:rPr>
      </w:pPr>
    </w:p>
    <w:p>
      <w:pPr>
        <w:ind w:left="1020" w:right="40" w:hanging="28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 the cost of continuing to establish and scale up our internal manufacturing capabilities, and the terms of any agreements we enter into with third-party suppliers;</w:t>
      </w:r>
    </w:p>
    <w:p>
      <w:pPr>
        <w:spacing w:after="0" w:line="94" w:lineRule="exact"/>
        <w:rPr>
          <w:rFonts w:ascii="Arial" w:cs="Arial" w:eastAsia="Arial" w:hAnsi="Arial"/>
          <w:sz w:val="18"/>
          <w:szCs w:val="18"/>
          <w:color w:val="auto"/>
        </w:rPr>
      </w:pPr>
    </w:p>
    <w:p>
      <w:pPr>
        <w:ind w:left="1020" w:right="200" w:hanging="283"/>
        <w:spacing w:after="0" w:line="24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timing and amount of any option, milestone, royalty or other payments due under any current or future collaboration or license agreement;</w:t>
      </w:r>
    </w:p>
    <w:p>
      <w:pPr>
        <w:spacing w:after="0" w:line="88" w:lineRule="exact"/>
        <w:rPr>
          <w:rFonts w:ascii="Arial" w:cs="Arial" w:eastAsia="Arial" w:hAnsi="Arial"/>
          <w:sz w:val="18"/>
          <w:szCs w:val="18"/>
          <w:color w:val="auto"/>
        </w:rPr>
      </w:pPr>
    </w:p>
    <w:p>
      <w:pPr>
        <w:ind w:left="1020" w:right="560" w:hanging="283"/>
        <w:spacing w:after="0" w:line="24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gene therapy product candidates and potential future drugs that compete with our products, if approved;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03" w:lineRule="exact"/>
        <w:rPr>
          <w:rFonts w:ascii="Arial" w:cs="Arial" w:eastAsia="Arial" w:hAnsi="Arial"/>
          <w:sz w:val="18"/>
          <w:szCs w:val="18"/>
          <w:color w:val="auto"/>
        </w:rPr>
      </w:pPr>
    </w:p>
    <w:p>
      <w:pPr>
        <w:ind w:left="1000" w:hanging="27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demand for our gene therapy products, if approved, which may vary significantly over time; and</w:t>
      </w:r>
    </w:p>
    <w:p>
      <w:pPr>
        <w:spacing w:after="0" w:line="103" w:lineRule="exact"/>
        <w:rPr>
          <w:rFonts w:ascii="Arial" w:cs="Arial" w:eastAsia="Arial" w:hAnsi="Arial"/>
          <w:sz w:val="18"/>
          <w:szCs w:val="18"/>
          <w:color w:val="auto"/>
        </w:rPr>
      </w:pPr>
    </w:p>
    <w:p>
      <w:pPr>
        <w:ind w:left="1000" w:hanging="27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1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For example, most of our collaboration and license revenue for the year ended December 31, 2020 was from Roche. 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5"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Research, Discovery, Development and Commercialization of Our Product Candidates</w:t>
      </w:r>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All of our product candidates are based on a novel AAV gene therapy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expensive and take longer than for other, better known or extensively studied therapeutic modalities.</w:t>
      </w:r>
    </w:p>
    <w:p>
      <w:pPr>
        <w:spacing w:after="0" w:line="126" w:lineRule="exact"/>
        <w:rPr>
          <w:sz w:val="20"/>
          <w:szCs w:val="20"/>
          <w:color w:val="auto"/>
        </w:rPr>
      </w:pPr>
    </w:p>
    <w:p>
      <w:pPr>
        <w:ind w:right="40" w:firstLine="734"/>
        <w:spacing w:after="0" w:line="235" w:lineRule="auto"/>
        <w:rPr>
          <w:sz w:val="20"/>
          <w:szCs w:val="20"/>
          <w:color w:val="auto"/>
        </w:rPr>
      </w:pPr>
      <w:r>
        <w:rPr>
          <w:rFonts w:ascii="Arial" w:cs="Arial" w:eastAsia="Arial" w:hAnsi="Arial"/>
          <w:sz w:val="18"/>
          <w:szCs w:val="18"/>
          <w:color w:val="auto"/>
        </w:rPr>
        <w:t>All of our product candidates are based on gene therapy technology and our future success depends on the successful development of this novel therapeutic approach. We cannot assure you that any development problems we or other gene therapy companies experience in the future related to gene therapy technology will not cause significant delays or unanticipated costs in the development of our product candidates, or that such development problems can be solved. In addition, the clinical study requirements of the U.S. Food and Drug Administration (“FDA”)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European Medicines Agency (“EMA”) or comparable foreign regulatory bodies may not consider the clinical trial endpoints to provide clinically meaningful results, and the resulting clinical data and results may be more difficult to analyze. To date, few gene therapy products have been approved by the FDA or comparable foreign regulatory authorities, which makes it difficult to determine how long it will take or how much it will cost to obtain regulatory approvals for our product candidates in the United States, the European Union or other jurisdictions. Further, approvals by one regulatory agency may not be indicative of what other regulatory agencies may require for approval.</w:t>
      </w:r>
    </w:p>
    <w:p>
      <w:pPr>
        <w:spacing w:after="0" w:line="214"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Regulatory requirements governing gene therapy products have evolved and may continue to change in the future. For example, the FDA established the Office of Tissues and Advanced Therapies within its Center for Biologics Evaluation and Research (“CBER”) to consolidate the review of gene therapy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203"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Under the National Institutes of Health (“NIH”) Guidelines for Research Involving Recombinant DNA Molecules (“NIH Guidelines”), supervision of human gene transfer trials, including evaluation and assessment by an Institutional Biosafety Committee (“IBC”) a local institutional committee that reviews and oversees research utilizing recombinant or synthetic nucleic acid molecules at that institution, is required. The IBC assesses the safety of the research and identifies any potential risk to the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3" w:lineRule="exact"/>
        <w:rPr>
          <w:sz w:val="20"/>
          <w:szCs w:val="20"/>
          <w:color w:val="auto"/>
        </w:rPr>
      </w:pPr>
    </w:p>
    <w:p>
      <w:pPr>
        <w:ind w:right="140" w:firstLine="734"/>
        <w:spacing w:after="0"/>
        <w:rPr>
          <w:sz w:val="20"/>
          <w:szCs w:val="20"/>
          <w:color w:val="auto"/>
        </w:rPr>
      </w:pPr>
      <w:r>
        <w:rPr>
          <w:rFonts w:ascii="Arial" w:cs="Arial" w:eastAsia="Arial" w:hAnsi="Arial"/>
          <w:sz w:val="18"/>
          <w:szCs w:val="18"/>
          <w:color w:val="auto"/>
        </w:rPr>
        <w:t>We are subject to significant regulatory oversight by the FDA, and in addition to the government regulators, the applicable IBC and Institutional Review Board (“IRB”), of each institution at which we or our collaborators conduct clinical trials of our product candidates, or a central IRB if appropriate, would need to review and approve the proposed clinical trial.</w:t>
      </w:r>
    </w:p>
    <w:p>
      <w:pPr>
        <w:spacing w:after="0" w:line="203" w:lineRule="exact"/>
        <w:rPr>
          <w:sz w:val="20"/>
          <w:szCs w:val="20"/>
          <w:color w:val="auto"/>
        </w:rPr>
      </w:pPr>
    </w:p>
    <w:p>
      <w:pPr>
        <w:ind w:firstLine="734"/>
        <w:spacing w:after="0" w:line="246" w:lineRule="auto"/>
        <w:rPr>
          <w:sz w:val="20"/>
          <w:szCs w:val="20"/>
          <w:color w:val="auto"/>
        </w:rPr>
      </w:pPr>
      <w:r>
        <w:rPr>
          <w:rFonts w:ascii="Arial" w:cs="Arial" w:eastAsia="Arial" w:hAnsi="Arial"/>
          <w:sz w:val="18"/>
          <w:szCs w:val="18"/>
          <w:color w:val="auto"/>
        </w:rPr>
        <w:t>Similarly, the EMA governs the development of gene therapies in the European Union and may issue new guidelines concerning the development and marketing authorization for gene therapy products and require that we comply with these new guidelines.</w:t>
      </w:r>
    </w:p>
    <w:p>
      <w:pPr>
        <w:spacing w:after="0" w:line="197" w:lineRule="exact"/>
        <w:rPr>
          <w:sz w:val="20"/>
          <w:szCs w:val="20"/>
          <w:color w:val="auto"/>
        </w:rPr>
      </w:pPr>
    </w:p>
    <w:p>
      <w:pPr>
        <w:ind w:right="60" w:firstLine="734"/>
        <w:spacing w:after="0"/>
        <w:rPr>
          <w:sz w:val="20"/>
          <w:szCs w:val="20"/>
          <w:color w:val="auto"/>
        </w:rPr>
      </w:pPr>
      <w:r>
        <w:rPr>
          <w:rFonts w:ascii="Arial" w:cs="Arial" w:eastAsia="Arial" w:hAnsi="Arial"/>
          <w:sz w:val="18"/>
          <w:szCs w:val="18"/>
          <w:color w:val="auto"/>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1" w:name="page82"/>
    <w:bookmarkEnd w:id="81"/>
    <w:p>
      <w:pPr>
        <w:ind w:right="180" w:firstLine="734"/>
        <w:spacing w:after="0" w:line="237" w:lineRule="auto"/>
        <w:rPr>
          <w:sz w:val="20"/>
          <w:szCs w:val="20"/>
          <w:color w:val="auto"/>
        </w:rPr>
      </w:pPr>
      <w:r>
        <w:rPr>
          <w:rFonts w:ascii="Arial" w:cs="Arial" w:eastAsia="Arial" w:hAnsi="Arial"/>
          <w:sz w:val="18"/>
          <w:szCs w:val="18"/>
          <w:color w:val="auto"/>
        </w:rPr>
        <w:t>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9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Adverse public perception or regulatory scrutiny of gene therapy technology may negatively impact the developmental progress or commercial success of product candidates that we develop alone or with collaborators.</w:t>
      </w:r>
    </w:p>
    <w:p>
      <w:pPr>
        <w:spacing w:after="0" w:line="68"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developmental and commercial success of our current product candidates, or any that we develop alone or with collaborators in the future, will depend in part on public acceptance of the use of gene therapy technology, including the use of AAVs, for the prevention or treatment of human diseases. Adverse public perception of gene therapies may negatively impact our ability to raise capital or enter into strategic agreements for the development of product candidates.</w:t>
      </w:r>
    </w:p>
    <w:p>
      <w:pPr>
        <w:spacing w:after="0" w:line="205" w:lineRule="exact"/>
        <w:rPr>
          <w:sz w:val="20"/>
          <w:szCs w:val="20"/>
          <w:color w:val="auto"/>
        </w:rPr>
      </w:pPr>
    </w:p>
    <w:p>
      <w:pPr>
        <w:ind w:right="300" w:firstLine="734"/>
        <w:spacing w:after="0" w:line="237" w:lineRule="auto"/>
        <w:rPr>
          <w:sz w:val="20"/>
          <w:szCs w:val="20"/>
          <w:color w:val="auto"/>
        </w:rPr>
      </w:pPr>
      <w:r>
        <w:rPr>
          <w:rFonts w:ascii="Arial" w:cs="Arial" w:eastAsia="Arial" w:hAnsi="Arial"/>
          <w:sz w:val="18"/>
          <w:szCs w:val="18"/>
          <w:color w:val="auto"/>
        </w:rPr>
        <w:t>Gene therapy remains a novel technology. The commercial success of our gene therapy products, if successfully developed and approved, may be adversely affected by claims that gene therapy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seriously harm our business.</w:t>
      </w:r>
    </w:p>
    <w:p>
      <w:pPr>
        <w:spacing w:after="0" w:line="291"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6" w:lineRule="exact"/>
        <w:rPr>
          <w:sz w:val="20"/>
          <w:szCs w:val="20"/>
          <w:color w:val="auto"/>
        </w:rPr>
      </w:pPr>
    </w:p>
    <w:p>
      <w:pPr>
        <w:jc w:val="both"/>
        <w:ind w:right="420" w:firstLine="734"/>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p>
    <w:p>
      <w:pPr>
        <w:spacing w:after="0" w:line="203"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ind w:right="20" w:firstLine="734"/>
        <w:spacing w:after="0" w:line="23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9" w:lineRule="exact"/>
        <w:rPr>
          <w:sz w:val="20"/>
          <w:szCs w:val="20"/>
          <w:color w:val="auto"/>
        </w:rPr>
      </w:pPr>
    </w:p>
    <w:p>
      <w:pPr>
        <w:ind w:left="1020" w:hanging="283"/>
        <w:spacing w:after="0" w:line="24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88" w:lineRule="exact"/>
        <w:rPr>
          <w:rFonts w:ascii="Arial" w:cs="Arial" w:eastAsia="Arial" w:hAnsi="Arial"/>
          <w:sz w:val="18"/>
          <w:szCs w:val="18"/>
          <w:color w:val="auto"/>
        </w:rPr>
      </w:pPr>
    </w:p>
    <w:p>
      <w:pPr>
        <w:ind w:left="1020" w:right="180" w:hanging="28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03" w:lineRule="exact"/>
        <w:rPr>
          <w:rFonts w:ascii="Arial" w:cs="Arial" w:eastAsia="Arial" w:hAnsi="Arial"/>
          <w:sz w:val="18"/>
          <w:szCs w:val="18"/>
          <w:color w:val="auto"/>
        </w:rPr>
      </w:pPr>
    </w:p>
    <w:p>
      <w:pPr>
        <w:ind w:left="1020" w:right="340" w:hanging="28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(“REMS”), which could include a medication guide outlining the risks of such side effects for distribution to patients, a communication plan for healthcare providers and/or other elements to assure safe use;</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580" w:firstLine="734"/>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w:t>
      </w:r>
    </w:p>
    <w:p>
      <w:pPr>
        <w:spacing w:after="0" w:line="28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no products approved for commercial sale, and we have never generated any revenue from product sales, and we may never generate revenue or be profitable.</w:t>
      </w:r>
    </w:p>
    <w:p>
      <w:pPr>
        <w:spacing w:after="0" w:line="83"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04" w:lineRule="exact"/>
        <w:rPr>
          <w:sz w:val="20"/>
          <w:szCs w:val="20"/>
          <w:color w:val="auto"/>
        </w:rPr>
      </w:pPr>
    </w:p>
    <w:p>
      <w:pPr>
        <w:ind w:left="1020" w:hanging="28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03" w:lineRule="exact"/>
        <w:rPr>
          <w:rFonts w:ascii="Arial" w:cs="Arial" w:eastAsia="Arial" w:hAnsi="Arial"/>
          <w:sz w:val="18"/>
          <w:szCs w:val="18"/>
          <w:color w:val="auto"/>
        </w:rPr>
      </w:pPr>
    </w:p>
    <w:p>
      <w:pPr>
        <w:ind w:left="1020" w:right="980" w:hanging="28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COVID-19 pandemic, which has and in the future may continue to result in delays to patient enrollment, patients discontinuing their treatment or follow up visits or changes to trial protocols;</w:t>
      </w:r>
    </w:p>
    <w:p>
      <w:pPr>
        <w:spacing w:after="0" w:line="88"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83" w:name="page84"/>
    <w:bookmarkEnd w:id="83"/>
    <w:p>
      <w:pPr>
        <w:ind w:left="1020" w:right="56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03"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patients’ willingness to enroll or continue to participate in a clinical trial during the COVID-19 pandemic;</w:t>
      </w:r>
    </w:p>
    <w:p>
      <w:pPr>
        <w:spacing w:after="0" w:line="103"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marketing approval, either by collaborating with a partner or, if launched independently, by establishing a sales, marketing and distribution infrastructure;</w:t>
      </w:r>
    </w:p>
    <w:p>
      <w:pPr>
        <w:spacing w:after="0" w:line="8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or procedures using our product candidates from payors;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convenience and durability of our treatment or dosing regimen;</w:t>
      </w:r>
    </w:p>
    <w:p>
      <w:pPr>
        <w:spacing w:after="0" w:line="103" w:lineRule="exact"/>
        <w:rPr>
          <w:rFonts w:ascii="Arial" w:cs="Arial" w:eastAsia="Arial" w:hAnsi="Arial"/>
          <w:sz w:val="18"/>
          <w:szCs w:val="18"/>
          <w:color w:val="auto"/>
        </w:rPr>
      </w:pPr>
    </w:p>
    <w:p>
      <w:pPr>
        <w:ind w:left="1020" w:right="640" w:hanging="28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 or any future product candidates, if approved, including relative to alternative and competing treatments;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demand for any of our product candidates that may be approved;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right="80" w:firstLine="734"/>
        <w:spacing w:after="0" w:line="23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20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equity or debt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the reasonably accepted population for treatment is narrowed by competition, physician choice or treatment guidelines or the price and available third-party reimbursement are lower than anticipated, we may not generate significant revenue from sales of such products, even if approved. Even if we do achieve profitability, we may not be able to sustain or increase profitability on a quarterly or annual basis.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4" w:name="page85"/>
    <w:bookmarkEnd w:id="84"/>
    <w:p>
      <w:pPr>
        <w:jc w:val="both"/>
        <w:ind w:right="20" w:firstLine="734"/>
        <w:spacing w:after="0"/>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spacing w:after="0" w:line="2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Public health crises such as pandemics or similar outbreaks have affected and could continue to seriously and adversely affect our preclinical and clinical trials, business, financial condition and results of operations.</w:t>
      </w:r>
    </w:p>
    <w:p>
      <w:pPr>
        <w:spacing w:after="0" w:line="68"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In March 2020, the World Health Organization declared COVID-19 a global pandemic, and the United States declared a national emergency with respect to COVID-19. In response to the COVID-19 pandemic, “shelter in place” orders and other public health guidance measures have been implemented across much of the United States and Europe, including in the locations of our offices, clinical trial sites, key vendors and partners. We expect that our clinical development program timelines will be negatively affected by COVID-19, which could harm our business. Further, due to “shelter in place” orders and other public health guidance measures, we have implemented a work-from-home policy for all staff members excluding those necessary to maintain minimum basic operations. Our increased reliance on personnel working from home may negatively impact productivity, or disrupt, delay or otherwise seriously harm our business. For example, with our personnel working from home, some of our research activities that require our personnel to be in our laboratories will be delayed.</w:t>
      </w:r>
    </w:p>
    <w:p>
      <w:pPr>
        <w:spacing w:after="0" w:line="208"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As a result of the COVID-19 pandemic, or similar pandemics, and related “shelter in place” orders and other public health guidance measures, we have, and may in the future, experience disruptions that could seriously harm our business. Disruptions due to the COVID-19 pandemic that have and may in the future impact our business include, but are not limited to:</w:t>
      </w:r>
    </w:p>
    <w:p>
      <w:pPr>
        <w:spacing w:after="0" w:line="95" w:lineRule="exact"/>
        <w:rPr>
          <w:sz w:val="20"/>
          <w:szCs w:val="20"/>
          <w:color w:val="auto"/>
        </w:rPr>
      </w:pPr>
    </w:p>
    <w:p>
      <w:pPr>
        <w:ind w:left="1020" w:hanging="28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03"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88" w:lineRule="exact"/>
        <w:rPr>
          <w:rFonts w:ascii="Arial" w:cs="Arial" w:eastAsia="Arial" w:hAnsi="Arial"/>
          <w:sz w:val="18"/>
          <w:szCs w:val="18"/>
          <w:color w:val="auto"/>
        </w:rPr>
      </w:pPr>
    </w:p>
    <w:p>
      <w:pPr>
        <w:ind w:left="1020" w:right="80" w:hanging="28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other health conditions or being forced to quarantine;</w:t>
      </w:r>
    </w:p>
    <w:p>
      <w:pPr>
        <w:spacing w:after="0" w:line="88" w:lineRule="exact"/>
        <w:rPr>
          <w:rFonts w:ascii="Arial" w:cs="Arial" w:eastAsia="Arial" w:hAnsi="Arial"/>
          <w:sz w:val="18"/>
          <w:szCs w:val="18"/>
          <w:color w:val="auto"/>
        </w:rPr>
      </w:pPr>
    </w:p>
    <w:p>
      <w:pPr>
        <w:ind w:left="1020" w:right="420" w:hanging="28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and efficacy, safety and translational data collection, processing and analyses, due to limitations on travel imposed;</w:t>
      </w:r>
    </w:p>
    <w:p>
      <w:pPr>
        <w:spacing w:after="0" w:line="88" w:lineRule="exact"/>
        <w:rPr>
          <w:rFonts w:ascii="Arial" w:cs="Arial" w:eastAsia="Arial" w:hAnsi="Arial"/>
          <w:sz w:val="18"/>
          <w:szCs w:val="18"/>
          <w:color w:val="auto"/>
        </w:rPr>
      </w:pPr>
    </w:p>
    <w:p>
      <w:pPr>
        <w:ind w:left="1020" w:right="320" w:hanging="28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recommendations by federal, state or local governments, employers and others or interruptions of clinical trial subject visits, which may impact the collection and integrity of subject data and clinical trial endpoints;</w:t>
      </w:r>
    </w:p>
    <w:p>
      <w:pPr>
        <w:spacing w:after="0" w:line="88" w:lineRule="exact"/>
        <w:rPr>
          <w:rFonts w:ascii="Arial" w:cs="Arial" w:eastAsia="Arial" w:hAnsi="Arial"/>
          <w:sz w:val="18"/>
          <w:szCs w:val="18"/>
          <w:color w:val="auto"/>
        </w:rPr>
      </w:pPr>
    </w:p>
    <w:p>
      <w:pPr>
        <w:ind w:left="1020" w:right="380" w:hanging="28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8" w:lineRule="exact"/>
        <w:rPr>
          <w:rFonts w:ascii="Arial" w:cs="Arial" w:eastAsia="Arial" w:hAnsi="Arial"/>
          <w:sz w:val="18"/>
          <w:szCs w:val="18"/>
          <w:color w:val="auto"/>
        </w:rPr>
      </w:pPr>
    </w:p>
    <w:p>
      <w:pPr>
        <w:ind w:left="1020" w:right="400" w:hanging="28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and unforeseen circumstances at CROs and vendors;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w:t>
      </w:r>
    </w:p>
    <w:p>
      <w:pPr>
        <w:spacing w:after="0" w:line="103"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raw materials shortages, production slowdowns or stoppages and disruptions in delivery systems;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03" w:lineRule="exact"/>
        <w:rPr>
          <w:rFonts w:ascii="Arial" w:cs="Arial" w:eastAsia="Arial" w:hAnsi="Arial"/>
          <w:sz w:val="18"/>
          <w:szCs w:val="18"/>
          <w:color w:val="auto"/>
        </w:rPr>
      </w:pPr>
    </w:p>
    <w:p>
      <w:pPr>
        <w:ind w:left="1020" w:right="40" w:hanging="28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1" w:right="419" w:bottom="1440" w:gutter="0" w:footer="0" w:header="0"/>
        </w:sectPr>
      </w:pPr>
    </w:p>
    <w:bookmarkStart w:id="85" w:name="page86"/>
    <w:bookmarkEnd w:id="85"/>
    <w:p>
      <w:pPr>
        <w:ind w:left="1020" w:right="100" w:hanging="28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to discontinue the clinical trials altogether;</w:t>
      </w:r>
    </w:p>
    <w:p>
      <w:pPr>
        <w:spacing w:after="0" w:line="88" w:lineRule="exact"/>
        <w:rPr>
          <w:rFonts w:ascii="Arial" w:cs="Arial" w:eastAsia="Arial" w:hAnsi="Arial"/>
          <w:sz w:val="18"/>
          <w:szCs w:val="18"/>
          <w:color w:val="auto"/>
        </w:rPr>
      </w:pPr>
    </w:p>
    <w:p>
      <w:pPr>
        <w:ind w:left="1020" w:right="680" w:hanging="28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12" w:lineRule="exact"/>
        <w:rPr>
          <w:sz w:val="20"/>
          <w:szCs w:val="20"/>
          <w:color w:val="auto"/>
        </w:rPr>
      </w:pPr>
    </w:p>
    <w:p>
      <w:pPr>
        <w:ind w:right="120" w:firstLine="734"/>
        <w:spacing w:after="0"/>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seriously harm our business.</w:t>
      </w:r>
    </w:p>
    <w:p>
      <w:pPr>
        <w:spacing w:after="0" w:line="203" w:lineRule="exact"/>
        <w:rPr>
          <w:sz w:val="20"/>
          <w:szCs w:val="20"/>
          <w:color w:val="auto"/>
        </w:rPr>
      </w:pPr>
    </w:p>
    <w:p>
      <w:pPr>
        <w:ind w:right="120" w:firstLine="734"/>
        <w:spacing w:after="0" w:line="236" w:lineRule="auto"/>
        <w:rPr>
          <w:sz w:val="20"/>
          <w:szCs w:val="20"/>
          <w:color w:val="auto"/>
        </w:rPr>
      </w:pPr>
      <w:r>
        <w:rPr>
          <w:rFonts w:ascii="Arial" w:cs="Arial" w:eastAsia="Arial" w:hAnsi="Arial"/>
          <w:sz w:val="18"/>
          <w:szCs w:val="18"/>
          <w:color w:val="auto"/>
        </w:rPr>
        <w:t>The COVID-19 pandemic continues to rapidly evolve, including the spread of new variants that have proven to be more contagious and deadly. The extent to which the COVID-19 pandemic may affect our clinical trials, business, financial condition and results of operations will depend on future developments (such as the prevalence of new variants), which are highly uncertain and cannot be predicted at this time, such as the ultimate geographic spread of the disease, the duration of the pandemic,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 Future developments in these and other areas present material uncertainty and risk with respect to our clinical trials, business, financial condition and results of operations.</w:t>
      </w:r>
    </w:p>
    <w:p>
      <w:pPr>
        <w:spacing w:after="0" w:line="29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initiated or conducted as planned or completed on schedule, if at all. For example, in the first half of 2019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July 2020, so that we could produce the clinical-grade material required for the trial using our in-house manufacturing facility. We also cannot be sure that submission of an IND or a clinical trial application (“CTA”) will result in the FDA or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1" w:lineRule="exact"/>
        <w:rPr>
          <w:sz w:val="20"/>
          <w:szCs w:val="20"/>
          <w:color w:val="auto"/>
        </w:rPr>
      </w:pPr>
    </w:p>
    <w:p>
      <w:pPr>
        <w:ind w:left="1020" w:right="400" w:hanging="283"/>
        <w:spacing w:after="0" w:line="26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clinical trials;</w:t>
      </w:r>
    </w:p>
    <w:p>
      <w:pPr>
        <w:spacing w:after="0" w:line="70" w:lineRule="exact"/>
        <w:rPr>
          <w:rFonts w:ascii="Arial" w:cs="Arial" w:eastAsia="Arial" w:hAnsi="Arial"/>
          <w:sz w:val="18"/>
          <w:szCs w:val="18"/>
          <w:color w:val="auto"/>
        </w:rPr>
      </w:pPr>
    </w:p>
    <w:p>
      <w:pPr>
        <w:ind w:left="1020" w:hanging="28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implementation of the clinical trials;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impacts from the COVID-19 pandemic as further described elsewhere in these risk factors;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03" w:lineRule="exact"/>
        <w:rPr>
          <w:rFonts w:ascii="Arial" w:cs="Arial" w:eastAsia="Arial" w:hAnsi="Arial"/>
          <w:sz w:val="18"/>
          <w:szCs w:val="18"/>
          <w:color w:val="auto"/>
        </w:rPr>
      </w:pPr>
    </w:p>
    <w:p>
      <w:pPr>
        <w:jc w:val="both"/>
        <w:ind w:left="1020" w:right="220" w:hanging="28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86" w:name="page87"/>
    <w:bookmarkEnd w:id="86"/>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03" w:lineRule="exact"/>
        <w:rPr>
          <w:rFonts w:ascii="Arial" w:cs="Arial" w:eastAsia="Arial" w:hAnsi="Arial"/>
          <w:sz w:val="18"/>
          <w:szCs w:val="18"/>
          <w:color w:val="auto"/>
        </w:rPr>
      </w:pPr>
    </w:p>
    <w:p>
      <w:pPr>
        <w:ind w:left="1020" w:right="900" w:hanging="28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88"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8" w:lineRule="exact"/>
        <w:rPr>
          <w:rFonts w:ascii="Arial" w:cs="Arial" w:eastAsia="Arial" w:hAnsi="Arial"/>
          <w:sz w:val="18"/>
          <w:szCs w:val="18"/>
          <w:color w:val="auto"/>
        </w:rPr>
      </w:pPr>
    </w:p>
    <w:p>
      <w:pPr>
        <w:ind w:left="1020" w:right="40" w:hanging="283"/>
        <w:spacing w:after="0" w:line="238"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96" w:lineRule="exact"/>
        <w:rPr>
          <w:rFonts w:ascii="Arial" w:cs="Arial" w:eastAsia="Arial" w:hAnsi="Arial"/>
          <w:sz w:val="18"/>
          <w:szCs w:val="18"/>
          <w:color w:val="auto"/>
        </w:rPr>
      </w:pPr>
    </w:p>
    <w:p>
      <w:pPr>
        <w:ind w:left="1020" w:right="16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delays caused by patients withdrawing from clinical trials or failing to return for post-treatment follow-up;</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w:t>
      </w:r>
    </w:p>
    <w:p>
      <w:pPr>
        <w:spacing w:after="0" w:line="103" w:lineRule="exact"/>
        <w:rPr>
          <w:rFonts w:ascii="Arial" w:cs="Arial" w:eastAsia="Arial" w:hAnsi="Arial"/>
          <w:sz w:val="18"/>
          <w:szCs w:val="18"/>
          <w:color w:val="auto"/>
        </w:rPr>
      </w:pPr>
    </w:p>
    <w:p>
      <w:pPr>
        <w:ind w:left="1020" w:right="180" w:hanging="28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 requirements (“GCPs”) or applicable regulatory guidelines in other countries;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03"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8" w:lineRule="exact"/>
        <w:rPr>
          <w:rFonts w:ascii="Arial" w:cs="Arial" w:eastAsia="Arial" w:hAnsi="Arial"/>
          <w:sz w:val="18"/>
          <w:szCs w:val="18"/>
          <w:color w:val="auto"/>
        </w:rPr>
      </w:pPr>
    </w:p>
    <w:p>
      <w:pPr>
        <w:ind w:left="1020" w:right="240" w:hanging="28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(“CMO”) or by us, and delays or failure by our CMOs or us to make any necessary changes to such manufacturing process; and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212" w:lineRule="exact"/>
        <w:rPr>
          <w:sz w:val="20"/>
          <w:szCs w:val="20"/>
          <w:color w:val="auto"/>
        </w:rPr>
      </w:pPr>
    </w:p>
    <w:p>
      <w:pPr>
        <w:ind w:right="60" w:firstLine="734"/>
        <w:spacing w:after="0" w:line="246"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w:t>
      </w:r>
    </w:p>
    <w:p>
      <w:pPr>
        <w:spacing w:after="0" w:line="197"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severity and difficulty of diagnosing the disease under investigation, size of the patient population and process for identifying subjects, eligibility and exclusion criteria for the trial in question, design of the trial protocol, availability and efficacy of approved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87" w:name="page88"/>
    <w:bookmarkEnd w:id="87"/>
    <w:p>
      <w:pPr>
        <w:spacing w:after="0" w:line="238" w:lineRule="auto"/>
        <w:rPr>
          <w:sz w:val="20"/>
          <w:szCs w:val="20"/>
          <w:color w:val="auto"/>
        </w:rPr>
      </w:pPr>
      <w:r>
        <w:rPr>
          <w:rFonts w:ascii="Arial" w:cs="Arial" w:eastAsia="Arial" w:hAnsi="Arial"/>
          <w:sz w:val="18"/>
          <w:szCs w:val="18"/>
          <w:color w:val="auto"/>
        </w:rPr>
        <w:t>risk that enrolled subjects will drop out before completion of the trial, the ability to monitor patients adequately during and after treatment, and the proximity and availability of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p>
    <w:p>
      <w:pPr>
        <w:spacing w:after="0" w:line="205"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20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203" w:lineRule="exact"/>
        <w:rPr>
          <w:sz w:val="20"/>
          <w:szCs w:val="20"/>
          <w:color w:val="auto"/>
        </w:rPr>
      </w:pPr>
    </w:p>
    <w:p>
      <w:pPr>
        <w:ind w:right="200" w:firstLine="734"/>
        <w:spacing w:after="0" w:line="238"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88" w:name="page89"/>
    <w:bookmarkEnd w:id="88"/>
    <w:p>
      <w:pPr>
        <w:ind w:right="80"/>
        <w:spacing w:after="0" w:line="253" w:lineRule="auto"/>
        <w:rPr>
          <w:sz w:val="20"/>
          <w:szCs w:val="20"/>
          <w:color w:val="auto"/>
        </w:rPr>
      </w:pPr>
      <w:r>
        <w:rPr>
          <w:rFonts w:ascii="Arial" w:cs="Arial" w:eastAsia="Arial" w:hAnsi="Arial"/>
          <w:sz w:val="18"/>
          <w:szCs w:val="18"/>
          <w:b w:val="1"/>
          <w:bCs w:val="1"/>
          <w:i w:val="1"/>
          <w:iCs w:val="1"/>
          <w:color w:val="auto"/>
        </w:rPr>
        <w:t>The limited number of patients who have the diseases for which our product candidates are being studied may make it more difficult for us to enroll or complete clinical trials or may result in findings in our clinical trials that do not reach levels of statistical significance sufficient for marketing approval.</w:t>
      </w:r>
    </w:p>
    <w:p>
      <w:pPr>
        <w:spacing w:after="0" w:line="83"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Most of the conditions for which we plan to evaluate our current product candidates in clinical trials are rare genetic diseases. Accordingly, there are limited patient pools from which to draw for clinical trials. In addition to the rarity of these diseases, the eligibility criteria of our clinical trials will further limit the pool of available study participants as we will require that patients have specific characteristics that we can measure to assure their disease is either severe enough or not too advanced to include them in a trial.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most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29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cannot give any assurance that any of our product candidates will receive regulatory approval, which is necessary before they can be commercialized or if they will ever be successfully commercialized.</w:t>
      </w:r>
    </w:p>
    <w:p>
      <w:pPr>
        <w:spacing w:after="0" w:line="83" w:lineRule="exact"/>
        <w:rPr>
          <w:sz w:val="20"/>
          <w:szCs w:val="20"/>
          <w:color w:val="auto"/>
        </w:rPr>
      </w:pPr>
    </w:p>
    <w:p>
      <w:pPr>
        <w:ind w:right="200" w:firstLine="734"/>
        <w:spacing w:after="0"/>
        <w:rPr>
          <w:sz w:val="20"/>
          <w:szCs w:val="20"/>
          <w:color w:val="auto"/>
        </w:rPr>
      </w:pPr>
      <w:r>
        <w:rPr>
          <w:rFonts w:ascii="Arial" w:cs="Arial" w:eastAsia="Arial" w:hAnsi="Arial"/>
          <w:sz w:val="18"/>
          <w:szCs w:val="18"/>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95" w:lineRule="exact"/>
        <w:rPr>
          <w:sz w:val="20"/>
          <w:szCs w:val="20"/>
          <w:color w:val="auto"/>
        </w:rPr>
      </w:pPr>
    </w:p>
    <w:p>
      <w:pPr>
        <w:ind w:left="1020" w:hanging="28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our clinical development plans due to the COVID-19 pandemic;</w:t>
      </w:r>
    </w:p>
    <w:p>
      <w:pPr>
        <w:spacing w:after="0" w:line="103" w:lineRule="exact"/>
        <w:rPr>
          <w:rFonts w:ascii="Arial" w:cs="Arial" w:eastAsia="Arial" w:hAnsi="Arial"/>
          <w:sz w:val="18"/>
          <w:szCs w:val="18"/>
          <w:color w:val="auto"/>
        </w:rPr>
      </w:pPr>
    </w:p>
    <w:p>
      <w:pPr>
        <w:ind w:left="1020" w:right="120" w:hanging="28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does not meet applicable regulatory criteria;</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03"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Therapeutic Vector Evolution platform technology obsolete or less attractive;</w:t>
      </w:r>
    </w:p>
    <w:p>
      <w:pPr>
        <w:spacing w:after="0" w:line="88" w:lineRule="exact"/>
        <w:rPr>
          <w:rFonts w:ascii="Arial" w:cs="Arial" w:eastAsia="Arial" w:hAnsi="Arial"/>
          <w:sz w:val="18"/>
          <w:szCs w:val="18"/>
          <w:color w:val="auto"/>
        </w:rPr>
      </w:pPr>
    </w:p>
    <w:p>
      <w:pPr>
        <w:ind w:left="1020" w:right="20" w:hanging="28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product candidates and Therapeutic Vector Evolution platform technology that we develop may not be sufficiently covered by intellectual property for which we hold exclusive rights or may be covered by third-party patents or other intellectual property or exclusive rights;</w:t>
      </w:r>
    </w:p>
    <w:p>
      <w:pPr>
        <w:spacing w:after="0" w:line="94" w:lineRule="exact"/>
        <w:rPr>
          <w:rFonts w:ascii="Arial" w:cs="Arial" w:eastAsia="Arial" w:hAnsi="Arial"/>
          <w:sz w:val="18"/>
          <w:szCs w:val="18"/>
          <w:color w:val="auto"/>
        </w:rPr>
      </w:pPr>
    </w:p>
    <w:p>
      <w:pPr>
        <w:ind w:left="1020" w:right="640" w:hanging="28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03" w:lineRule="exact"/>
        <w:rPr>
          <w:rFonts w:ascii="Arial" w:cs="Arial" w:eastAsia="Arial" w:hAnsi="Arial"/>
          <w:sz w:val="18"/>
          <w:szCs w:val="18"/>
          <w:color w:val="auto"/>
        </w:rPr>
      </w:pPr>
    </w:p>
    <w:p>
      <w:pPr>
        <w:ind w:left="1020" w:right="900" w:hanging="28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and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ind w:right="180" w:firstLine="742"/>
        <w:spacing w:after="0" w:line="238" w:lineRule="auto"/>
        <w:rPr>
          <w:sz w:val="20"/>
          <w:szCs w:val="20"/>
          <w:color w:val="auto"/>
        </w:rPr>
      </w:pPr>
      <w:r>
        <w:rPr>
          <w:rFonts w:ascii="Arial" w:cs="Arial" w:eastAsia="Arial" w:hAnsi="Arial"/>
          <w:sz w:val="18"/>
          <w:szCs w:val="18"/>
          <w:color w:val="auto"/>
        </w:rPr>
        <w:t>If any of these events occur, we or our collaborators may be forced to abandon our development efforts for a product candidate or candidates, which would seriously harm our business. Failure of a product candidate may occur at any stage of preclinical or clinical development, and, because our product candidates and our Therapeutic Vector Evolution platform technology are in an early stage of development, there is a relatively higher risk of failure and we may never succeed in developing marketable products or generating product revenue.</w:t>
      </w:r>
    </w:p>
    <w:p>
      <w:pPr>
        <w:spacing w:after="0" w:line="202"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trials that we may conduct may not demonstrate the efficacy and safety necessary to obtain regulatory approval to market our product candidates. If the results of our ongoing or future clinical trials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20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If any of our product candidates successfully completes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seriously harm our business. To obtain regulatory approval in countries outside the United States, we must comply with numerous and varying regulatory requirements of such other countries regarding safety, efficacy, purity, potency,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ensure that we will obtain approval in any other jurisdictions. Failure to obtain approval for our product candidates in multiple jurisdictions, will seriously harm our business.</w:t>
      </w:r>
    </w:p>
    <w:p>
      <w:pPr>
        <w:spacing w:after="0" w:line="204" w:lineRule="exact"/>
        <w:rPr>
          <w:sz w:val="20"/>
          <w:szCs w:val="20"/>
          <w:color w:val="auto"/>
        </w:rPr>
      </w:pPr>
    </w:p>
    <w:p>
      <w:pPr>
        <w:ind w:right="120" w:firstLine="734"/>
        <w:spacing w:after="0" w:line="236"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p>
    <w:p>
      <w:pPr>
        <w:spacing w:after="0" w:line="208" w:lineRule="exact"/>
        <w:rPr>
          <w:sz w:val="20"/>
          <w:szCs w:val="20"/>
          <w:color w:val="auto"/>
        </w:rPr>
      </w:pPr>
    </w:p>
    <w:p>
      <w:pPr>
        <w:ind w:right="280" w:firstLine="734"/>
        <w:spacing w:after="0" w:line="238"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90" w:name="page91"/>
    <w:bookmarkEnd w:id="90"/>
    <w:p>
      <w:pPr>
        <w:ind w:right="160"/>
        <w:spacing w:after="0" w:line="25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seriously harm our business.</w:t>
      </w:r>
    </w:p>
    <w:p>
      <w:pPr>
        <w:spacing w:after="0" w:line="83" w:lineRule="exact"/>
        <w:rPr>
          <w:sz w:val="20"/>
          <w:szCs w:val="20"/>
          <w:color w:val="auto"/>
        </w:rPr>
      </w:pPr>
    </w:p>
    <w:p>
      <w:pPr>
        <w:ind w:right="160" w:firstLine="734"/>
        <w:spacing w:after="0" w:line="236" w:lineRule="auto"/>
        <w:rPr>
          <w:sz w:val="20"/>
          <w:szCs w:val="20"/>
          <w:color w:val="auto"/>
        </w:rPr>
      </w:pPr>
      <w:r>
        <w:rPr>
          <w:rFonts w:ascii="Arial" w:cs="Arial" w:eastAsia="Arial" w:hAnsi="Arial"/>
          <w:sz w:val="18"/>
          <w:szCs w:val="18"/>
          <w:color w:val="auto"/>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207"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seriously harm our business.</w:t>
      </w:r>
    </w:p>
    <w:p>
      <w:pPr>
        <w:spacing w:after="0" w:line="29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of our product candidates, which would prevent, delay or limit the scope of regulatory approval and commercialization.</w:t>
      </w:r>
    </w:p>
    <w:p>
      <w:pPr>
        <w:spacing w:after="0" w:line="68"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02"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ind w:right="100" w:firstLine="734"/>
        <w:spacing w:after="0" w:line="238"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205"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91"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68"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seriously harm our business.</w:t>
      </w:r>
    </w:p>
    <w:p>
      <w:pPr>
        <w:spacing w:after="0" w:line="206"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2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83" w:lineRule="exact"/>
        <w:rPr>
          <w:sz w:val="20"/>
          <w:szCs w:val="20"/>
          <w:color w:val="auto"/>
        </w:rPr>
      </w:pPr>
    </w:p>
    <w:p>
      <w:pPr>
        <w:ind w:right="300" w:firstLine="734"/>
        <w:spacing w:after="0" w:line="238" w:lineRule="auto"/>
        <w:rPr>
          <w:sz w:val="20"/>
          <w:szCs w:val="20"/>
          <w:color w:val="auto"/>
        </w:rPr>
      </w:pPr>
      <w:r>
        <w:rPr>
          <w:rFonts w:ascii="Arial" w:cs="Arial" w:eastAsia="Arial" w:hAnsi="Arial"/>
          <w:sz w:val="18"/>
          <w:szCs w:val="18"/>
          <w:color w:val="auto"/>
        </w:rPr>
        <w:t>One of our strategies is to identify and pursue preclinical and clinical development and commercialization of additional product candidates through our Therapeutic Vector Evolution platform technology. Our Therapeutic Vector Evolution platform technology may not produce a pipeline of viable 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2" w:name="page93"/>
    <w:bookmarkEnd w:id="92"/>
    <w:p>
      <w:pPr>
        <w:ind w:right="20"/>
        <w:spacing w:after="0" w:line="238" w:lineRule="auto"/>
        <w:rPr>
          <w:sz w:val="20"/>
          <w:szCs w:val="20"/>
          <w:color w:val="auto"/>
        </w:rPr>
      </w:pPr>
      <w:r>
        <w:rPr>
          <w:rFonts w:ascii="Arial" w:cs="Arial" w:eastAsia="Arial" w:hAnsi="Arial"/>
          <w:sz w:val="18"/>
          <w:szCs w:val="18"/>
          <w:color w:val="auto"/>
        </w:rPr>
        <w:t>shown to have harmful side effects or may have other characteristics that may make them unmarketable or unlikely to receive marketing approval. Identifying, developing and obtaining regulatory approval and commercializing additional product candidates will require substantial funding and is prone to the risks of failure inherent in drug development. If we are unable to successfully identify, acquire, develop and commercialize additional product candidates, our commercial opportunity may be limited.</w:t>
      </w:r>
    </w:p>
    <w:p>
      <w:pPr>
        <w:spacing w:after="0" w:line="29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8"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2"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There are a number of large pharmaceutical and biotechnology companies that are currently pursuing the development of products for the treatment of the indications for which we have product candidates, including XLRP, choroideremia, Fabry disease, wet AMD, and cystic fibrosis lung disease. Certain of our competitors have commercially approved products for the treatment of the diseases that we are pursuing or may pursue in the future, including Biogen, Roche, Sanofi, Takeda and Vertex. These drugs are well established therapies and are widely accepted by physicians, patients and third-party payors, which may make it difficult to convince these parties to switch to our product candidates. Companies that we are aware are developing therapeutics in the ophthalmology, cardiology and pulmonology disease areas include large companies with significant financial resources, such as Allergan, Biogen, Novartis, Pfizer, Regeneron, Roche, Sanofi, Takeda and Vertex, and biopharmaceutical companies such as Abeona, Adverum, AGTC, Amicus, Avrobio, Freeline, Kodiak Sciences, Krystal, MeiraGTx, RegenxBio, Sangamo, and Spirovant. In addition to competition from other companies targeting ophthalmology, cardiology and pulmonology, any products we may develop may also face competition from other types of therapies, such as gene-editing therapies and drug delivery devices.</w:t>
      </w:r>
    </w:p>
    <w:p>
      <w:pPr>
        <w:spacing w:after="0" w:line="205"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ophthalmology, cardiology and pulmonology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3" w:name="page94"/>
    <w:bookmarkEnd w:id="93"/>
    <w:p>
      <w:pPr>
        <w:ind w:right="220"/>
        <w:spacing w:after="0" w:line="253"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83"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20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04" w:lineRule="exact"/>
        <w:rPr>
          <w:sz w:val="20"/>
          <w:szCs w:val="20"/>
          <w:color w:val="auto"/>
        </w:rPr>
      </w:pPr>
    </w:p>
    <w:p>
      <w:pPr>
        <w:ind w:left="1020" w:right="40" w:hanging="283"/>
        <w:spacing w:after="0" w:line="24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and build a commercial infrastructure due to the impacts of COVID-19;</w:t>
      </w:r>
    </w:p>
    <w:p>
      <w:pPr>
        <w:spacing w:after="0" w:line="103" w:lineRule="exact"/>
        <w:rPr>
          <w:rFonts w:ascii="Arial" w:cs="Arial" w:eastAsia="Arial" w:hAnsi="Arial"/>
          <w:sz w:val="18"/>
          <w:szCs w:val="18"/>
          <w:color w:val="auto"/>
        </w:rPr>
      </w:pPr>
    </w:p>
    <w:p>
      <w:pPr>
        <w:ind w:left="1020" w:right="360" w:hanging="283"/>
        <w:spacing w:after="0" w:line="24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88" w:lineRule="exact"/>
        <w:rPr>
          <w:rFonts w:ascii="Arial" w:cs="Arial" w:eastAsia="Arial" w:hAnsi="Arial"/>
          <w:sz w:val="18"/>
          <w:szCs w:val="18"/>
          <w:color w:val="auto"/>
        </w:rPr>
      </w:pPr>
    </w:p>
    <w:p>
      <w:pPr>
        <w:ind w:left="1020" w:right="760" w:hanging="283"/>
        <w:spacing w:after="0" w:line="24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03"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1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4" w:name="page95"/>
    <w:bookmarkEnd w:id="94"/>
    <w:p>
      <w:pPr>
        <w:ind w:right="200"/>
        <w:spacing w:after="0" w:line="271"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68"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94" w:lineRule="exact"/>
        <w:rPr>
          <w:sz w:val="20"/>
          <w:szCs w:val="20"/>
          <w:color w:val="auto"/>
        </w:rPr>
      </w:pPr>
    </w:p>
    <w:p>
      <w:pPr>
        <w:ind w:left="1020" w:right="520" w:hanging="28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or other regulatory agencies;</w:t>
      </w:r>
    </w:p>
    <w:p>
      <w:pPr>
        <w:spacing w:after="0" w:line="103" w:lineRule="exact"/>
        <w:rPr>
          <w:rFonts w:ascii="Arial" w:cs="Arial" w:eastAsia="Arial" w:hAnsi="Arial"/>
          <w:sz w:val="18"/>
          <w:szCs w:val="18"/>
          <w:color w:val="auto"/>
        </w:rPr>
      </w:pPr>
    </w:p>
    <w:p>
      <w:pPr>
        <w:ind w:left="1020" w:right="300" w:hanging="283"/>
        <w:spacing w:after="0" w:line="24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12" w:lineRule="exact"/>
        <w:rPr>
          <w:sz w:val="20"/>
          <w:szCs w:val="20"/>
          <w:color w:val="auto"/>
        </w:rPr>
      </w:pPr>
    </w:p>
    <w:p>
      <w:pPr>
        <w:ind w:right="380" w:firstLine="734"/>
        <w:spacing w:after="0" w:line="246"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currently have a development, manufacturing and testing agreement and cooperation agreement with Catalent to manufacture supplies of our product candidates in the future.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standards or specifications with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5" w:name="page96"/>
    <w:bookmarkEnd w:id="95"/>
    <w:p>
      <w:pPr>
        <w:ind w:right="60"/>
        <w:spacing w:after="0" w:line="238" w:lineRule="auto"/>
        <w:rPr>
          <w:sz w:val="20"/>
          <w:szCs w:val="20"/>
          <w:color w:val="auto"/>
        </w:rPr>
      </w:pPr>
      <w:r>
        <w:rPr>
          <w:rFonts w:ascii="Arial" w:cs="Arial" w:eastAsia="Arial" w:hAnsi="Arial"/>
          <w:sz w:val="18"/>
          <w:szCs w:val="18"/>
          <w:color w:val="auto"/>
        </w:rPr>
        <w:t>consistent and acceptable production yields and costs. For example, in the first half of 2019, a manufacturing batch of our product candidate 4D-110 produced at a CMO failed to meet the specifications required for use in our planned clinical trial due to an issue identified with one of the plasmids used in the manufacturing process. As a result, we delayed the initiation of our planned first-in-human trial of 4D-110 until July 2020, so that we could produce the clinical-grade material required for the trial using our in-house manufacturing facility.</w:t>
      </w:r>
    </w:p>
    <w:p>
      <w:pPr>
        <w:spacing w:after="0" w:line="205" w:lineRule="exact"/>
        <w:rPr>
          <w:sz w:val="20"/>
          <w:szCs w:val="20"/>
          <w:color w:val="auto"/>
        </w:rPr>
      </w:pPr>
    </w:p>
    <w:p>
      <w:pPr>
        <w:ind w:right="200" w:firstLine="734"/>
        <w:spacing w:after="0" w:line="237" w:lineRule="auto"/>
        <w:rPr>
          <w:sz w:val="20"/>
          <w:szCs w:val="20"/>
          <w:color w:val="auto"/>
        </w:rPr>
      </w:pPr>
      <w:r>
        <w:rPr>
          <w:rFonts w:ascii="Arial" w:cs="Arial" w:eastAsia="Arial" w:hAnsi="Arial"/>
          <w:sz w:val="18"/>
          <w:szCs w:val="18"/>
          <w:color w:val="auto"/>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205" w:lineRule="exact"/>
        <w:rPr>
          <w:sz w:val="20"/>
          <w:szCs w:val="20"/>
          <w:color w:val="auto"/>
        </w:rPr>
      </w:pPr>
    </w:p>
    <w:p>
      <w:pPr>
        <w:ind w:right="420" w:firstLine="734"/>
        <w:spacing w:after="0"/>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203"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third-party manufacturing process or facilities also could restrict our ability to meet market demand for our products. Additionally, should our agreement with Catalent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9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Delays in obtaining regulatory approval of our manufacturing process or disruptions in our manufacturing process may delay or disrupt our commercialization efforts.</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Before we can begin to commercially manufacture our product candidates in third-party or our own facilities, we must obtain regulatory approval from the FDA to market our product using the manufacturing process and facility we proposed in our marketing application. In addition, we must pass a pre-approval inspection of our manufacturing facility by the FDA before any of our product candidates can obtain marketing approval, if ever. In order to obtain approval of a BLA for our product candidates, we will need to ensure that all of our manufacturing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91" w:lineRule="exact"/>
        <w:rPr>
          <w:sz w:val="20"/>
          <w:szCs w:val="20"/>
          <w:color w:val="auto"/>
        </w:rPr>
      </w:pPr>
    </w:p>
    <w:p>
      <w:pPr>
        <w:ind w:right="340"/>
        <w:spacing w:after="0" w:line="301" w:lineRule="auto"/>
        <w:rPr>
          <w:sz w:val="20"/>
          <w:szCs w:val="20"/>
          <w:color w:val="auto"/>
        </w:rPr>
      </w:pPr>
      <w:r>
        <w:rPr>
          <w:rFonts w:ascii="Arial" w:cs="Arial" w:eastAsia="Arial" w:hAnsi="Arial"/>
          <w:sz w:val="17"/>
          <w:szCs w:val="17"/>
          <w:b w:val="1"/>
          <w:bCs w:val="1"/>
          <w:i w:val="1"/>
          <w:iCs w:val="1"/>
          <w:color w:val="auto"/>
        </w:rPr>
        <w:t>Delays in developing our manufacturing capabilities or failure to achieve operating efficiencies from it may require us to devote additional resources and management time to manufacturing operations and may delay our product development timelines.</w:t>
      </w:r>
    </w:p>
    <w:p>
      <w:pPr>
        <w:spacing w:after="0" w:line="45"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We have a small operational manufacturing facility that we are using to manufacture clinical trial material. In addition, we have leased approximately 17,000 square feet of space primarily for our second manufacturing facility in Emeryville, California, most of which we plan to devote to manufacturing activities for our clinical trials. We may face delays in the production of clinical supply at our manufacturing facility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6" w:name="page97"/>
    <w:bookmarkEnd w:id="96"/>
    <w:p>
      <w:pPr>
        <w:ind w:right="40"/>
        <w:spacing w:after="0" w:line="236" w:lineRule="auto"/>
        <w:rPr>
          <w:sz w:val="20"/>
          <w:szCs w:val="20"/>
          <w:color w:val="auto"/>
        </w:rPr>
      </w:pPr>
      <w:r>
        <w:rPr>
          <w:rFonts w:ascii="Arial" w:cs="Arial" w:eastAsia="Arial" w:hAnsi="Arial"/>
          <w:sz w:val="18"/>
          <w:szCs w:val="18"/>
          <w:color w:val="auto"/>
        </w:rPr>
        <w:t>and cannot guarantee when our facility will be able to produce sufficient quantities of product candidates needed to support our planned clinical trials. 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p>
    <w:p>
      <w:pPr>
        <w:spacing w:after="0" w:line="206" w:lineRule="exact"/>
        <w:rPr>
          <w:sz w:val="20"/>
          <w:szCs w:val="20"/>
          <w:color w:val="auto"/>
        </w:rPr>
      </w:pPr>
    </w:p>
    <w:p>
      <w:pPr>
        <w:ind w:right="240" w:firstLine="734"/>
        <w:spacing w:after="0" w:line="236" w:lineRule="auto"/>
        <w:rPr>
          <w:sz w:val="20"/>
          <w:szCs w:val="20"/>
          <w:color w:val="auto"/>
        </w:rPr>
      </w:pPr>
      <w:r>
        <w:rPr>
          <w:rFonts w:ascii="Arial" w:cs="Arial" w:eastAsia="Arial" w:hAnsi="Arial"/>
          <w:sz w:val="18"/>
          <w:szCs w:val="18"/>
          <w:color w:val="auto"/>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p>
    <w:p>
      <w:pPr>
        <w:spacing w:after="0" w:line="29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product manufacturing for certain of our product candidates, and these third parties may not perform satisfactorily.</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Although we are in process of expanding internal manufacturing capabilities, we currently rely, and expect to continue to rely, on third parties for the production of some of our preclinical study and planned clinical trial materials and, therefore, we can control only certain aspects of their activities. The facilities used by us and our contract manufacturers to manufacture certain of our product candidates must be reviewed by the FDA pursuant to inspections that will be conducted after we submit our BLA to the FDA. We do not control the manufacturing process of, and are completely dependent on, our contract manufacturing partners for compliance with the cGMPs for manufacture of our products. If we or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04" w:lineRule="exact"/>
        <w:rPr>
          <w:sz w:val="20"/>
          <w:szCs w:val="20"/>
          <w:color w:val="auto"/>
        </w:rPr>
      </w:pPr>
    </w:p>
    <w:p>
      <w:pPr>
        <w:ind w:right="320" w:firstLine="734"/>
        <w:spacing w:after="0"/>
        <w:rPr>
          <w:sz w:val="20"/>
          <w:szCs w:val="20"/>
          <w:color w:val="auto"/>
        </w:rPr>
      </w:pPr>
      <w:r>
        <w:rPr>
          <w:rFonts w:ascii="Arial" w:cs="Arial" w:eastAsia="Arial" w:hAnsi="Arial"/>
          <w:sz w:val="18"/>
          <w:szCs w:val="18"/>
          <w:color w:val="auto"/>
        </w:rPr>
        <w:t>In addition, we rely on additional third parties to manufacture plasmids used in the manufacture of our product candidates and to perform quality testing, and reliance on these third parties entails risks to which we would not be subject if we manufactured the product candidates ourselves, including:</w:t>
      </w:r>
    </w:p>
    <w:p>
      <w:pPr>
        <w:spacing w:after="0" w:line="95" w:lineRule="exact"/>
        <w:rPr>
          <w:sz w:val="20"/>
          <w:szCs w:val="20"/>
          <w:color w:val="auto"/>
        </w:rPr>
      </w:pPr>
    </w:p>
    <w:p>
      <w:pPr>
        <w:ind w:left="1020" w:hanging="28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03" w:lineRule="exact"/>
        <w:rPr>
          <w:rFonts w:ascii="Arial" w:cs="Arial" w:eastAsia="Arial" w:hAnsi="Arial"/>
          <w:sz w:val="18"/>
          <w:szCs w:val="18"/>
          <w:color w:val="auto"/>
        </w:rPr>
      </w:pPr>
    </w:p>
    <w:p>
      <w:pPr>
        <w:ind w:left="1020" w:right="220" w:hanging="28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88" w:lineRule="exact"/>
        <w:rPr>
          <w:rFonts w:ascii="Arial" w:cs="Arial" w:eastAsia="Arial" w:hAnsi="Arial"/>
          <w:sz w:val="18"/>
          <w:szCs w:val="18"/>
          <w:color w:val="auto"/>
        </w:rPr>
      </w:pPr>
    </w:p>
    <w:p>
      <w:pPr>
        <w:ind w:left="1020" w:right="580" w:hanging="283"/>
        <w:spacing w:after="0" w:line="246"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7" w:name="page98"/>
    <w:bookmarkEnd w:id="97"/>
    <w:p>
      <w:pPr>
        <w:jc w:val="both"/>
        <w:ind w:right="340" w:firstLine="734"/>
        <w:spacing w:after="0"/>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p>
    <w:p>
      <w:pPr>
        <w:spacing w:after="0" w:line="289"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b w:val="1"/>
          <w:bCs w:val="1"/>
          <w:i w:val="1"/>
          <w:iCs w:val="1"/>
          <w:color w:val="auto"/>
        </w:rPr>
        <w:t>Any contamination in our manufacturing process, shortages of raw materials or failure of any of our key suppliers to deliver necessary components could result in delays in our research studies, preclinical, clinical development or marketing schedules.</w:t>
      </w:r>
    </w:p>
    <w:p>
      <w:pPr>
        <w:spacing w:after="0" w:line="45" w:lineRule="exact"/>
        <w:rPr>
          <w:sz w:val="20"/>
          <w:szCs w:val="20"/>
          <w:color w:val="auto"/>
        </w:rPr>
      </w:pPr>
    </w:p>
    <w:p>
      <w:pPr>
        <w:ind w:right="500" w:firstLine="734"/>
        <w:spacing w:after="0"/>
        <w:rPr>
          <w:sz w:val="20"/>
          <w:szCs w:val="20"/>
          <w:color w:val="auto"/>
        </w:rPr>
      </w:pPr>
      <w:r>
        <w:rPr>
          <w:rFonts w:ascii="Arial" w:cs="Arial" w:eastAsia="Arial" w:hAnsi="Arial"/>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203"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p>
    <w:p>
      <w:pPr>
        <w:spacing w:after="0" w:line="29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and the loss of these third-party suppliers or their inability to supply us with adequate raw materials could seriously harm our business.</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seriously harmed.</w:t>
      </w:r>
    </w:p>
    <w:p>
      <w:pPr>
        <w:spacing w:after="0" w:line="8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98" w:name="page99"/>
    <w:bookmarkEnd w:id="98"/>
    <w:p>
      <w:pPr>
        <w:ind w:right="320"/>
        <w:spacing w:after="0" w:line="246" w:lineRule="auto"/>
        <w:rPr>
          <w:sz w:val="20"/>
          <w:szCs w:val="20"/>
          <w:color w:val="auto"/>
        </w:rPr>
      </w:pPr>
      <w:r>
        <w:rPr>
          <w:rFonts w:ascii="Arial" w:cs="Arial" w:eastAsia="Arial" w:hAnsi="Arial"/>
          <w:sz w:val="18"/>
          <w:szCs w:val="18"/>
          <w:color w:val="auto"/>
        </w:rPr>
        <w:t>humans to the satisfaction of the regulatory authorities before we will be able to obtain these approvals, and it is possible that none of our existing product candidates or any product candidates we may seek to develop in the future will ever obtain regulatory approval.</w:t>
      </w:r>
    </w:p>
    <w:p>
      <w:pPr>
        <w:spacing w:after="0" w:line="197" w:lineRule="exact"/>
        <w:rPr>
          <w:sz w:val="20"/>
          <w:szCs w:val="20"/>
          <w:color w:val="auto"/>
        </w:rPr>
      </w:pPr>
    </w:p>
    <w:p>
      <w:pPr>
        <w:ind w:right="280" w:firstLine="734"/>
        <w:spacing w:after="0" w:line="246"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89" w:lineRule="exact"/>
        <w:rPr>
          <w:sz w:val="20"/>
          <w:szCs w:val="20"/>
          <w:color w:val="auto"/>
        </w:rPr>
      </w:pPr>
    </w:p>
    <w:p>
      <w:pPr>
        <w:ind w:left="1020" w:right="500" w:hanging="28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results of our or our collaborators’ clinical trials;</w:t>
      </w:r>
    </w:p>
    <w:p>
      <w:pPr>
        <w:spacing w:after="0" w:line="88" w:lineRule="exact"/>
        <w:rPr>
          <w:rFonts w:ascii="Arial" w:cs="Arial" w:eastAsia="Arial" w:hAnsi="Arial"/>
          <w:sz w:val="18"/>
          <w:szCs w:val="18"/>
          <w:color w:val="auto"/>
        </w:rPr>
      </w:pPr>
    </w:p>
    <w:p>
      <w:pPr>
        <w:jc w:val="both"/>
        <w:ind w:left="1020" w:right="40" w:hanging="28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94"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1020" w:right="260" w:hanging="28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FDA, or comparable foreign regulatory authorities that a product candidate’s clinical and other benefits outweigh its safety risks;</w:t>
      </w:r>
    </w:p>
    <w:p>
      <w:pPr>
        <w:spacing w:after="0" w:line="88" w:lineRule="exact"/>
        <w:rPr>
          <w:rFonts w:ascii="Arial" w:cs="Arial" w:eastAsia="Arial" w:hAnsi="Arial"/>
          <w:sz w:val="18"/>
          <w:szCs w:val="18"/>
          <w:color w:val="auto"/>
        </w:rPr>
      </w:pPr>
    </w:p>
    <w:p>
      <w:pPr>
        <w:ind w:left="1020" w:right="460" w:hanging="28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our collaborators’ interpretation of data from preclinical studies or clinical trials;</w:t>
      </w:r>
    </w:p>
    <w:p>
      <w:pPr>
        <w:spacing w:after="0" w:line="88"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88" w:lineRule="exact"/>
        <w:rPr>
          <w:rFonts w:ascii="Arial" w:cs="Arial" w:eastAsia="Arial" w:hAnsi="Arial"/>
          <w:sz w:val="18"/>
          <w:szCs w:val="18"/>
          <w:color w:val="auto"/>
        </w:rPr>
      </w:pPr>
    </w:p>
    <w:p>
      <w:pPr>
        <w:ind w:left="1020" w:right="400" w:hanging="28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ind w:left="1020" w:right="640" w:hanging="28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197" w:lineRule="exact"/>
        <w:rPr>
          <w:sz w:val="20"/>
          <w:szCs w:val="20"/>
          <w:color w:val="auto"/>
        </w:rPr>
      </w:pPr>
    </w:p>
    <w:p>
      <w:pPr>
        <w:ind w:right="680" w:firstLine="734"/>
        <w:spacing w:after="0" w:line="246"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w:t>
      </w:r>
    </w:p>
    <w:p>
      <w:pPr>
        <w:spacing w:after="0" w:line="197"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99" w:name="page100"/>
    <w:bookmarkEnd w:id="99"/>
    <w:p>
      <w:pPr>
        <w:spacing w:after="0" w:line="244"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90"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verify and describe the drug’s clinical benefit. If such post-approval studies fail to confirm the drug’s clinical benefit, the FDA may withdraw its approval of the drug.</w:t>
      </w:r>
    </w:p>
    <w:p>
      <w:pPr>
        <w:spacing w:after="0" w:line="203"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29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Even if we or our collaborators obtain regulatory approval for a product candidate, our products will remain subject to regulatory scrutiny.</w:t>
      </w:r>
    </w:p>
    <w:p>
      <w:pPr>
        <w:spacing w:after="0" w:line="68"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p>
    <w:p>
      <w:pPr>
        <w:spacing w:after="0" w:line="205"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00" w:name="page101"/>
    <w:bookmarkEnd w:id="100"/>
    <w:p>
      <w:pPr>
        <w:ind w:right="160"/>
        <w:spacing w:after="0" w:line="246" w:lineRule="auto"/>
        <w:rPr>
          <w:sz w:val="20"/>
          <w:szCs w:val="20"/>
          <w:color w:val="auto"/>
        </w:rPr>
      </w:pPr>
      <w:r>
        <w:rPr>
          <w:rFonts w:ascii="Arial" w:cs="Arial" w:eastAsia="Arial" w:hAnsi="Arial"/>
          <w:sz w:val="18"/>
          <w:szCs w:val="18"/>
          <w:color w:val="auto"/>
        </w:rPr>
        <w:t>work must continue to expend time, money and effort in all areas of regulatory compliance, including manufacturing, production, and quality control.</w:t>
      </w:r>
    </w:p>
    <w:p>
      <w:pPr>
        <w:spacing w:after="0" w:line="197"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 consistent with our product’s FDA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 study or failure to complete such a study could result in the withdrawal of marketing approval or label restrictions.</w:t>
      </w:r>
    </w:p>
    <w:p>
      <w:pPr>
        <w:spacing w:after="0" w:line="208"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97" w:lineRule="exact"/>
        <w:rPr>
          <w:sz w:val="20"/>
          <w:szCs w:val="20"/>
          <w:color w:val="auto"/>
        </w:rPr>
      </w:pPr>
    </w:p>
    <w:p>
      <w:pPr>
        <w:ind w:left="1020" w:hanging="28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1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205"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We have received Fast Track designation for 4D-310 for the treatment of Fabry disease to improve pain, disability and organ dysfunction, and we may seek Fast Track designation for certain future product candidates, but we may not be able to obtain such designations, and there is no guarantee that 4D-310 will experience a faster regulatory review or obtain regulatory approval.</w:t>
      </w:r>
    </w:p>
    <w:p>
      <w:pPr>
        <w:spacing w:after="0" w:line="83" w:lineRule="exact"/>
        <w:rPr>
          <w:sz w:val="20"/>
          <w:szCs w:val="20"/>
          <w:color w:val="auto"/>
        </w:rPr>
      </w:pPr>
    </w:p>
    <w:p>
      <w:pPr>
        <w:ind w:right="360" w:firstLine="734"/>
        <w:spacing w:after="0"/>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disease condition, the product sponsor may apply for Fast Track designation. The sponsor of a Fast Track product has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ind w:right="20"/>
        <w:spacing w:after="0" w:line="236" w:lineRule="auto"/>
        <w:rPr>
          <w:sz w:val="20"/>
          <w:szCs w:val="20"/>
          <w:color w:val="auto"/>
        </w:rPr>
      </w:pPr>
      <w:r>
        <w:rPr>
          <w:rFonts w:ascii="Arial" w:cs="Arial" w:eastAsia="Arial" w:hAnsi="Arial"/>
          <w:sz w:val="18"/>
          <w:szCs w:val="18"/>
          <w:color w:val="auto"/>
        </w:rPr>
        <w:t>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We have received Fast Track designation for 4D-310 for the treatment of Fabry disease to improve pain, disability and organ dysfunction, and we may receive Fast Track designation for other product candidates in the future; however, we may not experience a faster development, review or approval process, and receipt of the designation does not increase the likelihood that the FDA will approve 4D-310 for any indication. In addition, the FDA may rescind the Fast Track designation if it believes that the designation is no longer supported by data from our clinical development program.</w:t>
      </w:r>
    </w:p>
    <w:p>
      <w:pPr>
        <w:spacing w:after="0" w:line="291"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We have received orphan drug designation for 4D-110 for the treatment of choroideremia and for 4D-310 for the treatment of Fabry disease, and we may seek orphan drug designation for certain future product candidates, but we may be unable to obtain such designations or to maintain the benefits associated with orphan drug designation, including market exclusivity, which may cause our revenue, if any, to be reduced.</w:t>
      </w:r>
    </w:p>
    <w:p>
      <w:pPr>
        <w:spacing w:after="0" w:line="8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have received orphan drug designation in the United States for 4D-110 for the treatment of choroideremia and for 4D-310 for the treatment of Fabry disease.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European Union, the EMA’s Committee for Orphan Medicinal Products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03"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203"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the European Union, orphan drug designation entitles a party to financial incentives such as reduction of fees or fee waivers and ten years of market exclusivity following drug or biological product approval. This period may be reduced to six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02" w:name="page103"/>
    <w:bookmarkEnd w:id="102"/>
    <w:p>
      <w:pPr>
        <w:ind w:right="360"/>
        <w:spacing w:after="0" w:line="246" w:lineRule="auto"/>
        <w:rPr>
          <w:sz w:val="20"/>
          <w:szCs w:val="20"/>
          <w:color w:val="auto"/>
        </w:rPr>
      </w:pPr>
      <w:r>
        <w:rPr>
          <w:rFonts w:ascii="Arial" w:cs="Arial" w:eastAsia="Arial" w:hAnsi="Arial"/>
          <w:sz w:val="18"/>
          <w:szCs w:val="18"/>
          <w:color w:val="auto"/>
        </w:rPr>
        <w:t>years if the orphan drug designation criteria are no longer met, including where it is shown that the product is sufficiently profitable not to justify maintenance of market exclusivity.</w:t>
      </w:r>
    </w:p>
    <w:p>
      <w:pPr>
        <w:spacing w:after="0" w:line="197"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with different active moieties can be approved for the same condition. Even after an orphan drug is approved, the FDA can subsequently approve the same drug with the same active moiety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28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If the product candidates that we or our collaborators may develop receive regulatory approval in the United States or another jurisdiction, they may never receive approval in other jurisdictions, which would limit market opportunities for such product candidate and seriously harm our business.</w:t>
      </w:r>
    </w:p>
    <w:p>
      <w:pPr>
        <w:spacing w:after="0" w:line="83" w:lineRule="exact"/>
        <w:rPr>
          <w:sz w:val="20"/>
          <w:szCs w:val="20"/>
          <w:color w:val="auto"/>
        </w:rPr>
      </w:pPr>
    </w:p>
    <w:p>
      <w:pPr>
        <w:ind w:firstLine="734"/>
        <w:spacing w:after="0" w:line="250" w:lineRule="auto"/>
        <w:rPr>
          <w:sz w:val="20"/>
          <w:szCs w:val="20"/>
          <w:color w:val="auto"/>
        </w:rPr>
      </w:pPr>
      <w:r>
        <w:rPr>
          <w:rFonts w:ascii="Arial" w:cs="Arial" w:eastAsia="Arial" w:hAnsi="Arial"/>
          <w:sz w:val="17"/>
          <w:szCs w:val="17"/>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European Union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p>
    <w:p>
      <w:pPr>
        <w:spacing w:after="0" w:line="287"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r>
        <w:rPr>
          <w:rFonts w:ascii="Arial" w:cs="Arial" w:eastAsia="Arial" w:hAnsi="Arial"/>
          <w:sz w:val="18"/>
          <w:szCs w:val="18"/>
          <w:color w:val="auto"/>
        </w:rPr>
        <w:t>.</w:t>
      </w:r>
    </w:p>
    <w:p>
      <w:pPr>
        <w:spacing w:after="0" w:line="68" w:lineRule="exact"/>
        <w:rPr>
          <w:sz w:val="20"/>
          <w:szCs w:val="20"/>
          <w:color w:val="auto"/>
        </w:rPr>
      </w:pPr>
    </w:p>
    <w:p>
      <w:pPr>
        <w:ind w:right="180" w:firstLine="734"/>
        <w:spacing w:after="0" w:line="237" w:lineRule="auto"/>
        <w:rPr>
          <w:sz w:val="20"/>
          <w:szCs w:val="20"/>
          <w:color w:val="auto"/>
        </w:rPr>
      </w:pPr>
      <w:r>
        <w:rPr>
          <w:rFonts w:ascii="Arial" w:cs="Arial" w:eastAsia="Arial" w:hAnsi="Arial"/>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95" w:lineRule="exact"/>
        <w:rPr>
          <w:sz w:val="20"/>
          <w:szCs w:val="20"/>
          <w:color w:val="auto"/>
        </w:rPr>
      </w:pPr>
    </w:p>
    <w:p>
      <w:pPr>
        <w:ind w:left="1020" w:right="320" w:hanging="28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03" w:name="page104"/>
    <w:bookmarkEnd w:id="103"/>
    <w:p>
      <w:pPr>
        <w:ind w:left="1020" w:hanging="28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94" w:lineRule="exact"/>
        <w:rPr>
          <w:rFonts w:ascii="Arial" w:cs="Arial" w:eastAsia="Arial" w:hAnsi="Arial"/>
          <w:sz w:val="18"/>
          <w:szCs w:val="18"/>
          <w:color w:val="auto"/>
        </w:rPr>
      </w:pPr>
    </w:p>
    <w:p>
      <w:pPr>
        <w:ind w:left="1020" w:right="660" w:hanging="28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to the minimum Medicaid rebates owed by manufacturers under the Medicaid Drug Rebate Program and an extension the rebate program to individuals enrolled in Medicaid managed care organizations;</w:t>
      </w:r>
    </w:p>
    <w:p>
      <w:pPr>
        <w:spacing w:after="0" w:line="8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8" w:lineRule="exact"/>
        <w:rPr>
          <w:rFonts w:ascii="Arial" w:cs="Arial" w:eastAsia="Arial" w:hAnsi="Arial"/>
          <w:sz w:val="18"/>
          <w:szCs w:val="18"/>
          <w:color w:val="auto"/>
        </w:rPr>
      </w:pPr>
    </w:p>
    <w:p>
      <w:pPr>
        <w:ind w:left="1020" w:right="340" w:hanging="28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03" w:lineRule="exact"/>
        <w:rPr>
          <w:rFonts w:ascii="Arial" w:cs="Arial" w:eastAsia="Arial" w:hAnsi="Arial"/>
          <w:sz w:val="18"/>
          <w:szCs w:val="18"/>
          <w:color w:val="auto"/>
        </w:rPr>
      </w:pPr>
    </w:p>
    <w:p>
      <w:pPr>
        <w:ind w:left="1020" w:right="760" w:hanging="283"/>
        <w:spacing w:after="0" w:line="24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8" w:lineRule="exact"/>
        <w:rPr>
          <w:rFonts w:ascii="Arial" w:cs="Arial" w:eastAsia="Arial" w:hAnsi="Arial"/>
          <w:sz w:val="18"/>
          <w:szCs w:val="18"/>
          <w:color w:val="auto"/>
        </w:rPr>
      </w:pPr>
    </w:p>
    <w:p>
      <w:pPr>
        <w:ind w:left="1020" w:right="340" w:hanging="28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and we expect there will be additional challenges and amendments to the ACA in the future.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(“Texas District Court Judge”) ruled that the individual mandate is a critical and inseverable feature of the ACA, and therefore, because it was repealed as part of the Tax Act, the remaining provisions of the ACA are invalid as well. On March 2, 2020, the U.S. Supreme Court granted the petitions for writs of certiorari to review the case, although it is unclear when a decision will be made or how the Supreme Court will rule. It is also unclear how other efforts to challenge, repeal or replace the ACA will impact the ACA or our business.</w:t>
      </w:r>
    </w:p>
    <w:p>
      <w:pPr>
        <w:spacing w:after="0" w:line="207"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with the exception of a temporary suspension from May 1, 2020 through December 31, 2020,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seriously harm our business.</w:t>
      </w:r>
    </w:p>
    <w:p>
      <w:pPr>
        <w:spacing w:after="0" w:line="207"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On March 10, 2020, the Trump administration sent “principles” for drug pricing to Congress, calling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04" w:name="page105"/>
    <w:bookmarkEnd w:id="104"/>
    <w:p>
      <w:pPr>
        <w:spacing w:after="0" w:line="235" w:lineRule="auto"/>
        <w:rPr>
          <w:sz w:val="20"/>
          <w:szCs w:val="20"/>
          <w:color w:val="auto"/>
        </w:rPr>
      </w:pPr>
      <w:r>
        <w:rPr>
          <w:rFonts w:ascii="Arial" w:cs="Arial" w:eastAsia="Arial" w:hAnsi="Arial"/>
          <w:sz w:val="18"/>
          <w:szCs w:val="18"/>
          <w:color w:val="auto"/>
        </w:rPr>
        <w:t>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Further, on July 24, 2020, the Trump administration announced four executive orders related to prescription drug pricing that attempt to implement several of the administration’s proposals, including a policy that would tie Medicare Part B drug prices to international drug prices; one that directs HHS to finalize the Canadian drug importation proposed rule previously issued by HHS and makes other changes allowing for personal importation of drugs from Canada; one that directs HHS to finalize the rulemaking process on modifying the federal Anti-Kickback Statute safe harbors for discounts for plans, pharmacies, and pharmaceutical benefit managers; and one that reduces costs of insulin and epipens to patients of federally qualified health centers. Although a number of these will require additional authorization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seriously harm our business.</w:t>
      </w:r>
    </w:p>
    <w:p>
      <w:pPr>
        <w:spacing w:after="0" w:line="214"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w:t>
      </w:r>
    </w:p>
    <w:p>
      <w:pPr>
        <w:spacing w:after="0" w:line="206" w:lineRule="exact"/>
        <w:rPr>
          <w:sz w:val="20"/>
          <w:szCs w:val="20"/>
          <w:color w:val="auto"/>
        </w:rPr>
      </w:pPr>
    </w:p>
    <w:p>
      <w:pPr>
        <w:jc w:val="both"/>
        <w:ind w:firstLine="734"/>
        <w:spacing w:after="0" w:line="234"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207" w:lineRule="exact"/>
        <w:rPr>
          <w:sz w:val="20"/>
          <w:szCs w:val="20"/>
          <w:color w:val="auto"/>
        </w:rPr>
      </w:pPr>
    </w:p>
    <w:p>
      <w:pPr>
        <w:jc w:val="both"/>
        <w:ind w:right="20" w:firstLine="734"/>
        <w:spacing w:after="0"/>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judicial action in the United States, the European Union or any other jurisdiction. If we or any third parties we may engage are slow or unable to adapt to changes in existing requirements or the adoption of new requirements or policies, or if we or such third parties are not able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5" w:name="page106"/>
    <w:bookmarkEnd w:id="105"/>
    <w:p>
      <w:pPr>
        <w:ind w:right="400"/>
        <w:spacing w:after="0" w:line="246" w:lineRule="auto"/>
        <w:rPr>
          <w:sz w:val="20"/>
          <w:szCs w:val="20"/>
          <w:color w:val="auto"/>
        </w:rPr>
      </w:pPr>
      <w:r>
        <w:rPr>
          <w:rFonts w:ascii="Arial" w:cs="Arial" w:eastAsia="Arial" w:hAnsi="Arial"/>
          <w:sz w:val="18"/>
          <w:szCs w:val="18"/>
          <w:color w:val="auto"/>
        </w:rPr>
        <w:t>maintain regulatory compliance, our product candidates may lose any regulatory approval that may have been obtained and we may not achieve or sustain profitability.</w:t>
      </w:r>
    </w:p>
    <w:p>
      <w:pPr>
        <w:spacing w:after="0" w:line="28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products at competitive prices which would seriously harm our business.</w:t>
      </w:r>
    </w:p>
    <w:p>
      <w:pPr>
        <w:spacing w:after="0" w:line="8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8"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 therapy and other products administered under the supervision of a physician, obtaining coverage and adequate reimbursement may be particularly difficult because of the higher prices often associated with such drugs. We cannot be sure that reimbursement will be available for any product candidate that we commercialize and, if reimbursement is available, that the level of reimbursement will be sufficient.</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208"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06" w:name="page107"/>
    <w:bookmarkEnd w:id="106"/>
    <w:p>
      <w:pPr>
        <w:ind w:right="20"/>
        <w:spacing w:after="0" w:line="238" w:lineRule="auto"/>
        <w:rPr>
          <w:sz w:val="20"/>
          <w:szCs w:val="20"/>
          <w:color w:val="auto"/>
        </w:rPr>
      </w:pPr>
      <w:r>
        <w:rPr>
          <w:rFonts w:ascii="Arial" w:cs="Arial" w:eastAsia="Arial" w:hAnsi="Arial"/>
          <w:sz w:val="18"/>
          <w:szCs w:val="18"/>
          <w:color w:val="auto"/>
        </w:rPr>
        <w:t>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p>
    <w:p>
      <w:pPr>
        <w:spacing w:after="0" w:line="28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90"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8" w:lineRule="exact"/>
        <w:rPr>
          <w:sz w:val="20"/>
          <w:szCs w:val="20"/>
          <w:color w:val="auto"/>
        </w:rPr>
      </w:pPr>
    </w:p>
    <w:p>
      <w:pPr>
        <w:ind w:right="20" w:firstLine="734"/>
        <w:spacing w:after="0" w:line="235"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 and our business would be seriously harmed.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7" w:name="page108"/>
    <w:bookmarkEnd w:id="107"/>
    <w:p>
      <w:pPr>
        <w:ind w:right="6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 and seriously harm our business.</w:t>
      </w:r>
    </w:p>
    <w:p>
      <w:pPr>
        <w:spacing w:after="0" w:line="83" w:lineRule="exact"/>
        <w:rPr>
          <w:sz w:val="20"/>
          <w:szCs w:val="20"/>
          <w:color w:val="auto"/>
        </w:rPr>
      </w:pPr>
    </w:p>
    <w:p>
      <w:pPr>
        <w:ind w:right="160" w:firstLine="734"/>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7" w:lineRule="exact"/>
        <w:rPr>
          <w:sz w:val="20"/>
          <w:szCs w:val="20"/>
          <w:color w:val="auto"/>
        </w:rPr>
      </w:pPr>
    </w:p>
    <w:p>
      <w:pPr>
        <w:ind w:left="1020" w:right="20" w:hanging="283"/>
        <w:spacing w:after="0" w:line="23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spacing w:after="0" w:line="69" w:lineRule="exact"/>
        <w:rPr>
          <w:rFonts w:ascii="Arial" w:cs="Arial" w:eastAsia="Arial" w:hAnsi="Arial"/>
          <w:sz w:val="18"/>
          <w:szCs w:val="18"/>
          <w:color w:val="auto"/>
        </w:rPr>
      </w:pPr>
    </w:p>
    <w:p>
      <w:pPr>
        <w:ind w:left="1020" w:right="60" w:hanging="283"/>
        <w:spacing w:after="0" w:line="23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U.S. federal civil and criminal false claims and civil monetary penalties laws, including the civil federal False Claims Act, which can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 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57" w:lineRule="exact"/>
        <w:rPr>
          <w:rFonts w:ascii="Arial" w:cs="Arial" w:eastAsia="Arial" w:hAnsi="Arial"/>
          <w:sz w:val="18"/>
          <w:szCs w:val="18"/>
          <w:color w:val="auto"/>
        </w:rPr>
      </w:pPr>
    </w:p>
    <w:p>
      <w:pPr>
        <w:ind w:left="1020" w:hanging="283"/>
        <w:spacing w:after="0" w:line="23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83" w:lineRule="exact"/>
        <w:rPr>
          <w:rFonts w:ascii="Arial" w:cs="Arial" w:eastAsia="Arial" w:hAnsi="Arial"/>
          <w:sz w:val="18"/>
          <w:szCs w:val="18"/>
          <w:color w:val="auto"/>
        </w:rPr>
      </w:pPr>
    </w:p>
    <w:p>
      <w:pPr>
        <w:ind w:left="1020" w:hanging="28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03" w:lineRule="exact"/>
        <w:rPr>
          <w:rFonts w:ascii="Arial" w:cs="Arial" w:eastAsia="Arial" w:hAnsi="Arial"/>
          <w:sz w:val="18"/>
          <w:szCs w:val="18"/>
          <w:color w:val="auto"/>
        </w:rPr>
      </w:pPr>
    </w:p>
    <w:p>
      <w:pPr>
        <w:ind w:left="1020" w:right="60" w:hanging="283"/>
        <w:spacing w:after="0" w:line="246"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88" w:lineRule="exact"/>
        <w:rPr>
          <w:rFonts w:ascii="Arial" w:cs="Arial" w:eastAsia="Arial" w:hAnsi="Arial"/>
          <w:sz w:val="18"/>
          <w:szCs w:val="18"/>
          <w:color w:val="auto"/>
        </w:rPr>
      </w:pPr>
    </w:p>
    <w:p>
      <w:pPr>
        <w:ind w:left="1020" w:hanging="283"/>
        <w:spacing w:after="0" w:line="23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and teaching hospitals, as well as ownership and investment interests held by physicians and their immediate family members. Beginning in 2022, applicable manufacturers also will be required to report such information regarding payments and transfers of value provided during the previous year to certain other healthcare providers, including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08" w:name="page109"/>
    <w:bookmarkEnd w:id="108"/>
    <w:p>
      <w:pPr>
        <w:ind w:left="1020"/>
        <w:spacing w:after="0"/>
        <w:rPr>
          <w:sz w:val="20"/>
          <w:szCs w:val="20"/>
          <w:color w:val="auto"/>
        </w:rPr>
      </w:pPr>
      <w:r>
        <w:rPr>
          <w:rFonts w:ascii="Arial" w:cs="Arial" w:eastAsia="Arial" w:hAnsi="Arial"/>
          <w:sz w:val="18"/>
          <w:szCs w:val="18"/>
          <w:color w:val="auto"/>
        </w:rPr>
        <w:t>physician assistants, nurse practitioners, clinical nurse specialists, certified nurse anesthetists, and certified nurse midwives;</w:t>
      </w:r>
    </w:p>
    <w:p>
      <w:pPr>
        <w:spacing w:after="0" w:line="104" w:lineRule="exact"/>
        <w:rPr>
          <w:sz w:val="20"/>
          <w:szCs w:val="20"/>
          <w:color w:val="auto"/>
        </w:rPr>
      </w:pPr>
    </w:p>
    <w:p>
      <w:pPr>
        <w:ind w:left="1020" w:hanging="283"/>
        <w:spacing w:after="0" w:line="252"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86" w:lineRule="exact"/>
        <w:rPr>
          <w:rFonts w:ascii="Arial" w:cs="Arial" w:eastAsia="Arial" w:hAnsi="Arial"/>
          <w:sz w:val="17"/>
          <w:szCs w:val="17"/>
          <w:color w:val="auto"/>
        </w:rPr>
      </w:pPr>
    </w:p>
    <w:p>
      <w:pPr>
        <w:ind w:left="1020" w:hanging="28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similar healthcare laws in the European Union and other jurisdictions, including reporting requirements detailing interactions with and payments to healthcare providers.</w:t>
      </w:r>
    </w:p>
    <w:p>
      <w:pPr>
        <w:spacing w:after="0" w:line="197"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p>
    <w:p>
      <w:pPr>
        <w:spacing w:after="0" w:line="205" w:lineRule="exact"/>
        <w:rPr>
          <w:sz w:val="20"/>
          <w:szCs w:val="20"/>
          <w:color w:val="auto"/>
        </w:rPr>
      </w:pPr>
    </w:p>
    <w:p>
      <w:pPr>
        <w:ind w:right="120" w:firstLine="734"/>
        <w:spacing w:after="0" w:line="235"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certain of our advisory board arrangements with physicians, some of whom are compensated in the form of stock or stock options,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26"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Our research programs involve the use of hazardous materials and chemicals.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09" w:name="page110"/>
    <w:bookmarkEnd w:id="109"/>
    <w:p>
      <w:pPr>
        <w:ind w:right="840"/>
        <w:spacing w:after="0" w:line="246" w:lineRule="auto"/>
        <w:rPr>
          <w:sz w:val="20"/>
          <w:szCs w:val="20"/>
          <w:color w:val="auto"/>
        </w:rPr>
      </w:pPr>
      <w:r>
        <w:rPr>
          <w:rFonts w:ascii="Arial" w:cs="Arial" w:eastAsia="Arial" w:hAnsi="Arial"/>
          <w:sz w:val="18"/>
          <w:szCs w:val="18"/>
          <w:color w:val="auto"/>
        </w:rPr>
        <w:t>interruption insurance and we may not be able to maintain insurance on acceptable terms, if at all. We currently carry no insurance specifically covering environmental claims.</w:t>
      </w:r>
    </w:p>
    <w:p>
      <w:pPr>
        <w:spacing w:after="0" w:line="28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68"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83"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clinical data assessments and analysis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205"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203"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205" w:lineRule="exact"/>
        <w:rPr>
          <w:sz w:val="20"/>
          <w:szCs w:val="20"/>
          <w:color w:val="auto"/>
        </w:rPr>
      </w:pPr>
    </w:p>
    <w:p>
      <w:pPr>
        <w:ind w:right="260" w:firstLine="734"/>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product candidates, producing additional losses and depriving us of potential product revenue.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10" w:name="page111"/>
    <w:bookmarkEnd w:id="110"/>
    <w:p>
      <w:pPr>
        <w:ind w:right="80"/>
        <w:spacing w:after="0" w:line="253" w:lineRule="auto"/>
        <w:rPr>
          <w:sz w:val="20"/>
          <w:szCs w:val="20"/>
          <w:color w:val="auto"/>
        </w:rPr>
      </w:pPr>
      <w:r>
        <w:rPr>
          <w:rFonts w:ascii="Arial" w:cs="Arial" w:eastAsia="Arial" w:hAnsi="Arial"/>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83"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We have sought, and may in the future seek third-party collaborators for the research, development and commercialization of certain of the product candidates we may develop. Our likely collaborators for any other 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04" w:lineRule="exact"/>
        <w:rPr>
          <w:sz w:val="20"/>
          <w:szCs w:val="20"/>
          <w:color w:val="auto"/>
        </w:rPr>
      </w:pPr>
    </w:p>
    <w:p>
      <w:pPr>
        <w:ind w:left="1020" w:right="880" w:hanging="283"/>
        <w:spacing w:after="0" w:line="246"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88" w:lineRule="exact"/>
        <w:rPr>
          <w:rFonts w:ascii="Arial" w:cs="Arial" w:eastAsia="Arial" w:hAnsi="Arial"/>
          <w:sz w:val="18"/>
          <w:szCs w:val="18"/>
          <w:color w:val="auto"/>
        </w:rPr>
      </w:pPr>
    </w:p>
    <w:p>
      <w:pPr>
        <w:ind w:left="1020" w:right="160" w:hanging="283"/>
        <w:spacing w:after="0" w:line="23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96" w:lineRule="exact"/>
        <w:rPr>
          <w:rFonts w:ascii="Arial" w:cs="Arial" w:eastAsia="Arial" w:hAnsi="Arial"/>
          <w:sz w:val="18"/>
          <w:szCs w:val="18"/>
          <w:color w:val="auto"/>
        </w:rPr>
      </w:pPr>
    </w:p>
    <w:p>
      <w:pPr>
        <w:ind w:left="1020" w:right="360" w:hanging="28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03" w:lineRule="exact"/>
        <w:rPr>
          <w:rFonts w:ascii="Arial" w:cs="Arial" w:eastAsia="Arial" w:hAnsi="Arial"/>
          <w:sz w:val="18"/>
          <w:szCs w:val="18"/>
          <w:color w:val="auto"/>
        </w:rPr>
      </w:pPr>
    </w:p>
    <w:p>
      <w:pPr>
        <w:ind w:left="1020" w:right="240" w:hanging="283"/>
        <w:spacing w:after="0" w:line="246"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3" w:lineRule="exact"/>
        <w:rPr>
          <w:rFonts w:ascii="Arial" w:cs="Arial" w:eastAsia="Arial" w:hAnsi="Arial"/>
          <w:sz w:val="18"/>
          <w:szCs w:val="18"/>
          <w:color w:val="auto"/>
        </w:rPr>
      </w:pPr>
    </w:p>
    <w:p>
      <w:pPr>
        <w:ind w:left="1020" w:right="60" w:hanging="28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1020" w:hanging="283"/>
        <w:spacing w:after="0" w:line="23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6" w:lineRule="exact"/>
        <w:rPr>
          <w:rFonts w:ascii="Arial" w:cs="Arial" w:eastAsia="Arial" w:hAnsi="Arial"/>
          <w:sz w:val="18"/>
          <w:szCs w:val="18"/>
          <w:color w:val="auto"/>
        </w:rPr>
      </w:pPr>
    </w:p>
    <w:p>
      <w:pPr>
        <w:ind w:left="1020" w:right="460" w:hanging="283"/>
        <w:spacing w:after="0" w:line="274"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6" w:lineRule="exact"/>
        <w:rPr>
          <w:rFonts w:ascii="Arial" w:cs="Arial" w:eastAsia="Arial" w:hAnsi="Arial"/>
          <w:sz w:val="17"/>
          <w:szCs w:val="17"/>
          <w:color w:val="auto"/>
        </w:rPr>
      </w:pPr>
    </w:p>
    <w:p>
      <w:pPr>
        <w:ind w:left="1020" w:right="140" w:hanging="28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4"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1" w:name="page112"/>
    <w:bookmarkEnd w:id="111"/>
    <w:p>
      <w:pPr>
        <w:ind w:left="1020" w:right="320" w:hanging="28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88"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88" w:lineRule="exact"/>
        <w:rPr>
          <w:rFonts w:ascii="Arial" w:cs="Arial" w:eastAsia="Arial" w:hAnsi="Arial"/>
          <w:sz w:val="18"/>
          <w:szCs w:val="18"/>
          <w:color w:val="auto"/>
        </w:rPr>
      </w:pPr>
    </w:p>
    <w:p>
      <w:pPr>
        <w:ind w:left="1020" w:right="80" w:hanging="28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94" w:lineRule="exact"/>
        <w:rPr>
          <w:rFonts w:ascii="Arial" w:cs="Arial" w:eastAsia="Arial" w:hAnsi="Arial"/>
          <w:sz w:val="18"/>
          <w:szCs w:val="18"/>
          <w:color w:val="auto"/>
        </w:rPr>
      </w:pPr>
    </w:p>
    <w:p>
      <w:pPr>
        <w:ind w:left="1020" w:right="140" w:hanging="28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products and product candidates;</w:t>
      </w:r>
    </w:p>
    <w:p>
      <w:pPr>
        <w:spacing w:after="0" w:line="94" w:lineRule="exact"/>
        <w:rPr>
          <w:rFonts w:ascii="Arial" w:cs="Arial" w:eastAsia="Arial" w:hAnsi="Arial"/>
          <w:sz w:val="18"/>
          <w:szCs w:val="18"/>
          <w:color w:val="auto"/>
        </w:rPr>
      </w:pPr>
    </w:p>
    <w:p>
      <w:pPr>
        <w:ind w:left="1020" w:right="1000" w:hanging="28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88"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88" w:lineRule="exact"/>
        <w:rPr>
          <w:rFonts w:ascii="Arial" w:cs="Arial" w:eastAsia="Arial" w:hAnsi="Arial"/>
          <w:sz w:val="18"/>
          <w:szCs w:val="18"/>
          <w:color w:val="auto"/>
        </w:rPr>
      </w:pPr>
    </w:p>
    <w:p>
      <w:pPr>
        <w:ind w:left="1020" w:right="80" w:hanging="28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Therapeutic Vector Evolution platform technology; and</w:t>
      </w:r>
    </w:p>
    <w:p>
      <w:pPr>
        <w:spacing w:after="0" w:line="88"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97"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which could seriously harm our business.</w:t>
      </w:r>
    </w:p>
    <w:p>
      <w:pPr>
        <w:spacing w:after="0" w:line="207"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26"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Further, we have one pending patent application (patent no. 14/774,972), that was made with government support, that may be subject, under certain circumstances, to march-in-rights under 35 U.S.C. 203, which is a right that allows the government, in certain limited circumstances, to force a party with a license to intellectual property funded, at least in part, by the government, to grant a license to such property to another entity. This patent was made with the support of U.C. Berkeley and relates to our A101 vector. The degree of future protection for 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spacing w:after="0" w:line="213"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 proprietary technologies and their uses in a timely fashion, at a reasonable cost, in all jurisdictions, or at all, and any potential patent coverage we obtain may not be sufficient to prevent substantial competition.</w:t>
      </w:r>
    </w:p>
    <w:p>
      <w:pPr>
        <w:spacing w:after="0" w:line="205" w:lineRule="exact"/>
        <w:rPr>
          <w:sz w:val="20"/>
          <w:szCs w:val="20"/>
          <w:color w:val="auto"/>
        </w:rPr>
      </w:pPr>
    </w:p>
    <w:p>
      <w:pPr>
        <w:jc w:val="both"/>
        <w:ind w:right="60" w:firstLine="734"/>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p>
    <w:p>
      <w:pPr>
        <w:spacing w:after="0" w:line="95" w:lineRule="exact"/>
        <w:rPr>
          <w:sz w:val="20"/>
          <w:szCs w:val="20"/>
          <w:color w:val="auto"/>
        </w:rPr>
      </w:pPr>
    </w:p>
    <w:p>
      <w:pPr>
        <w:ind w:left="1020" w:right="40" w:hanging="283"/>
        <w:spacing w:after="0" w:line="23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6" w:lineRule="exact"/>
        <w:rPr>
          <w:rFonts w:ascii="Arial" w:cs="Arial" w:eastAsia="Arial" w:hAnsi="Arial"/>
          <w:sz w:val="18"/>
          <w:szCs w:val="18"/>
          <w:color w:val="auto"/>
        </w:rPr>
      </w:pPr>
    </w:p>
    <w:p>
      <w:pPr>
        <w:ind w:left="1020" w:hanging="28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03" w:lineRule="exact"/>
        <w:rPr>
          <w:rFonts w:ascii="Arial" w:cs="Arial" w:eastAsia="Arial" w:hAnsi="Arial"/>
          <w:sz w:val="18"/>
          <w:szCs w:val="18"/>
          <w:color w:val="auto"/>
        </w:rPr>
      </w:pPr>
    </w:p>
    <w:p>
      <w:pPr>
        <w:ind w:left="1020" w:right="720" w:hanging="28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88" w:lineRule="exact"/>
        <w:rPr>
          <w:rFonts w:ascii="Arial" w:cs="Arial" w:eastAsia="Arial" w:hAnsi="Arial"/>
          <w:sz w:val="18"/>
          <w:szCs w:val="18"/>
          <w:color w:val="auto"/>
        </w:rPr>
      </w:pPr>
    </w:p>
    <w:p>
      <w:pPr>
        <w:ind w:left="1020" w:right="40" w:hanging="28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13" w:name="page114"/>
    <w:bookmarkEnd w:id="113"/>
    <w:p>
      <w:pPr>
        <w:ind w:left="1020" w:right="160" w:hanging="283"/>
        <w:spacing w:after="0" w:line="23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96" w:lineRule="exact"/>
        <w:rPr>
          <w:rFonts w:ascii="Arial" w:cs="Arial" w:eastAsia="Arial" w:hAnsi="Arial"/>
          <w:sz w:val="18"/>
          <w:szCs w:val="18"/>
          <w:color w:val="auto"/>
        </w:rPr>
      </w:pPr>
    </w:p>
    <w:p>
      <w:pPr>
        <w:ind w:left="1020" w:right="120" w:hanging="28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88" w:lineRule="exact"/>
        <w:rPr>
          <w:rFonts w:ascii="Arial" w:cs="Arial" w:eastAsia="Arial" w:hAnsi="Arial"/>
          <w:sz w:val="18"/>
          <w:szCs w:val="18"/>
          <w:color w:val="auto"/>
        </w:rPr>
      </w:pPr>
    </w:p>
    <w:p>
      <w:pPr>
        <w:ind w:left="1020" w:right="340" w:hanging="28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w:t>
      </w:r>
    </w:p>
    <w:p>
      <w:pPr>
        <w:spacing w:after="0" w:line="94" w:lineRule="exact"/>
        <w:rPr>
          <w:rFonts w:ascii="Arial" w:cs="Arial" w:eastAsia="Arial" w:hAnsi="Arial"/>
          <w:sz w:val="18"/>
          <w:szCs w:val="18"/>
          <w:color w:val="auto"/>
        </w:rPr>
      </w:pPr>
    </w:p>
    <w:p>
      <w:pPr>
        <w:ind w:left="1020" w:right="80" w:hanging="28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94" w:lineRule="exact"/>
        <w:rPr>
          <w:rFonts w:ascii="Arial" w:cs="Arial" w:eastAsia="Arial" w:hAnsi="Arial"/>
          <w:sz w:val="18"/>
          <w:szCs w:val="18"/>
          <w:color w:val="auto"/>
        </w:rPr>
      </w:pPr>
    </w:p>
    <w:p>
      <w:pPr>
        <w:ind w:left="1020" w:right="280" w:hanging="28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4" w:lineRule="exact"/>
        <w:rPr>
          <w:rFonts w:ascii="Arial" w:cs="Arial" w:eastAsia="Arial" w:hAnsi="Arial"/>
          <w:sz w:val="18"/>
          <w:szCs w:val="18"/>
          <w:color w:val="auto"/>
        </w:rPr>
      </w:pPr>
    </w:p>
    <w:p>
      <w:pPr>
        <w:ind w:left="1020" w:right="480" w:hanging="28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7"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and other third parties, any of these parties may breach such agreements and disclose such output before a patent application is filed, thereby jeopardizing our ability to seek patent protection.</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 xml:space="preserve">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patents obtained by our collaborators or the patent rights that we license from others, may be challenged in the courts or patent offices in the United States and abroad. 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Such challenges may result in loss of exclusivity or freedom to operate or in patent claims being narrowed, invalidated or held unenforceable, in whole or in part,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04" w:lineRule="exact"/>
        <w:rPr>
          <w:sz w:val="20"/>
          <w:szCs w:val="20"/>
          <w:color w:val="auto"/>
        </w:rPr>
      </w:pPr>
    </w:p>
    <w:p>
      <w:pPr>
        <w:ind w:right="260" w:firstLine="734"/>
        <w:spacing w:after="0"/>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lawsuits that we initiate and the damages or other remedies awarded if we were to prevail may not be commercially meaningful.</w:t>
      </w:r>
    </w:p>
    <w:p>
      <w:pPr>
        <w:spacing w:after="0" w:line="212"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third-party claims, such proceedings would be expensive and would divert the attention of our management and technical personnel.</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04" w:lineRule="exact"/>
        <w:rPr>
          <w:sz w:val="20"/>
          <w:szCs w:val="20"/>
          <w:color w:val="auto"/>
        </w:rPr>
      </w:pPr>
    </w:p>
    <w:p>
      <w:pPr>
        <w:ind w:left="1020" w:right="360" w:hanging="28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03" w:lineRule="exact"/>
        <w:rPr>
          <w:rFonts w:ascii="Arial" w:cs="Arial" w:eastAsia="Arial" w:hAnsi="Arial"/>
          <w:sz w:val="18"/>
          <w:szCs w:val="18"/>
          <w:color w:val="auto"/>
        </w:rPr>
      </w:pPr>
    </w:p>
    <w:p>
      <w:pPr>
        <w:ind w:left="1020" w:right="180" w:hanging="28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88" w:lineRule="exact"/>
        <w:rPr>
          <w:rFonts w:ascii="Arial" w:cs="Arial" w:eastAsia="Arial" w:hAnsi="Arial"/>
          <w:sz w:val="18"/>
          <w:szCs w:val="18"/>
          <w:color w:val="auto"/>
        </w:rPr>
      </w:pPr>
    </w:p>
    <w:p>
      <w:pPr>
        <w:ind w:left="1020" w:right="360" w:hanging="28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on a substantial scale, if approved, before the relevant patents that we own or license expire;</w:t>
      </w:r>
    </w:p>
    <w:p>
      <w:pPr>
        <w:spacing w:after="0" w:line="88"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our licensors were the first to make the inventions covered by each of the patents and pending patent applications that we own or license;</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03" w:lineRule="exact"/>
        <w:rPr>
          <w:rFonts w:ascii="Arial" w:cs="Arial" w:eastAsia="Arial" w:hAnsi="Arial"/>
          <w:sz w:val="18"/>
          <w:szCs w:val="18"/>
          <w:color w:val="auto"/>
        </w:rPr>
      </w:pPr>
    </w:p>
    <w:p>
      <w:pPr>
        <w:ind w:left="1020" w:right="80" w:hanging="28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88"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12"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obligations under those licenses, and any failure to satisfy those obligations could give our licensor the right to terminate the license.</w:t>
      </w:r>
    </w:p>
    <w:p>
      <w:pPr>
        <w:spacing w:after="0"/>
        <w:rPr>
          <w:sz w:val="20"/>
          <w:szCs w:val="20"/>
          <w:color w:val="auto"/>
        </w:rPr>
      </w:pPr>
      <w:r>
        <w:rPr>
          <w:rFonts w:ascii="Arial" w:cs="Arial" w:eastAsia="Arial" w:hAnsi="Arial"/>
          <w:sz w:val="18"/>
          <w:szCs w:val="18"/>
          <w:color w:val="auto"/>
        </w:rPr>
        <w:t>Termination of a necessary license, or expiration of licensed patents or patent applications, could seriously harm our business.</w:t>
      </w:r>
    </w:p>
    <w:p>
      <w:pPr>
        <w:spacing w:after="0" w:line="212"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seriously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 candidates and business.</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would be seriously harmed.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would be seriously harmed.</w:t>
      </w:r>
    </w:p>
    <w:p>
      <w:pPr>
        <w:spacing w:after="0" w:line="126" w:lineRule="exact"/>
        <w:rPr>
          <w:sz w:val="20"/>
          <w:szCs w:val="20"/>
          <w:color w:val="auto"/>
        </w:rPr>
      </w:pPr>
    </w:p>
    <w:p>
      <w:pPr>
        <w:ind w:right="40" w:firstLine="734"/>
        <w:spacing w:after="0" w:line="235" w:lineRule="auto"/>
        <w:rPr>
          <w:sz w:val="20"/>
          <w:szCs w:val="20"/>
          <w:color w:val="auto"/>
        </w:rPr>
      </w:pPr>
      <w:r>
        <w:rPr>
          <w:rFonts w:ascii="Arial" w:cs="Arial" w:eastAsia="Arial" w:hAnsi="Arial"/>
          <w:sz w:val="18"/>
          <w:szCs w:val="18"/>
          <w:color w:val="auto"/>
        </w:rPr>
        <w:t>We rely on the protection of our trade secrets, including unpatented know-how, technology and other proprietary information to maintain our competitive position. We have taken steps to protect our 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collaborator or customer or third party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 a trade secret can be difficult, expensive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6" w:right="379" w:bottom="1440" w:gutter="0" w:footer="0" w:header="0"/>
        </w:sectPr>
      </w:pPr>
    </w:p>
    <w:bookmarkStart w:id="116" w:name="page117"/>
    <w:bookmarkEnd w:id="116"/>
    <w:p>
      <w:pPr>
        <w:ind w:right="80"/>
        <w:spacing w:after="0" w:line="246" w:lineRule="auto"/>
        <w:rPr>
          <w:sz w:val="20"/>
          <w:szCs w:val="20"/>
          <w:color w:val="auto"/>
        </w:rPr>
      </w:pPr>
      <w:r>
        <w:rPr>
          <w:rFonts w:ascii="Arial" w:cs="Arial" w:eastAsia="Arial" w:hAnsi="Arial"/>
          <w:sz w:val="18"/>
          <w:szCs w:val="18"/>
          <w:color w:val="auto"/>
        </w:rPr>
        <w:t>time-consuming, and the outcome is unpredictable. Even though we use commonly accepted security measures, the criteria for protection of trade secrets can vary among different jurisdictions.</w:t>
      </w:r>
    </w:p>
    <w:p>
      <w:pPr>
        <w:spacing w:after="0" w:line="197"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w:t>
      </w:r>
    </w:p>
    <w:p>
      <w:pPr>
        <w:spacing w:after="0" w:line="202"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8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currently are reliant upon licenses of certain patent rights and proprietary technology from third parties that are important or necessary to the development of our technology, including technology related to our product candidates. For example, we rely on our exclusive license agreements with U.C. Berkeley for all of our rights with respect to the intellectual property covering certain compositions of matter and methods of use of certain AAV variants related to our research candidates in lead optimization stage.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 future. As a result, we may not be able to develop and commercialize our technology and product candidates in fields of use and territories for which we are not granted rights pursuant to such licenses.</w:t>
      </w:r>
    </w:p>
    <w:p>
      <w:pPr>
        <w:spacing w:after="0" w:line="208" w:lineRule="exact"/>
        <w:rPr>
          <w:sz w:val="20"/>
          <w:szCs w:val="20"/>
          <w:color w:val="auto"/>
        </w:rPr>
      </w:pPr>
    </w:p>
    <w:p>
      <w:pPr>
        <w:ind w:right="120" w:firstLine="734"/>
        <w:spacing w:after="0" w:line="246" w:lineRule="auto"/>
        <w:rPr>
          <w:sz w:val="20"/>
          <w:szCs w:val="20"/>
          <w:color w:val="auto"/>
        </w:rPr>
      </w:pPr>
      <w:r>
        <w:rPr>
          <w:rFonts w:ascii="Arial" w:cs="Arial" w:eastAsia="Arial" w:hAnsi="Arial"/>
          <w:sz w:val="18"/>
          <w:szCs w:val="18"/>
          <w:color w:val="auto"/>
        </w:rPr>
        <w:t>Licenses to additional third-party technology that may be required for our development programs may not be available in the future or may not be available on commercially reasonable terms, which could seriously harm our business.</w:t>
      </w:r>
    </w:p>
    <w:p>
      <w:pPr>
        <w:spacing w:after="0" w:line="197"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7" w:name="page118"/>
    <w:bookmarkEnd w:id="117"/>
    <w:p>
      <w:pPr>
        <w:ind w:right="60"/>
        <w:spacing w:after="0" w:line="238" w:lineRule="auto"/>
        <w:rPr>
          <w:sz w:val="20"/>
          <w:szCs w:val="20"/>
          <w:color w:val="auto"/>
        </w:rPr>
      </w:pPr>
      <w:r>
        <w:rPr>
          <w:rFonts w:ascii="Arial" w:cs="Arial" w:eastAsia="Arial" w:hAnsi="Arial"/>
          <w:sz w:val="18"/>
          <w:szCs w:val="18"/>
          <w:color w:val="auto"/>
        </w:rPr>
        <w:t>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05" w:lineRule="exact"/>
        <w:rPr>
          <w:sz w:val="20"/>
          <w:szCs w:val="20"/>
          <w:color w:val="auto"/>
        </w:rPr>
      </w:pPr>
    </w:p>
    <w:p>
      <w:pPr>
        <w:ind w:right="80" w:firstLine="734"/>
        <w:spacing w:after="0" w:line="235" w:lineRule="auto"/>
        <w:rPr>
          <w:sz w:val="20"/>
          <w:szCs w:val="20"/>
          <w:color w:val="auto"/>
        </w:rPr>
      </w:pPr>
      <w:r>
        <w:rPr>
          <w:rFonts w:ascii="Arial" w:cs="Arial" w:eastAsia="Arial" w:hAnsi="Arial"/>
          <w:sz w:val="18"/>
          <w:szCs w:val="18"/>
          <w:color w:val="auto"/>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30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whether registered in the future or unregistered now, are not adequately protected, then we may not be able to build name recognition in our markets of interest and our business may be adversely affected.</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Any trademarks we may register in the future or any current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the extent any are registered,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seriously harm our business.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26" w:lineRule="exact"/>
        <w:rPr>
          <w:sz w:val="20"/>
          <w:szCs w:val="20"/>
          <w:color w:val="auto"/>
        </w:rPr>
      </w:pPr>
    </w:p>
    <w:p>
      <w:pPr>
        <w:ind w:right="360" w:firstLine="734"/>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1020" w:right="400" w:hanging="283"/>
        <w:spacing w:after="0" w:line="246"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or utilize similar gene therapy technology but that are not covered by the claims of the patents that we own or have exclusively licensed;</w:t>
      </w:r>
    </w:p>
    <w:p>
      <w:pPr>
        <w:spacing w:after="0" w:line="88"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patents or pending patent applications that we own or have exclusively licensed;</w:t>
      </w:r>
    </w:p>
    <w:p>
      <w:pPr>
        <w:spacing w:after="0" w:line="88" w:lineRule="exact"/>
        <w:rPr>
          <w:rFonts w:ascii="Arial" w:cs="Arial" w:eastAsia="Arial" w:hAnsi="Arial"/>
          <w:sz w:val="18"/>
          <w:szCs w:val="18"/>
          <w:color w:val="auto"/>
        </w:rPr>
      </w:pPr>
    </w:p>
    <w:p>
      <w:pPr>
        <w:ind w:left="1020" w:right="660" w:hanging="283"/>
        <w:spacing w:after="0" w:line="246"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file patent applications covering certain of our inventions;</w:t>
      </w:r>
    </w:p>
    <w:p>
      <w:pPr>
        <w:spacing w:after="0" w:line="88"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03"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88" w:lineRule="exact"/>
        <w:rPr>
          <w:rFonts w:ascii="Arial" w:cs="Arial" w:eastAsia="Arial" w:hAnsi="Arial"/>
          <w:sz w:val="18"/>
          <w:szCs w:val="18"/>
          <w:color w:val="auto"/>
        </w:rPr>
      </w:pPr>
    </w:p>
    <w:p>
      <w:pPr>
        <w:ind w:left="1020" w:right="260" w:hanging="283"/>
        <w:spacing w:after="0" w:line="274" w:lineRule="auto"/>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6" w:lineRule="exact"/>
        <w:rPr>
          <w:rFonts w:ascii="Arial" w:cs="Arial" w:eastAsia="Arial" w:hAnsi="Arial"/>
          <w:sz w:val="17"/>
          <w:szCs w:val="17"/>
          <w:color w:val="auto"/>
        </w:rPr>
      </w:pPr>
    </w:p>
    <w:p>
      <w:pPr>
        <w:ind w:left="1020" w:hanging="28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Should any of these events occur, they could seriously harm our business.</w:t>
      </w:r>
    </w:p>
    <w:p>
      <w:pPr>
        <w:spacing w:after="0" w:line="29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68"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Any future collaborations that we enter into may not be successful, such as our collaboration agreements with Pfizer that was terminated in 2018 and with AstraZeneca that concluded in 2020 without AstraZeneca exercising its option. The success of our collaboration arrangements will depend heavily on the efforts and activities of our collaborators. Collaborations are subject to numerous risks, which may include that:</w:t>
      </w:r>
    </w:p>
    <w:p>
      <w:pPr>
        <w:spacing w:after="0" w:line="97" w:lineRule="exact"/>
        <w:rPr>
          <w:sz w:val="20"/>
          <w:szCs w:val="20"/>
          <w:color w:val="auto"/>
        </w:rPr>
      </w:pPr>
    </w:p>
    <w:p>
      <w:pPr>
        <w:ind w:left="1020" w:hanging="28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03" w:lineRule="exact"/>
        <w:rPr>
          <w:rFonts w:ascii="Arial" w:cs="Arial" w:eastAsia="Arial" w:hAnsi="Arial"/>
          <w:sz w:val="18"/>
          <w:szCs w:val="18"/>
          <w:color w:val="auto"/>
        </w:rPr>
      </w:pPr>
    </w:p>
    <w:p>
      <w:pPr>
        <w:ind w:left="1020" w:right="100" w:hanging="283"/>
        <w:spacing w:after="0" w:line="238"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6" w:lineRule="exact"/>
        <w:rPr>
          <w:rFonts w:ascii="Arial" w:cs="Arial" w:eastAsia="Arial" w:hAnsi="Arial"/>
          <w:sz w:val="18"/>
          <w:szCs w:val="18"/>
          <w:color w:val="auto"/>
        </w:rPr>
      </w:pPr>
    </w:p>
    <w:p>
      <w:pPr>
        <w:ind w:left="1020" w:right="80" w:hanging="283"/>
        <w:spacing w:after="0" w:line="246"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product candidates that compete directly or indirectly with our product candidates;</w:t>
      </w:r>
    </w:p>
    <w:p>
      <w:pPr>
        <w:spacing w:after="0" w:line="88" w:lineRule="exact"/>
        <w:rPr>
          <w:rFonts w:ascii="Arial" w:cs="Arial" w:eastAsia="Arial" w:hAnsi="Arial"/>
          <w:sz w:val="18"/>
          <w:szCs w:val="18"/>
          <w:color w:val="auto"/>
        </w:rPr>
      </w:pPr>
    </w:p>
    <w:p>
      <w:pPr>
        <w:ind w:left="1020" w:right="280" w:hanging="283"/>
        <w:spacing w:after="0" w:line="246"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and product candidates may not commit sufficient resources to or otherwise not perform satisfactorily in carrying out these activities;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19" w:name="page120"/>
    <w:bookmarkEnd w:id="119"/>
    <w:p>
      <w:pPr>
        <w:ind w:left="1020" w:hanging="28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4" w:lineRule="exact"/>
        <w:rPr>
          <w:rFonts w:ascii="Arial" w:cs="Arial" w:eastAsia="Arial" w:hAnsi="Arial"/>
          <w:sz w:val="18"/>
          <w:szCs w:val="18"/>
          <w:color w:val="auto"/>
        </w:rPr>
      </w:pPr>
    </w:p>
    <w:p>
      <w:pPr>
        <w:jc w:val="both"/>
        <w:ind w:left="1020" w:right="720" w:hanging="28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94" w:lineRule="exact"/>
        <w:rPr>
          <w:rFonts w:ascii="Arial" w:cs="Arial" w:eastAsia="Arial" w:hAnsi="Arial"/>
          <w:sz w:val="18"/>
          <w:szCs w:val="18"/>
          <w:color w:val="auto"/>
        </w:rPr>
      </w:pPr>
    </w:p>
    <w:p>
      <w:pPr>
        <w:ind w:left="1020" w:right="260" w:hanging="28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adversely affect the price of our common stock and may result in a need for additional capital to pursue further development or commercialization of the applicable current or future product candidates;</w:t>
      </w:r>
    </w:p>
    <w:p>
      <w:pPr>
        <w:spacing w:after="0" w:line="94" w:lineRule="exact"/>
        <w:rPr>
          <w:rFonts w:ascii="Arial" w:cs="Arial" w:eastAsia="Arial" w:hAnsi="Arial"/>
          <w:sz w:val="18"/>
          <w:szCs w:val="18"/>
          <w:color w:val="auto"/>
        </w:rPr>
      </w:pPr>
    </w:p>
    <w:p>
      <w:pPr>
        <w:ind w:left="1020" w:right="220" w:hanging="283"/>
        <w:spacing w:after="0" w:line="246"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88"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8"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205"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stock option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could seriously harm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26" w:lineRule="exact"/>
        <w:rPr>
          <w:sz w:val="20"/>
          <w:szCs w:val="20"/>
          <w:color w:val="auto"/>
        </w:rPr>
      </w:pPr>
    </w:p>
    <w:p>
      <w:pPr>
        <w:jc w:val="both"/>
        <w:ind w:right="140" w:firstLine="734"/>
        <w:spacing w:after="0"/>
        <w:rPr>
          <w:sz w:val="20"/>
          <w:szCs w:val="20"/>
          <w:color w:val="auto"/>
        </w:rPr>
      </w:pPr>
      <w:r>
        <w:rPr>
          <w:rFonts w:ascii="Arial" w:cs="Arial" w:eastAsia="Arial" w:hAnsi="Arial"/>
          <w:sz w:val="18"/>
          <w:szCs w:val="18"/>
          <w:color w:val="auto"/>
        </w:rPr>
        <w:t>As of December 31, 2020, we had 83 full-time employees.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95" w:lineRule="exact"/>
        <w:rPr>
          <w:sz w:val="20"/>
          <w:szCs w:val="20"/>
          <w:color w:val="auto"/>
        </w:rPr>
      </w:pPr>
    </w:p>
    <w:p>
      <w:pPr>
        <w:ind w:left="5480" w:right="3780" w:hanging="4743"/>
        <w:spacing w:after="0" w:line="496" w:lineRule="auto"/>
        <w:tabs>
          <w:tab w:leader="none" w:pos="10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20" w:name="page121"/>
    <w:bookmarkEnd w:id="120"/>
    <w:p>
      <w:pPr>
        <w:ind w:left="1020" w:right="240" w:hanging="283"/>
        <w:spacing w:after="0" w:line="246"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212" w:lineRule="exact"/>
        <w:rPr>
          <w:sz w:val="20"/>
          <w:szCs w:val="20"/>
          <w:color w:val="auto"/>
        </w:rPr>
      </w:pPr>
    </w:p>
    <w:p>
      <w:pPr>
        <w:jc w:val="both"/>
        <w:ind w:right="140" w:firstLine="734"/>
        <w:spacing w:after="0"/>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203" w:lineRule="exact"/>
        <w:rPr>
          <w:sz w:val="20"/>
          <w:szCs w:val="20"/>
          <w:color w:val="auto"/>
        </w:rPr>
      </w:pPr>
    </w:p>
    <w:p>
      <w:pPr>
        <w:ind w:right="120" w:firstLine="734"/>
        <w:spacing w:after="0" w:line="237"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203" w:lineRule="exact"/>
        <w:rPr>
          <w:sz w:val="20"/>
          <w:szCs w:val="20"/>
          <w:color w:val="auto"/>
        </w:rPr>
      </w:pPr>
    </w:p>
    <w:p>
      <w:pPr>
        <w:ind w:right="200" w:firstLine="734"/>
        <w:spacing w:after="0"/>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26"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29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we engage in acquisitions or strategic partnerships, this may increase our capital requirements, dilute our stockholders, cause us to incur debt or assume contingent liabilities and subject us to other risks.</w:t>
      </w:r>
    </w:p>
    <w:p>
      <w:pPr>
        <w:spacing w:after="0" w:line="68" w:lineRule="exact"/>
        <w:rPr>
          <w:sz w:val="20"/>
          <w:szCs w:val="20"/>
          <w:color w:val="auto"/>
        </w:rPr>
      </w:pPr>
    </w:p>
    <w:p>
      <w:pPr>
        <w:ind w:right="400" w:firstLine="734"/>
        <w:spacing w:after="0"/>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95" w:lineRule="exact"/>
        <w:rPr>
          <w:sz w:val="20"/>
          <w:szCs w:val="20"/>
          <w:color w:val="auto"/>
        </w:rPr>
      </w:pPr>
    </w:p>
    <w:p>
      <w:pPr>
        <w:ind w:left="1020" w:hanging="28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21" w:name="page122"/>
    <w:bookmarkEnd w:id="121"/>
    <w:p>
      <w:pPr>
        <w:ind w:left="1020" w:hanging="28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03" w:lineRule="exact"/>
        <w:rPr>
          <w:rFonts w:ascii="Arial" w:cs="Arial" w:eastAsia="Arial" w:hAnsi="Arial"/>
          <w:sz w:val="18"/>
          <w:szCs w:val="18"/>
          <w:color w:val="auto"/>
        </w:rPr>
      </w:pPr>
    </w:p>
    <w:p>
      <w:pPr>
        <w:ind w:left="1020" w:right="220" w:hanging="283"/>
        <w:spacing w:after="0" w:line="246"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88" w:lineRule="exact"/>
        <w:rPr>
          <w:rFonts w:ascii="Arial" w:cs="Arial" w:eastAsia="Arial" w:hAnsi="Arial"/>
          <w:sz w:val="18"/>
          <w:szCs w:val="18"/>
          <w:color w:val="auto"/>
        </w:rPr>
      </w:pPr>
    </w:p>
    <w:p>
      <w:pPr>
        <w:ind w:left="1020" w:right="120" w:hanging="283"/>
        <w:spacing w:after="0" w:line="246"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1020" w:right="540" w:hanging="283"/>
        <w:spacing w:after="0" w:line="246"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88" w:lineRule="exact"/>
        <w:rPr>
          <w:rFonts w:ascii="Arial" w:cs="Arial" w:eastAsia="Arial" w:hAnsi="Arial"/>
          <w:sz w:val="18"/>
          <w:szCs w:val="18"/>
          <w:color w:val="auto"/>
        </w:rPr>
      </w:pPr>
    </w:p>
    <w:p>
      <w:pPr>
        <w:ind w:left="1020" w:right="60" w:hanging="283"/>
        <w:spacing w:after="0" w:line="246"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97" w:lineRule="exact"/>
        <w:rPr>
          <w:sz w:val="20"/>
          <w:szCs w:val="20"/>
          <w:color w:val="auto"/>
        </w:rPr>
      </w:pPr>
    </w:p>
    <w:p>
      <w:pPr>
        <w:ind w:right="440" w:firstLine="734"/>
        <w:spacing w:after="0" w:line="246"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283" w:lineRule="exact"/>
        <w:rPr>
          <w:sz w:val="20"/>
          <w:szCs w:val="20"/>
          <w:color w:val="auto"/>
        </w:rPr>
      </w:pPr>
    </w:p>
    <w:p>
      <w:pPr>
        <w:ind w:right="1020"/>
        <w:spacing w:after="0" w:line="271" w:lineRule="auto"/>
        <w:rPr>
          <w:sz w:val="20"/>
          <w:szCs w:val="20"/>
          <w:color w:val="auto"/>
        </w:rPr>
      </w:pPr>
      <w:r>
        <w:rPr>
          <w:rFonts w:ascii="Arial" w:cs="Arial" w:eastAsia="Arial" w:hAnsi="Arial"/>
          <w:sz w:val="18"/>
          <w:szCs w:val="18"/>
          <w:b w:val="1"/>
          <w:bCs w:val="1"/>
          <w:i w:val="1"/>
          <w:iCs w:val="1"/>
          <w:color w:val="auto"/>
        </w:rPr>
        <w:t>Our information technology systems, or those used by our third-party research institution collaborators, CROs or other contractors or consultants, may fail or suffer security breaches and other disruptions.</w:t>
      </w:r>
    </w:p>
    <w:p>
      <w:pPr>
        <w:spacing w:after="0" w:line="68"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We have experienced cyberattacks, including a phishing attack in September 2019 in which the email account of a single non-officer employee was compromised. Our security controls detected the compromise, and we were able to block the unauthorized access, but not before the attacker was able to use the account to send out additional phishing emails. We do not believe the phishing attack was a material incursion because, among other reasons, we believe that none of our data was accessed or compromised, and we have not incurred any related material remediation costs. Despite the implementation of security measures like those that detected the phishing attack, our internal information technology systems and those of our collaborators, future CROs and other contractors and consultants may be vulnerable to damage from computer viruses, natural disasters, terrorism, war, telecommunication and electrical failures, hacking, cyberattacks, phishing attacks and other social engineering schemes, denial or degradation of service attacks, unauthorized access or use,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w:t>
      </w:r>
    </w:p>
    <w:p>
      <w:pPr>
        <w:spacing w:after="0" w:line="213" w:lineRule="exact"/>
        <w:rPr>
          <w:sz w:val="20"/>
          <w:szCs w:val="20"/>
          <w:color w:val="auto"/>
        </w:rPr>
      </w:pPr>
    </w:p>
    <w:p>
      <w:pPr>
        <w:ind w:right="240" w:firstLine="734"/>
        <w:spacing w:after="0" w:line="238" w:lineRule="auto"/>
        <w:rPr>
          <w:sz w:val="20"/>
          <w:szCs w:val="20"/>
          <w:color w:val="auto"/>
        </w:rPr>
      </w:pPr>
      <w:r>
        <w:rPr>
          <w:rFonts w:ascii="Arial" w:cs="Arial" w:eastAsia="Arial" w:hAnsi="Arial"/>
          <w:sz w:val="18"/>
          <w:szCs w:val="18"/>
          <w:color w:val="auto"/>
        </w:rPr>
        <w:t>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2" w:name="page123"/>
    <w:bookmarkEnd w:id="122"/>
    <w:p>
      <w:pPr>
        <w:ind w:right="20"/>
        <w:spacing w:after="0" w:line="237" w:lineRule="auto"/>
        <w:rPr>
          <w:sz w:val="20"/>
          <w:szCs w:val="20"/>
          <w:color w:val="auto"/>
        </w:rPr>
      </w:pPr>
      <w:r>
        <w:rPr>
          <w:rFonts w:ascii="Arial" w:cs="Arial" w:eastAsia="Arial" w:hAnsi="Arial"/>
          <w:sz w:val="18"/>
          <w:szCs w:val="18"/>
          <w:color w:val="auto"/>
        </w:rPr>
        <w:t>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business.</w:t>
      </w:r>
    </w:p>
    <w:p>
      <w:pPr>
        <w:spacing w:after="0" w:line="126"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business.</w:t>
      </w:r>
    </w:p>
    <w:p>
      <w:pPr>
        <w:spacing w:after="0" w:line="20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could be seriously harmed by such delays and interruption.</w:t>
      </w:r>
    </w:p>
    <w:p>
      <w:pPr>
        <w:spacing w:after="0" w:line="28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8"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seriously harm our business.</w:t>
      </w:r>
    </w:p>
    <w:p>
      <w:pPr>
        <w:spacing w:after="0" w:line="205"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imposes, among other things, certain standards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23" w:name="page124"/>
    <w:bookmarkEnd w:id="123"/>
    <w:p>
      <w:pPr>
        <w:spacing w:after="0" w:line="235" w:lineRule="auto"/>
        <w:rPr>
          <w:sz w:val="20"/>
          <w:szCs w:val="20"/>
          <w:color w:val="auto"/>
        </w:rPr>
      </w:pPr>
      <w:r>
        <w:rPr>
          <w:rFonts w:ascii="Arial" w:cs="Arial" w:eastAsia="Arial" w:hAnsi="Arial"/>
          <w:sz w:val="18"/>
          <w:szCs w:val="18"/>
          <w:color w:val="auto"/>
        </w:rPr>
        <w:t>subject to significant civil, criminal and administrative fines and penalties and/or additional reporting and oversight obligations if required to enter into a resolution agreement and corrective action plan with HHS to settle allegations of HIPAA non-compliance.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In the event that we are subject to or affected by HIPAA, the CCPA or other domestic privacy and data protection laws, any liability from failure to comply with the requirements of these laws could adversely affect our financial condition. In Europe, the GDPR went into effect in May 2018 and introduces strict requirements for processing the personal data of individuals within the European Economic Area (“EEA”) and the United Kingdom. The law is also developing rapidly and, in July 2020, the Court of Justice of the European Union limited how organizations could lawfully transfer personal data from the EU to the U.S. by invalidating the EU-U.S. Privacy Shield as a basis for transfers of personal data from the EU to the U.S. and raising questions about the continued validity of one of the primary alternatives to the EU-U.S. Privacy Shield, namely the European Commission’s Standard Contractual Clauses. At present, there are few, if any, viable alternatives to the EU-U.S. Privacy Shield and the Standard Contractual Clauses. Inability to transfer personal information from the European Union, Switzerland or United Kingdom to the United States or elsewhere, may restrict our activities in those jurisdictions and limit our ability to provide our products and services in those jurisdictions. Companies that must comply with the GDPR face increased compliance obligations and risk, including more robust regulatory enforcement of data protection requirements and potential fines for noncompliance of up to € 20 million or 4% of the annual global revenues of the noncompliant company, whichever is greater. Relatedly, following the departure of the United Kingdom from the EU after the expiry of the transition period, the United Kingdom will operate a separate but similar regime to the EU, which allows for fines of up to £17.5 million or 4% of the total worldwide annual turnover of the preceding financial year.</w:t>
      </w:r>
    </w:p>
    <w:p>
      <w:pPr>
        <w:spacing w:after="0" w:line="21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seriously harm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26" w:lineRule="exact"/>
        <w:rPr>
          <w:sz w:val="20"/>
          <w:szCs w:val="20"/>
          <w:color w:val="auto"/>
        </w:rPr>
      </w:pPr>
    </w:p>
    <w:p>
      <w:pPr>
        <w:ind w:right="120" w:firstLine="734"/>
        <w:spacing w:after="0" w:line="236" w:lineRule="auto"/>
        <w:rPr>
          <w:sz w:val="20"/>
          <w:szCs w:val="20"/>
          <w:color w:val="auto"/>
        </w:rPr>
      </w:pPr>
      <w:r>
        <w:rPr>
          <w:rFonts w:ascii="Arial" w:cs="Arial" w:eastAsia="Arial" w:hAnsi="Arial"/>
          <w:sz w:val="18"/>
          <w:szCs w:val="18"/>
          <w:color w:val="auto"/>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(“NOLs”) and other pre-change tax attributes to offset its post-change taxable income or taxes may be limited. If finalized, Treasury Regulations currently proposed under Section 382 of the Code may further limit our ability to utilize our pre-change NOLs or other pre-change tax attributes if we undergo a future ownership change. We have experienced ownership changes in the past. We may also experience ownership changes as a result of any future shifts in our stock ownership, some of which are outside our control. As a result, our ability to use our NOLs and other pre-change tax attributes to offset post-change taxable income or taxes may be subject to limitation. We will be unable to use our NOLs or other tax attributes if we do not attain profitability sufficient to offset our available NOLs or other tax attributes prior to their expiration, to the extent subject to expiration.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seriously harm our business.</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Some of the factors that may cause the market price of our common stock to fluctuate include:</w:t>
      </w:r>
    </w:p>
    <w:p>
      <w:pPr>
        <w:spacing w:after="0" w:line="104" w:lineRule="exact"/>
        <w:rPr>
          <w:sz w:val="20"/>
          <w:szCs w:val="20"/>
          <w:color w:val="auto"/>
        </w:rPr>
      </w:pPr>
    </w:p>
    <w:p>
      <w:pPr>
        <w:ind w:left="1020" w:right="1060" w:hanging="283"/>
        <w:spacing w:after="0" w:line="246"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results from, and any delays in, our clinical trials for our clinical-stage product candidates or any other future clinical development programs, including any delays related to the COVID-19 pandemic;</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failure to develop our Therapeutic Vector Evolution platform technology;</w:t>
      </w:r>
    </w:p>
    <w:p>
      <w:pPr>
        <w:spacing w:after="0" w:line="103" w:lineRule="exact"/>
        <w:rPr>
          <w:rFonts w:ascii="Arial" w:cs="Arial" w:eastAsia="Arial" w:hAnsi="Arial"/>
          <w:sz w:val="18"/>
          <w:szCs w:val="18"/>
          <w:color w:val="auto"/>
        </w:rPr>
      </w:pPr>
    </w:p>
    <w:p>
      <w:pPr>
        <w:ind w:left="1020" w:right="200" w:hanging="283"/>
        <w:spacing w:after="0" w:line="246"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level of expenses related to any of the research programs or product candidates that we may develop;</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1020" w:right="500" w:hanging="283"/>
        <w:spacing w:after="0" w:line="246"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5" w:name="page126"/>
    <w:bookmarkEnd w:id="125"/>
    <w:p>
      <w:pPr>
        <w:ind w:right="120" w:firstLine="734"/>
        <w:spacing w:after="0" w:line="236"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the COVID-19 pandemic and political uncertainty in the United States.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9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8" w:lineRule="exact"/>
        <w:rPr>
          <w:sz w:val="20"/>
          <w:szCs w:val="20"/>
          <w:color w:val="auto"/>
        </w:rPr>
      </w:pPr>
    </w:p>
    <w:p>
      <w:pPr>
        <w:ind w:right="340" w:firstLine="734"/>
        <w:spacing w:after="0" w:line="23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currently have research coverage by three financial analysts. If one or more of these analysts should drop research coverage of us or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68"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our common stock intend to sell shares, could reduce the market price of our common stock. As of December 31, 2020 we have 26,681,983 shares of our common stock outstanding. Of these shares, the 9,660,000 shares we sold in our initial public offering (“IPO”) in December 2020, may be sold in the public market immediately, unless purchased by our affiliates. The remaining 17,021,983 shares, or 63.8% of our outstanding shares as of December 31, 2020,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prohibitions and restrictions on the sale of these shares in the public market will be lifted beginning June 9, 2021. Goldman Sachs &amp; Co. LLC, BofA Securities, Inc. and Evercore Group L.L.C.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(the “Securities Act”).</w:t>
      </w:r>
    </w:p>
    <w:p>
      <w:pPr>
        <w:spacing w:after="0" w:line="214"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Moreover, holders of an aggregate of 11.6 million shares of our common stock have rights, subject to conditions, to require us to file registration statements covering their shares or to include their shares in registration statements that we may file for ourselves or other stockholders. We have registered all shares of common stock that we may issue under our equity compensation plans. These shares can be freely sold in the public market upon issuance and once vested, subject to volume limitations applicable to affiliates and the lock-up agreements described in our final prospectus related to our IPO. If any of these additional shares are sold, or if it is perceived that they will be sold, in the public market, the market price of our common stock could decline.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26" w:name="page127"/>
    <w:bookmarkEnd w:id="126"/>
    <w:p>
      <w:pPr>
        <w:ind w:right="8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9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Insiders have substantial influence over us, which could limit your ability to affect the outcome of key transactions, including a change of control.</w:t>
      </w:r>
    </w:p>
    <w:p>
      <w:pPr>
        <w:spacing w:after="0" w:line="68"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Our directors, executive officers, holders of more than 5% of our outstanding stock and their respective affiliates beneficially own shares representing approximately 49.8% of our outstanding common stock as of December 31, 2020.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83"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6" w:lineRule="exact"/>
        <w:rPr>
          <w:sz w:val="20"/>
          <w:szCs w:val="20"/>
          <w:color w:val="auto"/>
        </w:rPr>
      </w:pPr>
    </w:p>
    <w:p>
      <w:pPr>
        <w:jc w:val="both"/>
        <w:ind w:right="20" w:firstLine="734"/>
        <w:spacing w:after="0" w:line="248"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year following the fifth anniversary of the consummation of our IPO,</w:t>
      </w:r>
    </w:p>
    <w:p>
      <w:pPr>
        <w:spacing w:after="0" w:line="2" w:lineRule="exact"/>
        <w:rPr>
          <w:sz w:val="20"/>
          <w:szCs w:val="20"/>
          <w:color w:val="auto"/>
        </w:rPr>
      </w:pPr>
    </w:p>
    <w:p>
      <w:pPr>
        <w:ind w:right="240" w:firstLine="8"/>
        <w:spacing w:after="0" w:line="246"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last day of the year in which we have total annual gross revenue of at least $1.07 billion, (3) the last day of the year in which we are deemed to be a “large accelerated filer” as defined in Rule 12b-2 under the Exchange Act, which would occur if the market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7" w:name="page128"/>
    <w:bookmarkEnd w:id="127"/>
    <w:p>
      <w:pPr>
        <w:ind w:right="240"/>
        <w:spacing w:after="0" w:line="246" w:lineRule="auto"/>
        <w:rPr>
          <w:sz w:val="20"/>
          <w:szCs w:val="20"/>
          <w:color w:val="auto"/>
        </w:rPr>
      </w:pPr>
      <w:r>
        <w:rPr>
          <w:rFonts w:ascii="Arial" w:cs="Arial" w:eastAsia="Arial" w:hAnsi="Arial"/>
          <w:sz w:val="18"/>
          <w:szCs w:val="18"/>
          <w:color w:val="auto"/>
        </w:rPr>
        <w:t>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97" w:lineRule="exact"/>
        <w:rPr>
          <w:sz w:val="20"/>
          <w:szCs w:val="20"/>
          <w:color w:val="auto"/>
        </w:rPr>
      </w:pPr>
    </w:p>
    <w:p>
      <w:pPr>
        <w:ind w:right="120" w:firstLine="742"/>
        <w:spacing w:after="0" w:line="238"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w:t>
      </w:r>
    </w:p>
    <w:p>
      <w:pPr>
        <w:spacing w:after="0" w:line="29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seriously harm our business.</w:t>
      </w:r>
    </w:p>
    <w:p>
      <w:pPr>
        <w:spacing w:after="0" w:line="83" w:lineRule="exact"/>
        <w:rPr>
          <w:sz w:val="20"/>
          <w:szCs w:val="20"/>
          <w:color w:val="auto"/>
        </w:rPr>
      </w:pPr>
    </w:p>
    <w:p>
      <w:pPr>
        <w:ind w:right="60" w:firstLine="734"/>
        <w:spacing w:after="0" w:line="251" w:lineRule="auto"/>
        <w:rPr>
          <w:sz w:val="20"/>
          <w:szCs w:val="20"/>
          <w:color w:val="auto"/>
        </w:rPr>
      </w:pPr>
      <w:r>
        <w:rPr>
          <w:rFonts w:ascii="Arial" w:cs="Arial" w:eastAsia="Arial" w:hAnsi="Arial"/>
          <w:sz w:val="17"/>
          <w:szCs w:val="17"/>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9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w:t>
      </w:r>
    </w:p>
    <w:p>
      <w:pPr>
        <w:spacing w:after="0" w:line="207"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28" w:name="page129"/>
    <w:bookmarkEnd w:id="128"/>
    <w:p>
      <w:pPr>
        <w:ind w:right="200"/>
        <w:spacing w:after="0" w:line="246" w:lineRule="auto"/>
        <w:rPr>
          <w:sz w:val="20"/>
          <w:szCs w:val="20"/>
          <w:color w:val="auto"/>
        </w:rPr>
      </w:pPr>
      <w:r>
        <w:rPr>
          <w:rFonts w:ascii="Arial" w:cs="Arial" w:eastAsia="Arial" w:hAnsi="Arial"/>
          <w:sz w:val="18"/>
          <w:szCs w:val="18"/>
          <w:color w:val="auto"/>
        </w:rPr>
        <w:t>Any failure to report our financial results on an accurate and timely basis could result in sanctions, lawsuits, delisting of our shares from the Nasdaq Global Select Market or other adverse consequences that would seriously harm our business.</w:t>
      </w:r>
    </w:p>
    <w:p>
      <w:pPr>
        <w:spacing w:after="0" w:line="283"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83" w:lineRule="exact"/>
        <w:rPr>
          <w:sz w:val="20"/>
          <w:szCs w:val="20"/>
          <w:color w:val="auto"/>
        </w:rPr>
      </w:pPr>
    </w:p>
    <w:p>
      <w:pPr>
        <w:ind w:right="120" w:firstLine="734"/>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95" w:lineRule="exact"/>
        <w:rPr>
          <w:sz w:val="20"/>
          <w:szCs w:val="20"/>
          <w:color w:val="auto"/>
        </w:rPr>
      </w:pPr>
    </w:p>
    <w:p>
      <w:pPr>
        <w:ind w:left="1020" w:right="40" w:hanging="283"/>
        <w:spacing w:after="0" w:line="246"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03" w:lineRule="exact"/>
        <w:rPr>
          <w:rFonts w:ascii="Arial" w:cs="Arial" w:eastAsia="Arial" w:hAnsi="Arial"/>
          <w:sz w:val="18"/>
          <w:szCs w:val="18"/>
          <w:color w:val="auto"/>
        </w:rPr>
      </w:pPr>
    </w:p>
    <w:p>
      <w:pPr>
        <w:ind w:left="1020" w:right="420" w:hanging="283"/>
        <w:spacing w:after="0" w:line="246"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for a staggered board, which will result in only a few directors being up for re-election in each calendar year;</w:t>
      </w:r>
    </w:p>
    <w:p>
      <w:pPr>
        <w:spacing w:after="0" w:line="103" w:lineRule="exact"/>
        <w:rPr>
          <w:rFonts w:ascii="Arial" w:cs="Arial" w:eastAsia="Arial" w:hAnsi="Arial"/>
          <w:sz w:val="18"/>
          <w:szCs w:val="18"/>
          <w:color w:val="auto"/>
        </w:rPr>
      </w:pPr>
    </w:p>
    <w:p>
      <w:pPr>
        <w:ind w:left="1020" w:right="700" w:hanging="283"/>
        <w:spacing w:after="0" w:line="246"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w:t>
      </w:r>
    </w:p>
    <w:p>
      <w:pPr>
        <w:spacing w:after="0" w:line="103" w:lineRule="exact"/>
        <w:rPr>
          <w:rFonts w:ascii="Arial" w:cs="Arial" w:eastAsia="Arial" w:hAnsi="Arial"/>
          <w:sz w:val="18"/>
          <w:szCs w:val="18"/>
          <w:color w:val="auto"/>
        </w:rPr>
      </w:pPr>
    </w:p>
    <w:p>
      <w:pPr>
        <w:ind w:left="1020" w:right="300" w:hanging="283"/>
        <w:spacing w:after="0" w:line="246"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our common stock to amend many of the provisions described above; and</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212"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5"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9" w:name="page130"/>
    <w:bookmarkEnd w:id="129"/>
    <w:p>
      <w:pPr>
        <w:ind w:right="340"/>
        <w:spacing w:after="0" w:line="27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8" w:lineRule="exact"/>
        <w:rPr>
          <w:sz w:val="20"/>
          <w:szCs w:val="20"/>
          <w:color w:val="auto"/>
        </w:rPr>
      </w:pPr>
    </w:p>
    <w:p>
      <w:pPr>
        <w:ind w:right="720" w:firstLine="734"/>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7" w:lineRule="exact"/>
        <w:rPr>
          <w:sz w:val="20"/>
          <w:szCs w:val="20"/>
          <w:color w:val="auto"/>
        </w:rPr>
      </w:pPr>
    </w:p>
    <w:p>
      <w:pPr>
        <w:ind w:right="480" w:firstLine="734"/>
        <w:spacing w:after="0" w:line="246"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89" w:lineRule="exact"/>
        <w:rPr>
          <w:sz w:val="20"/>
          <w:szCs w:val="20"/>
          <w:color w:val="auto"/>
        </w:rPr>
      </w:pPr>
    </w:p>
    <w:p>
      <w:pPr>
        <w:ind w:left="1020" w:right="80" w:hanging="283"/>
        <w:spacing w:after="0" w:line="238"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4" w:lineRule="exact"/>
        <w:rPr>
          <w:rFonts w:ascii="Arial" w:cs="Arial" w:eastAsia="Arial" w:hAnsi="Arial"/>
          <w:sz w:val="18"/>
          <w:szCs w:val="18"/>
          <w:color w:val="auto"/>
        </w:rPr>
      </w:pPr>
    </w:p>
    <w:p>
      <w:pPr>
        <w:ind w:left="1020" w:right="560" w:hanging="283"/>
        <w:spacing w:after="0" w:line="246"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88" w:lineRule="exact"/>
        <w:rPr>
          <w:rFonts w:ascii="Arial" w:cs="Arial" w:eastAsia="Arial" w:hAnsi="Arial"/>
          <w:sz w:val="18"/>
          <w:szCs w:val="18"/>
          <w:color w:val="auto"/>
        </w:rPr>
      </w:pPr>
    </w:p>
    <w:p>
      <w:pPr>
        <w:ind w:left="1020" w:right="20" w:hanging="28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94" w:lineRule="exact"/>
        <w:rPr>
          <w:rFonts w:ascii="Arial" w:cs="Arial" w:eastAsia="Arial" w:hAnsi="Arial"/>
          <w:sz w:val="18"/>
          <w:szCs w:val="18"/>
          <w:color w:val="auto"/>
        </w:rPr>
      </w:pPr>
    </w:p>
    <w:p>
      <w:pPr>
        <w:ind w:left="1020" w:right="500" w:hanging="28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94"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88" w:lineRule="exact"/>
        <w:rPr>
          <w:rFonts w:ascii="Arial" w:cs="Arial" w:eastAsia="Arial" w:hAnsi="Arial"/>
          <w:sz w:val="18"/>
          <w:szCs w:val="18"/>
          <w:color w:val="auto"/>
        </w:rPr>
      </w:pPr>
    </w:p>
    <w:p>
      <w:pPr>
        <w:ind w:left="1020" w:right="620" w:hanging="283"/>
        <w:spacing w:after="0" w:line="246"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8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precludes stockholders that assert claims under the Exchange Act from bringing such claims in state or federal court, subject to applicable law.</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30" w:name="page131"/>
    <w:bookmarkEnd w:id="130"/>
    <w:p>
      <w:pPr>
        <w:ind w:firstLine="734"/>
        <w:spacing w:after="0" w:line="236"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29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68"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68"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83" w:lineRule="exact"/>
        <w:rPr>
          <w:sz w:val="20"/>
          <w:szCs w:val="20"/>
          <w:color w:val="auto"/>
        </w:rPr>
      </w:pPr>
    </w:p>
    <w:p>
      <w:pPr>
        <w:ind w:right="144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cease commercialization of our product candidates. Even successful defense would require significant financial and management resources. Regardless of the merits or eventual outcome, liability claims may result in:</w:t>
      </w:r>
    </w:p>
    <w:p>
      <w:pPr>
        <w:spacing w:after="0" w:line="100" w:lineRule="exact"/>
        <w:rPr>
          <w:sz w:val="20"/>
          <w:szCs w:val="20"/>
          <w:color w:val="auto"/>
        </w:rPr>
      </w:pPr>
    </w:p>
    <w:p>
      <w:pPr>
        <w:ind w:left="1020" w:hanging="28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131" w:name="page132"/>
    <w:bookmarkEnd w:id="131"/>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68"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 government could allege such fraud or other misconduct, even if none occurred. If any such actions are instituted against us, and we are not successful in defending ourselves or asserting our rights, those actions could seriously harm our business, including the imposition of significant fines or other sanctions.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132" w:name="page133"/>
    <w:bookmarkEnd w:id="132"/>
    <w:p>
      <w:pPr>
        <w:ind w:right="600"/>
        <w:spacing w:after="0" w:line="271"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8"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7" w:lineRule="exact"/>
        <w:rPr>
          <w:sz w:val="20"/>
          <w:szCs w:val="20"/>
          <w:color w:val="auto"/>
        </w:rPr>
      </w:pPr>
    </w:p>
    <w:p>
      <w:pPr>
        <w:ind w:right="120" w:firstLine="734"/>
        <w:spacing w:after="0" w:line="236"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9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8"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seriously harm our business.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33" w:name="page134"/>
    <w:bookmarkEnd w:id="133"/>
    <w:p>
      <w:pPr>
        <w:jc w:val="both"/>
        <w:ind w:right="620"/>
        <w:spacing w:after="0" w:line="253" w:lineRule="auto"/>
        <w:rPr>
          <w:sz w:val="20"/>
          <w:szCs w:val="20"/>
          <w:color w:val="auto"/>
        </w:rPr>
      </w:pPr>
      <w:r>
        <w:rPr>
          <w:rFonts w:ascii="Arial" w:cs="Arial" w:eastAsia="Arial" w:hAnsi="Arial"/>
          <w:sz w:val="18"/>
          <w:szCs w:val="18"/>
          <w:b w:val="1"/>
          <w:bCs w:val="1"/>
          <w:i w:val="1"/>
          <w:iCs w:val="1"/>
          <w:color w:val="auto"/>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p>
    <w:p>
      <w:pPr>
        <w:spacing w:after="0" w:line="83"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We are party to various agreements that we depend on to operate our business. Our rights to use currently licensed intellectual property, or intellectual property to be licensed in the future, are or will be subject to the continuation of and our compliance with the terms of these agreements. These agreements are complex, and certain provisions in such agreements may be susceptible to multiple interpretations which could lead to disputes, including but not limited to those regarding:</w:t>
      </w:r>
    </w:p>
    <w:p>
      <w:pPr>
        <w:spacing w:after="0" w:line="97" w:lineRule="exact"/>
        <w:rPr>
          <w:sz w:val="20"/>
          <w:szCs w:val="20"/>
          <w:color w:val="auto"/>
        </w:rPr>
      </w:pPr>
    </w:p>
    <w:p>
      <w:pPr>
        <w:ind w:left="1020" w:hanging="28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140" w:hanging="283"/>
        <w:spacing w:after="0" w:line="246"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our proprietary technology and product candidates infringe on intellectual property of the licensor that is not subject to the licensing agreement;</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1020" w:right="80" w:hanging="283"/>
        <w:spacing w:after="0" w:line="246"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or our counterparties, alone or jointly;</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rights upon termination of such agreement; and</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1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p>
    <w:p>
      <w:pPr>
        <w:spacing w:after="0" w:line="28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68"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p>
    <w:p>
      <w:pPr>
        <w:spacing w:after="0" w:line="202"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 xml:space="preserve">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and post-grant review proceedings before the USPTO and/or corresponding foreign patent offices. Numerous third-party U.S. and foreign issued patents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3"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203"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p>
      <w:pPr>
        <w:spacing w:after="0" w:line="105" w:lineRule="exact"/>
        <w:rPr>
          <w:sz w:val="20"/>
          <w:szCs w:val="20"/>
          <w:color w:val="auto"/>
        </w:rPr>
      </w:pPr>
    </w:p>
    <w:p>
      <w:pPr>
        <w:ind w:left="1020" w:hanging="28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1020" w:hanging="28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03"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prevent us from commercializing our product candidates until the asserted patent expires or is held finally invalid or not infringed in a court of law;</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1020" w:right="220" w:hanging="283"/>
        <w:spacing w:after="0" w:line="246"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88" w:lineRule="exact"/>
        <w:rPr>
          <w:rFonts w:ascii="Arial" w:cs="Arial" w:eastAsia="Arial" w:hAnsi="Arial"/>
          <w:sz w:val="18"/>
          <w:szCs w:val="18"/>
          <w:color w:val="auto"/>
        </w:rPr>
      </w:pPr>
    </w:p>
    <w:p>
      <w:pPr>
        <w:ind w:left="1020" w:right="120" w:hanging="283"/>
        <w:spacing w:after="0" w:line="246"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infringing; and/or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35" w:name="page136"/>
    <w:bookmarkEnd w:id="135"/>
    <w:p>
      <w:pPr>
        <w:ind w:left="1020" w:hanging="283"/>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w:t>
      </w:r>
    </w:p>
    <w:p>
      <w:pPr>
        <w:spacing w:after="0" w:line="212" w:lineRule="exact"/>
        <w:rPr>
          <w:sz w:val="20"/>
          <w:szCs w:val="20"/>
          <w:color w:val="auto"/>
        </w:rPr>
      </w:pPr>
    </w:p>
    <w:p>
      <w:pPr>
        <w:ind w:right="20" w:firstLine="734"/>
        <w:spacing w:after="0" w:line="235"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 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 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p>
    <w:p>
      <w:pPr>
        <w:spacing w:after="0" w:line="213"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29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w:t>
      </w:r>
    </w:p>
    <w:p>
      <w:pPr>
        <w:spacing w:after="0" w:line="68" w:lineRule="exact"/>
        <w:rPr>
          <w:sz w:val="20"/>
          <w:szCs w:val="20"/>
          <w:color w:val="auto"/>
        </w:rPr>
      </w:pPr>
    </w:p>
    <w:p>
      <w:pPr>
        <w:ind w:right="20" w:firstLine="734"/>
        <w:spacing w:after="0" w:line="235" w:lineRule="auto"/>
        <w:rPr>
          <w:sz w:val="20"/>
          <w:szCs w:val="20"/>
          <w:color w:val="auto"/>
        </w:rPr>
      </w:pPr>
      <w:r>
        <w:rPr>
          <w:rFonts w:ascii="Arial" w:cs="Arial" w:eastAsia="Arial" w:hAnsi="Arial"/>
          <w:sz w:val="18"/>
          <w:szCs w:val="18"/>
          <w:color w:val="auto"/>
        </w:rPr>
        <w:t>Competitors may infringe our intellectual property rights or those of our licensors. To prevent infringement or unauthorized use, we may be required to file infringement claims, which can be expensive and time -consuming. In addition, in a patent infringement proceeding, a court or administrative tribunal may decide that a patent we own or 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 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an affected product candidate. Such a loss of patent protection would seriously harm our business.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136" w:name="page137"/>
    <w:bookmarkEnd w:id="136"/>
    <w:p>
      <w:pPr>
        <w:ind w:firstLine="734"/>
        <w:spacing w:after="0" w:line="236"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7"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and seriously harm our business.</w:t>
      </w:r>
    </w:p>
    <w:p>
      <w:pPr>
        <w:spacing w:after="0" w:line="207"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1"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licenses.</w:t>
      </w:r>
    </w:p>
    <w:p>
      <w:pPr>
        <w:spacing w:after="0" w:line="68" w:lineRule="exact"/>
        <w:rPr>
          <w:sz w:val="20"/>
          <w:szCs w:val="20"/>
          <w:color w:val="auto"/>
        </w:rPr>
      </w:pPr>
    </w:p>
    <w:p>
      <w:pPr>
        <w:ind w:right="120" w:firstLine="734"/>
        <w:spacing w:after="0" w:line="236"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0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have collaborated with, and are currently collaborating with, U.S. academic institutions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7" w:name="page138"/>
    <w:bookmarkEnd w:id="137"/>
    <w:p>
      <w:pPr>
        <w:ind w:right="100"/>
        <w:spacing w:after="0" w:line="246" w:lineRule="auto"/>
        <w:rPr>
          <w:sz w:val="20"/>
          <w:szCs w:val="20"/>
          <w:color w:val="auto"/>
        </w:rPr>
      </w:pPr>
      <w:r>
        <w:rPr>
          <w:rFonts w:ascii="Arial" w:cs="Arial" w:eastAsia="Arial" w:hAnsi="Arial"/>
          <w:sz w:val="18"/>
          <w:szCs w:val="18"/>
          <w:color w:val="auto"/>
        </w:rPr>
        <w:t>timeframe or under terms that are acceptable to us. If we are unable to do so, the institution may offer the intellectual property rights to other parties, potentially blocking our ability to pursue our program.</w:t>
      </w:r>
    </w:p>
    <w:p>
      <w:pPr>
        <w:spacing w:after="0" w:line="197" w:lineRule="exact"/>
        <w:rPr>
          <w:sz w:val="20"/>
          <w:szCs w:val="20"/>
          <w:color w:val="auto"/>
        </w:rPr>
      </w:pPr>
    </w:p>
    <w:p>
      <w:pPr>
        <w:ind w:right="300" w:firstLine="734"/>
        <w:spacing w:after="0" w:line="246"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could be seriously harmed.</w:t>
      </w:r>
    </w:p>
    <w:p>
      <w:pPr>
        <w:spacing w:after="0" w:line="283"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p>
    <w:p>
      <w:pPr>
        <w:spacing w:after="0" w:line="83"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26"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 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seriously harmed.</w:t>
      </w:r>
    </w:p>
    <w:p>
      <w:pPr>
        <w:spacing w:after="0" w:line="126" w:lineRule="exact"/>
        <w:rPr>
          <w:sz w:val="20"/>
          <w:szCs w:val="20"/>
          <w:color w:val="auto"/>
        </w:rPr>
      </w:pPr>
    </w:p>
    <w:p>
      <w:pPr>
        <w:ind w:right="120" w:firstLine="734"/>
        <w:spacing w:after="0"/>
        <w:rPr>
          <w:sz w:val="20"/>
          <w:szCs w:val="20"/>
          <w:color w:val="auto"/>
        </w:rPr>
      </w:pPr>
      <w:r>
        <w:rPr>
          <w:rFonts w:ascii="Arial" w:cs="Arial" w:eastAsia="Arial" w:hAnsi="Arial"/>
          <w:sz w:val="18"/>
          <w:szCs w:val="18"/>
          <w:color w:val="auto"/>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8" w:name="page139"/>
    <w:bookmarkEnd w:id="138"/>
    <w:p>
      <w:pPr>
        <w:ind w:right="60"/>
        <w:spacing w:after="0" w:line="236" w:lineRule="auto"/>
        <w:rPr>
          <w:sz w:val="20"/>
          <w:szCs w:val="20"/>
          <w:color w:val="auto"/>
        </w:rPr>
      </w:pPr>
      <w:r>
        <w:rPr>
          <w:rFonts w:ascii="Arial" w:cs="Arial" w:eastAsia="Arial" w:hAnsi="Arial"/>
          <w:sz w:val="18"/>
          <w:szCs w:val="18"/>
          <w:color w:val="auto"/>
        </w:rPr>
        <w:t>years as 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p>
    <w:p>
      <w:pPr>
        <w:spacing w:after="0" w:line="29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 candidates.</w:t>
      </w:r>
    </w:p>
    <w:p>
      <w:pPr>
        <w:spacing w:after="0" w:line="68" w:lineRule="exact"/>
        <w:rPr>
          <w:sz w:val="20"/>
          <w:szCs w:val="20"/>
          <w:color w:val="auto"/>
        </w:rPr>
      </w:pPr>
    </w:p>
    <w:p>
      <w:pPr>
        <w:ind w:right="140" w:firstLine="734"/>
        <w:spacing w:after="0" w:line="246" w:lineRule="auto"/>
        <w:rPr>
          <w:sz w:val="20"/>
          <w:szCs w:val="20"/>
          <w:color w:val="auto"/>
        </w:rPr>
      </w:pPr>
      <w:r>
        <w:rPr>
          <w:rFonts w:ascii="Arial" w:cs="Arial" w:eastAsia="Arial" w:hAnsi="Arial"/>
          <w:sz w:val="18"/>
          <w:szCs w:val="18"/>
          <w:color w:val="auto"/>
        </w:rPr>
        <w:t>Our patent rights may be affected by developments or uncertainty in the U.S. or foreign patent statutes, patent case laws, USPTO rules and regulations or in the rules and regulations of foreign patent offices.</w:t>
      </w:r>
    </w:p>
    <w:p>
      <w:pPr>
        <w:spacing w:after="0" w:line="197" w:lineRule="exact"/>
        <w:rPr>
          <w:sz w:val="20"/>
          <w:szCs w:val="20"/>
          <w:color w:val="auto"/>
        </w:rPr>
      </w:pPr>
    </w:p>
    <w:p>
      <w:pPr>
        <w:ind w:firstLine="734"/>
        <w:spacing w:after="0" w:line="235" w:lineRule="auto"/>
        <w:rPr>
          <w:sz w:val="20"/>
          <w:szCs w:val="20"/>
          <w:color w:val="auto"/>
        </w:rPr>
      </w:pPr>
      <w:r>
        <w:rPr>
          <w:rFonts w:ascii="Arial" w:cs="Arial" w:eastAsia="Arial" w:hAnsi="Arial"/>
          <w:sz w:val="18"/>
          <w:szCs w:val="18"/>
          <w:color w:val="auto"/>
        </w:rPr>
        <w:t xml:space="preserve">There are a number of recent changes to the U.S. patent laws that may have a significant impact on our ability to protect our technology and enforce our intellectual property rights. For example, on September 16, 2011, the Leahy-Smith America Invents Act (“Leahy-Smith Act”) was signed into law.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6" w:lineRule="exact"/>
        <w:rPr>
          <w:sz w:val="20"/>
          <w:szCs w:val="20"/>
          <w:color w:val="auto"/>
        </w:rPr>
      </w:pPr>
    </w:p>
    <w:p>
      <w:pPr>
        <w:ind w:right="80" w:firstLine="734"/>
        <w:spacing w:after="0" w:line="237" w:lineRule="auto"/>
        <w:rPr>
          <w:sz w:val="20"/>
          <w:szCs w:val="20"/>
          <w:color w:val="auto"/>
        </w:rPr>
      </w:pPr>
      <w:r>
        <w:rPr>
          <w:rFonts w:ascii="Arial" w:cs="Arial" w:eastAsia="Arial" w:hAnsi="Arial"/>
          <w:sz w:val="18"/>
          <w:szCs w:val="18"/>
          <w:color w:val="auto"/>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3" w:right="399" w:bottom="1440" w:gutter="0" w:footer="0" w:header="0"/>
        </w:sectPr>
      </w:pPr>
    </w:p>
    <w:bookmarkStart w:id="139" w:name="page140"/>
    <w:bookmarkEnd w:id="139"/>
    <w:p>
      <w:pPr>
        <w:spacing w:after="0" w:line="261" w:lineRule="auto"/>
        <w:rPr>
          <w:sz w:val="20"/>
          <w:szCs w:val="20"/>
          <w:color w:val="auto"/>
        </w:rPr>
      </w:pPr>
      <w:r>
        <w:rPr>
          <w:rFonts w:ascii="Arial" w:cs="Arial" w:eastAsia="Arial" w:hAnsi="Arial"/>
          <w:sz w:val="17"/>
          <w:szCs w:val="17"/>
          <w:color w:val="auto"/>
        </w:rPr>
        <w:t>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86"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p>
    <w:p>
      <w:pPr>
        <w:spacing w:after="0" w:line="29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Our corporate headquarters are located in Emeryville, California, where we lease approximately 51,000 square feet of office, research and development, engineering and laboratory space pursuant to lease agreements that expire in September 2026 and December 2029. We believe that our facilities are adequate to meet our current needs, and that suitable additional alternative spaces will be available in the future on commercially reasonable terms, if required.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04"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liability for such matters when it believes that it is both probable that a liability may be imputed, and the amount of the liability can be reasonably estimated. Significant judgment by the Company is required to determine both probability and the estimated amount. Regardless of outcome litigation can have an adverse impact on us because of defense and settlement costs, diversion of management resources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has been listed on the Nasdaq Global Select Market under the symbol “FDMT” since December 11, 2020.</w:t>
      </w:r>
    </w:p>
    <w:p>
      <w:pPr>
        <w:spacing w:after="0"/>
        <w:rPr>
          <w:sz w:val="20"/>
          <w:szCs w:val="20"/>
          <w:color w:val="auto"/>
        </w:rPr>
      </w:pPr>
      <w:r>
        <w:rPr>
          <w:rFonts w:ascii="Arial" w:cs="Arial" w:eastAsia="Arial" w:hAnsi="Arial"/>
          <w:sz w:val="18"/>
          <w:szCs w:val="18"/>
          <w:color w:val="auto"/>
        </w:rPr>
        <w:t>Prior to this date, there was no public market for our common stock.</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6" w:lineRule="exact"/>
        <w:rPr>
          <w:sz w:val="20"/>
          <w:szCs w:val="20"/>
          <w:color w:val="auto"/>
        </w:rPr>
      </w:pPr>
    </w:p>
    <w:p>
      <w:pPr>
        <w:ind w:right="140" w:firstLine="714"/>
        <w:spacing w:after="0"/>
        <w:rPr>
          <w:sz w:val="20"/>
          <w:szCs w:val="20"/>
          <w:color w:val="auto"/>
        </w:rPr>
      </w:pPr>
      <w:r>
        <w:rPr>
          <w:rFonts w:ascii="Arial" w:cs="Arial" w:eastAsia="Arial" w:hAnsi="Arial"/>
          <w:sz w:val="18"/>
          <w:szCs w:val="18"/>
          <w:color w:val="auto"/>
        </w:rPr>
        <w:t>As of March 15, 2021, there were approximately 96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right="300" w:firstLine="714"/>
        <w:spacing w:after="0" w:line="245" w:lineRule="auto"/>
        <w:rPr>
          <w:sz w:val="20"/>
          <w:szCs w:val="20"/>
          <w:color w:val="auto"/>
        </w:rPr>
      </w:pPr>
      <w:r>
        <w:rPr>
          <w:rFonts w:ascii="Arial" w:cs="Arial" w:eastAsia="Arial" w:hAnsi="Arial"/>
          <w:sz w:val="18"/>
          <w:szCs w:val="18"/>
          <w:i w:val="1"/>
          <w:iCs w:val="1"/>
          <w:color w:val="auto"/>
        </w:rPr>
        <w:t>The following graph is not “soliciting material” or deemed “filed” with the SEC for purposes of Section 18 of the Exchange Act, or otherwise subject to liabilities under that Section, and shall not be deemed incorporated by reference into any filing of 4D Molecular Therapeutics Inc. under the Securities Act, whether made before or after the date hereof and irrespective of any general incorporation language in any such filing.</w:t>
      </w:r>
    </w:p>
    <w:p>
      <w:pPr>
        <w:spacing w:after="0" w:line="91" w:lineRule="exact"/>
        <w:rPr>
          <w:sz w:val="20"/>
          <w:szCs w:val="20"/>
          <w:color w:val="auto"/>
        </w:rPr>
      </w:pPr>
    </w:p>
    <w:p>
      <w:pPr>
        <w:ind w:firstLine="714"/>
        <w:spacing w:after="0" w:line="238"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Composite Index and the Nasdaq Biotechnology Index for an investment of $100, between December 11, 2020 (the date of our IPO) and December 31, 2020. The stockholder returns shown in the graph below are based on historical results and are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267970</wp:posOffset>
            </wp:positionV>
            <wp:extent cx="5015230" cy="25971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1523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6" w:lineRule="exact"/>
        <w:rPr>
          <w:sz w:val="20"/>
          <w:szCs w:val="20"/>
          <w:color w:val="auto"/>
        </w:rPr>
      </w:pPr>
    </w:p>
    <w:p>
      <w:pPr>
        <w:ind w:right="540" w:firstLine="714"/>
        <w:spacing w:after="0" w:line="246"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cash dividends in the foreseeable future. Any future determination related to dividend policy will be made at the discretion of our board of directors.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6" w:lineRule="exact"/>
        <w:rPr>
          <w:sz w:val="20"/>
          <w:szCs w:val="20"/>
          <w:color w:val="auto"/>
        </w:rPr>
      </w:pPr>
    </w:p>
    <w:p>
      <w:pPr>
        <w:ind w:right="180" w:firstLine="714"/>
        <w:spacing w:after="0" w:line="246"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 on Form 10-K.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6" w:lineRule="exact"/>
        <w:rPr>
          <w:sz w:val="20"/>
          <w:szCs w:val="20"/>
          <w:color w:val="auto"/>
        </w:rPr>
      </w:pPr>
    </w:p>
    <w:p>
      <w:pPr>
        <w:ind w:right="20" w:firstLine="714"/>
        <w:spacing w:after="0" w:line="251" w:lineRule="auto"/>
        <w:rPr>
          <w:sz w:val="20"/>
          <w:szCs w:val="20"/>
          <w:color w:val="auto"/>
        </w:rPr>
      </w:pPr>
      <w:r>
        <w:rPr>
          <w:rFonts w:ascii="Arial" w:cs="Arial" w:eastAsia="Arial" w:hAnsi="Arial"/>
          <w:sz w:val="17"/>
          <w:szCs w:val="17"/>
          <w:color w:val="auto"/>
        </w:rPr>
        <w:t>From April to June 2020, we issued in a series of transactions an aggregate of 4,200,353 shares of our Series C convertible preferred stock at $18.00 per share for aggregate proceeds of $ 75.6 million. All of our Series C convertible preferred stock automatically converted into shares of our common stock immediately prior to our IPO in December 2020. The sale and issuance of these securities was exempt from registration requirements under the Securities Act, pursuant to Section 4(a)(2) thereof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91" w:lineRule="exact"/>
        <w:rPr>
          <w:sz w:val="20"/>
          <w:szCs w:val="20"/>
          <w:color w:val="auto"/>
        </w:rPr>
      </w:pPr>
    </w:p>
    <w:p>
      <w:pPr>
        <w:ind w:right="140" w:firstLine="714"/>
        <w:spacing w:after="0" w:line="238" w:lineRule="auto"/>
        <w:rPr>
          <w:sz w:val="20"/>
          <w:szCs w:val="20"/>
          <w:color w:val="auto"/>
        </w:rPr>
      </w:pPr>
      <w:r>
        <w:rPr>
          <w:rFonts w:ascii="Arial" w:cs="Arial" w:eastAsia="Arial" w:hAnsi="Arial"/>
          <w:sz w:val="18"/>
          <w:szCs w:val="18"/>
          <w:color w:val="auto"/>
        </w:rPr>
        <w:t>In December 2020, immediately prior to our IPO, all convertible preferred shares then outstanding automatically converted into 11,575,984 shares of common stock. The issuance of such common stock upon conversion of the redeemable convertible preferred stock was exempt from the registration requirements of the Securities Act, pursuant to Section 3(a)(9) thereof, involving an exchange of securities exchanged by the issuer with its existing security holders exclusively where no commission or other remuneration is paid or given directly or indirectly for soliciting such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26" w:lineRule="exact"/>
        <w:rPr>
          <w:sz w:val="20"/>
          <w:szCs w:val="20"/>
          <w:color w:val="auto"/>
        </w:rPr>
      </w:pPr>
    </w:p>
    <w:p>
      <w:pPr>
        <w:ind w:right="80" w:firstLine="714"/>
        <w:spacing w:after="0"/>
        <w:rPr>
          <w:sz w:val="20"/>
          <w:szCs w:val="20"/>
          <w:color w:val="auto"/>
        </w:rPr>
      </w:pPr>
      <w:r>
        <w:rPr>
          <w:rFonts w:ascii="Arial" w:cs="Arial" w:eastAsia="Arial" w:hAnsi="Arial"/>
          <w:sz w:val="18"/>
          <w:szCs w:val="18"/>
          <w:color w:val="auto"/>
        </w:rPr>
        <w:t>On December 15, 2020, we closed our IPO, in which we issued and sold 9,660,000 shares of common stock at a price to the public of $23.00 per share. We received net proceeds of $204.7 million, after deducting underwriting discounts and commissions of $15.6 million and offering costs of $1.9 million.</w:t>
      </w:r>
    </w:p>
    <w:p>
      <w:pPr>
        <w:spacing w:after="0" w:line="95" w:lineRule="exact"/>
        <w:rPr>
          <w:sz w:val="20"/>
          <w:szCs w:val="20"/>
          <w:color w:val="auto"/>
        </w:rPr>
      </w:pPr>
    </w:p>
    <w:p>
      <w:pPr>
        <w:ind w:firstLine="714"/>
        <w:spacing w:after="0"/>
        <w:rPr>
          <w:sz w:val="20"/>
          <w:szCs w:val="20"/>
          <w:color w:val="auto"/>
        </w:rPr>
      </w:pPr>
      <w:r>
        <w:rPr>
          <w:rFonts w:ascii="Arial" w:cs="Arial" w:eastAsia="Arial" w:hAnsi="Arial"/>
          <w:sz w:val="18"/>
          <w:szCs w:val="18"/>
          <w:color w:val="auto"/>
        </w:rPr>
        <w:t>None of the expenses associated with the IPO were paid to directors, officers, or persons owning 10% or more of any class of equity securities, or to their associates, or to our affiliates, other than payments in the ordinary course of business to officers for salaries. Goldman Sachs &amp; Co. LLC, BofA Securities and Evercore ISI acted as book-running managers for the offering.</w:t>
      </w:r>
    </w:p>
    <w:p>
      <w:pPr>
        <w:spacing w:after="0" w:line="95" w:lineRule="exact"/>
        <w:rPr>
          <w:sz w:val="20"/>
          <w:szCs w:val="20"/>
          <w:color w:val="auto"/>
        </w:rPr>
      </w:pPr>
    </w:p>
    <w:p>
      <w:pPr>
        <w:ind w:right="420" w:firstLine="714"/>
        <w:spacing w:after="0"/>
        <w:rPr>
          <w:sz w:val="20"/>
          <w:szCs w:val="20"/>
          <w:color w:val="auto"/>
        </w:rPr>
      </w:pPr>
      <w:r>
        <w:rPr>
          <w:rFonts w:ascii="Arial" w:cs="Arial" w:eastAsia="Arial" w:hAnsi="Arial"/>
          <w:sz w:val="18"/>
          <w:szCs w:val="18"/>
          <w:color w:val="auto"/>
        </w:rPr>
        <w:t>Shares of our common stock began trading on the Nasdaq Global Select Market on December 11, 2020. The shares were registered under the Securities Act on a Registration Statement on Form S-1 (File No. 333-250150), which was declared effective by the SEC on December 11, 2020.</w:t>
      </w:r>
    </w:p>
    <w:p>
      <w:pPr>
        <w:spacing w:after="0" w:line="95" w:lineRule="exact"/>
        <w:rPr>
          <w:sz w:val="20"/>
          <w:szCs w:val="20"/>
          <w:color w:val="auto"/>
        </w:rPr>
      </w:pPr>
    </w:p>
    <w:p>
      <w:pPr>
        <w:ind w:right="1200" w:firstLine="714"/>
        <w:spacing w:after="0" w:line="246"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dated December 11, 2020, filed with the SEC pursuant to Rule 424(b)(4) under the Securities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6" w:lineRule="exact"/>
        <w:rPr>
          <w:sz w:val="20"/>
          <w:szCs w:val="20"/>
          <w:color w:val="auto"/>
        </w:rPr>
      </w:pPr>
    </w:p>
    <w:p>
      <w:pPr>
        <w:ind w:firstLine="864"/>
        <w:spacing w:after="0" w:line="246"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80" w:firstLine="734"/>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included elsewhere in this Annual Report on Form 10-K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We are a clinical-stage gene therapy company pioneering the development of product candidates using our targeted and evolved AAV vectors. We seek to unlock the full potential of gene therapy using our platform, Therapeutic Vector Evolution, which combines the power of directed evolution with our approximately one billion synthetic capsid sequences to invent evolved vectors for use in targeted gene therapy products. Our targeted and evolved vectors are invented with the goal of being delivered through clinically routine, well-tolerated and minimally invasive routes of administration, of transducing diseased cells in target tissues efficiently, of having reduced immunogenicity and, where relevant, of having resistance to pre-existing antibodies. We believe these key design features will help us to potentially create targeted gene therapy product candidates with improved therapeutic profiles, and address a broad range of diseases from rare to large patient populations, including those that other gene therapies are unable to address. Each of our product candidates is created with our targeted and evolved AAV vectors. Our platform is designed to be modular, in that an evolved vector invented for a given set of diseases can be equipped with different transgene payloads to treat other diseases affecting the same tissue types. We believe this modularity will help inform the clinical development of subsequent product candidates using the same vector.</w:t>
      </w:r>
    </w:p>
    <w:p>
      <w:pPr>
        <w:spacing w:after="0" w:line="20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We have built a deep portfolio of gene therapy product candidates initially focused in three therapeutic areas: ophthalmology (intravitreal vector), cardiology (intravenous vector) and pulmonology (aerosol vector). We have three product candidates that are in clinical trials. We are developing 4D-125 for the treatment of X-linked retinitis pigmentosa (“XLRP”), currently in Phase 1/2 clinical trial with initial clinical data expected in the second half of 2021. We are advancing 4D-110 for the treatment of choroideremia, currently in a Phase 1 clinical trial with initial clinical data expected in 2022. Roche holds an exclusive worldwide license to 4D-110 and has the exclusive option to in-license 4D-125 prior to initiation of pivotal clinical trials. We received FDA Fast Track designation for 4D-310 for the treatment of Fabry disease, which is currently in a Phase 1/2 clinical trial, with initial clinical data expected in the second half of 2021. Our two IND candidates are 4D-150 for the treatment of wet age-related macular degeneration (“wet AMD”), and 4D-710 for the treatment of cystic fibrosis lung disease. We expect to file the IND and to initiate clinical trials for both of these programs in the second half of 2021.</w:t>
      </w:r>
    </w:p>
    <w:p>
      <w:pPr>
        <w:spacing w:after="0" w:line="207"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have funded our operations primarily through the sale and issuance of equity securities and to a lesser extent from cash received pursuant to our collaboration and license agreements. In December 2020, we completed our IPO and issued and sold 9,660,000 shares of common stock at a price to the public of $ 23.00 per share. The aggregate net proceeds from our IPO were $204.7 million after deducting underwriting discounts and commissions and other offering costs. As of December 31, 2020, we had cash and cash equivalents of $276.7 million.</w:t>
      </w:r>
    </w:p>
    <w:p>
      <w:pPr>
        <w:spacing w:after="0" w:line="20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have incurred significant operating losses and expect that our operating losses will increase significantly as we, among other things, continue to advance our product candidates through preclinical and clinical development, seek regulatory approval, and prepare for, and, if approved, proceed to commercialization; broaden and improve our platform; acquire, discover, validate and develop additional product candidates; maintain, protect and enforce our intellectual property portfolio; and hire additional personnel. In addition, we expect to incur additional costs associated with operating as a public company.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44" w:name="page145"/>
    <w:bookmarkEnd w:id="144"/>
    <w:p>
      <w:pPr>
        <w:ind w:right="60" w:firstLine="734"/>
        <w:spacing w:after="0" w:line="238" w:lineRule="auto"/>
        <w:rPr>
          <w:sz w:val="20"/>
          <w:szCs w:val="20"/>
          <w:color w:val="auto"/>
        </w:rPr>
      </w:pPr>
      <w:r>
        <w:rPr>
          <w:rFonts w:ascii="Arial" w:cs="Arial" w:eastAsia="Arial" w:hAnsi="Arial"/>
          <w:sz w:val="18"/>
          <w:szCs w:val="18"/>
          <w:color w:val="auto"/>
        </w:rPr>
        <w:t>Our net losses were $56.7 million and $49.3 million for the years ended December 31, 2020 and 2019, respectively. As of December 31, 2020, we had an accumulated deficit of $135.7 million. We do not expect positive cash flows from operations in the foreseeable future. Our net losses may fluctuate significantly from quarter-to-quarter and year-to-year, depending on the timing of our clinical trials and our expenditures on other research and development activities.</w:t>
      </w:r>
    </w:p>
    <w:p>
      <w:pPr>
        <w:spacing w:after="0" w:line="205"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We do not have any products approved for sale and have not generated any revenue from product sales since our inception. Our ability to generate product revenue will depend on the successful development, regulatory approval and eventual commercialization of one or more of our product candidates, if approved.</w:t>
      </w:r>
    </w:p>
    <w:p>
      <w:pPr>
        <w:spacing w:after="0" w:line="203" w:lineRule="exact"/>
        <w:rPr>
          <w:sz w:val="20"/>
          <w:szCs w:val="20"/>
          <w:color w:val="auto"/>
        </w:rPr>
      </w:pPr>
    </w:p>
    <w:p>
      <w:pPr>
        <w:ind w:right="140" w:firstLine="734"/>
        <w:spacing w:after="0" w:line="236"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collaborations, strategic partnerships or other strategic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w:t>
      </w:r>
    </w:p>
    <w:p>
      <w:pPr>
        <w:spacing w:after="0" w:line="205"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To the extent possible, we are conducting business as usual, with necessary or advisable modifications to employee travel and the majority of our employees working remotely. We will continue to actively monitor the rapidly evolving situation related to the COVID-19 pandemic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right="200" w:firstLine="734"/>
        <w:spacing w:after="0"/>
        <w:rPr>
          <w:sz w:val="20"/>
          <w:szCs w:val="20"/>
          <w:color w:val="auto"/>
        </w:rPr>
      </w:pPr>
      <w:r>
        <w:rPr>
          <w:rFonts w:ascii="Arial" w:cs="Arial" w:eastAsia="Arial" w:hAnsi="Arial"/>
          <w:sz w:val="18"/>
          <w:szCs w:val="18"/>
          <w:color w:val="auto"/>
        </w:rPr>
        <w:t>Our revenue to date has been generated through payments from our collaboration and license agreements, primarily from upfront and milestone payments and expense reimbursement. We have not generated any revenue from the sale of approved products and do not expect to do so for the foreseeable future. The primary drivers for revenue consist of the following:</w:t>
      </w:r>
    </w:p>
    <w:p>
      <w:pPr>
        <w:spacing w:after="0" w:line="95" w:lineRule="exact"/>
        <w:rPr>
          <w:sz w:val="20"/>
          <w:szCs w:val="20"/>
          <w:color w:val="auto"/>
        </w:rPr>
      </w:pPr>
    </w:p>
    <w:p>
      <w:pPr>
        <w:ind w:left="1020" w:right="60" w:hanging="283"/>
        <w:spacing w:after="0" w:line="236"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Roche: In November 2017, we entered into a collaboration and license agreement with F. Hoffmann-La Roche Ltd and Hoffmann-La Roche Inc. (together, “Roche”). We received an upfront payment of $21.0 million in 2017 and are reimbursed for our internal and third-party costs and are entitled to contingent payments, including milestone payments. In 2020, we received milestone payments totaling $10.0 million, which was comprised of a $5.0 million milestone payment upon the release of clinical trial material for our Phase 1 clinical trial for 4D-110 to treat choroideremia in the second quarter of 2020 and an additional $5.0 million milestone payment upon dosing our first patient in the trial in the third quarter of 2020. We began recognizing revenue related to this in 2017 and expect to continue to recognize revenue over the next three to four years. See Note 6 to our financial statements included elsewhere in this report for further discussion regarding the accounting treatment of this agreement.</w:t>
      </w:r>
    </w:p>
    <w:p>
      <w:pPr>
        <w:spacing w:after="0" w:line="99" w:lineRule="exact"/>
        <w:rPr>
          <w:rFonts w:ascii="Arial" w:cs="Arial" w:eastAsia="Arial" w:hAnsi="Arial"/>
          <w:sz w:val="18"/>
          <w:szCs w:val="18"/>
          <w:color w:val="auto"/>
        </w:rPr>
      </w:pPr>
    </w:p>
    <w:p>
      <w:pPr>
        <w:ind w:left="1020" w:right="200" w:hanging="283"/>
        <w:spacing w:after="0" w:line="23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uniQure: In August 2019, we amended our agreement with uniQure and entered into a separate new collaboration and license agreement with uniQure. Neither party was required to pay monetary consideration in connection with the amendment or new agreement. We determined the incremental transaction price of the amendment and new agreement to be $5.1 million and recorded the amount as deferred revenue. We began recognizing revenue related to this in 2020 and expect to recognize revenue over the next two to three years. See Note 6 to our financial statements included elsewhere in this report for further discussion regarding the accounting treatment of this transaction.</w:t>
      </w:r>
    </w:p>
    <w:p>
      <w:pPr>
        <w:spacing w:after="0" w:line="205"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 We expect that our collaboration and license revenue in 2021 will primarily be from Roche and uniQure. If our agreements with Roche or uniQure were terminated, it may materially impact the amount of license revenue we recognize in future periods.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2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Our research and development expenses primarily consist of costs incurred for the discovery and preclinical and clinical development of our product candidates. These expenses include salaries and personnel-related costs, including stock-based compensation of our scientific personnel performing research and development activities; laboratory supplies; research materials; fees paid to CROs to execute preclinical studies and clinical trials; fees paid to CMOs to manufacture materials for preclinical studies and clinical trials; fees related to obtaining technology licenses; consulting costs; costs related to seeking regulatory approval of our product candidates; and allocated facility-related costs, information technology costs, depreciation expense and other overhead.</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We expense all research and development costs in the periods in which they are incurred. We have entered into various agreements with CROs and CMOs.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capitalized amounts are recognized as expense as the goods are delivered or the related services are performed.</w:t>
      </w:r>
    </w:p>
    <w:p>
      <w:pPr>
        <w:spacing w:after="0" w:line="212" w:lineRule="exact"/>
        <w:rPr>
          <w:sz w:val="20"/>
          <w:szCs w:val="20"/>
          <w:color w:val="auto"/>
        </w:rPr>
      </w:pPr>
    </w:p>
    <w:p>
      <w:pPr>
        <w:ind w:firstLine="742"/>
        <w:spacing w:after="0" w:line="238" w:lineRule="auto"/>
        <w:rPr>
          <w:sz w:val="20"/>
          <w:szCs w:val="20"/>
          <w:color w:val="auto"/>
        </w:rPr>
      </w:pPr>
      <w:r>
        <w:rPr>
          <w:rFonts w:ascii="Arial" w:cs="Arial" w:eastAsia="Arial" w:hAnsi="Arial"/>
          <w:sz w:val="18"/>
          <w:szCs w:val="18"/>
          <w:color w:val="auto"/>
        </w:rPr>
        <w:t>We do not allocate our costs by product candidate, as a significant amount of research and development expenses includes internal costs, such as payroll and other personnel expenses, laboratory supplies and allocated overhead, and external costs, such as fees paid to third parties to conduct research and development activities on our behalf, none of which are tracked by product candidate. In particular, with respect to internal costs, several of our departments support multiple product candidate research and development programs, and therefore the costs cannot be allocated to a particular product candidate or development program.</w:t>
      </w:r>
    </w:p>
    <w:p>
      <w:pPr>
        <w:spacing w:after="0" w:line="202" w:lineRule="exact"/>
        <w:rPr>
          <w:sz w:val="20"/>
          <w:szCs w:val="20"/>
          <w:color w:val="auto"/>
        </w:rPr>
      </w:pPr>
    </w:p>
    <w:p>
      <w:pPr>
        <w:ind w:right="220" w:firstLine="734"/>
        <w:spacing w:after="0" w:line="236" w:lineRule="auto"/>
        <w:rPr>
          <w:sz w:val="20"/>
          <w:szCs w:val="20"/>
          <w:color w:val="auto"/>
        </w:rPr>
      </w:pPr>
      <w:r>
        <w:rPr>
          <w:rFonts w:ascii="Arial" w:cs="Arial" w:eastAsia="Arial" w:hAnsi="Arial"/>
          <w:sz w:val="18"/>
          <w:szCs w:val="18"/>
          <w:color w:val="auto"/>
        </w:rPr>
        <w:t>At this time, we cannot reasonably estimate or know the nature, timing or estimated costs of the efforts that will be necessary to complete the development of, and obtain regulatory approval for, any of our product candidates. We expect our research and development expenses to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See the section titled “Risk Factors” for additional risks regarding regulatory development and approval.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22" w:lineRule="exact"/>
        <w:rPr>
          <w:sz w:val="20"/>
          <w:szCs w:val="20"/>
          <w:color w:val="auto"/>
        </w:rPr>
      </w:pPr>
    </w:p>
    <w:p>
      <w:pPr>
        <w:ind w:right="440" w:firstLine="734"/>
        <w:spacing w:after="0" w:line="238" w:lineRule="auto"/>
        <w:rPr>
          <w:sz w:val="20"/>
          <w:szCs w:val="20"/>
          <w:color w:val="auto"/>
        </w:rPr>
      </w:pPr>
      <w:r>
        <w:rPr>
          <w:rFonts w:ascii="Arial" w:cs="Arial" w:eastAsia="Arial" w:hAnsi="Arial"/>
          <w:sz w:val="18"/>
          <w:szCs w:val="18"/>
          <w:color w:val="auto"/>
        </w:rPr>
        <w:t>Our general and administrative expenses consist primarily of personnel-related expenses, including salaries, employee benefit costs and stock-based compensation expense for our personnel in executive, finance and accounting, human resources, business development and other administrative functions. General and administrative expenses also include professional fees for legal, patent, consulting, accounting and tax services, allocated overhead, including rent, equipment, depreciation, information technology costs and utilities, and other general operating expenses not otherwise classified as research and development expenses.</w:t>
      </w:r>
    </w:p>
    <w:p>
      <w:pPr>
        <w:spacing w:after="0" w:line="202" w:lineRule="exact"/>
        <w:rPr>
          <w:sz w:val="20"/>
          <w:szCs w:val="20"/>
          <w:color w:val="auto"/>
        </w:rPr>
      </w:pPr>
    </w:p>
    <w:p>
      <w:pPr>
        <w:jc w:val="both"/>
        <w:ind w:right="240" w:firstLine="734"/>
        <w:spacing w:after="0" w:line="238" w:lineRule="auto"/>
        <w:rPr>
          <w:sz w:val="20"/>
          <w:szCs w:val="20"/>
          <w:color w:val="auto"/>
        </w:rPr>
      </w:pPr>
      <w:r>
        <w:rPr>
          <w:rFonts w:ascii="Arial" w:cs="Arial" w:eastAsia="Arial" w:hAnsi="Arial"/>
          <w:sz w:val="18"/>
          <w:szCs w:val="18"/>
          <w:color w:val="auto"/>
        </w:rPr>
        <w:t>We expect our general and administrative expenses to increase as a result of increased personnel-related costs, patent costs for our product candidates, consulting, legal and accounting services associated with maintaining compliance with stock exchange listing and requirements of the SEC, investor relations costs, director and officer insurance premiums and other costs associated with being a public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6" w:lineRule="exact"/>
        <w:rPr>
          <w:sz w:val="20"/>
          <w:szCs w:val="20"/>
          <w:color w:val="auto"/>
        </w:rPr>
      </w:pPr>
    </w:p>
    <w:p>
      <w:pPr>
        <w:ind w:right="20" w:firstLine="734"/>
        <w:spacing w:after="0" w:line="246" w:lineRule="auto"/>
        <w:rPr>
          <w:sz w:val="20"/>
          <w:szCs w:val="20"/>
          <w:color w:val="auto"/>
        </w:rPr>
      </w:pPr>
      <w:r>
        <w:rPr>
          <w:rFonts w:ascii="Arial" w:cs="Arial" w:eastAsia="Arial" w:hAnsi="Arial"/>
          <w:sz w:val="18"/>
          <w:szCs w:val="18"/>
          <w:color w:val="auto"/>
        </w:rPr>
        <w:t>Our other income (expense) primarily consists of interest income earned on our cash equivalents and adjustments for the change in the fair value of our derivative liability which must be remeasured at each reporting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our results of operations for the periods indicated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8"/>
              </w:rPr>
              <w:t>Year Ended</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Change</w:t>
            </w: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60"/>
              <w:spacing w:after="0"/>
              <w:rPr>
                <w:sz w:val="20"/>
                <w:szCs w:val="20"/>
                <w:color w:val="auto"/>
              </w:rPr>
            </w:pPr>
            <w:r>
              <w:rPr>
                <w:rFonts w:ascii="Arial" w:cs="Arial" w:eastAsia="Arial" w:hAnsi="Arial"/>
                <w:sz w:val="18"/>
                <w:szCs w:val="18"/>
                <w:color w:val="auto"/>
              </w:rPr>
              <w:t>Collaboration and license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13,363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6,960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and license revenue, related parties</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13,612</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6,986</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6,626</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53,038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38,718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14,320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5,137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17,238</w:t>
            </w: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13,895</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3,343</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70,276</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57,750</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12,526</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(56,693)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(49,306)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(7,387)</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22" w:lineRule="exact"/>
        <w:rPr>
          <w:sz w:val="20"/>
          <w:szCs w:val="20"/>
          <w:color w:val="auto"/>
        </w:rPr>
      </w:pPr>
    </w:p>
    <w:p>
      <w:pPr>
        <w:ind w:right="200" w:firstLine="734"/>
        <w:spacing w:after="0" w:line="238" w:lineRule="auto"/>
        <w:rPr>
          <w:sz w:val="20"/>
          <w:szCs w:val="20"/>
          <w:color w:val="auto"/>
        </w:rPr>
      </w:pPr>
      <w:r>
        <w:rPr>
          <w:rFonts w:ascii="Arial" w:cs="Arial" w:eastAsia="Arial" w:hAnsi="Arial"/>
          <w:sz w:val="18"/>
          <w:szCs w:val="18"/>
          <w:color w:val="auto"/>
        </w:rPr>
        <w:t>Revenue increased $6.6 million, or 95%, from the year ended December 31, 2019 to the year ended December 31, 2020 due to a $6.6 million increase in revenue recognized under our collaboration and license agreement with Roche and a $0.7 million increase in revenue recognized under our collaboration and license agreement with uniQure, which was partially offset by a decline in revenue recognized from other collaboration and license agreements.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provides a breakout of research and development expenses for the periods indicated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8"/>
              </w:rPr>
              <w:t>Year Ended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9"/>
              </w:rPr>
              <w:t>December 31,</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40" w:type="dxa"/>
            <w:vAlign w:val="bottom"/>
            <w:vMerge w:val="restart"/>
          </w:tcPr>
          <w:p>
            <w:pPr>
              <w:spacing w:after="0"/>
              <w:rPr>
                <w:sz w:val="19"/>
                <w:szCs w:val="19"/>
                <w:color w:val="auto"/>
              </w:rPr>
            </w:pPr>
          </w:p>
        </w:tc>
        <w:tc>
          <w:tcPr>
            <w:tcW w:w="13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7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FF0FC"/>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External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29,455</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21,342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8,113</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Payroll and personnel expenses</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12,206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3,858</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7,519</w:t>
            </w: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5,170</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2,349</w:t>
            </w:r>
          </w:p>
        </w:tc>
        <w:tc>
          <w:tcPr>
            <w:tcW w:w="14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57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53,038</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38,718</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14,320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Research and development expense increased $14.3 million, or 37%, from the year ended December 31, 2019 to the year ended</w:t>
      </w:r>
    </w:p>
    <w:p>
      <w:pPr>
        <w:spacing w:after="0"/>
        <w:rPr>
          <w:sz w:val="20"/>
          <w:szCs w:val="20"/>
          <w:color w:val="auto"/>
        </w:rPr>
      </w:pPr>
      <w:r>
        <w:rPr>
          <w:rFonts w:ascii="Arial" w:cs="Arial" w:eastAsia="Arial" w:hAnsi="Arial"/>
          <w:sz w:val="18"/>
          <w:szCs w:val="18"/>
          <w:color w:val="auto"/>
        </w:rPr>
        <w:t>December 31, 2020. The increase was due to the following:</w:t>
      </w:r>
    </w:p>
    <w:p>
      <w:pPr>
        <w:spacing w:after="0" w:line="104" w:lineRule="exact"/>
        <w:rPr>
          <w:sz w:val="20"/>
          <w:szCs w:val="20"/>
          <w:color w:val="auto"/>
        </w:rPr>
      </w:pPr>
    </w:p>
    <w:p>
      <w:pPr>
        <w:ind w:left="1020" w:right="420" w:hanging="283"/>
        <w:spacing w:after="0" w:line="246"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$8.1 million increase in external costs as we continue to develop novel vectors, identify potential product candidates and progress our preclinical studies and clinical trials;</w:t>
      </w:r>
    </w:p>
    <w:p>
      <w:pPr>
        <w:spacing w:after="0" w:line="88" w:lineRule="exact"/>
        <w:rPr>
          <w:rFonts w:ascii="Arial" w:cs="Arial" w:eastAsia="Arial" w:hAnsi="Arial"/>
          <w:sz w:val="18"/>
          <w:szCs w:val="18"/>
          <w:color w:val="auto"/>
        </w:rPr>
      </w:pPr>
    </w:p>
    <w:p>
      <w:pPr>
        <w:ind w:left="1020" w:right="100" w:hanging="283"/>
        <w:spacing w:after="0" w:line="246"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$3.9 million increase in payroll and personnel expenses due to increased headcount of research and development personnel, including a $0.5 million increase in employee stock-based compensation expense;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8" w:name="page149"/>
    <w:bookmarkEnd w:id="148"/>
    <w:p>
      <w:pPr>
        <w:ind w:left="1020" w:right="60" w:hanging="283"/>
        <w:spacing w:after="0" w:line="246"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$2.3 million increase in other research and development expenses primarily for allocated overhead, including rent, equipment, depreciation, information technology costs and utilities.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 Expenses</w:t>
      </w:r>
    </w:p>
    <w:p>
      <w:pPr>
        <w:spacing w:after="0" w:line="122" w:lineRule="exact"/>
        <w:rPr>
          <w:sz w:val="20"/>
          <w:szCs w:val="20"/>
          <w:color w:val="auto"/>
        </w:rPr>
      </w:pPr>
    </w:p>
    <w:p>
      <w:pPr>
        <w:ind w:right="180" w:firstLine="734"/>
        <w:spacing w:after="0" w:line="238" w:lineRule="auto"/>
        <w:rPr>
          <w:sz w:val="20"/>
          <w:szCs w:val="20"/>
          <w:color w:val="auto"/>
        </w:rPr>
      </w:pPr>
      <w:r>
        <w:rPr>
          <w:rFonts w:ascii="Arial" w:cs="Arial" w:eastAsia="Arial" w:hAnsi="Arial"/>
          <w:sz w:val="18"/>
          <w:szCs w:val="18"/>
          <w:color w:val="auto"/>
        </w:rPr>
        <w:t>We recorded acquired in-process research and development expenses of $5.1 million in the year ended December 31, 2019. This was due to the acquisition of in-process research and development from uniQure as a result of the execution of an Amended and Restated Collaboration and License Agreement and a separate Collaboration and License Agreement with uniQure. See Note 6 to our financial statements included elsewhere in this report for further discussion regarding the accounting treatment of this transaction. We did not incur any acquired in-process research and development expenses in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General and administrative expenses increased $3.3 million, or 24%, from the year ended December 31, 2019 to the year ended</w:t>
      </w:r>
    </w:p>
    <w:p>
      <w:pPr>
        <w:spacing w:after="0"/>
        <w:rPr>
          <w:sz w:val="20"/>
          <w:szCs w:val="20"/>
          <w:color w:val="auto"/>
        </w:rPr>
      </w:pPr>
      <w:r>
        <w:rPr>
          <w:rFonts w:ascii="Arial" w:cs="Arial" w:eastAsia="Arial" w:hAnsi="Arial"/>
          <w:sz w:val="18"/>
          <w:szCs w:val="18"/>
          <w:color w:val="auto"/>
        </w:rPr>
        <w:t>December 31, 2020. The increase was due to the following:</w:t>
      </w:r>
    </w:p>
    <w:p>
      <w:pPr>
        <w:spacing w:after="0" w:line="104" w:lineRule="exact"/>
        <w:rPr>
          <w:sz w:val="20"/>
          <w:szCs w:val="20"/>
          <w:color w:val="auto"/>
        </w:rPr>
      </w:pPr>
    </w:p>
    <w:p>
      <w:pPr>
        <w:ind w:left="1020" w:right="80" w:hanging="283"/>
        <w:spacing w:after="0" w:line="246"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$3.0 million increase for personnel costs including a $1.2 million increase in employee and nonemployee director stock-based compensation expense;</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$2.2 million increase for professional services, including legal, accounting and other advisory services; and</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$0.8 million increase for allocated overhead, including rent, equipment, depreciation, information technology costs and utilities.</w:t>
      </w:r>
    </w:p>
    <w:p>
      <w:pPr>
        <w:spacing w:after="0" w:line="144" w:lineRule="exact"/>
        <w:rPr>
          <w:sz w:val="20"/>
          <w:szCs w:val="20"/>
          <w:color w:val="auto"/>
        </w:rPr>
      </w:pPr>
    </w:p>
    <w:p>
      <w:pPr>
        <w:ind w:right="100" w:firstLine="734"/>
        <w:spacing w:after="0"/>
        <w:rPr>
          <w:sz w:val="20"/>
          <w:szCs w:val="20"/>
          <w:color w:val="auto"/>
        </w:rPr>
      </w:pPr>
      <w:r>
        <w:rPr>
          <w:rFonts w:ascii="Arial" w:cs="Arial" w:eastAsia="Arial" w:hAnsi="Arial"/>
          <w:sz w:val="18"/>
          <w:szCs w:val="18"/>
          <w:color w:val="auto"/>
        </w:rPr>
        <w:t>These increases were partially offset by a $2.6 million decrease for public offering costs expensed in the year ended December 31, 2019, as a result of delays in the IPO process in 2019. We completed our IPO in December 2020 and the related offering costs were recorded within additional paid-in capital and reduced the IPO gross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22" w:lineRule="exact"/>
        <w:rPr>
          <w:sz w:val="20"/>
          <w:szCs w:val="20"/>
          <w:color w:val="auto"/>
        </w:rPr>
      </w:pPr>
    </w:p>
    <w:p>
      <w:pPr>
        <w:ind w:right="340" w:firstLine="734"/>
        <w:spacing w:after="0" w:line="246" w:lineRule="auto"/>
        <w:rPr>
          <w:sz w:val="20"/>
          <w:szCs w:val="20"/>
          <w:color w:val="auto"/>
        </w:rPr>
      </w:pPr>
      <w:r>
        <w:rPr>
          <w:rFonts w:ascii="Arial" w:cs="Arial" w:eastAsia="Arial" w:hAnsi="Arial"/>
          <w:sz w:val="18"/>
          <w:szCs w:val="18"/>
          <w:color w:val="auto"/>
        </w:rPr>
        <w:t>Other income (expense) decreased $1.5 million from the year ended December 31, 2019 to the year ended December 31, 2020 primarily due to lower interest income because of lower interest rates.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right="60" w:firstLine="734"/>
        <w:spacing w:after="0"/>
        <w:rPr>
          <w:sz w:val="20"/>
          <w:szCs w:val="20"/>
          <w:color w:val="auto"/>
        </w:rPr>
      </w:pPr>
      <w:r>
        <w:rPr>
          <w:rFonts w:ascii="Arial" w:cs="Arial" w:eastAsia="Arial" w:hAnsi="Arial"/>
          <w:sz w:val="18"/>
          <w:szCs w:val="18"/>
          <w:color w:val="auto"/>
        </w:rPr>
        <w:t>We have funded our operations primarily through the sale and issuance of our equity securities, including from the sale of our common stock in our IPO and the sale of our Series A, Series A-1, Series B and Series C redeemable preferred stock, and to a lesser extent from cash received pursuant to our collaboration and license agreements.</w:t>
      </w:r>
    </w:p>
    <w:p>
      <w:pPr>
        <w:spacing w:after="0" w:line="203"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In December 2020, we completed our IPO. We issued and sold 9,660,000 shares of common stock at a price to the public of $23.00 per share. The aggregate net proceeds from our IPO were $204.7 million after deducting underwriting discounts and commissions and other offering costs. As of December 31, 2020, we had cash and cash equivalents of $276.7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have experienced recurring net losses and had an accumulated deficit of $135.7 million for the year ended December 31, 2020. Our transition to profitability is dependent upon the successful development, approval and commercialization of our product candidates and those of our collaboration partners and achieving a level of revenue adequate to support our cost structure. We expect to continue to incur losses for the foreseeable future.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9" w:name="page150"/>
    <w:bookmarkEnd w:id="149"/>
    <w:p>
      <w:pPr>
        <w:ind w:right="60" w:firstLine="734"/>
        <w:spacing w:after="0" w:line="238" w:lineRule="auto"/>
        <w:rPr>
          <w:sz w:val="20"/>
          <w:szCs w:val="20"/>
          <w:color w:val="auto"/>
        </w:rPr>
      </w:pPr>
      <w:r>
        <w:rPr>
          <w:rFonts w:ascii="Arial" w:cs="Arial" w:eastAsia="Arial" w:hAnsi="Arial"/>
          <w:sz w:val="18"/>
          <w:szCs w:val="18"/>
          <w:color w:val="auto"/>
        </w:rPr>
        <w:t>We expect that our research and development and general and administrative expenses will continue to increase for the foreseeable future. Additionally, we expect our capital expenditures will increase significantly in the future for costs associated with building additional manufacturing capacity.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202"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4" w:lineRule="exact"/>
        <w:rPr>
          <w:sz w:val="20"/>
          <w:szCs w:val="20"/>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progress of our current and future product candidates through preclinical and clinical development;</w:t>
      </w:r>
    </w:p>
    <w:p>
      <w:pPr>
        <w:spacing w:after="0" w:line="144" w:lineRule="exact"/>
        <w:rPr>
          <w:rFonts w:ascii="Arial" w:cs="Arial" w:eastAsia="Arial" w:hAnsi="Arial"/>
          <w:sz w:val="18"/>
          <w:szCs w:val="18"/>
          <w:color w:val="auto"/>
        </w:rPr>
      </w:pPr>
    </w:p>
    <w:p>
      <w:pPr>
        <w:ind w:left="1020" w:right="20" w:hanging="283"/>
        <w:spacing w:after="0" w:line="246"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potential delays in our preclinical studies and clinical trials, whether current or planned, due to the COVID-19 pandemic, or other factors;</w:t>
      </w:r>
    </w:p>
    <w:p>
      <w:pPr>
        <w:spacing w:after="0" w:line="88" w:lineRule="exact"/>
        <w:rPr>
          <w:rFonts w:ascii="Arial" w:cs="Arial" w:eastAsia="Arial" w:hAnsi="Arial"/>
          <w:sz w:val="18"/>
          <w:szCs w:val="18"/>
          <w:color w:val="auto"/>
        </w:rPr>
      </w:pPr>
    </w:p>
    <w:p>
      <w:pPr>
        <w:ind w:left="1020" w:right="40" w:hanging="283"/>
        <w:spacing w:after="0" w:line="246"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expanding our manufacturing facilities and working with our contract manufacturers to scale up the manufacturing processes for our product candidates;</w:t>
      </w:r>
    </w:p>
    <w:p>
      <w:pPr>
        <w:spacing w:after="0" w:line="88"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continuing our research and discovery activities;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continuing the development of our Therapeutic Vector Evolution platform;</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initiating and conducting additional preclinical, clinical or other studies for our product candidates;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changing or adding additional contract manufacturers or suppliers;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seeking regulatory approvals and marketing authorizations for our product candidates;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establishing sales, marketing and distribution infrastructure to commercialize any products for which we obtain approval;</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acquiring or in-licensing product candidates, intellectual property and technologies;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making milestone, royalty or other payments due under any current or future collaboration or license agreements;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obtaining, maintaining, expanding, protecting and enforcing our intellectual property portfolio;</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potential delays or other issues related to our operations;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meeting the requirements and demands of being a public company;</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defending against any product liability claims or other lawsuits related to our products; and</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52" w:lineRule="exact"/>
        <w:rPr>
          <w:sz w:val="20"/>
          <w:szCs w:val="20"/>
          <w:color w:val="auto"/>
        </w:rPr>
      </w:pPr>
    </w:p>
    <w:p>
      <w:pPr>
        <w:ind w:right="260" w:firstLine="734"/>
        <w:spacing w:after="0" w:line="246" w:lineRule="auto"/>
        <w:rPr>
          <w:sz w:val="20"/>
          <w:szCs w:val="20"/>
          <w:color w:val="auto"/>
        </w:rPr>
      </w:pPr>
      <w:r>
        <w:rPr>
          <w:rFonts w:ascii="Arial" w:cs="Arial" w:eastAsia="Arial" w:hAnsi="Arial"/>
          <w:sz w:val="18"/>
          <w:szCs w:val="18"/>
          <w:color w:val="auto"/>
        </w:rPr>
        <w:t>We believe that our existing cash and cash equivalents will allow us to fund our planned operations for at least one year from the date of the issuance of the financial statements for the year ended December 31, 2020.</w:t>
      </w:r>
    </w:p>
    <w:p>
      <w:pPr>
        <w:spacing w:after="0" w:line="197"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sooner than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0" w:name="page151"/>
    <w:bookmarkEnd w:id="150"/>
    <w:p>
      <w:pPr>
        <w:ind w:right="300"/>
        <w:spacing w:after="0"/>
        <w:rPr>
          <w:sz w:val="20"/>
          <w:szCs w:val="20"/>
          <w:color w:val="auto"/>
        </w:rPr>
      </w:pPr>
      <w:r>
        <w:rPr>
          <w:rFonts w:ascii="Arial" w:cs="Arial" w:eastAsia="Arial" w:hAnsi="Arial"/>
          <w:sz w:val="18"/>
          <w:szCs w:val="18"/>
          <w:color w:val="auto"/>
        </w:rPr>
        <w:t>currently projected, which may not be available to us on acceptable terms, or at all. Our failure to raise capital as and when needed would have a negative impact on our financial condition and our ability to pursue our business strategy. See the section titled “Risk Factors” for additional risks associated with our substantial capital requirements.</w:t>
      </w:r>
    </w:p>
    <w:p>
      <w:pPr>
        <w:spacing w:after="0" w:line="203"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We do not have any committed external sources of funds. Accordingly, we will be required to obtain further funding through public or private equity offerings, debt financings, collaborations and licensing arrangements or other sources to complete the clinical development for the product candidates in treatment of Fabry disease, XLRP or choroideremia or any other indication we may pursue.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 Further, 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205"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If we are unable to obtain additional funding, we expect to delay, reduce or eliminate some or all of our research and development programs, product portfolio expansion or investment in internal manufacturing capabilities, which could adversely affect our business.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is a summary of cash flows for the periods indicated below (in thousands):</w:t>
      </w:r>
    </w:p>
    <w:p>
      <w:pPr>
        <w:spacing w:after="0" w:line="230"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Year Ended</w:t>
      </w:r>
    </w:p>
    <w:p>
      <w:pPr>
        <w:spacing w:after="0" w:line="14" w:lineRule="exact"/>
        <w:rPr>
          <w:sz w:val="20"/>
          <w:szCs w:val="20"/>
          <w:color w:val="auto"/>
        </w:rPr>
      </w:pPr>
    </w:p>
    <w:p>
      <w:pPr>
        <w:jc w:val="center"/>
        <w:ind w:left="7540"/>
        <w:spacing w:after="0"/>
        <w:rPr>
          <w:sz w:val="20"/>
          <w:szCs w:val="20"/>
          <w:color w:val="auto"/>
        </w:rPr>
      </w:pPr>
      <w:r>
        <w:rPr>
          <w:rFonts w:ascii="Arial" w:cs="Arial" w:eastAsia="Arial" w:hAnsi="Arial"/>
          <w:sz w:val="18"/>
          <w:szCs w:val="18"/>
          <w:b w:val="1"/>
          <w:bCs w:val="1"/>
          <w:color w:val="auto"/>
        </w:rPr>
        <w:t>December 31,</w:t>
      </w:r>
    </w:p>
    <w:tbl>
      <w:tblPr>
        <w:tblLayout w:type="fixed"/>
        <w:tblInd w:w="0" w:type="dxa"/>
        <w:tblCellMar>
          <w:top w:w="0" w:type="dxa"/>
          <w:left w:w="0" w:type="dxa"/>
          <w:bottom w:w="0" w:type="dxa"/>
          <w:right w:w="0" w:type="dxa"/>
        </w:tblCellMar>
      </w:tblPr>
      <w:tr>
        <w:trPr>
          <w:trHeight w:val="210"/>
        </w:trPr>
        <w:tc>
          <w:tcPr>
            <w:tcW w:w="770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(36,711)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(3,203)</w:t>
            </w: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278,983</w:t>
            </w:r>
          </w:p>
        </w:tc>
        <w:tc>
          <w:tcPr>
            <w:tcW w:w="18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(2,195)</w:t>
            </w: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Net increase (decrease) in cash and cash</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equivalents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227,074</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(42,109)</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26" w:lineRule="exact"/>
        <w:rPr>
          <w:sz w:val="20"/>
          <w:szCs w:val="20"/>
          <w:color w:val="auto"/>
        </w:rPr>
      </w:pPr>
    </w:p>
    <w:p>
      <w:pPr>
        <w:ind w:right="180" w:firstLine="734"/>
        <w:spacing w:after="0"/>
        <w:rPr>
          <w:sz w:val="20"/>
          <w:szCs w:val="20"/>
          <w:color w:val="auto"/>
        </w:rPr>
      </w:pPr>
      <w:r>
        <w:rPr>
          <w:rFonts w:ascii="Arial" w:cs="Arial" w:eastAsia="Arial" w:hAnsi="Arial"/>
          <w:sz w:val="18"/>
          <w:szCs w:val="18"/>
          <w:color w:val="auto"/>
        </w:rPr>
        <w:t>Net cash used in operating activities was $50.9 million for the year ended December 31, 2020. This was primarily due to the net loss of $56.7 million and an increase in prepaid expenses of $2.6 million, which were partially offset by stock-based compensation expense of $5.0 million and depreciation and amortization expense of $1.4 million and an increase in accrued and other liabilities of $1.9 million.</w:t>
      </w:r>
    </w:p>
    <w:p>
      <w:pPr>
        <w:spacing w:after="0" w:line="203" w:lineRule="exact"/>
        <w:rPr>
          <w:sz w:val="20"/>
          <w:szCs w:val="20"/>
          <w:color w:val="auto"/>
        </w:rPr>
      </w:pPr>
    </w:p>
    <w:p>
      <w:pPr>
        <w:ind w:right="360" w:firstLine="739"/>
        <w:spacing w:after="0" w:line="238" w:lineRule="auto"/>
        <w:rPr>
          <w:sz w:val="20"/>
          <w:szCs w:val="20"/>
          <w:color w:val="auto"/>
        </w:rPr>
      </w:pPr>
      <w:r>
        <w:rPr>
          <w:rFonts w:ascii="Arial" w:cs="Arial" w:eastAsia="Arial" w:hAnsi="Arial"/>
          <w:sz w:val="18"/>
          <w:szCs w:val="18"/>
          <w:color w:val="auto"/>
        </w:rPr>
        <w:t>Net cash used in operating activities was $36.7 million for the year ended December 31, 2019. This was primarily due to the net loss of $49.3 million, which was partially offset by the acquisition of in-process research and development of $5.1 million, stock-based compensation expense of $3.5 million, write-off of public offering costs of $2.6 million and depreciation and amortization expense of $1.0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26" w:lineRule="exact"/>
        <w:rPr>
          <w:sz w:val="20"/>
          <w:szCs w:val="20"/>
          <w:color w:val="auto"/>
        </w:rPr>
      </w:pPr>
    </w:p>
    <w:p>
      <w:pPr>
        <w:ind w:right="400" w:firstLine="734"/>
        <w:spacing w:after="0" w:line="246" w:lineRule="auto"/>
        <w:rPr>
          <w:sz w:val="20"/>
          <w:szCs w:val="20"/>
          <w:color w:val="auto"/>
        </w:rPr>
      </w:pPr>
      <w:r>
        <w:rPr>
          <w:rFonts w:ascii="Arial" w:cs="Arial" w:eastAsia="Arial" w:hAnsi="Arial"/>
          <w:sz w:val="18"/>
          <w:szCs w:val="18"/>
          <w:color w:val="auto"/>
        </w:rPr>
        <w:t>Net cash used in investing activities was $1.0 million for the year ended December 31, 2020, all of which was used to purchase property and equipment.</w:t>
      </w:r>
    </w:p>
    <w:p>
      <w:pPr>
        <w:spacing w:after="0" w:line="197" w:lineRule="exact"/>
        <w:rPr>
          <w:sz w:val="20"/>
          <w:szCs w:val="20"/>
          <w:color w:val="auto"/>
        </w:rPr>
      </w:pPr>
    </w:p>
    <w:p>
      <w:pPr>
        <w:ind w:right="400" w:firstLine="734"/>
        <w:spacing w:after="0" w:line="246" w:lineRule="auto"/>
        <w:rPr>
          <w:sz w:val="20"/>
          <w:szCs w:val="20"/>
          <w:color w:val="auto"/>
        </w:rPr>
      </w:pPr>
      <w:r>
        <w:rPr>
          <w:rFonts w:ascii="Arial" w:cs="Arial" w:eastAsia="Arial" w:hAnsi="Arial"/>
          <w:sz w:val="18"/>
          <w:szCs w:val="18"/>
          <w:color w:val="auto"/>
        </w:rPr>
        <w:t>Net cash used in investing activities was $3.2 million for the year ended December 31, 2019, all of which was used to purchase property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Net cash provided by financing activities was $279.0 million for the year ended December 31, 2020, which was primarily due</w:t>
      </w:r>
    </w:p>
    <w:p>
      <w:pPr>
        <w:ind w:right="300"/>
        <w:spacing w:after="0" w:line="246" w:lineRule="auto"/>
        <w:rPr>
          <w:sz w:val="20"/>
          <w:szCs w:val="20"/>
          <w:color w:val="auto"/>
        </w:rPr>
      </w:pPr>
      <w:r>
        <w:rPr>
          <w:rFonts w:ascii="Arial" w:cs="Arial" w:eastAsia="Arial" w:hAnsi="Arial"/>
          <w:sz w:val="18"/>
          <w:szCs w:val="18"/>
          <w:color w:val="auto"/>
        </w:rPr>
        <w:t>to $205.7 million of proceeds from our IPO net of paid underwriting discounts and commissions and offering costs and $72.5 million of net proceeds received from the issuance of our Series C redeemable convertible preferred stock in April and June 2020.</w:t>
      </w:r>
    </w:p>
    <w:p>
      <w:pPr>
        <w:spacing w:after="0" w:line="197" w:lineRule="exact"/>
        <w:rPr>
          <w:sz w:val="20"/>
          <w:szCs w:val="20"/>
          <w:color w:val="auto"/>
        </w:rPr>
      </w:pPr>
    </w:p>
    <w:p>
      <w:pPr>
        <w:ind w:right="220" w:firstLine="734"/>
        <w:spacing w:after="0" w:line="246" w:lineRule="auto"/>
        <w:rPr>
          <w:sz w:val="20"/>
          <w:szCs w:val="20"/>
          <w:color w:val="auto"/>
        </w:rPr>
      </w:pPr>
      <w:r>
        <w:rPr>
          <w:rFonts w:ascii="Arial" w:cs="Arial" w:eastAsia="Arial" w:hAnsi="Arial"/>
          <w:sz w:val="18"/>
          <w:szCs w:val="18"/>
          <w:color w:val="auto"/>
        </w:rPr>
        <w:t>Net cash used in financing activities was $2.2 million for the year ended December 31, 2019, which was primarily for payments of public offering costs of $2.3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6"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Our commitments include obligations under vendor contracts to provide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These amounts are not fixed and determinable and therefore are not included in the table below.</w:t>
      </w:r>
    </w:p>
    <w:p>
      <w:pPr>
        <w:spacing w:after="0" w:line="205" w:lineRule="exact"/>
        <w:rPr>
          <w:sz w:val="20"/>
          <w:szCs w:val="20"/>
          <w:color w:val="auto"/>
        </w:rPr>
      </w:pPr>
    </w:p>
    <w:p>
      <w:pPr>
        <w:ind w:right="840" w:firstLine="734"/>
        <w:spacing w:after="0" w:line="246" w:lineRule="auto"/>
        <w:rPr>
          <w:sz w:val="20"/>
          <w:szCs w:val="20"/>
          <w:color w:val="auto"/>
        </w:rPr>
      </w:pPr>
      <w:r>
        <w:rPr>
          <w:rFonts w:ascii="Arial" w:cs="Arial" w:eastAsia="Arial" w:hAnsi="Arial"/>
          <w:sz w:val="18"/>
          <w:szCs w:val="18"/>
          <w:color w:val="auto"/>
        </w:rPr>
        <w:t>The following table summarizes our contractual obligations, commitments and contingencies as of December 31, 2020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20"/>
              <w:spacing w:after="0" w:line="187" w:lineRule="exact"/>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70"/>
              <w:spacing w:after="0" w:line="187" w:lineRule="exact"/>
              <w:rPr>
                <w:sz w:val="20"/>
                <w:szCs w:val="20"/>
                <w:color w:val="auto"/>
              </w:rPr>
            </w:pPr>
            <w:r>
              <w:rPr>
                <w:rFonts w:ascii="Arial" w:cs="Arial" w:eastAsia="Arial" w:hAnsi="Arial"/>
                <w:sz w:val="18"/>
                <w:szCs w:val="18"/>
                <w:b w:val="1"/>
                <w:bCs w:val="1"/>
                <w:color w:val="auto"/>
                <w:w w:val="98"/>
              </w:rPr>
              <w:t>More Than</w:t>
            </w:r>
          </w:p>
        </w:tc>
      </w:tr>
      <w:tr>
        <w:trPr>
          <w:trHeight w:val="225"/>
        </w:trPr>
        <w:tc>
          <w:tcPr>
            <w:tcW w:w="4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 Year</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1-3 Years</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3-5 Years</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payments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27,389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2,956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6,150</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6,463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11,820</w:t>
            </w:r>
          </w:p>
        </w:tc>
      </w:tr>
      <w:tr>
        <w:trPr>
          <w:trHeight w:val="20"/>
        </w:trPr>
        <w:tc>
          <w:tcPr>
            <w:tcW w:w="4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10"/>
        </w:trPr>
        <w:tc>
          <w:tcPr>
            <w:tcW w:w="428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27,389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6,463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11,820</w:t>
            </w: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October 2018, we entered into a long-term lease for additional office and laboratory space in Emeryville, California, at a cost of</w:t>
      </w:r>
    </w:p>
    <w:p>
      <w:pPr>
        <w:spacing w:after="0" w:line="234" w:lineRule="auto"/>
        <w:rPr>
          <w:sz w:val="20"/>
          <w:szCs w:val="20"/>
          <w:color w:val="auto"/>
        </w:rPr>
      </w:pPr>
      <w:r>
        <w:rPr>
          <w:rFonts w:ascii="Arial" w:cs="Arial" w:eastAsia="Arial" w:hAnsi="Arial"/>
          <w:sz w:val="18"/>
          <w:szCs w:val="18"/>
          <w:color w:val="auto"/>
        </w:rPr>
        <w:t>$9.3 million over an 87-month term (the “Second Lease”). We concurrently amended our existing lease to extend the lease term to end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same time as the Second Lease.</w:t>
      </w:r>
    </w:p>
    <w:p>
      <w:pPr>
        <w:spacing w:after="0" w:line="212" w:lineRule="exact"/>
        <w:rPr>
          <w:sz w:val="20"/>
          <w:szCs w:val="20"/>
          <w:color w:val="auto"/>
        </w:rPr>
      </w:pPr>
    </w:p>
    <w:p>
      <w:pPr>
        <w:jc w:val="both"/>
        <w:ind w:right="500" w:firstLine="734"/>
        <w:spacing w:after="0" w:line="274" w:lineRule="auto"/>
        <w:rPr>
          <w:sz w:val="20"/>
          <w:szCs w:val="20"/>
          <w:color w:val="auto"/>
        </w:rPr>
      </w:pPr>
      <w:r>
        <w:rPr>
          <w:rFonts w:ascii="Arial" w:cs="Arial" w:eastAsia="Arial" w:hAnsi="Arial"/>
          <w:sz w:val="17"/>
          <w:szCs w:val="17"/>
          <w:color w:val="auto"/>
        </w:rPr>
        <w:t>In May 2019, we amended the Second Lease (the “Second Lease Amendment”) to add 17,497 square feet to the space being leased pursuant to the Second Lease. The Second Lease Amendment extended the term of the Second Lease to December 31, 2029.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6" w:lineRule="exact"/>
        <w:rPr>
          <w:sz w:val="20"/>
          <w:szCs w:val="20"/>
          <w:color w:val="auto"/>
        </w:rPr>
      </w:pPr>
    </w:p>
    <w:p>
      <w:pPr>
        <w:ind w:right="300" w:firstLine="734"/>
        <w:spacing w:after="0" w:line="238" w:lineRule="auto"/>
        <w:rPr>
          <w:sz w:val="20"/>
          <w:szCs w:val="20"/>
          <w:color w:val="auto"/>
        </w:rPr>
      </w:pPr>
      <w:r>
        <w:rPr>
          <w:rFonts w:ascii="Arial" w:cs="Arial" w:eastAsia="Arial" w:hAnsi="Arial"/>
          <w:sz w:val="18"/>
          <w:szCs w:val="18"/>
          <w:color w:val="auto"/>
        </w:rPr>
        <w:t>Our financial statements have prepared in accordance with generally accepted accounting principles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 and expenses during the reported periods. We evaluate these estimates and assumptions on an ongoing basis. We base our estimates on historical experience and on various other factors that we believe are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2" w:name="page153"/>
    <w:bookmarkEnd w:id="152"/>
    <w:p>
      <w:pPr>
        <w:ind w:right="460"/>
        <w:spacing w:after="0"/>
        <w:rPr>
          <w:sz w:val="20"/>
          <w:szCs w:val="20"/>
          <w:color w:val="auto"/>
        </w:rPr>
      </w:pPr>
      <w:r>
        <w:rPr>
          <w:rFonts w:ascii="Arial" w:cs="Arial" w:eastAsia="Arial" w:hAnsi="Arial"/>
          <w:sz w:val="18"/>
          <w:szCs w:val="18"/>
          <w:color w:val="auto"/>
        </w:rPr>
        <w:t>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3" w:lineRule="exact"/>
        <w:rPr>
          <w:sz w:val="20"/>
          <w:szCs w:val="20"/>
          <w:color w:val="auto"/>
        </w:rPr>
      </w:pPr>
    </w:p>
    <w:p>
      <w:pPr>
        <w:ind w:right="80" w:firstLine="734"/>
        <w:spacing w:after="0"/>
        <w:rPr>
          <w:sz w:val="20"/>
          <w:szCs w:val="20"/>
          <w:color w:val="auto"/>
        </w:rPr>
      </w:pPr>
      <w:r>
        <w:rPr>
          <w:rFonts w:ascii="Arial" w:cs="Arial" w:eastAsia="Arial" w:hAnsi="Arial"/>
          <w:sz w:val="18"/>
          <w:szCs w:val="18"/>
          <w:color w:val="auto"/>
        </w:rPr>
        <w:t>Our significant accounting policies are described in Note 2 to our financial statements included elsewhere in this report. We believe the following accounting policies are critical to the process of making significant judgments and estimates in the preparation of our financial statements and understanding and evaluating our reported financial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determine revenue recognition for arrangements within the scope of ASC 606 by performing the following five steps:</w:t>
      </w:r>
    </w:p>
    <w:p>
      <w:pPr>
        <w:ind w:right="60" w:firstLine="8"/>
        <w:spacing w:after="0" w:line="238" w:lineRule="auto"/>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spacing w:after="0" w:line="205"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Our revenue is primarily derived through our license, research, development and commercialization agreements. The terms of these types of agreements may include (i) licenses to our technology,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may require deferral of revenue recognition to a future period until performance obligations are met. The event-based milestone payments, royalties and cost reimbursements represent variable consideration, and we use the most likely amount method to estimate this variable consideration. Royalty payments are recognized when earned or as the sales occur. We record cost reimbursements as accounts receivable when right to consideration is unconditional.</w:t>
      </w:r>
    </w:p>
    <w:p>
      <w:pPr>
        <w:spacing w:after="0" w:line="20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We allocate the total transaction price to each performance obligation based on the estimated selling price and recognize revenue when, or as, the performance obligation is satisfied. We include the unconstrained amount of estimated variable consideration in the transaction price. At the end of each reporting period, we re-evaluate the estimated variable consideration included in the transaction price and any related constraint, and if necessary, adjust our estimate of the overall transaction price.</w:t>
      </w:r>
    </w:p>
    <w:p>
      <w:pPr>
        <w:spacing w:after="0" w:line="202" w:lineRule="exact"/>
        <w:rPr>
          <w:sz w:val="20"/>
          <w:szCs w:val="20"/>
          <w:color w:val="auto"/>
        </w:rPr>
      </w:pPr>
    </w:p>
    <w:p>
      <w:pPr>
        <w:ind w:right="240" w:firstLine="734"/>
        <w:spacing w:after="0"/>
        <w:rPr>
          <w:sz w:val="20"/>
          <w:szCs w:val="20"/>
          <w:color w:val="auto"/>
        </w:rPr>
      </w:pPr>
      <w:r>
        <w:rPr>
          <w:rFonts w:ascii="Arial" w:cs="Arial" w:eastAsia="Arial" w:hAnsi="Arial"/>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the expected remaining period of performance and the associated expenses incurred for the service when we have not yet been invoiced or otherwise notified of actual cost. Depending on the timing of payments to the service providers and the estimated expenses incurred, we may record net prepaid or accrued research and development expenses relating to these costs.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53" w:name="page154"/>
    <w:bookmarkEnd w:id="153"/>
    <w:p>
      <w:pPr>
        <w:ind w:left="74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04" w:lineRule="exact"/>
        <w:rPr>
          <w:sz w:val="20"/>
          <w:szCs w:val="20"/>
          <w:color w:val="auto"/>
        </w:rPr>
      </w:pPr>
    </w:p>
    <w:p>
      <w:pPr>
        <w:ind w:left="1020" w:hanging="28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CROs in connection with preclinical development and clinical studies; and</w:t>
      </w:r>
    </w:p>
    <w:p>
      <w:pPr>
        <w:spacing w:after="0" w:line="144" w:lineRule="exact"/>
        <w:rPr>
          <w:rFonts w:ascii="Arial" w:cs="Arial" w:eastAsia="Arial" w:hAnsi="Arial"/>
          <w:sz w:val="18"/>
          <w:szCs w:val="18"/>
          <w:color w:val="auto"/>
        </w:rPr>
      </w:pPr>
    </w:p>
    <w:p>
      <w:pPr>
        <w:ind w:left="1020" w:right="40" w:hanging="283"/>
        <w:spacing w:after="0" w:line="246"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CMOs and other vendors related to process development and manufacturing of materials for use in preclinical development and clinical studies.</w:t>
      </w:r>
    </w:p>
    <w:p>
      <w:pPr>
        <w:spacing w:after="0" w:line="197"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amounts actually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6" w:lineRule="exact"/>
        <w:rPr>
          <w:sz w:val="20"/>
          <w:szCs w:val="20"/>
          <w:color w:val="auto"/>
        </w:rPr>
      </w:pPr>
    </w:p>
    <w:p>
      <w:pPr>
        <w:jc w:val="both"/>
        <w:ind w:right="140" w:firstLine="734"/>
        <w:spacing w:after="0"/>
        <w:rPr>
          <w:sz w:val="20"/>
          <w:szCs w:val="20"/>
          <w:color w:val="auto"/>
        </w:rPr>
      </w:pPr>
      <w:r>
        <w:rPr>
          <w:rFonts w:ascii="Arial" w:cs="Arial" w:eastAsia="Arial" w:hAnsi="Arial"/>
          <w:sz w:val="18"/>
          <w:szCs w:val="18"/>
          <w:color w:val="auto"/>
        </w:rPr>
        <w:t>We use a fair value-based method to account for all stock-based compensation arrangements with employees and nonemployees including stock options and stock awards. Our determination of the fair value of stock options on the date of grant utilizes the Black-Scholes option pricing model.</w:t>
      </w:r>
    </w:p>
    <w:p>
      <w:pPr>
        <w:spacing w:after="0" w:line="203"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fair value of the option granted is recognized on a straight-line basis over the period during which an optionee is required to provide services in exchange for the option award, known as the requisite service period, which usually is the vesting period. Prior to January 1, 2020, the stock-based compensation expense for nonemployees was subject to remeasurement until the related vesting conditions were met. Effective January 1, 2020, the measurement date for nonemployee awards is the date of grant without changes in the fair value of the award. We account for forfeitures as they occur for both employees and nonemployees.</w:t>
      </w:r>
    </w:p>
    <w:p>
      <w:pPr>
        <w:spacing w:after="0" w:line="202" w:lineRule="exact"/>
        <w:rPr>
          <w:sz w:val="20"/>
          <w:szCs w:val="20"/>
          <w:color w:val="auto"/>
        </w:rPr>
      </w:pPr>
    </w:p>
    <w:p>
      <w:pPr>
        <w:ind w:right="280" w:firstLine="734"/>
        <w:spacing w:after="0" w:line="246" w:lineRule="auto"/>
        <w:rPr>
          <w:sz w:val="20"/>
          <w:szCs w:val="20"/>
          <w:color w:val="auto"/>
        </w:rPr>
      </w:pPr>
      <w:r>
        <w:rPr>
          <w:rFonts w:ascii="Arial" w:cs="Arial" w:eastAsia="Arial" w:hAnsi="Arial"/>
          <w:sz w:val="18"/>
          <w:szCs w:val="18"/>
          <w:color w:val="auto"/>
        </w:rPr>
        <w:t>Estimates of the fair value of equity awards as of the grant date using valuation models such as the Black-Scholes option pricing model are affected by assumptions with a number of complex variables.</w:t>
      </w:r>
    </w:p>
    <w:p>
      <w:pPr>
        <w:spacing w:after="0" w:line="197" w:lineRule="exact"/>
        <w:rPr>
          <w:sz w:val="20"/>
          <w:szCs w:val="20"/>
          <w:color w:val="auto"/>
        </w:rPr>
      </w:pPr>
    </w:p>
    <w:p>
      <w:pPr>
        <w:ind w:right="660" w:firstLine="734"/>
        <w:spacing w:after="0" w:line="238" w:lineRule="auto"/>
        <w:rPr>
          <w:sz w:val="20"/>
          <w:szCs w:val="20"/>
          <w:color w:val="auto"/>
        </w:rPr>
      </w:pPr>
      <w:r>
        <w:rPr>
          <w:rFonts w:ascii="Arial" w:cs="Arial" w:eastAsia="Arial" w:hAnsi="Arial"/>
          <w:sz w:val="18"/>
          <w:szCs w:val="18"/>
          <w:color w:val="auto"/>
        </w:rPr>
        <w:t>Changes in the following assumptions can materially affect the estimate of fair value and ultimately how much stock-based compensation expense is recognized; and the resulting change in fair value, if any, is recognized in our statement of operations and comprehensive loss during the period the related services are rendered. These inputs are subjective and generally require significant analysis and judgment to develop:</w:t>
      </w:r>
    </w:p>
    <w:p>
      <w:pPr>
        <w:spacing w:after="0" w:line="79" w:lineRule="exact"/>
        <w:rPr>
          <w:sz w:val="20"/>
          <w:szCs w:val="20"/>
          <w:color w:val="auto"/>
        </w:rPr>
      </w:pPr>
    </w:p>
    <w:p>
      <w:pPr>
        <w:jc w:val="both"/>
        <w:ind w:left="1020" w:right="60" w:hanging="283"/>
        <w:spacing w:after="0" w:line="250"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for employee options is calculated using the simplified method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information to provide a basis for estimate. The simplified method is based on the average of the vesting tranches and the contractual life of each grant.</w:t>
      </w:r>
    </w:p>
    <w:p>
      <w:pPr>
        <w:spacing w:after="0" w:line="68" w:lineRule="exact"/>
        <w:rPr>
          <w:rFonts w:ascii="Arial" w:cs="Arial" w:eastAsia="Arial" w:hAnsi="Arial"/>
          <w:sz w:val="18"/>
          <w:szCs w:val="18"/>
          <w:color w:val="auto"/>
        </w:rPr>
      </w:pPr>
    </w:p>
    <w:p>
      <w:pPr>
        <w:ind w:left="1020" w:right="100" w:hanging="283"/>
        <w:spacing w:after="0" w:line="245"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expected volatility was estimated based on a study of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industry peer companies as we did not have sufficient trading history for our common stock. We selected the peer group based on similarities in industry, stage of development, size and financial leverage with our principal business operations. For each grant, we measured historical volatility over a period equivalent to the expected term.</w:t>
      </w:r>
    </w:p>
    <w:p>
      <w:pPr>
        <w:spacing w:after="0" w:line="72" w:lineRule="exact"/>
        <w:rPr>
          <w:rFonts w:ascii="Arial" w:cs="Arial" w:eastAsia="Arial" w:hAnsi="Arial"/>
          <w:sz w:val="18"/>
          <w:szCs w:val="18"/>
          <w:color w:val="auto"/>
        </w:rPr>
      </w:pPr>
    </w:p>
    <w:p>
      <w:pPr>
        <w:ind w:left="1020" w:right="120" w:hanging="283"/>
        <w:spacing w:after="0" w:line="267"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similar in duration to the expected term of the respective stock option.</w:t>
      </w:r>
    </w:p>
    <w:p>
      <w:pPr>
        <w:spacing w:after="0" w:line="52" w:lineRule="exact"/>
        <w:rPr>
          <w:rFonts w:ascii="Arial" w:cs="Arial" w:eastAsia="Arial" w:hAnsi="Arial"/>
          <w:sz w:val="18"/>
          <w:szCs w:val="18"/>
          <w:color w:val="auto"/>
        </w:rPr>
      </w:pPr>
    </w:p>
    <w:p>
      <w:pPr>
        <w:ind w:left="1020" w:right="660" w:hanging="283"/>
        <w:spacing w:after="0" w:line="267"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not paid and do not currently anticipate paying any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we have estimated the dividend yield to be zero.</w:t>
      </w:r>
    </w:p>
    <w:p>
      <w:pPr>
        <w:spacing w:after="0" w:line="178"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As of December 31, 2020, the unrecognized stock-based compensation expense related to stock options was $ 19.4 million and is expected to be recognized as expense over a weighted-average period of approximately 3.1 years. The intrinsic value of all outstanding stock options as of December 31, 2020 was approximately $97.1 million, of which approximately $44.8 million related to vested options and approximately $52.3 million related to unvested options.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6" w:lineRule="exact"/>
        <w:rPr>
          <w:sz w:val="20"/>
          <w:szCs w:val="20"/>
          <w:color w:val="auto"/>
        </w:rPr>
      </w:pPr>
    </w:p>
    <w:p>
      <w:pPr>
        <w:ind w:right="60" w:firstLine="734"/>
        <w:spacing w:after="0" w:line="237" w:lineRule="auto"/>
        <w:rPr>
          <w:sz w:val="20"/>
          <w:szCs w:val="20"/>
          <w:color w:val="auto"/>
        </w:rPr>
      </w:pPr>
      <w:r>
        <w:rPr>
          <w:rFonts w:ascii="Arial" w:cs="Arial" w:eastAsia="Arial" w:hAnsi="Arial"/>
          <w:sz w:val="18"/>
          <w:szCs w:val="18"/>
          <w:color w:val="auto"/>
        </w:rPr>
        <w:t>Prior to our IPO in December 2020, the estimated fair value of the common stock underlying our stock options and stock awards was determined at each grant date by our board of directors, with assistance from management and external appraisers. All options to purchase shares of our common stock were intended to be exercisable at a price per share not less than the per-share fair value of our common stock underlying those options on the date of grant. The approach to estimate the fair value of our common stock was consistent with the methods outlined in the American Institute of Certified Public Accountants’ Practice Aid, Valuation of Privately-Held-Company Equity Securities Issued as Compensation. Subsequent to our IPO, the fair value of our common stock is determined based on its closing market price as reported on the Nasdaq Global Select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We account for income taxes under the asset and liability method, which requires, among other things, that deferred income taxes be provided for temporary differences between the financial statement reporting and tax basis of our assets and liabilities.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202"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We account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0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NOLs and tax credit carryforwards are subject to review and possible adjustment by the Internal Revenue Service (IRS) and may become subject to an annual limitation in the event of certain cumulative changes in the ownership interest of significant stockholders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our value immediately prior to the ownership change. We have experienced ownership changes in the past. As a result of the ownership changes, we determined that $0.9 million of our NOLs will expire unutilized for federal income tax purposes and such amounts are excluded from our NOLs as of December 31, 2020. Subsequent ownership changes may result in additional limitations.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w:t>
      </w:r>
    </w:p>
    <w:p>
      <w:pPr>
        <w:spacing w:after="0"/>
        <w:rPr>
          <w:sz w:val="20"/>
          <w:szCs w:val="20"/>
          <w:color w:val="auto"/>
        </w:rPr>
      </w:pPr>
      <w:r>
        <w:rPr>
          <w:rFonts w:ascii="Arial" w:cs="Arial" w:eastAsia="Arial" w:hAnsi="Arial"/>
          <w:sz w:val="18"/>
          <w:szCs w:val="18"/>
          <w:color w:val="auto"/>
        </w:rPr>
        <w:t>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6"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may delay adopting new or revised accounting standards issued subsequent to the enactment of the JOBS Act until such time as those standards apply to private companies. We have elected to avail ourselves of this exemption from new or revised accounting standards and, therefore, while we are an emerging growth company, we will not be subject to new or revised accounting standards at the same time that they become applicable to other public companies that are not emerging growth companies. As a result, our financial statements may not be comparable to companies that comply with new or revised accounting pronouncements as of public company effective dates.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55" w:name="page156"/>
    <w:bookmarkEnd w:id="155"/>
    <w:p>
      <w:pPr>
        <w:ind w:right="60" w:firstLine="734"/>
        <w:spacing w:after="0" w:line="237" w:lineRule="auto"/>
        <w:rPr>
          <w:sz w:val="20"/>
          <w:szCs w:val="20"/>
          <w:color w:val="auto"/>
        </w:rPr>
      </w:pPr>
      <w:r>
        <w:rPr>
          <w:rFonts w:ascii="Arial" w:cs="Arial" w:eastAsia="Arial" w:hAnsi="Arial"/>
          <w:sz w:val="18"/>
          <w:szCs w:val="18"/>
          <w:color w:val="auto"/>
        </w:rPr>
        <w:t>We will remain an emerging growth company until the earlier of (i) the last day of the year following the fifth anniversary of the completion of our IPO, (ii) the last day of the year in which we have total annual gross revenue of at least $1.07 billion, (iii)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95" w:lineRule="exact"/>
        <w:rPr>
          <w:sz w:val="20"/>
          <w:szCs w:val="20"/>
          <w:color w:val="auto"/>
        </w:rPr>
      </w:pPr>
    </w:p>
    <w:p>
      <w:pPr>
        <w:ind w:left="1020" w:right="140" w:hanging="283"/>
        <w:spacing w:after="0" w:line="246"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for any interim period, and related management’s discussion and analysis of financial condition and results of operations;</w:t>
      </w:r>
    </w:p>
    <w:p>
      <w:pPr>
        <w:spacing w:after="0" w:line="88" w:lineRule="exact"/>
        <w:rPr>
          <w:rFonts w:ascii="Arial" w:cs="Arial" w:eastAsia="Arial" w:hAnsi="Arial"/>
          <w:sz w:val="18"/>
          <w:szCs w:val="18"/>
          <w:color w:val="auto"/>
        </w:rPr>
      </w:pPr>
    </w:p>
    <w:p>
      <w:pPr>
        <w:ind w:left="1020" w:right="320" w:hanging="283"/>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94" w:lineRule="exact"/>
        <w:rPr>
          <w:rFonts w:ascii="Arial" w:cs="Arial" w:eastAsia="Arial" w:hAnsi="Arial"/>
          <w:sz w:val="18"/>
          <w:szCs w:val="18"/>
          <w:color w:val="auto"/>
        </w:rPr>
      </w:pPr>
    </w:p>
    <w:p>
      <w:pPr>
        <w:ind w:left="1020" w:hanging="283"/>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44" w:lineRule="exact"/>
        <w:rPr>
          <w:rFonts w:ascii="Arial" w:cs="Arial" w:eastAsia="Arial" w:hAnsi="Arial"/>
          <w:sz w:val="18"/>
          <w:szCs w:val="18"/>
          <w:color w:val="auto"/>
        </w:rPr>
      </w:pPr>
    </w:p>
    <w:p>
      <w:pPr>
        <w:ind w:left="1020" w:hanging="283"/>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 and</w:t>
      </w:r>
    </w:p>
    <w:p>
      <w:pPr>
        <w:spacing w:after="0" w:line="144" w:lineRule="exact"/>
        <w:rPr>
          <w:rFonts w:ascii="Arial" w:cs="Arial" w:eastAsia="Arial" w:hAnsi="Arial"/>
          <w:sz w:val="18"/>
          <w:szCs w:val="18"/>
          <w:color w:val="auto"/>
        </w:rPr>
      </w:pPr>
    </w:p>
    <w:p>
      <w:pPr>
        <w:ind w:left="1020" w:hanging="283"/>
        <w:spacing w:after="0" w:line="246"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197" w:lineRule="exact"/>
        <w:rPr>
          <w:sz w:val="20"/>
          <w:szCs w:val="20"/>
          <w:color w:val="auto"/>
        </w:rPr>
      </w:pPr>
    </w:p>
    <w:p>
      <w:pPr>
        <w:ind w:right="520" w:firstLine="734"/>
        <w:spacing w:after="0" w:line="246" w:lineRule="auto"/>
        <w:rPr>
          <w:sz w:val="20"/>
          <w:szCs w:val="20"/>
          <w:color w:val="auto"/>
        </w:rPr>
      </w:pPr>
      <w:r>
        <w:rPr>
          <w:rFonts w:ascii="Arial" w:cs="Arial" w:eastAsia="Arial" w:hAnsi="Arial"/>
          <w:sz w:val="18"/>
          <w:szCs w:val="18"/>
          <w:color w:val="auto"/>
        </w:rPr>
        <w:t>As a result, the information in this report in the future may be different than what you might receive from other public reporting companies.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See Note 2 to our financial statements included elsewhere in this report for information.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and Effects of Inflation</w:t>
      </w:r>
    </w:p>
    <w:p>
      <w:pPr>
        <w:spacing w:after="0" w:line="126"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2020, we had cash and cash equivalents of $ 276.7 million, consisting of bank deposits and interest-bearing money market funds, for which the fair value would be affected by changes in the general level of U.S. interest rates. However, due to the short-term maturities of our cash equivalents, an immediate 10% change in interest rates would not have a material effect on the fair value of our cash equivalents.</w:t>
      </w:r>
    </w:p>
    <w:p>
      <w:pPr>
        <w:spacing w:after="0" w:line="94" w:lineRule="exact"/>
        <w:rPr>
          <w:sz w:val="20"/>
          <w:szCs w:val="20"/>
          <w:color w:val="auto"/>
        </w:rPr>
      </w:pPr>
    </w:p>
    <w:p>
      <w:pPr>
        <w:ind w:right="240" w:firstLine="734"/>
        <w:spacing w:after="0" w:line="246" w:lineRule="auto"/>
        <w:rPr>
          <w:sz w:val="20"/>
          <w:szCs w:val="20"/>
          <w:color w:val="auto"/>
        </w:rPr>
      </w:pPr>
      <w:r>
        <w:rPr>
          <w:rFonts w:ascii="Arial" w:cs="Arial" w:eastAsia="Arial" w:hAnsi="Arial"/>
          <w:sz w:val="18"/>
          <w:szCs w:val="18"/>
          <w:color w:val="auto"/>
        </w:rPr>
        <w:t>We do not believe that inflation or interest rate changes have had a significant impact on our results of operations for any periods presented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financial statements required by this item are set forth beginning on page F-1 of this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6" w:lineRule="exact"/>
        <w:rPr>
          <w:sz w:val="20"/>
          <w:szCs w:val="20"/>
          <w:color w:val="auto"/>
        </w:rPr>
      </w:pPr>
    </w:p>
    <w:p>
      <w:pPr>
        <w:ind w:firstLine="714"/>
        <w:spacing w:after="0" w:line="236"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and accounting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00" w:lineRule="exact"/>
        <w:rPr>
          <w:sz w:val="20"/>
          <w:szCs w:val="20"/>
          <w:color w:val="auto"/>
        </w:rPr>
      </w:pPr>
    </w:p>
    <w:p>
      <w:pPr>
        <w:ind w:right="20" w:firstLine="714"/>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Annual Report on Form 10-K. Based upon such evaluation, our principal executive officer and principal financial and accounting officer have concluded that our disclosure controls and procedures were effective at the reasonable assurance level as of such date.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22" w:lineRule="exact"/>
        <w:rPr>
          <w:sz w:val="20"/>
          <w:szCs w:val="20"/>
          <w:color w:val="auto"/>
        </w:rPr>
      </w:pPr>
    </w:p>
    <w:p>
      <w:pPr>
        <w:ind w:right="360" w:firstLine="714"/>
        <w:spacing w:after="0" w:line="246"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2020, that has materially affected, or is reasonably likely to materially affect, our internal control over financial reporting.</w:t>
      </w:r>
    </w:p>
    <w:p>
      <w:pPr>
        <w:spacing w:after="0" w:line="17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22" w:lineRule="exact"/>
        <w:rPr>
          <w:sz w:val="20"/>
          <w:szCs w:val="20"/>
          <w:color w:val="auto"/>
        </w:rPr>
      </w:pPr>
    </w:p>
    <w:p>
      <w:pPr>
        <w:jc w:val="both"/>
        <w:ind w:right="180" w:firstLine="714"/>
        <w:spacing w:after="0"/>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ind w:right="240" w:firstLine="734"/>
        <w:spacing w:after="0" w:line="238" w:lineRule="auto"/>
        <w:rPr>
          <w:sz w:val="20"/>
          <w:szCs w:val="20"/>
          <w:color w:val="auto"/>
        </w:rPr>
      </w:pPr>
      <w:r>
        <w:rPr>
          <w:rFonts w:ascii="Arial" w:cs="Arial" w:eastAsia="Arial" w:hAnsi="Arial"/>
          <w:sz w:val="18"/>
          <w:szCs w:val="18"/>
          <w:color w:val="auto"/>
        </w:rPr>
        <w:t>On March 19, 2021, William Burkoth notified our board of directors that he would not stand for reelection at our 2021 annual meeting of stockholders (the “Annual Meeting”). Mr. Burkoth will serve on our board of directors through the Annual Meeting. Mr. Burkoth’s decision to not stand for reelection was not related to any disagreement he had with us or any matter relating to our operations, policies (including accounting or financial policies) or practices.</w:t>
      </w:r>
    </w:p>
    <w:p>
      <w:pPr>
        <w:spacing w:after="0" w:line="97" w:lineRule="exact"/>
        <w:rPr>
          <w:sz w:val="20"/>
          <w:szCs w:val="20"/>
          <w:color w:val="auto"/>
        </w:rPr>
      </w:pPr>
    </w:p>
    <w:p>
      <w:pPr>
        <w:ind w:right="200" w:firstLine="734"/>
        <w:spacing w:after="0"/>
        <w:rPr>
          <w:sz w:val="20"/>
          <w:szCs w:val="20"/>
          <w:color w:val="auto"/>
        </w:rPr>
      </w:pPr>
      <w:r>
        <w:rPr>
          <w:rFonts w:ascii="Arial" w:cs="Arial" w:eastAsia="Arial" w:hAnsi="Arial"/>
          <w:sz w:val="18"/>
          <w:szCs w:val="18"/>
          <w:color w:val="auto"/>
        </w:rPr>
        <w:t>On March 20, 2021, Tony Yao, M.D., Ph.D., notified our board of directors that he was resigning from the board effective as of the date of his notification. Dr. Yao’s decision to resign was not related to any disagreement he had with us or any matter relating to our operations, policies (including accounting or financial policies) or practices.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57" w:name="page158"/>
    <w:bookmarkEnd w:id="157"/>
    <w:p>
      <w:pPr>
        <w:ind w:left="528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6"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within 120 days after December 31, 2020 (the “Proxy Statement”) and is incorporated in this Annual Report on Form 10-K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ind w:right="200" w:firstLine="734"/>
        <w:spacing w:after="0" w:line="246"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6" w:lineRule="exact"/>
        <w:rPr>
          <w:sz w:val="20"/>
          <w:szCs w:val="20"/>
          <w:color w:val="auto"/>
        </w:rPr>
      </w:pPr>
    </w:p>
    <w:p>
      <w:pPr>
        <w:ind w:right="200" w:firstLine="734"/>
        <w:spacing w:after="0" w:line="246"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ind w:right="200" w:firstLine="734"/>
        <w:spacing w:after="0" w:line="246"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6" w:lineRule="exact"/>
        <w:rPr>
          <w:sz w:val="20"/>
          <w:szCs w:val="20"/>
          <w:color w:val="auto"/>
        </w:rPr>
      </w:pPr>
    </w:p>
    <w:p>
      <w:pPr>
        <w:ind w:right="200" w:firstLine="734"/>
        <w:spacing w:after="0" w:line="246"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6" w:lineRule="exact"/>
        <w:rPr>
          <w:sz w:val="20"/>
          <w:szCs w:val="20"/>
          <w:color w:val="auto"/>
        </w:rPr>
      </w:pPr>
    </w:p>
    <w:p>
      <w:pPr>
        <w:ind w:left="1040" w:hanging="271"/>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financial statements schedules and exhibits filed as part of this Annual Report on Form 10-K are as follows:</w:t>
      </w:r>
    </w:p>
    <w:p>
      <w:pPr>
        <w:spacing w:after="0" w:line="103" w:lineRule="exact"/>
        <w:rPr>
          <w:rFonts w:ascii="Arial" w:cs="Arial" w:eastAsia="Arial" w:hAnsi="Arial"/>
          <w:sz w:val="18"/>
          <w:szCs w:val="18"/>
          <w:color w:val="auto"/>
        </w:rPr>
      </w:pPr>
    </w:p>
    <w:p>
      <w:pPr>
        <w:ind w:left="1300" w:hanging="280"/>
        <w:spacing w:after="0"/>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0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Reference is made to the financial statements included in Item 8 of Part II hereof.</w:t>
      </w:r>
    </w:p>
    <w:p>
      <w:pPr>
        <w:spacing w:after="0" w:line="10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(2) Financial Statement Schedules</w:t>
      </w:r>
    </w:p>
    <w:p>
      <w:pPr>
        <w:spacing w:after="0" w:line="104" w:lineRule="exact"/>
        <w:rPr>
          <w:sz w:val="20"/>
          <w:szCs w:val="20"/>
          <w:color w:val="auto"/>
        </w:rPr>
      </w:pPr>
    </w:p>
    <w:p>
      <w:pPr>
        <w:ind w:left="1320" w:right="600" w:hanging="259"/>
        <w:spacing w:after="0" w:line="246" w:lineRule="auto"/>
        <w:rPr>
          <w:sz w:val="20"/>
          <w:szCs w:val="20"/>
          <w:color w:val="auto"/>
        </w:rPr>
      </w:pPr>
      <w:r>
        <w:rPr>
          <w:rFonts w:ascii="Arial" w:cs="Arial" w:eastAsia="Arial" w:hAnsi="Arial"/>
          <w:sz w:val="18"/>
          <w:szCs w:val="18"/>
          <w:color w:val="auto"/>
        </w:rPr>
        <w:t>All financial statement schedules are omitted because they are not required or the required information is included in the financial statements or notes thereto.</w:t>
      </w:r>
    </w:p>
    <w:p>
      <w:pPr>
        <w:spacing w:after="0" w:line="8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(3) Exhibits</w:t>
      </w:r>
    </w:p>
    <w:p>
      <w:pPr>
        <w:spacing w:after="0" w:line="104" w:lineRule="exact"/>
        <w:rPr>
          <w:sz w:val="20"/>
          <w:szCs w:val="20"/>
          <w:color w:val="auto"/>
        </w:rPr>
      </w:pPr>
    </w:p>
    <w:p>
      <w:pPr>
        <w:ind w:left="1320" w:hanging="259"/>
        <w:spacing w:after="0" w:line="246" w:lineRule="auto"/>
        <w:rPr>
          <w:sz w:val="20"/>
          <w:szCs w:val="20"/>
          <w:color w:val="auto"/>
        </w:rPr>
      </w:pPr>
      <w:r>
        <w:rPr>
          <w:rFonts w:ascii="Arial" w:cs="Arial" w:eastAsia="Arial" w:hAnsi="Arial"/>
          <w:sz w:val="18"/>
          <w:szCs w:val="18"/>
          <w:color w:val="auto"/>
        </w:rPr>
        <w:t>The exhibits required to be filed as part of this report are listed in the Exhibit List attached hereto and are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gridSpan w:val="23"/>
          </w:tcPr>
          <w:p>
            <w:pPr>
              <w:jc w:val="center"/>
              <w:ind w:right="1160"/>
              <w:spacing w:after="0"/>
              <w:rPr>
                <w:sz w:val="20"/>
                <w:szCs w:val="20"/>
                <w:color w:val="auto"/>
              </w:rPr>
            </w:pPr>
            <w:r>
              <w:rPr>
                <w:rFonts w:ascii="Arial" w:cs="Arial" w:eastAsia="Arial" w:hAnsi="Arial"/>
                <w:sz w:val="18"/>
                <w:szCs w:val="18"/>
                <w:b w:val="1"/>
                <w:bCs w:val="1"/>
                <w:color w:val="auto"/>
                <w:w w:val="99"/>
              </w:rPr>
              <w:t>Exhibit Index</w:t>
            </w:r>
          </w:p>
        </w:tc>
      </w:tr>
      <w:tr>
        <w:trPr>
          <w:trHeight w:val="642"/>
        </w:trPr>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27"/>
          </w:tcPr>
          <w:p>
            <w:pPr>
              <w:ind w:left="240"/>
              <w:spacing w:after="0"/>
              <w:rPr>
                <w:sz w:val="20"/>
                <w:szCs w:val="20"/>
                <w:color w:val="auto"/>
              </w:rPr>
            </w:pPr>
            <w:r>
              <w:rPr>
                <w:rFonts w:ascii="Arial" w:cs="Arial" w:eastAsia="Arial" w:hAnsi="Arial"/>
                <w:sz w:val="14"/>
                <w:szCs w:val="14"/>
                <w:b w:val="1"/>
                <w:bCs w:val="1"/>
                <w:color w:val="auto"/>
              </w:rPr>
              <w:t>Exhibit Description</w:t>
            </w:r>
          </w:p>
        </w:tc>
      </w:tr>
      <w:tr>
        <w:trPr>
          <w:trHeight w:val="304"/>
        </w:trPr>
        <w:tc>
          <w:tcPr>
            <w:tcW w:w="1100" w:type="dxa"/>
            <w:vAlign w:val="bottom"/>
          </w:tcPr>
          <w:p>
            <w:pPr>
              <w:ind w:lef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820" w:type="dxa"/>
            <w:vAlign w:val="bottom"/>
            <w:tcBorders>
              <w:bottom w:val="single" w:sz="8" w:color="0000EE"/>
            </w:tcBorders>
            <w:gridSpan w:val="24"/>
          </w:tcPr>
          <w:p>
            <w:pPr>
              <w:spacing w:after="0"/>
              <w:rPr>
                <w:rFonts w:ascii="Arial" w:cs="Arial" w:eastAsia="Arial" w:hAnsi="Arial"/>
                <w:sz w:val="18"/>
                <w:szCs w:val="18"/>
                <w:color w:val="0000EE"/>
                <w:w w:val="99"/>
              </w:rPr>
            </w:pPr>
            <w:hyperlink r:id="rId216">
              <w:r>
                <w:rPr>
                  <w:rFonts w:ascii="Arial" w:cs="Arial" w:eastAsia="Arial" w:hAnsi="Arial"/>
                  <w:sz w:val="18"/>
                  <w:szCs w:val="18"/>
                  <w:color w:val="0000EE"/>
                  <w:w w:val="99"/>
                </w:rPr>
                <w:t>Amended and Restated Certificate of Incorporation, as currently in effect.</w:t>
              </w:r>
            </w:hyperlink>
          </w:p>
        </w:tc>
        <w:tc>
          <w:tcPr>
            <w:tcW w:w="340" w:type="dxa"/>
            <w:vAlign w:val="bottom"/>
            <w:gridSpan w:val="6"/>
          </w:tcPr>
          <w:p>
            <w:pPr>
              <w:spacing w:after="0"/>
              <w:rPr>
                <w:sz w:val="24"/>
                <w:szCs w:val="24"/>
                <w:color w:val="auto"/>
              </w:rPr>
            </w:pPr>
          </w:p>
        </w:tc>
      </w:tr>
      <w:tr>
        <w:trPr>
          <w:trHeight w:val="318"/>
        </w:trPr>
        <w:tc>
          <w:tcPr>
            <w:tcW w:w="1100" w:type="dxa"/>
            <w:vAlign w:val="bottom"/>
          </w:tcPr>
          <w:p>
            <w:pPr>
              <w:ind w:lef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17">
              <w:r>
                <w:rPr>
                  <w:rFonts w:ascii="Arial" w:cs="Arial" w:eastAsia="Arial" w:hAnsi="Arial"/>
                  <w:sz w:val="18"/>
                  <w:szCs w:val="18"/>
                  <w:color w:val="0000EE"/>
                </w:rPr>
                <w:t>Amended and Restated Bylaws, as currently in effect.</w:t>
              </w:r>
            </w:hyperlink>
          </w:p>
        </w:tc>
      </w:tr>
      <w:tr>
        <w:trPr>
          <w:trHeight w:val="344"/>
        </w:trPr>
        <w:tc>
          <w:tcPr>
            <w:tcW w:w="1100" w:type="dxa"/>
            <w:vAlign w:val="bottom"/>
          </w:tcPr>
          <w:p>
            <w:pPr>
              <w:ind w:lef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4260" w:type="dxa"/>
            <w:vAlign w:val="bottom"/>
            <w:tcBorders>
              <w:top w:val="single" w:sz="8" w:color="0000EE"/>
            </w:tcBorders>
            <w:gridSpan w:val="10"/>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Description of Securities of the Registrant.</w:t>
              </w:r>
            </w:hyperlink>
          </w:p>
        </w:tc>
        <w:tc>
          <w:tcPr>
            <w:tcW w:w="1900" w:type="dxa"/>
            <w:vAlign w:val="bottom"/>
            <w:gridSpan w:val="20"/>
          </w:tcPr>
          <w:p>
            <w:pPr>
              <w:spacing w:after="0"/>
              <w:rPr>
                <w:sz w:val="24"/>
                <w:szCs w:val="24"/>
                <w:color w:val="auto"/>
              </w:rPr>
            </w:pPr>
          </w:p>
        </w:tc>
      </w:tr>
      <w:tr>
        <w:trPr>
          <w:trHeight w:val="318"/>
        </w:trPr>
        <w:tc>
          <w:tcPr>
            <w:tcW w:w="1100" w:type="dxa"/>
            <w:vAlign w:val="bottom"/>
          </w:tcPr>
          <w:p>
            <w:pPr>
              <w:ind w:left="1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r:id="rId218">
              <w:r>
                <w:rPr>
                  <w:rFonts w:ascii="Arial" w:cs="Arial" w:eastAsia="Arial" w:hAnsi="Arial"/>
                  <w:sz w:val="18"/>
                  <w:szCs w:val="18"/>
                  <w:color w:val="0000EE"/>
                  <w:w w:val="99"/>
                </w:rPr>
                <w:t>Form of Common Stock Certificate.</w:t>
              </w:r>
            </w:hyperlink>
          </w:p>
        </w:tc>
        <w:tc>
          <w:tcPr>
            <w:tcW w:w="540" w:type="dxa"/>
            <w:vAlign w:val="bottom"/>
            <w:tcBorders>
              <w:top w:val="single" w:sz="8" w:color="0000EE"/>
            </w:tcBorders>
            <w:gridSpan w:val="2"/>
          </w:tcPr>
          <w:p>
            <w:pPr>
              <w:spacing w:after="0"/>
              <w:rPr>
                <w:sz w:val="24"/>
                <w:szCs w:val="24"/>
                <w:color w:val="auto"/>
              </w:rPr>
            </w:pPr>
          </w:p>
        </w:tc>
        <w:tc>
          <w:tcPr>
            <w:tcW w:w="2800" w:type="dxa"/>
            <w:vAlign w:val="bottom"/>
            <w:gridSpan w:val="24"/>
          </w:tcPr>
          <w:p>
            <w:pPr>
              <w:spacing w:after="0"/>
              <w:rPr>
                <w:sz w:val="24"/>
                <w:szCs w:val="24"/>
                <w:color w:val="auto"/>
              </w:rPr>
            </w:pPr>
          </w:p>
        </w:tc>
      </w:tr>
      <w:tr>
        <w:trPr>
          <w:trHeight w:val="304"/>
        </w:trPr>
        <w:tc>
          <w:tcPr>
            <w:tcW w:w="1100" w:type="dxa"/>
            <w:vAlign w:val="bottom"/>
          </w:tcPr>
          <w:p>
            <w:pPr>
              <w:ind w:lef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5960" w:type="dxa"/>
            <w:vAlign w:val="bottom"/>
            <w:tcBorders>
              <w:bottom w:val="single" w:sz="8" w:color="0000EE"/>
            </w:tcBorders>
            <w:gridSpan w:val="27"/>
          </w:tcPr>
          <w:p>
            <w:pPr>
              <w:spacing w:after="0"/>
              <w:rPr>
                <w:rFonts w:ascii="Arial" w:cs="Arial" w:eastAsia="Arial" w:hAnsi="Arial"/>
                <w:sz w:val="18"/>
                <w:szCs w:val="18"/>
                <w:color w:val="0000EE"/>
              </w:rPr>
            </w:pPr>
            <w:hyperlink r:id="rId219">
              <w:r>
                <w:rPr>
                  <w:rFonts w:ascii="Arial" w:cs="Arial" w:eastAsia="Arial" w:hAnsi="Arial"/>
                  <w:sz w:val="18"/>
                  <w:szCs w:val="18"/>
                  <w:color w:val="0000EE"/>
                </w:rPr>
                <w:t>Amended and Restated Investors’ Rights Agreement, dated as of April 29,</w:t>
              </w:r>
            </w:hyperlink>
          </w:p>
        </w:tc>
        <w:tc>
          <w:tcPr>
            <w:tcW w:w="200" w:type="dxa"/>
            <w:vAlign w:val="bottom"/>
            <w:gridSpan w:val="3"/>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219">
              <w:r>
                <w:rPr>
                  <w:rFonts w:ascii="Arial" w:cs="Arial" w:eastAsia="Arial" w:hAnsi="Arial"/>
                  <w:sz w:val="18"/>
                  <w:szCs w:val="18"/>
                  <w:color w:val="0000EE"/>
                  <w:w w:val="99"/>
                </w:rPr>
                <w:t>2020, among the Registrant and the investors party thereto.</w:t>
              </w:r>
            </w:hyperlink>
          </w:p>
        </w:tc>
        <w:tc>
          <w:tcPr>
            <w:tcW w:w="1400" w:type="dxa"/>
            <w:vAlign w:val="bottom"/>
            <w:gridSpan w:val="18"/>
          </w:tcPr>
          <w:p>
            <w:pPr>
              <w:spacing w:after="0"/>
              <w:rPr>
                <w:sz w:val="15"/>
                <w:szCs w:val="15"/>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10.1(a)#</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20">
              <w:r>
                <w:rPr>
                  <w:rFonts w:ascii="Arial" w:cs="Arial" w:eastAsia="Arial" w:hAnsi="Arial"/>
                  <w:sz w:val="18"/>
                  <w:szCs w:val="18"/>
                  <w:color w:val="0000EE"/>
                </w:rPr>
                <w:t>2015 Equity Incentive Plan.</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00" w:type="dxa"/>
            <w:vAlign w:val="bottom"/>
          </w:tcPr>
          <w:p>
            <w:pPr>
              <w:spacing w:after="0"/>
              <w:rPr>
                <w:sz w:val="20"/>
                <w:szCs w:val="20"/>
                <w:color w:val="auto"/>
              </w:rPr>
            </w:pPr>
            <w:r>
              <w:rPr>
                <w:rFonts w:ascii="Arial" w:cs="Arial" w:eastAsia="Arial" w:hAnsi="Arial"/>
                <w:sz w:val="18"/>
                <w:szCs w:val="18"/>
                <w:color w:val="auto"/>
              </w:rPr>
              <w:t>10.1(b)#</w:t>
            </w:r>
          </w:p>
        </w:tc>
        <w:tc>
          <w:tcPr>
            <w:tcW w:w="80" w:type="dxa"/>
            <w:vAlign w:val="bottom"/>
          </w:tcPr>
          <w:p>
            <w:pPr>
              <w:spacing w:after="0"/>
              <w:rPr>
                <w:sz w:val="24"/>
                <w:szCs w:val="24"/>
                <w:color w:val="auto"/>
              </w:rPr>
            </w:pPr>
          </w:p>
        </w:tc>
        <w:tc>
          <w:tcPr>
            <w:tcW w:w="5380" w:type="dxa"/>
            <w:vAlign w:val="bottom"/>
            <w:tcBorders>
              <w:bottom w:val="single" w:sz="8" w:color="0000EE"/>
            </w:tcBorders>
            <w:gridSpan w:val="16"/>
          </w:tcPr>
          <w:p>
            <w:pPr>
              <w:spacing w:after="0"/>
              <w:rPr>
                <w:rFonts w:ascii="Arial" w:cs="Arial" w:eastAsia="Arial" w:hAnsi="Arial"/>
                <w:sz w:val="18"/>
                <w:szCs w:val="18"/>
                <w:color w:val="0000EE"/>
                <w:w w:val="99"/>
              </w:rPr>
            </w:pPr>
            <w:hyperlink r:id="rId221">
              <w:r>
                <w:rPr>
                  <w:rFonts w:ascii="Arial" w:cs="Arial" w:eastAsia="Arial" w:hAnsi="Arial"/>
                  <w:sz w:val="18"/>
                  <w:szCs w:val="18"/>
                  <w:color w:val="0000EE"/>
                  <w:w w:val="99"/>
                </w:rPr>
                <w:t>Form of Stock Option Agreement under 2015 Equity Incentive Plan.</w:t>
              </w:r>
            </w:hyperlink>
          </w:p>
        </w:tc>
        <w:tc>
          <w:tcPr>
            <w:tcW w:w="780" w:type="dxa"/>
            <w:vAlign w:val="bottom"/>
            <w:gridSpan w:val="14"/>
          </w:tcPr>
          <w:p>
            <w:pPr>
              <w:spacing w:after="0"/>
              <w:rPr>
                <w:sz w:val="24"/>
                <w:szCs w:val="24"/>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10.2(a)#</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22">
              <w:r>
                <w:rPr>
                  <w:rFonts w:ascii="Arial" w:cs="Arial" w:eastAsia="Arial" w:hAnsi="Arial"/>
                  <w:sz w:val="18"/>
                  <w:szCs w:val="18"/>
                  <w:color w:val="0000EE"/>
                </w:rPr>
                <w:t>2020 Incentive Award Plan.</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00" w:type="dxa"/>
            <w:vAlign w:val="bottom"/>
          </w:tcPr>
          <w:p>
            <w:pPr>
              <w:spacing w:after="0"/>
              <w:rPr>
                <w:sz w:val="20"/>
                <w:szCs w:val="20"/>
                <w:color w:val="auto"/>
              </w:rPr>
            </w:pPr>
            <w:r>
              <w:rPr>
                <w:rFonts w:ascii="Arial" w:cs="Arial" w:eastAsia="Arial" w:hAnsi="Arial"/>
                <w:sz w:val="18"/>
                <w:szCs w:val="18"/>
                <w:color w:val="auto"/>
              </w:rPr>
              <w:t>10.2(b)#</w:t>
            </w:r>
          </w:p>
        </w:tc>
        <w:tc>
          <w:tcPr>
            <w:tcW w:w="80" w:type="dxa"/>
            <w:vAlign w:val="bottom"/>
          </w:tcPr>
          <w:p>
            <w:pPr>
              <w:spacing w:after="0"/>
              <w:rPr>
                <w:sz w:val="24"/>
                <w:szCs w:val="24"/>
                <w:color w:val="auto"/>
              </w:rPr>
            </w:pPr>
          </w:p>
        </w:tc>
        <w:tc>
          <w:tcPr>
            <w:tcW w:w="5940" w:type="dxa"/>
            <w:vAlign w:val="bottom"/>
            <w:tcBorders>
              <w:bottom w:val="single" w:sz="8" w:color="0000EE"/>
            </w:tcBorders>
            <w:gridSpan w:val="26"/>
          </w:tcPr>
          <w:p>
            <w:pPr>
              <w:spacing w:after="0"/>
              <w:rPr>
                <w:rFonts w:ascii="Arial" w:cs="Arial" w:eastAsia="Arial" w:hAnsi="Arial"/>
                <w:sz w:val="18"/>
                <w:szCs w:val="18"/>
                <w:color w:val="0000EE"/>
                <w:w w:val="99"/>
              </w:rPr>
            </w:pPr>
            <w:hyperlink r:id="rId223">
              <w:r>
                <w:rPr>
                  <w:rFonts w:ascii="Arial" w:cs="Arial" w:eastAsia="Arial" w:hAnsi="Arial"/>
                  <w:sz w:val="18"/>
                  <w:szCs w:val="18"/>
                  <w:color w:val="0000EE"/>
                  <w:w w:val="99"/>
                </w:rPr>
                <w:t>Form of Stock Option Grant Notice and Stock Option Agreement under the</w:t>
              </w:r>
            </w:hyperlink>
          </w:p>
        </w:tc>
        <w:tc>
          <w:tcPr>
            <w:tcW w:w="220" w:type="dxa"/>
            <w:vAlign w:val="bottom"/>
            <w:gridSpan w:val="4"/>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60" w:type="dxa"/>
            <w:vAlign w:val="bottom"/>
            <w:gridSpan w:val="30"/>
          </w:tcPr>
          <w:p>
            <w:pPr>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2020 Incentive Award Plan.</w:t>
              </w:r>
            </w:hyperlink>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10.2(c)#</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24">
              <w:r>
                <w:rPr>
                  <w:rFonts w:ascii="Arial" w:cs="Arial" w:eastAsia="Arial" w:hAnsi="Arial"/>
                  <w:sz w:val="18"/>
                  <w:szCs w:val="18"/>
                  <w:color w:val="0000EE"/>
                </w:rPr>
                <w:t>Form of Restricted Stock Award Grant Notice and Restricted Stock Award</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Agreement under the 2020 Incentive Award Plan.</w:t>
              </w:r>
            </w:hyperlink>
          </w:p>
        </w:tc>
        <w:tc>
          <w:tcPr>
            <w:tcW w:w="1920" w:type="dxa"/>
            <w:vAlign w:val="bottom"/>
            <w:tcBorders>
              <w:top w:val="single" w:sz="8" w:color="0000EE"/>
            </w:tcBorders>
            <w:gridSpan w:val="17"/>
          </w:tcPr>
          <w:p>
            <w:pPr>
              <w:spacing w:after="0"/>
              <w:rPr>
                <w:sz w:val="15"/>
                <w:szCs w:val="15"/>
                <w:color w:val="auto"/>
              </w:rPr>
            </w:pPr>
          </w:p>
        </w:tc>
        <w:tc>
          <w:tcPr>
            <w:tcW w:w="300" w:type="dxa"/>
            <w:vAlign w:val="bottom"/>
            <w:gridSpan w:val="5"/>
          </w:tcPr>
          <w:p>
            <w:pPr>
              <w:spacing w:after="0"/>
              <w:rPr>
                <w:sz w:val="15"/>
                <w:szCs w:val="15"/>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10.2(d)#</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25">
              <w:r>
                <w:rPr>
                  <w:rFonts w:ascii="Arial" w:cs="Arial" w:eastAsia="Arial" w:hAnsi="Arial"/>
                  <w:sz w:val="18"/>
                  <w:szCs w:val="18"/>
                  <w:color w:val="0000EE"/>
                </w:rPr>
                <w:t>Form of Restricted Stock Unit Award Grant Notice and Restricted Stock Unit</w:t>
              </w:r>
            </w:hyperlink>
          </w:p>
        </w:tc>
      </w:tr>
      <w:tr>
        <w:trPr>
          <w:trHeight w:val="182"/>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Award Agreement under the 2020 Incentive Award Plan.</w:t>
              </w:r>
            </w:hyperlink>
          </w:p>
        </w:tc>
        <w:tc>
          <w:tcPr>
            <w:tcW w:w="120" w:type="dxa"/>
            <w:vAlign w:val="bottom"/>
            <w:gridSpan w:val="2"/>
          </w:tcPr>
          <w:p>
            <w:pPr>
              <w:spacing w:after="0"/>
              <w:rPr>
                <w:sz w:val="15"/>
                <w:szCs w:val="15"/>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4480" w:type="dxa"/>
            <w:vAlign w:val="bottom"/>
            <w:tcBorders>
              <w:top w:val="single" w:sz="8" w:color="0000EE"/>
            </w:tcBorders>
            <w:gridSpan w:val="11"/>
          </w:tcPr>
          <w:p>
            <w:pPr>
              <w:spacing w:after="0"/>
              <w:rPr>
                <w:rFonts w:ascii="Arial" w:cs="Arial" w:eastAsia="Arial" w:hAnsi="Arial"/>
                <w:sz w:val="18"/>
                <w:szCs w:val="18"/>
                <w:color w:val="0000EE"/>
              </w:rPr>
            </w:pPr>
            <w:hyperlink r:id="rId226">
              <w:r>
                <w:rPr>
                  <w:rFonts w:ascii="Arial" w:cs="Arial" w:eastAsia="Arial" w:hAnsi="Arial"/>
                  <w:sz w:val="18"/>
                  <w:szCs w:val="18"/>
                  <w:color w:val="0000EE"/>
                </w:rPr>
                <w:t>2020 Employee Stock Purchase Plan.</w:t>
              </w:r>
            </w:hyperlink>
          </w:p>
        </w:tc>
        <w:tc>
          <w:tcPr>
            <w:tcW w:w="1680" w:type="dxa"/>
            <w:vAlign w:val="bottom"/>
            <w:gridSpan w:val="19"/>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4840" w:type="dxa"/>
            <w:vAlign w:val="bottom"/>
            <w:tcBorders>
              <w:bottom w:val="single" w:sz="8" w:color="0000EE"/>
            </w:tcBorders>
            <w:gridSpan w:val="13"/>
          </w:tcPr>
          <w:p>
            <w:pPr>
              <w:spacing w:after="0"/>
              <w:rPr>
                <w:rFonts w:ascii="Arial" w:cs="Arial" w:eastAsia="Arial" w:hAnsi="Arial"/>
                <w:sz w:val="18"/>
                <w:szCs w:val="18"/>
                <w:color w:val="0000EE"/>
                <w:w w:val="99"/>
              </w:rPr>
            </w:pPr>
            <w:hyperlink r:id="rId227">
              <w:r>
                <w:rPr>
                  <w:rFonts w:ascii="Arial" w:cs="Arial" w:eastAsia="Arial" w:hAnsi="Arial"/>
                  <w:sz w:val="18"/>
                  <w:szCs w:val="18"/>
                  <w:color w:val="0000EE"/>
                  <w:w w:val="99"/>
                </w:rPr>
                <w:t>Form of Indemnification Agreement for directors and officers.</w:t>
              </w:r>
            </w:hyperlink>
          </w:p>
        </w:tc>
        <w:tc>
          <w:tcPr>
            <w:tcW w:w="1320" w:type="dxa"/>
            <w:vAlign w:val="bottom"/>
            <w:gridSpan w:val="17"/>
          </w:tcPr>
          <w:p>
            <w:pPr>
              <w:spacing w:after="0"/>
              <w:rPr>
                <w:sz w:val="24"/>
                <w:szCs w:val="24"/>
                <w:color w:val="auto"/>
              </w:rPr>
            </w:pPr>
          </w:p>
        </w:tc>
      </w:tr>
      <w:tr>
        <w:trPr>
          <w:trHeight w:val="344"/>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w w:val="99"/>
              </w:rPr>
            </w:pPr>
            <w:hyperlink r:id="rId228">
              <w:r>
                <w:rPr>
                  <w:rFonts w:ascii="Arial" w:cs="Arial" w:eastAsia="Arial" w:hAnsi="Arial"/>
                  <w:sz w:val="18"/>
                  <w:szCs w:val="18"/>
                  <w:color w:val="0000EE"/>
                  <w:w w:val="99"/>
                </w:rPr>
                <w:t>Collaboration and License Agreement, dated November 16, 2017, among the</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228">
              <w:r>
                <w:rPr>
                  <w:rFonts w:ascii="Arial" w:cs="Arial" w:eastAsia="Arial" w:hAnsi="Arial"/>
                  <w:sz w:val="18"/>
                  <w:szCs w:val="18"/>
                  <w:color w:val="0000EE"/>
                </w:rPr>
                <w:t>Registrant, F. Hoffmann-La Roche Ltd and Hoffmann-La Roche Inc.</w:t>
              </w:r>
            </w:hyperlink>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5520" w:type="dxa"/>
            <w:vAlign w:val="bottom"/>
            <w:tcBorders>
              <w:bottom w:val="single" w:sz="8" w:color="0000EE"/>
            </w:tcBorders>
            <w:gridSpan w:val="20"/>
          </w:tcPr>
          <w:p>
            <w:pPr>
              <w:spacing w:after="0"/>
              <w:rPr>
                <w:rFonts w:ascii="Arial" w:cs="Arial" w:eastAsia="Arial" w:hAnsi="Arial"/>
                <w:sz w:val="18"/>
                <w:szCs w:val="18"/>
                <w:color w:val="0000EE"/>
                <w:w w:val="99"/>
              </w:rPr>
            </w:pPr>
            <w:hyperlink r:id="rId229">
              <w:r>
                <w:rPr>
                  <w:rFonts w:ascii="Arial" w:cs="Arial" w:eastAsia="Arial" w:hAnsi="Arial"/>
                  <w:sz w:val="18"/>
                  <w:szCs w:val="18"/>
                  <w:color w:val="0000EE"/>
                  <w:w w:val="99"/>
                </w:rPr>
                <w:t>Amended and Restated Collaboration and License Agreement, dated</w:t>
              </w:r>
            </w:hyperlink>
          </w:p>
        </w:tc>
        <w:tc>
          <w:tcPr>
            <w:tcW w:w="640" w:type="dxa"/>
            <w:vAlign w:val="bottom"/>
            <w:gridSpan w:val="10"/>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229">
              <w:r>
                <w:rPr>
                  <w:rFonts w:ascii="Arial" w:cs="Arial" w:eastAsia="Arial" w:hAnsi="Arial"/>
                  <w:sz w:val="18"/>
                  <w:szCs w:val="18"/>
                  <w:color w:val="0000EE"/>
                  <w:w w:val="99"/>
                </w:rPr>
                <w:t>August 6, 2019, between the Registrant and uniQure biopharma B.V.</w:t>
              </w:r>
            </w:hyperlink>
          </w:p>
        </w:tc>
        <w:tc>
          <w:tcPr>
            <w:tcW w:w="680" w:type="dxa"/>
            <w:vAlign w:val="bottom"/>
            <w:gridSpan w:val="12"/>
          </w:tcPr>
          <w:p>
            <w:pPr>
              <w:spacing w:after="0"/>
              <w:rPr>
                <w:sz w:val="15"/>
                <w:szCs w:val="15"/>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30">
              <w:r>
                <w:rPr>
                  <w:rFonts w:ascii="Arial" w:cs="Arial" w:eastAsia="Arial" w:hAnsi="Arial"/>
                  <w:sz w:val="18"/>
                  <w:szCs w:val="18"/>
                  <w:color w:val="0000EE"/>
                </w:rPr>
                <w:t>Collaboration and License Agreement, dated August 6, 2019, by and</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230">
              <w:r>
                <w:rPr>
                  <w:rFonts w:ascii="Arial" w:cs="Arial" w:eastAsia="Arial" w:hAnsi="Arial"/>
                  <w:sz w:val="18"/>
                  <w:szCs w:val="18"/>
                  <w:color w:val="0000EE"/>
                </w:rPr>
                <w:t>between the Registrant and uniQure biopharma B.V.</w:t>
              </w:r>
            </w:hyperlink>
          </w:p>
        </w:tc>
        <w:tc>
          <w:tcPr>
            <w:tcW w:w="700" w:type="dxa"/>
            <w:vAlign w:val="bottom"/>
            <w:gridSpan w:val="13"/>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80" w:type="dxa"/>
            <w:vAlign w:val="bottom"/>
            <w:gridSpan w:val="7"/>
            <w:shd w:val="clear" w:color="auto" w:fill="0000EE"/>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31">
              <w:r>
                <w:rPr>
                  <w:rFonts w:ascii="Arial" w:cs="Arial" w:eastAsia="Arial" w:hAnsi="Arial"/>
                  <w:sz w:val="18"/>
                  <w:szCs w:val="18"/>
                  <w:color w:val="0000EE"/>
                </w:rPr>
                <w:t>Exclusive License and Bailment Agreement, dated December 19, 2013,</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0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9"/>
              </w:rPr>
            </w:pPr>
            <w:hyperlink r:id="rId231">
              <w:r>
                <w:rPr>
                  <w:rFonts w:ascii="Arial" w:cs="Arial" w:eastAsia="Arial" w:hAnsi="Arial"/>
                  <w:sz w:val="18"/>
                  <w:szCs w:val="18"/>
                  <w:color w:val="0000EE"/>
                  <w:w w:val="99"/>
                </w:rPr>
                <w:t>between the Registrant and The Regents of the University of California.</w:t>
              </w:r>
            </w:hyperlink>
          </w:p>
        </w:tc>
        <w:tc>
          <w:tcPr>
            <w:tcW w:w="40" w:type="dxa"/>
            <w:vAlign w:val="bottom"/>
            <w:tcBorders>
              <w:top w:val="single" w:sz="8" w:color="0000EE"/>
            </w:tcBorders>
          </w:tcPr>
          <w:p>
            <w:pPr>
              <w:spacing w:after="0"/>
              <w:rPr>
                <w:sz w:val="15"/>
                <w:szCs w:val="15"/>
                <w:color w:val="auto"/>
              </w:rPr>
            </w:pPr>
          </w:p>
        </w:tc>
        <w:tc>
          <w:tcPr>
            <w:tcW w:w="420" w:type="dxa"/>
            <w:vAlign w:val="bottom"/>
            <w:gridSpan w:val="7"/>
          </w:tcPr>
          <w:p>
            <w:pPr>
              <w:spacing w:after="0"/>
              <w:rPr>
                <w:sz w:val="15"/>
                <w:szCs w:val="15"/>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6160" w:type="dxa"/>
            <w:vAlign w:val="bottom"/>
            <w:gridSpan w:val="30"/>
          </w:tcPr>
          <w:p>
            <w:pPr>
              <w:spacing w:after="0"/>
              <w:rPr>
                <w:rFonts w:ascii="Arial" w:cs="Arial" w:eastAsia="Arial" w:hAnsi="Arial"/>
                <w:sz w:val="18"/>
                <w:szCs w:val="18"/>
                <w:color w:val="0000EE"/>
              </w:rPr>
            </w:pPr>
            <w:hyperlink r:id="rId232">
              <w:r>
                <w:rPr>
                  <w:rFonts w:ascii="Arial" w:cs="Arial" w:eastAsia="Arial" w:hAnsi="Arial"/>
                  <w:sz w:val="18"/>
                  <w:szCs w:val="18"/>
                  <w:color w:val="0000EE"/>
                </w:rPr>
                <w:t>Exclusive License and Bailment Agreement, dated December 19, 2013,</w:t>
              </w:r>
            </w:hyperlink>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7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32">
              <w:r>
                <w:rPr>
                  <w:rFonts w:ascii="Arial" w:cs="Arial" w:eastAsia="Arial" w:hAnsi="Arial"/>
                  <w:sz w:val="18"/>
                  <w:szCs w:val="18"/>
                  <w:color w:val="0000EE"/>
                </w:rPr>
                <w:t>between the Registrant and The Regents of the University of California.</w:t>
              </w:r>
            </w:hyperlink>
          </w:p>
        </w:tc>
        <w:tc>
          <w:tcPr>
            <w:tcW w:w="420" w:type="dxa"/>
            <w:vAlign w:val="bottom"/>
            <w:gridSpan w:val="7"/>
          </w:tcPr>
          <w:p>
            <w:pPr>
              <w:spacing w:after="0"/>
              <w:rPr>
                <w:sz w:val="15"/>
                <w:szCs w:val="15"/>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55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9"/>
              </w:rPr>
            </w:pPr>
            <w:hyperlink r:id="rId233">
              <w:r>
                <w:rPr>
                  <w:rFonts w:ascii="Arial" w:cs="Arial" w:eastAsia="Arial" w:hAnsi="Arial"/>
                  <w:sz w:val="18"/>
                  <w:szCs w:val="18"/>
                  <w:color w:val="0000EE"/>
                  <w:w w:val="99"/>
                </w:rPr>
                <w:t>Offer Letter, dated March 20, 2015 between David Kirn, M.D. and the</w:t>
              </w:r>
            </w:hyperlink>
          </w:p>
        </w:tc>
        <w:tc>
          <w:tcPr>
            <w:tcW w:w="180" w:type="dxa"/>
            <w:vAlign w:val="bottom"/>
            <w:tcBorders>
              <w:top w:val="single" w:sz="8" w:color="0000EE"/>
            </w:tcBorders>
            <w:gridSpan w:val="2"/>
          </w:tcPr>
          <w:p>
            <w:pPr>
              <w:spacing w:after="0"/>
              <w:rPr>
                <w:sz w:val="24"/>
                <w:szCs w:val="24"/>
                <w:color w:val="auto"/>
              </w:rPr>
            </w:pPr>
          </w:p>
        </w:tc>
        <w:tc>
          <w:tcPr>
            <w:tcW w:w="480" w:type="dxa"/>
            <w:vAlign w:val="bottom"/>
            <w:gridSpan w:val="9"/>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160" w:type="dxa"/>
            <w:vAlign w:val="bottom"/>
            <w:gridSpan w:val="30"/>
          </w:tcPr>
          <w:p>
            <w:pPr>
              <w:spacing w:after="0" w:line="182" w:lineRule="exact"/>
              <w:rPr>
                <w:rFonts w:ascii="Arial" w:cs="Arial" w:eastAsia="Arial" w:hAnsi="Arial"/>
                <w:sz w:val="18"/>
                <w:szCs w:val="18"/>
                <w:color w:val="0000EE"/>
              </w:rPr>
            </w:pPr>
            <w:hyperlink r:id="rId233">
              <w:r>
                <w:rPr>
                  <w:rFonts w:ascii="Arial" w:cs="Arial" w:eastAsia="Arial" w:hAnsi="Arial"/>
                  <w:sz w:val="18"/>
                  <w:szCs w:val="18"/>
                  <w:color w:val="0000EE"/>
                </w:rPr>
                <w:t>Registrant.</w:t>
              </w:r>
            </w:hyperlink>
          </w:p>
        </w:tc>
      </w:tr>
      <w:tr>
        <w:trPr>
          <w:trHeight w:val="439"/>
        </w:trPr>
        <w:tc>
          <w:tcPr>
            <w:tcW w:w="11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880" w:type="dxa"/>
            <w:vAlign w:val="bottom"/>
            <w:gridSpan w:val="10"/>
          </w:tcPr>
          <w:p>
            <w:pPr>
              <w:jc w:val="right"/>
              <w:ind w:right="16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Incorporated by Reference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Filed</w:t>
            </w:r>
          </w:p>
        </w:tc>
      </w:tr>
      <w:tr>
        <w:trPr>
          <w:trHeight w:val="175"/>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5"/>
                <w:szCs w:val="15"/>
                <w:color w:val="auto"/>
              </w:rPr>
            </w:pP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5"/>
                <w:szCs w:val="15"/>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    Herewith</w:t>
            </w:r>
          </w:p>
        </w:tc>
      </w:tr>
      <w:tr>
        <w:trPr>
          <w:trHeight w:val="331"/>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8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12/15/20</w:t>
            </w:r>
          </w:p>
        </w:tc>
        <w:tc>
          <w:tcPr>
            <w:tcW w:w="6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338"/>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12/15/20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8"/>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64"/>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8"/>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7"/>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11/17/20</w:t>
            </w:r>
          </w:p>
        </w:tc>
        <w:tc>
          <w:tcPr>
            <w:tcW w:w="60" w:type="dxa"/>
            <w:vAlign w:val="bottom"/>
          </w:tcPr>
          <w:p>
            <w:pPr>
              <w:spacing w:after="0"/>
              <w:rPr>
                <w:sz w:val="24"/>
                <w:szCs w:val="24"/>
                <w:color w:val="auto"/>
              </w:rPr>
            </w:pPr>
          </w:p>
        </w:tc>
        <w:tc>
          <w:tcPr>
            <w:tcW w:w="1640" w:type="dxa"/>
            <w:vAlign w:val="bottom"/>
            <w:gridSpan w:val="3"/>
          </w:tcPr>
          <w:p>
            <w:pPr>
              <w:jc w:val="center"/>
              <w:ind w:right="799"/>
              <w:spacing w:after="0"/>
              <w:rPr>
                <w:sz w:val="20"/>
                <w:szCs w:val="20"/>
                <w:color w:val="auto"/>
              </w:rPr>
            </w:pPr>
            <w:r>
              <w:rPr>
                <w:rFonts w:ascii="Arial" w:cs="Arial" w:eastAsia="Arial" w:hAnsi="Arial"/>
                <w:sz w:val="18"/>
                <w:szCs w:val="18"/>
                <w:color w:val="auto"/>
                <w:w w:val="98"/>
              </w:rPr>
              <w:t>10.1(a)</w:t>
            </w:r>
          </w:p>
        </w:tc>
      </w:tr>
      <w:tr>
        <w:trPr>
          <w:trHeight w:val="364"/>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11/17/20</w:t>
            </w:r>
          </w:p>
        </w:tc>
        <w:tc>
          <w:tcPr>
            <w:tcW w:w="60" w:type="dxa"/>
            <w:vAlign w:val="bottom"/>
          </w:tcPr>
          <w:p>
            <w:pPr>
              <w:spacing w:after="0"/>
              <w:rPr>
                <w:sz w:val="24"/>
                <w:szCs w:val="24"/>
                <w:color w:val="auto"/>
              </w:rPr>
            </w:pPr>
          </w:p>
        </w:tc>
        <w:tc>
          <w:tcPr>
            <w:tcW w:w="1640" w:type="dxa"/>
            <w:vAlign w:val="bottom"/>
            <w:gridSpan w:val="3"/>
          </w:tcPr>
          <w:p>
            <w:pPr>
              <w:jc w:val="center"/>
              <w:ind w:right="799"/>
              <w:spacing w:after="0"/>
              <w:rPr>
                <w:sz w:val="20"/>
                <w:szCs w:val="20"/>
                <w:color w:val="auto"/>
              </w:rPr>
            </w:pPr>
            <w:r>
              <w:rPr>
                <w:rFonts w:ascii="Arial" w:cs="Arial" w:eastAsia="Arial" w:hAnsi="Arial"/>
                <w:sz w:val="18"/>
                <w:szCs w:val="18"/>
                <w:color w:val="auto"/>
                <w:w w:val="98"/>
              </w:rPr>
              <w:t>10.1(b)</w:t>
            </w:r>
          </w:p>
        </w:tc>
      </w:tr>
      <w:tr>
        <w:trPr>
          <w:trHeight w:val="36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S-8</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12/15/20</w:t>
            </w:r>
          </w:p>
        </w:tc>
        <w:tc>
          <w:tcPr>
            <w:tcW w:w="60" w:type="dxa"/>
            <w:vAlign w:val="bottom"/>
          </w:tcPr>
          <w:p>
            <w:pPr>
              <w:spacing w:after="0"/>
              <w:rPr>
                <w:sz w:val="24"/>
                <w:szCs w:val="24"/>
                <w:color w:val="auto"/>
              </w:rPr>
            </w:pPr>
          </w:p>
        </w:tc>
        <w:tc>
          <w:tcPr>
            <w:tcW w:w="1640" w:type="dxa"/>
            <w:vAlign w:val="bottom"/>
            <w:gridSpan w:val="3"/>
          </w:tcPr>
          <w:p>
            <w:pPr>
              <w:jc w:val="center"/>
              <w:ind w:right="799"/>
              <w:spacing w:after="0"/>
              <w:rPr>
                <w:sz w:val="20"/>
                <w:szCs w:val="20"/>
                <w:color w:val="auto"/>
              </w:rPr>
            </w:pPr>
            <w:r>
              <w:rPr>
                <w:rFonts w:ascii="Arial" w:cs="Arial" w:eastAsia="Arial" w:hAnsi="Arial"/>
                <w:sz w:val="18"/>
                <w:szCs w:val="18"/>
                <w:color w:val="auto"/>
                <w:w w:val="98"/>
              </w:rPr>
              <w:t>99.2(a)</w:t>
            </w:r>
          </w:p>
        </w:tc>
      </w:tr>
      <w:tr>
        <w:trPr>
          <w:trHeight w:val="364"/>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1640" w:type="dxa"/>
            <w:vAlign w:val="bottom"/>
            <w:gridSpan w:val="3"/>
          </w:tcPr>
          <w:p>
            <w:pPr>
              <w:jc w:val="center"/>
              <w:ind w:right="799"/>
              <w:spacing w:after="0"/>
              <w:rPr>
                <w:sz w:val="20"/>
                <w:szCs w:val="20"/>
                <w:color w:val="auto"/>
              </w:rPr>
            </w:pPr>
            <w:r>
              <w:rPr>
                <w:rFonts w:ascii="Arial" w:cs="Arial" w:eastAsia="Arial" w:hAnsi="Arial"/>
                <w:sz w:val="18"/>
                <w:szCs w:val="18"/>
                <w:color w:val="auto"/>
                <w:w w:val="98"/>
              </w:rPr>
              <w:t>10.2(b)</w:t>
            </w:r>
          </w:p>
        </w:tc>
      </w:tr>
      <w:tr>
        <w:trPr>
          <w:trHeight w:val="527"/>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1640" w:type="dxa"/>
            <w:vAlign w:val="bottom"/>
            <w:gridSpan w:val="3"/>
          </w:tcPr>
          <w:p>
            <w:pPr>
              <w:jc w:val="center"/>
              <w:ind w:right="799"/>
              <w:spacing w:after="0"/>
              <w:rPr>
                <w:sz w:val="20"/>
                <w:szCs w:val="20"/>
                <w:color w:val="auto"/>
              </w:rPr>
            </w:pPr>
            <w:r>
              <w:rPr>
                <w:rFonts w:ascii="Arial" w:cs="Arial" w:eastAsia="Arial" w:hAnsi="Arial"/>
                <w:sz w:val="18"/>
                <w:szCs w:val="18"/>
                <w:color w:val="auto"/>
                <w:w w:val="99"/>
              </w:rPr>
              <w:t>10.2(c)</w:t>
            </w:r>
          </w:p>
        </w:tc>
      </w:tr>
      <w:tr>
        <w:trPr>
          <w:trHeight w:val="526"/>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1640" w:type="dxa"/>
            <w:vAlign w:val="bottom"/>
            <w:gridSpan w:val="3"/>
          </w:tcPr>
          <w:p>
            <w:pPr>
              <w:jc w:val="center"/>
              <w:ind w:right="799"/>
              <w:spacing w:after="0"/>
              <w:rPr>
                <w:sz w:val="20"/>
                <w:szCs w:val="20"/>
                <w:color w:val="auto"/>
              </w:rPr>
            </w:pPr>
            <w:r>
              <w:rPr>
                <w:rFonts w:ascii="Arial" w:cs="Arial" w:eastAsia="Arial" w:hAnsi="Arial"/>
                <w:sz w:val="18"/>
                <w:szCs w:val="18"/>
                <w:color w:val="auto"/>
                <w:w w:val="98"/>
              </w:rPr>
              <w:t>10.2(d)</w:t>
            </w:r>
          </w:p>
        </w:tc>
      </w:tr>
      <w:tr>
        <w:trPr>
          <w:trHeight w:val="527"/>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S-8</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12/15/20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99.3</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5"/>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11/17/20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6"/>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11/17/20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7"/>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11/17/20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6"/>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7"/>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26"/>
        </w:trPr>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rPr>
              <w:t>S-1/A</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12/7/20</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2">
            <w:col w:w="7340" w:space="80"/>
            <w:col w:w="3820"/>
          </w:cols>
          <w:pgMar w:left="320" w:top="540" w:right="3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ind w:left="56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1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6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1180" w:type="dxa"/>
            <w:vAlign w:val="bottom"/>
            <w:gridSpan w:val="2"/>
            <w:vMerge w:val="continue"/>
          </w:tcPr>
          <w:p>
            <w:pPr>
              <w:spacing w:after="0"/>
              <w:rPr>
                <w:sz w:val="11"/>
                <w:szCs w:val="11"/>
                <w:color w:val="auto"/>
              </w:rPr>
            </w:pPr>
          </w:p>
        </w:tc>
        <w:tc>
          <w:tcPr>
            <w:tcW w:w="6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5"/>
                <w:szCs w:val="15"/>
                <w:color w:val="auto"/>
              </w:rPr>
            </w:pPr>
          </w:p>
        </w:tc>
        <w:tc>
          <w:tcPr>
            <w:tcW w:w="61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5"/>
                <w:szCs w:val="15"/>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5"/>
                <w:szCs w:val="15"/>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42" w:right="3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10.11#</w:t>
            </w:r>
          </w:p>
        </w:tc>
        <w:tc>
          <w:tcPr>
            <w:tcW w:w="6340" w:type="dxa"/>
            <w:vAlign w:val="bottom"/>
            <w:gridSpan w:val="14"/>
          </w:tcPr>
          <w:p>
            <w:pPr>
              <w:spacing w:after="0"/>
              <w:rPr>
                <w:rFonts w:ascii="Arial" w:cs="Arial" w:eastAsia="Arial" w:hAnsi="Arial"/>
                <w:sz w:val="18"/>
                <w:szCs w:val="18"/>
                <w:color w:val="0000EE"/>
              </w:rPr>
            </w:pPr>
            <w:hyperlink r:id="rId235">
              <w:r>
                <w:rPr>
                  <w:rFonts w:ascii="Arial" w:cs="Arial" w:eastAsia="Arial" w:hAnsi="Arial"/>
                  <w:sz w:val="18"/>
                  <w:szCs w:val="18"/>
                  <w:color w:val="0000EE"/>
                </w:rPr>
                <w:t>Employment Agreement, dated January 15, 2019 between Peter Francis,</w:t>
              </w:r>
            </w:hyperlink>
          </w:p>
        </w:tc>
        <w:tc>
          <w:tcPr>
            <w:tcW w:w="960" w:type="dxa"/>
            <w:vAlign w:val="bottom"/>
          </w:tcPr>
          <w:p>
            <w:pPr>
              <w:ind w:left="220"/>
              <w:spacing w:after="0"/>
              <w:rPr>
                <w:sz w:val="20"/>
                <w:szCs w:val="20"/>
                <w:color w:val="auto"/>
              </w:rPr>
            </w:pPr>
            <w:r>
              <w:rPr>
                <w:rFonts w:ascii="Arial" w:cs="Arial" w:eastAsia="Arial" w:hAnsi="Arial"/>
                <w:sz w:val="18"/>
                <w:szCs w:val="18"/>
                <w:color w:val="auto"/>
              </w:rPr>
              <w:t>S-1/A</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12/7/20</w:t>
            </w:r>
          </w:p>
        </w:tc>
        <w:tc>
          <w:tcPr>
            <w:tcW w:w="64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183"/>
        </w:trPr>
        <w:tc>
          <w:tcPr>
            <w:tcW w:w="1180" w:type="dxa"/>
            <w:vAlign w:val="bottom"/>
          </w:tcPr>
          <w:p>
            <w:pPr>
              <w:spacing w:after="0"/>
              <w:rPr>
                <w:sz w:val="15"/>
                <w:szCs w:val="15"/>
                <w:color w:val="auto"/>
              </w:rPr>
            </w:pPr>
          </w:p>
        </w:tc>
        <w:tc>
          <w:tcPr>
            <w:tcW w:w="58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235">
              <w:r>
                <w:rPr>
                  <w:rFonts w:ascii="Arial" w:cs="Arial" w:eastAsia="Arial" w:hAnsi="Arial"/>
                  <w:sz w:val="18"/>
                  <w:szCs w:val="18"/>
                  <w:color w:val="0000EE"/>
                </w:rPr>
                <w:t>M.D., Ph.D. and the Registrant.</w:t>
              </w:r>
            </w:hyperlink>
          </w:p>
        </w:tc>
        <w:tc>
          <w:tcPr>
            <w:tcW w:w="520" w:type="dxa"/>
            <w:vAlign w:val="bottom"/>
            <w:gridSpan w:val="5"/>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6340" w:type="dxa"/>
            <w:vAlign w:val="bottom"/>
            <w:gridSpan w:val="14"/>
          </w:tcPr>
          <w:p>
            <w:pPr>
              <w:spacing w:after="0"/>
              <w:rPr>
                <w:rFonts w:ascii="Arial" w:cs="Arial" w:eastAsia="Arial" w:hAnsi="Arial"/>
                <w:sz w:val="18"/>
                <w:szCs w:val="18"/>
                <w:color w:val="0000EE"/>
              </w:rPr>
            </w:pPr>
            <w:hyperlink r:id="rId236">
              <w:r>
                <w:rPr>
                  <w:rFonts w:ascii="Arial" w:cs="Arial" w:eastAsia="Arial" w:hAnsi="Arial"/>
                  <w:sz w:val="18"/>
                  <w:szCs w:val="18"/>
                  <w:color w:val="0000EE"/>
                </w:rPr>
                <w:t>Offer Letter, dated January 4, 2019 between August Moretti and the</w:t>
              </w:r>
            </w:hyperlink>
          </w:p>
        </w:tc>
        <w:tc>
          <w:tcPr>
            <w:tcW w:w="960" w:type="dxa"/>
            <w:vAlign w:val="bottom"/>
          </w:tcPr>
          <w:p>
            <w:pPr>
              <w:ind w:left="220"/>
              <w:spacing w:after="0"/>
              <w:rPr>
                <w:sz w:val="20"/>
                <w:szCs w:val="20"/>
                <w:color w:val="auto"/>
              </w:rPr>
            </w:pPr>
            <w:r>
              <w:rPr>
                <w:rFonts w:ascii="Arial" w:cs="Arial" w:eastAsia="Arial" w:hAnsi="Arial"/>
                <w:sz w:val="18"/>
                <w:szCs w:val="18"/>
                <w:color w:val="auto"/>
              </w:rPr>
              <w:t>S-1/A</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12/7/20</w:t>
            </w:r>
          </w:p>
        </w:tc>
        <w:tc>
          <w:tcPr>
            <w:tcW w:w="64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183"/>
        </w:trPr>
        <w:tc>
          <w:tcPr>
            <w:tcW w:w="1180" w:type="dxa"/>
            <w:vAlign w:val="bottom"/>
          </w:tcPr>
          <w:p>
            <w:pPr>
              <w:spacing w:after="0"/>
              <w:rPr>
                <w:sz w:val="15"/>
                <w:szCs w:val="15"/>
                <w:color w:val="auto"/>
              </w:rPr>
            </w:pPr>
          </w:p>
        </w:tc>
        <w:tc>
          <w:tcPr>
            <w:tcW w:w="8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r:id="rId236">
              <w:r>
                <w:rPr>
                  <w:rFonts w:ascii="Arial" w:cs="Arial" w:eastAsia="Arial" w:hAnsi="Arial"/>
                  <w:sz w:val="18"/>
                  <w:szCs w:val="18"/>
                  <w:color w:val="0000EE"/>
                  <w:w w:val="98"/>
                </w:rPr>
                <w:t>Registrant.</w:t>
              </w:r>
            </w:hyperlink>
          </w:p>
        </w:tc>
        <w:tc>
          <w:tcPr>
            <w:tcW w:w="4500" w:type="dxa"/>
            <w:vAlign w:val="bottom"/>
            <w:tcBorders>
              <w:top w:val="single" w:sz="8" w:color="0000EE"/>
            </w:tcBorders>
            <w:gridSpan w:val="5"/>
          </w:tcPr>
          <w:p>
            <w:pPr>
              <w:spacing w:after="0"/>
              <w:rPr>
                <w:sz w:val="15"/>
                <w:szCs w:val="15"/>
                <w:color w:val="auto"/>
              </w:rPr>
            </w:pPr>
          </w:p>
        </w:tc>
        <w:tc>
          <w:tcPr>
            <w:tcW w:w="960" w:type="dxa"/>
            <w:vAlign w:val="bottom"/>
            <w:gridSpan w:val="8"/>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58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208">
              <w:r>
                <w:rPr>
                  <w:rFonts w:ascii="Arial" w:cs="Arial" w:eastAsia="Arial" w:hAnsi="Arial"/>
                  <w:sz w:val="18"/>
                  <w:szCs w:val="18"/>
                  <w:color w:val="0000EE"/>
                  <w:w w:val="99"/>
                </w:rPr>
                <w:t>Consent of PricewaterhouseCoopers LLP, Independent Registered Public</w:t>
              </w:r>
            </w:hyperlink>
          </w:p>
        </w:tc>
        <w:tc>
          <w:tcPr>
            <w:tcW w:w="480" w:type="dxa"/>
            <w:vAlign w:val="bottom"/>
            <w:gridSpan w:val="4"/>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13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208">
              <w:r>
                <w:rPr>
                  <w:rFonts w:ascii="Arial" w:cs="Arial" w:eastAsia="Arial" w:hAnsi="Arial"/>
                  <w:sz w:val="18"/>
                  <w:szCs w:val="18"/>
                  <w:color w:val="0000EE"/>
                  <w:w w:val="99"/>
                </w:rPr>
                <w:t>Accounting Firm.</w:t>
              </w:r>
            </w:hyperlink>
          </w:p>
        </w:tc>
        <w:tc>
          <w:tcPr>
            <w:tcW w:w="4980" w:type="dxa"/>
            <w:vAlign w:val="bottom"/>
            <w:gridSpan w:val="1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4"/>
        </w:trPr>
        <w:tc>
          <w:tcPr>
            <w:tcW w:w="1180" w:type="dxa"/>
            <w:vAlign w:val="bottom"/>
          </w:tcPr>
          <w:p>
            <w:pPr>
              <w:spacing w:after="0"/>
              <w:rPr>
                <w:sz w:val="20"/>
                <w:szCs w:val="20"/>
                <w:color w:val="auto"/>
              </w:rPr>
            </w:pPr>
            <w:r>
              <w:rPr>
                <w:rFonts w:ascii="Arial" w:cs="Arial" w:eastAsia="Arial" w:hAnsi="Arial"/>
                <w:sz w:val="18"/>
                <w:szCs w:val="18"/>
                <w:color w:val="auto"/>
              </w:rPr>
              <w:t>24.1</w:t>
            </w:r>
          </w:p>
        </w:tc>
        <w:tc>
          <w:tcPr>
            <w:tcW w:w="6340" w:type="dxa"/>
            <w:vAlign w:val="bottom"/>
            <w:gridSpan w:val="14"/>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Power of Attorney (included on the signature page of this Form 10-K).</w:t>
              </w:r>
            </w:hyperlink>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6340" w:type="dxa"/>
            <w:vAlign w:val="bottom"/>
            <w:gridSpan w:val="14"/>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Certification of the Principal Executive Officer pursuant to Rules 13a-14(a)</w:t>
              </w:r>
            </w:hyperlink>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58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209">
              <w:r>
                <w:rPr>
                  <w:rFonts w:ascii="Arial" w:cs="Arial" w:eastAsia="Arial" w:hAnsi="Arial"/>
                  <w:sz w:val="18"/>
                  <w:szCs w:val="18"/>
                  <w:color w:val="0000EE"/>
                </w:rPr>
                <w:t>and 15d-14(a) under the Securities Exchange Act of 1934, as adopted</w:t>
              </w:r>
            </w:hyperlink>
          </w:p>
        </w:tc>
        <w:tc>
          <w:tcPr>
            <w:tcW w:w="46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209">
              <w:r>
                <w:rPr>
                  <w:rFonts w:ascii="Arial" w:cs="Arial" w:eastAsia="Arial" w:hAnsi="Arial"/>
                  <w:sz w:val="18"/>
                  <w:szCs w:val="18"/>
                  <w:color w:val="0000EE"/>
                  <w:w w:val="99"/>
                </w:rPr>
                <w:t>pursuant to Section 302 of the Sarbanes-Oxley Act of 2002.</w:t>
              </w:r>
            </w:hyperlink>
          </w:p>
        </w:tc>
        <w:tc>
          <w:tcPr>
            <w:tcW w:w="820" w:type="dxa"/>
            <w:vAlign w:val="bottom"/>
            <w:tcBorders>
              <w:top w:val="single" w:sz="8" w:color="0000EE"/>
            </w:tcBorders>
            <w:gridSpan w:val="3"/>
          </w:tcPr>
          <w:p>
            <w:pPr>
              <w:spacing w:after="0"/>
              <w:rPr>
                <w:sz w:val="15"/>
                <w:szCs w:val="15"/>
                <w:color w:val="auto"/>
              </w:rPr>
            </w:pPr>
          </w:p>
        </w:tc>
        <w:tc>
          <w:tcPr>
            <w:tcW w:w="76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6340" w:type="dxa"/>
            <w:vAlign w:val="bottom"/>
            <w:gridSpan w:val="14"/>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Certification of the Principal Financial Officer pursuant to Rules 13a-14(a)</w:t>
              </w:r>
            </w:hyperlink>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58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10">
              <w:r>
                <w:rPr>
                  <w:rFonts w:ascii="Arial" w:cs="Arial" w:eastAsia="Arial" w:hAnsi="Arial"/>
                  <w:sz w:val="18"/>
                  <w:szCs w:val="18"/>
                  <w:color w:val="0000EE"/>
                </w:rPr>
                <w:t>and 15d-14(a) under the Securities Exchange Act of 1934, as adopted</w:t>
              </w:r>
            </w:hyperlink>
          </w:p>
        </w:tc>
        <w:tc>
          <w:tcPr>
            <w:tcW w:w="520" w:type="dxa"/>
            <w:vAlign w:val="bottom"/>
            <w:gridSpan w:val="5"/>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210">
              <w:r>
                <w:rPr>
                  <w:rFonts w:ascii="Arial" w:cs="Arial" w:eastAsia="Arial" w:hAnsi="Arial"/>
                  <w:sz w:val="18"/>
                  <w:szCs w:val="18"/>
                  <w:color w:val="0000EE"/>
                  <w:w w:val="99"/>
                </w:rPr>
                <w:t>pursuant to Section 302 of the Sarbanes-Oxley Act of 2002.</w:t>
              </w:r>
            </w:hyperlink>
          </w:p>
        </w:tc>
        <w:tc>
          <w:tcPr>
            <w:tcW w:w="820" w:type="dxa"/>
            <w:vAlign w:val="bottom"/>
            <w:tcBorders>
              <w:top w:val="single" w:sz="8" w:color="0000EE"/>
            </w:tcBorders>
            <w:gridSpan w:val="3"/>
          </w:tcPr>
          <w:p>
            <w:pPr>
              <w:spacing w:after="0"/>
              <w:rPr>
                <w:sz w:val="15"/>
                <w:szCs w:val="15"/>
                <w:color w:val="auto"/>
              </w:rPr>
            </w:pPr>
          </w:p>
        </w:tc>
        <w:tc>
          <w:tcPr>
            <w:tcW w:w="760" w:type="dxa"/>
            <w:vAlign w:val="bottom"/>
            <w:gridSpan w:val="6"/>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6340" w:type="dxa"/>
            <w:vAlign w:val="bottom"/>
            <w:gridSpan w:val="14"/>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Certifications of the Principal Executive Officer and Principal Financial Officer</w:t>
              </w:r>
            </w:hyperlink>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59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211">
              <w:r>
                <w:rPr>
                  <w:rFonts w:ascii="Arial" w:cs="Arial" w:eastAsia="Arial" w:hAnsi="Arial"/>
                  <w:sz w:val="18"/>
                  <w:szCs w:val="18"/>
                  <w:color w:val="0000EE"/>
                  <w:w w:val="99"/>
                </w:rPr>
                <w:t>pursuant to 18 U.S.C. Section 1350, as adopted pursuant to Section 906 of</w:t>
              </w:r>
            </w:hyperlink>
          </w:p>
        </w:tc>
        <w:tc>
          <w:tcPr>
            <w:tcW w:w="14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6340" w:type="dxa"/>
            <w:vAlign w:val="bottom"/>
            <w:gridSpan w:val="14"/>
          </w:tcPr>
          <w:p>
            <w:pPr>
              <w:spacing w:after="0" w:line="182" w:lineRule="exact"/>
              <w:rPr>
                <w:rFonts w:ascii="Arial" w:cs="Arial" w:eastAsia="Arial" w:hAnsi="Arial"/>
                <w:sz w:val="18"/>
                <w:szCs w:val="18"/>
                <w:color w:val="0000EE"/>
              </w:rPr>
            </w:pPr>
            <w:hyperlink w:anchor="page211">
              <w:r>
                <w:rPr>
                  <w:rFonts w:ascii="Arial" w:cs="Arial" w:eastAsia="Arial" w:hAnsi="Arial"/>
                  <w:sz w:val="18"/>
                  <w:szCs w:val="18"/>
                  <w:color w:val="0000EE"/>
                </w:rPr>
                <w:t>the Sarbanes-Oxley Act of 2002.</w:t>
              </w:r>
            </w:hyperlink>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0"/>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6340" w:type="dxa"/>
            <w:vAlign w:val="bottom"/>
            <w:gridSpan w:val="14"/>
          </w:tcPr>
          <w:p>
            <w:pPr>
              <w:spacing w:after="0"/>
              <w:rPr>
                <w:sz w:val="20"/>
                <w:szCs w:val="20"/>
                <w:color w:val="auto"/>
              </w:rPr>
            </w:pPr>
            <w:r>
              <w:rPr>
                <w:rFonts w:ascii="Arial" w:cs="Arial" w:eastAsia="Arial" w:hAnsi="Arial"/>
                <w:sz w:val="18"/>
                <w:szCs w:val="18"/>
                <w:color w:val="auto"/>
              </w:rPr>
              <w:t>Inline XBRL Instance Document – the instance document does not appear in</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180" w:type="dxa"/>
            <w:vAlign w:val="bottom"/>
          </w:tcPr>
          <w:p>
            <w:pPr>
              <w:spacing w:after="0"/>
              <w:rPr>
                <w:sz w:val="17"/>
                <w:szCs w:val="17"/>
                <w:color w:val="auto"/>
              </w:rPr>
            </w:pPr>
          </w:p>
        </w:tc>
        <w:tc>
          <w:tcPr>
            <w:tcW w:w="6340" w:type="dxa"/>
            <w:vAlign w:val="bottom"/>
            <w:gridSpan w:val="14"/>
          </w:tcPr>
          <w:p>
            <w:pPr>
              <w:spacing w:after="0" w:line="202" w:lineRule="exact"/>
              <w:rPr>
                <w:sz w:val="20"/>
                <w:szCs w:val="20"/>
                <w:color w:val="auto"/>
              </w:rPr>
            </w:pPr>
            <w:r>
              <w:rPr>
                <w:rFonts w:ascii="Arial" w:cs="Arial" w:eastAsia="Arial" w:hAnsi="Arial"/>
                <w:sz w:val="18"/>
                <w:szCs w:val="18"/>
                <w:color w:val="auto"/>
              </w:rPr>
              <w:t>the Interactive Data File because XBRL tags are embedded within the Inline</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7"/>
        </w:trPr>
        <w:tc>
          <w:tcPr>
            <w:tcW w:w="1180" w:type="dxa"/>
            <w:vAlign w:val="bottom"/>
          </w:tcPr>
          <w:p>
            <w:pPr>
              <w:spacing w:after="0"/>
              <w:rPr>
                <w:sz w:val="18"/>
                <w:szCs w:val="18"/>
                <w:color w:val="auto"/>
              </w:rPr>
            </w:pPr>
          </w:p>
        </w:tc>
        <w:tc>
          <w:tcPr>
            <w:tcW w:w="6340" w:type="dxa"/>
            <w:vAlign w:val="bottom"/>
            <w:gridSpan w:val="14"/>
          </w:tcPr>
          <w:p>
            <w:pPr>
              <w:spacing w:after="0"/>
              <w:rPr>
                <w:sz w:val="20"/>
                <w:szCs w:val="20"/>
                <w:color w:val="auto"/>
              </w:rPr>
            </w:pPr>
            <w:r>
              <w:rPr>
                <w:rFonts w:ascii="Arial" w:cs="Arial" w:eastAsia="Arial" w:hAnsi="Arial"/>
                <w:sz w:val="18"/>
                <w:szCs w:val="18"/>
                <w:color w:val="auto"/>
              </w:rPr>
              <w:t>XBRL document.</w:t>
            </w: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64"/>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634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63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634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4"/>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63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63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07" w:lineRule="exact"/>
        <w:rPr>
          <w:sz w:val="20"/>
          <w:szCs w:val="20"/>
          <w:color w:val="auto"/>
        </w:rPr>
      </w:pPr>
    </w:p>
    <w:p>
      <w:pPr>
        <w:ind w:left="1180" w:right="3640" w:hanging="1172"/>
        <w:spacing w:after="0" w:line="246"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7" w:lineRule="exact"/>
        <w:rPr>
          <w:sz w:val="20"/>
          <w:szCs w:val="20"/>
          <w:color w:val="auto"/>
        </w:rPr>
      </w:pPr>
    </w:p>
    <w:p>
      <w:pPr>
        <w:ind w:left="440" w:hanging="432"/>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04" w:lineRule="exact"/>
        <w:rPr>
          <w:sz w:val="20"/>
          <w:szCs w:val="20"/>
          <w:color w:val="auto"/>
        </w:rPr>
      </w:pPr>
    </w:p>
    <w:p>
      <w:pPr>
        <w:ind w:left="5480" w:right="1660" w:hanging="5472"/>
        <w:spacing w:after="0" w:line="496" w:lineRule="auto"/>
        <w:tabs>
          <w:tab w:leader="none" w:pos="4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form this exhibit.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10200" w:space="580"/>
            <w:col w:w="460"/>
          </w:cols>
          <w:pgMar w:left="320" w:top="342" w:right="339" w:bottom="1440" w:gutter="0" w:footer="0" w:header="0"/>
          <w:type w:val="continuous"/>
        </w:sectPr>
      </w:pPr>
    </w:p>
    <w:bookmarkStart w:id="161" w:name="page162"/>
    <w:bookmarkEnd w:id="161"/>
    <w:p>
      <w:pPr>
        <w:ind w:left="440" w:hanging="432"/>
        <w:spacing w:after="0" w:line="238" w:lineRule="auto"/>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deemed furnished and not filed with the Securities and Exchange Commission and are not to be incorporated by reference into any filing of 4D Molecular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9" w:right="399" w:bottom="1440" w:gutter="0" w:footer="0" w:header="0"/>
        </w:sectPr>
      </w:pPr>
    </w:p>
    <w:bookmarkStart w:id="162" w:name="page163"/>
    <w:bookmarkEnd w:id="162"/>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right="140" w:firstLine="734"/>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4D Molecular Therapeutics, Inc.</w:t>
      </w:r>
    </w:p>
    <w:p>
      <w:pPr>
        <w:spacing w:after="0" w:line="247" w:lineRule="exact"/>
        <w:rPr>
          <w:sz w:val="20"/>
          <w:szCs w:val="20"/>
          <w:color w:val="auto"/>
        </w:rPr>
      </w:pPr>
    </w:p>
    <w:p>
      <w:pPr>
        <w:spacing w:after="0"/>
        <w:tabs>
          <w:tab w:leader="none" w:pos="5660" w:val="left"/>
          <w:tab w:leader="none" w:pos="808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-1905</wp:posOffset>
            </wp:positionV>
            <wp:extent cx="33089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b w:val="1"/>
          <w:bCs w:val="1"/>
          <w:color w:val="auto"/>
        </w:rPr>
        <w:t>David Kirn, M.D.</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Chief Executive Officer and Director</w:t>
      </w:r>
    </w:p>
    <w:p>
      <w:pPr>
        <w:ind w:left="6220"/>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203"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firstLine="589"/>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Kirn and August Moretti,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163" w:name="page164"/>
    <w:bookmarkEnd w:id="163"/>
    <w:p>
      <w:pPr>
        <w:ind w:right="680" w:firstLine="589"/>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Name</w:t>
            </w:r>
          </w:p>
        </w:tc>
        <w:tc>
          <w:tcPr>
            <w:tcW w:w="120" w:type="dxa"/>
            <w:vAlign w:val="bottom"/>
          </w:tcPr>
          <w:p>
            <w:pPr>
              <w:spacing w:after="0"/>
              <w:rPr>
                <w:sz w:val="19"/>
                <w:szCs w:val="19"/>
                <w:color w:val="auto"/>
              </w:rPr>
            </w:pPr>
          </w:p>
        </w:tc>
        <w:tc>
          <w:tcPr>
            <w:tcW w:w="486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19"/>
                <w:szCs w:val="19"/>
                <w:color w:val="auto"/>
              </w:rPr>
            </w:pPr>
          </w:p>
        </w:tc>
        <w:tc>
          <w:tcPr>
            <w:tcW w:w="244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Date</w:t>
            </w: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Kirn</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David Kirn, M.D.</w:t>
            </w:r>
          </w:p>
        </w:tc>
        <w:tc>
          <w:tcPr>
            <w:tcW w:w="1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440" w:type="dxa"/>
            <w:vAlign w:val="bottom"/>
          </w:tcPr>
          <w:p>
            <w:pPr>
              <w:spacing w:after="0"/>
              <w:rPr>
                <w:sz w:val="20"/>
                <w:szCs w:val="20"/>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August J. Moretti</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August J. Moretti</w:t>
            </w:r>
          </w:p>
        </w:tc>
        <w:tc>
          <w:tcPr>
            <w:tcW w:w="1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440" w:type="dxa"/>
            <w:vAlign w:val="bottom"/>
          </w:tcPr>
          <w:p>
            <w:pPr>
              <w:spacing w:after="0"/>
              <w:rPr>
                <w:sz w:val="20"/>
                <w:szCs w:val="20"/>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John F. Milligan</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Executive Chairman</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John F. Milligan,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Burkoth</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William Burkoth, MBA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Jacob Chacko</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Jacob Chacko, M.D., MBA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Susannah Gray</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63"/>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Susannah Gray, MBA</w:t>
            </w:r>
          </w:p>
        </w:tc>
        <w:tc>
          <w:tcPr>
            <w:tcW w:w="1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4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Nancy Miller-Rich</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63"/>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Nancy Miller-Rich</w:t>
            </w:r>
          </w:p>
        </w:tc>
        <w:tc>
          <w:tcPr>
            <w:tcW w:w="1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4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Schaffer</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David Schaffer,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0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Charles P. Theuer</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Charles P. Theuer, M.D.,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5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Shawn Cline Tomasello</w:t>
            </w:r>
          </w:p>
        </w:tc>
        <w:tc>
          <w:tcPr>
            <w:tcW w:w="1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40" w:type="dxa"/>
            <w:vAlign w:val="bottom"/>
          </w:tcPr>
          <w:p>
            <w:pPr>
              <w:ind w:left="20"/>
              <w:spacing w:after="0"/>
              <w:rPr>
                <w:sz w:val="20"/>
                <w:szCs w:val="20"/>
                <w:color w:val="auto"/>
              </w:rPr>
            </w:pPr>
            <w:r>
              <w:rPr>
                <w:rFonts w:ascii="Arial" w:cs="Arial" w:eastAsia="Arial" w:hAnsi="Arial"/>
                <w:sz w:val="18"/>
                <w:szCs w:val="18"/>
                <w:color w:val="auto"/>
              </w:rPr>
              <w:t>March 25, 2021</w:t>
            </w:r>
          </w:p>
        </w:tc>
      </w:tr>
      <w:tr>
        <w:trPr>
          <w:trHeight w:val="26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Shawn Cline Tomasello, MBA</w:t>
            </w:r>
          </w:p>
        </w:tc>
        <w:tc>
          <w:tcPr>
            <w:tcW w:w="12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tcPr>
          <w:p>
            <w:pPr>
              <w:spacing w:after="0"/>
              <w:rPr>
                <w:sz w:val="22"/>
                <w:szCs w:val="22"/>
                <w:color w:val="auto"/>
              </w:rPr>
            </w:pPr>
          </w:p>
        </w:tc>
      </w:tr>
      <w:tr>
        <w:trPr>
          <w:trHeight w:val="877"/>
        </w:trPr>
        <w:tc>
          <w:tcPr>
            <w:tcW w:w="3720" w:type="dxa"/>
            <w:vAlign w:val="bottom"/>
          </w:tcPr>
          <w:p>
            <w:pPr>
              <w:spacing w:after="0"/>
              <w:rPr>
                <w:sz w:val="24"/>
                <w:szCs w:val="24"/>
                <w:color w:val="auto"/>
              </w:rPr>
            </w:pPr>
          </w:p>
        </w:tc>
        <w:tc>
          <w:tcPr>
            <w:tcW w:w="4980" w:type="dxa"/>
            <w:vAlign w:val="bottom"/>
            <w:gridSpan w:val="2"/>
          </w:tcPr>
          <w:p>
            <w:pPr>
              <w:jc w:val="right"/>
              <w:ind w:right="28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02"/>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120" w:type="dxa"/>
            <w:vAlign w:val="bottom"/>
            <w:gridSpan w:val="7"/>
            <w:vMerge w:val="restart"/>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Report of Independent Registered Public Accounting Firm</w:t>
              </w:r>
            </w:hyperlink>
          </w:p>
        </w:tc>
        <w:tc>
          <w:tcPr>
            <w:tcW w:w="1140" w:type="dxa"/>
            <w:vAlign w:val="bottom"/>
            <w:gridSpan w:val="2"/>
          </w:tcPr>
          <w:p>
            <w:pPr>
              <w:ind w:lef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120" w:type="dxa"/>
            <w:vAlign w:val="bottom"/>
            <w:gridSpan w:val="7"/>
            <w:vMerge w:val="continue"/>
          </w:tcPr>
          <w:p>
            <w:pPr>
              <w:spacing w:after="0"/>
              <w:rPr>
                <w:sz w:val="13"/>
                <w:szCs w:val="13"/>
                <w:color w:val="auto"/>
              </w:rPr>
            </w:pPr>
          </w:p>
        </w:tc>
        <w:tc>
          <w:tcPr>
            <w:tcW w:w="1120" w:type="dxa"/>
            <w:vAlign w:val="bottom"/>
            <w:tcBorders>
              <w:top w:val="single" w:sz="8" w:color="auto"/>
            </w:tcBorders>
          </w:tcPr>
          <w:p>
            <w:pPr>
              <w:ind w:left="8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Balance Sheets</w:t>
              </w:r>
            </w:hyperlink>
          </w:p>
        </w:tc>
        <w:tc>
          <w:tcPr>
            <w:tcW w:w="5520" w:type="dxa"/>
            <w:vAlign w:val="bottom"/>
            <w:gridSpan w:val="2"/>
          </w:tcPr>
          <w:p>
            <w:pPr>
              <w:spacing w:after="0"/>
              <w:rPr>
                <w:sz w:val="17"/>
                <w:szCs w:val="17"/>
                <w:color w:val="auto"/>
              </w:rPr>
            </w:pPr>
          </w:p>
        </w:tc>
        <w:tc>
          <w:tcPr>
            <w:tcW w:w="1140" w:type="dxa"/>
            <w:vAlign w:val="bottom"/>
            <w:gridSpan w:val="2"/>
          </w:tcPr>
          <w:p>
            <w:pPr>
              <w:ind w:left="860"/>
              <w:spacing w:after="0" w:line="19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1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68">
              <w:r>
                <w:rPr>
                  <w:rFonts w:ascii="Arial" w:cs="Arial" w:eastAsia="Arial" w:hAnsi="Arial"/>
                  <w:sz w:val="18"/>
                  <w:szCs w:val="18"/>
                  <w:color w:val="0000EE"/>
                  <w:w w:val="99"/>
                </w:rPr>
                <w:t>Statements of Operations and Comprehensive Loss</w:t>
              </w:r>
            </w:hyperlink>
          </w:p>
        </w:tc>
        <w:tc>
          <w:tcPr>
            <w:tcW w:w="5980" w:type="dxa"/>
            <w:vAlign w:val="bottom"/>
            <w:gridSpan w:val="3"/>
          </w:tcPr>
          <w:p>
            <w:pPr>
              <w:spacing w:after="0"/>
              <w:rPr>
                <w:sz w:val="15"/>
                <w:szCs w:val="15"/>
                <w:color w:val="auto"/>
              </w:rPr>
            </w:pPr>
          </w:p>
        </w:tc>
        <w:tc>
          <w:tcPr>
            <w:tcW w:w="1140" w:type="dxa"/>
            <w:vAlign w:val="bottom"/>
            <w:gridSpan w:val="2"/>
          </w:tcPr>
          <w:p>
            <w:pPr>
              <w:ind w:left="860"/>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64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69">
              <w:r>
                <w:rPr>
                  <w:rFonts w:ascii="Arial" w:cs="Arial" w:eastAsia="Arial" w:hAnsi="Arial"/>
                  <w:sz w:val="18"/>
                  <w:szCs w:val="18"/>
                  <w:color w:val="0000EE"/>
                  <w:w w:val="99"/>
                </w:rPr>
                <w:t>Statements of Redeemable Convertible Preferred Stock and Stockholders’ Deficit</w:t>
              </w:r>
            </w:hyperlink>
          </w:p>
        </w:tc>
        <w:tc>
          <w:tcPr>
            <w:tcW w:w="3640" w:type="dxa"/>
            <w:vAlign w:val="bottom"/>
          </w:tcPr>
          <w:p>
            <w:pPr>
              <w:spacing w:after="0"/>
              <w:rPr>
                <w:sz w:val="15"/>
                <w:szCs w:val="15"/>
                <w:color w:val="auto"/>
              </w:rPr>
            </w:pPr>
          </w:p>
        </w:tc>
        <w:tc>
          <w:tcPr>
            <w:tcW w:w="1140" w:type="dxa"/>
            <w:vAlign w:val="bottom"/>
            <w:gridSpan w:val="2"/>
          </w:tcPr>
          <w:p>
            <w:pPr>
              <w:ind w:left="860"/>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10120" w:type="dxa"/>
            <w:vAlign w:val="bottom"/>
            <w:gridSpan w:val="7"/>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Statements of Cash Flows</w:t>
              </w:r>
            </w:hyperlink>
          </w:p>
        </w:tc>
        <w:tc>
          <w:tcPr>
            <w:tcW w:w="1140" w:type="dxa"/>
            <w:vAlign w:val="bottom"/>
            <w:gridSpan w:val="2"/>
          </w:tcPr>
          <w:p>
            <w:pPr>
              <w:ind w:left="860"/>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120" w:type="dxa"/>
            <w:vAlign w:val="bottom"/>
            <w:gridSpan w:val="7"/>
          </w:tcPr>
          <w:p>
            <w:pPr>
              <w:spacing w:after="0" w:line="182" w:lineRule="exact"/>
              <w:rPr>
                <w:rFonts w:ascii="Arial" w:cs="Arial" w:eastAsia="Arial" w:hAnsi="Arial"/>
                <w:sz w:val="18"/>
                <w:szCs w:val="18"/>
                <w:color w:val="0000EE"/>
              </w:rPr>
            </w:pPr>
            <w:hyperlink w:anchor="page171">
              <w:r>
                <w:rPr>
                  <w:rFonts w:ascii="Arial" w:cs="Arial" w:eastAsia="Arial" w:hAnsi="Arial"/>
                  <w:sz w:val="18"/>
                  <w:szCs w:val="18"/>
                  <w:color w:val="0000EE"/>
                </w:rPr>
                <w:t>Notes to Financial Statements</w:t>
              </w:r>
            </w:hyperlink>
          </w:p>
        </w:tc>
        <w:tc>
          <w:tcPr>
            <w:tcW w:w="1140" w:type="dxa"/>
            <w:vAlign w:val="bottom"/>
            <w:gridSpan w:val="2"/>
          </w:tcPr>
          <w:p>
            <w:pPr>
              <w:ind w:left="860"/>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655"/>
        </w:trPr>
        <w:tc>
          <w:tcPr>
            <w:tcW w:w="1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20" w:type="dxa"/>
            <w:vAlign w:val="bottom"/>
            <w:gridSpan w:val="2"/>
          </w:tcPr>
          <w:p>
            <w:pPr>
              <w:ind w:left="880"/>
              <w:spacing w:after="0"/>
              <w:rPr>
                <w:sz w:val="20"/>
                <w:szCs w:val="20"/>
                <w:color w:val="auto"/>
              </w:rPr>
            </w:pPr>
            <w:r>
              <w:rPr>
                <w:rFonts w:ascii="Arial" w:cs="Arial" w:eastAsia="Arial" w:hAnsi="Arial"/>
                <w:sz w:val="18"/>
                <w:szCs w:val="18"/>
                <w:color w:val="auto"/>
              </w:rPr>
              <w:t>F-1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5" w:name="page166"/>
    <w:bookmarkEnd w:id="165"/>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4D Molecular Therapeutics, Inc.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audited the accompanying balance sheets of 4D Molecular Therapeutics, Inc. (the “Company”) as of December 31, 2020 and 2019, and the related statements of operations and comprehensive loss, of redeemable convertible preferred stock and stockholders’ equity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26"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20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9"/>
        </w:trPr>
        <w:tc>
          <w:tcPr>
            <w:tcW w:w="7700" w:type="dxa"/>
            <w:vAlign w:val="bottom"/>
          </w:tcPr>
          <w:p>
            <w:pPr>
              <w:jc w:val="center"/>
              <w:ind w:left="3470"/>
              <w:spacing w:after="0"/>
              <w:rPr>
                <w:sz w:val="20"/>
                <w:szCs w:val="20"/>
                <w:color w:val="auto"/>
              </w:rPr>
            </w:pPr>
            <w:r>
              <w:rPr>
                <w:rFonts w:ascii="Arial" w:cs="Arial" w:eastAsia="Arial" w:hAnsi="Arial"/>
                <w:sz w:val="18"/>
                <w:szCs w:val="18"/>
                <w:b w:val="1"/>
                <w:bCs w:val="1"/>
                <w:color w:val="auto"/>
                <w:w w:val="99"/>
              </w:rPr>
              <w:t>4D Molecular Therapeutics, Inc.</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700" w:type="dxa"/>
            <w:vAlign w:val="bottom"/>
          </w:tcPr>
          <w:p>
            <w:pPr>
              <w:jc w:val="center"/>
              <w:ind w:left="3450"/>
              <w:spacing w:after="0"/>
              <w:rPr>
                <w:sz w:val="20"/>
                <w:szCs w:val="20"/>
                <w:color w:val="auto"/>
              </w:rPr>
            </w:pPr>
            <w:r>
              <w:rPr>
                <w:rFonts w:ascii="Arial" w:cs="Arial" w:eastAsia="Arial" w:hAnsi="Arial"/>
                <w:sz w:val="18"/>
                <w:szCs w:val="18"/>
                <w:b w:val="1"/>
                <w:bCs w:val="1"/>
                <w:color w:val="auto"/>
                <w:w w:val="99"/>
              </w:rPr>
              <w:t>Balance Sheets</w:t>
            </w: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806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7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276,726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49,652</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1,486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 (includes $169 and</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$149 at December 31, 2020 and 2019, respectively, attributable</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to related parties)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4,444</w:t>
            </w:r>
          </w:p>
        </w:tc>
        <w:tc>
          <w:tcPr>
            <w:tcW w:w="18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282,656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52,508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5,073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602</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288,331</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58,234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w:t>
            </w: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Stockholders’ Equity (Deficit)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1,787</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8,371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Deferred revenue (includes $0 and $1,122 at December 31,</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tcPr>
          <w:p>
            <w:pPr>
              <w:ind w:left="400"/>
              <w:spacing w:after="0" w:line="203" w:lineRule="exact"/>
              <w:rPr>
                <w:sz w:val="20"/>
                <w:szCs w:val="20"/>
                <w:color w:val="auto"/>
              </w:rPr>
            </w:pPr>
            <w:r>
              <w:rPr>
                <w:rFonts w:ascii="Arial" w:cs="Arial" w:eastAsia="Arial" w:hAnsi="Arial"/>
                <w:sz w:val="18"/>
                <w:szCs w:val="18"/>
                <w:color w:val="auto"/>
              </w:rPr>
              <w:t>2020 and 2019, respectively, attributable to related parties)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6,586</w:t>
            </w:r>
          </w:p>
        </w:tc>
        <w:tc>
          <w:tcPr>
            <w:tcW w:w="1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16,744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Deferred revenue, net of current portion (includes $0 and $4,015</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at December 31, 2020 and 2019, respectively, attributable to related</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parties)</w:t>
            </w:r>
          </w:p>
        </w:tc>
        <w:tc>
          <w:tcPr>
            <w:tcW w:w="360" w:type="dxa"/>
            <w:vAlign w:val="bottom"/>
          </w:tcPr>
          <w:p>
            <w:pPr>
              <w:spacing w:after="0"/>
              <w:rPr>
                <w:sz w:val="17"/>
                <w:szCs w:val="17"/>
                <w:color w:val="auto"/>
              </w:rPr>
            </w:pPr>
          </w:p>
        </w:tc>
        <w:tc>
          <w:tcPr>
            <w:tcW w:w="13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13,226</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1,852</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31,944</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28,224</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$0.0001 par value;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0 and 7,375,638 shares authorized shares at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December 31, 2020 and 2019, respectively; 0 and 7,375,631</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shares issued and outstanding at December 31, 2020 and 2019,</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respectively. Liquidation value of $0 and $108,596 at</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December 31, 2020 and 2019, respectively.</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102,980</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as of December 31, 2020 and no shares authorized as of</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December 31, 2019; no shares issued and outstanding as of</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December 31, 2020 and 2019, respectively.</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$0.0001 par value, 300,000,000 and 50,000,000</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shares authorized at December 31, 2020 and 2019, respectively;</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26,681,983 and 5,178,955 shares issued and outstanding at</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December 31, 2020 and 2019, respectively.</w:t>
            </w:r>
          </w:p>
        </w:tc>
        <w:tc>
          <w:tcPr>
            <w:tcW w:w="360" w:type="dxa"/>
            <w:vAlign w:val="bottom"/>
          </w:tcPr>
          <w:p>
            <w:pPr>
              <w:spacing w:after="0"/>
              <w:rPr>
                <w:sz w:val="17"/>
                <w:szCs w:val="17"/>
                <w:color w:val="auto"/>
              </w:rPr>
            </w:pPr>
          </w:p>
        </w:tc>
        <w:tc>
          <w:tcPr>
            <w:tcW w:w="13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392,063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(135,679)</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(79,025)</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256,387</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Total liabilities, redeemable convertible preferred stock and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stockholders’ equity (deficit)</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288,331</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58,234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Collaboration and license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13,363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and license revenue, related parties</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 (includes $579 and $350 for the years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ended December 31, 2020 and 2019, respectively, attributable to</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related parties)</w:t>
            </w:r>
          </w:p>
        </w:tc>
        <w:tc>
          <w:tcPr>
            <w:tcW w:w="340" w:type="dxa"/>
            <w:vAlign w:val="bottom"/>
          </w:tcPr>
          <w:p>
            <w:pPr>
              <w:spacing w:after="0"/>
              <w:rPr>
                <w:sz w:val="17"/>
                <w:szCs w:val="17"/>
                <w:color w:val="auto"/>
              </w:rPr>
            </w:pPr>
          </w:p>
        </w:tc>
        <w:tc>
          <w:tcPr>
            <w:tcW w:w="13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53,038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38,718</w:t>
            </w: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related parties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17,238</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13,895</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70,276</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57,750</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(56,664)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(50,764)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(56,693)</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(49,306)</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(8.82)</w:t>
            </w:r>
          </w:p>
        </w:tc>
        <w:tc>
          <w:tcPr>
            <w:tcW w:w="5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outstanding used in computing net loss</w:t>
            </w:r>
          </w:p>
        </w:tc>
        <w:tc>
          <w:tcPr>
            <w:tcW w:w="3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attributable to common stockholders, basic and diluted</w:t>
            </w: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6,430,555</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5,142,560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8" w:name="page169"/>
    <w:bookmarkEnd w:id="168"/>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080" w:type="dxa"/>
            <w:vAlign w:val="bottom"/>
            <w:tcBorders>
              <w:right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Redeemable</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900" w:type="dxa"/>
            <w:vAlign w:val="bottom"/>
          </w:tcPr>
          <w:p>
            <w:pPr>
              <w:spacing w:after="0"/>
              <w:rPr>
                <w:sz w:val="14"/>
                <w:szCs w:val="14"/>
                <w:color w:val="auto"/>
              </w:rPr>
            </w:pPr>
          </w:p>
        </w:tc>
        <w:tc>
          <w:tcPr>
            <w:tcW w:w="2080" w:type="dxa"/>
            <w:vAlign w:val="bottom"/>
            <w:tcBorders>
              <w:right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Convertible</w:t>
            </w: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175"/>
        </w:trPr>
        <w:tc>
          <w:tcPr>
            <w:tcW w:w="3900" w:type="dxa"/>
            <w:vAlign w:val="bottom"/>
          </w:tcPr>
          <w:p>
            <w:pPr>
              <w:spacing w:after="0"/>
              <w:rPr>
                <w:sz w:val="15"/>
                <w:szCs w:val="15"/>
                <w:color w:val="auto"/>
              </w:rPr>
            </w:pPr>
          </w:p>
        </w:tc>
        <w:tc>
          <w:tcPr>
            <w:tcW w:w="2080" w:type="dxa"/>
            <w:vAlign w:val="bottom"/>
            <w:tcBorders>
              <w:bottom w:val="single" w:sz="8" w:color="auto"/>
              <w:right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390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Deficit</w:t>
            </w: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Balances at December 31, 2018</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7,375,631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102,980</w:t>
            </w:r>
          </w:p>
        </w:tc>
        <w:tc>
          <w:tcPr>
            <w:tcW w:w="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5,126,344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2,438</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(30,026)</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(27,587)</w:t>
            </w:r>
          </w:p>
        </w:tc>
      </w:tr>
      <w:tr>
        <w:trPr>
          <w:trHeight w:val="180"/>
        </w:trPr>
        <w:tc>
          <w:tcPr>
            <w:tcW w:w="3900" w:type="dxa"/>
            <w:vAlign w:val="bottom"/>
          </w:tcPr>
          <w:p>
            <w:pPr>
              <w:ind w:left="260"/>
              <w:spacing w:after="0"/>
              <w:rPr>
                <w:sz w:val="20"/>
                <w:szCs w:val="20"/>
                <w:color w:val="auto"/>
              </w:rPr>
            </w:pPr>
            <w:r>
              <w:rPr>
                <w:rFonts w:ascii="Arial" w:cs="Arial" w:eastAsia="Arial" w:hAnsi="Arial"/>
                <w:sz w:val="14"/>
                <w:szCs w:val="14"/>
                <w:color w:val="auto"/>
              </w:rPr>
              <w:t>Cumulative effect of adoption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57"/>
        </w:trPr>
        <w:tc>
          <w:tcPr>
            <w:tcW w:w="3900" w:type="dxa"/>
            <w:vAlign w:val="bottom"/>
          </w:tcPr>
          <w:p>
            <w:pPr>
              <w:ind w:left="380"/>
              <w:spacing w:after="0" w:line="157" w:lineRule="exact"/>
              <w:rPr>
                <w:sz w:val="20"/>
                <w:szCs w:val="20"/>
                <w:color w:val="auto"/>
              </w:rPr>
            </w:pPr>
            <w:r>
              <w:rPr>
                <w:rFonts w:ascii="Arial" w:cs="Arial" w:eastAsia="Arial" w:hAnsi="Arial"/>
                <w:sz w:val="14"/>
                <w:szCs w:val="14"/>
                <w:color w:val="auto"/>
              </w:rPr>
              <w:t>ASC 606</w:t>
            </w:r>
          </w:p>
        </w:tc>
        <w:tc>
          <w:tcPr>
            <w:tcW w:w="11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tcBorders>
              <w:right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307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307</w:t>
            </w:r>
          </w:p>
        </w:tc>
      </w:tr>
      <w:tr>
        <w:trPr>
          <w:trHeight w:val="180"/>
        </w:trPr>
        <w:tc>
          <w:tcPr>
            <w:tcW w:w="3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exercise of stock options</w:t>
            </w:r>
          </w:p>
        </w:tc>
        <w:tc>
          <w:tcPr>
            <w:tcW w:w="11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52,611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75</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75</w:t>
            </w:r>
          </w:p>
        </w:tc>
      </w:tr>
      <w:tr>
        <w:trPr>
          <w:trHeight w:val="175"/>
        </w:trPr>
        <w:tc>
          <w:tcPr>
            <w:tcW w:w="39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3,541</w:t>
            </w:r>
          </w:p>
        </w:tc>
      </w:tr>
      <w:tr>
        <w:trPr>
          <w:trHeight w:val="176"/>
        </w:trPr>
        <w:tc>
          <w:tcPr>
            <w:tcW w:w="3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(49,306)</w:t>
            </w:r>
          </w:p>
        </w:tc>
        <w:tc>
          <w:tcPr>
            <w:tcW w:w="10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(49,306)</w:t>
            </w:r>
          </w:p>
        </w:tc>
      </w:tr>
      <w:tr>
        <w:trPr>
          <w:trHeight w:val="169"/>
        </w:trPr>
        <w:tc>
          <w:tcPr>
            <w:tcW w:w="3900" w:type="dxa"/>
            <w:vAlign w:val="bottom"/>
          </w:tcPr>
          <w:p>
            <w:pPr>
              <w:spacing w:after="0"/>
              <w:rPr>
                <w:sz w:val="20"/>
                <w:szCs w:val="20"/>
                <w:color w:val="auto"/>
              </w:rPr>
            </w:pPr>
            <w:r>
              <w:rPr>
                <w:rFonts w:ascii="Arial" w:cs="Arial" w:eastAsia="Arial" w:hAnsi="Arial"/>
                <w:sz w:val="14"/>
                <w:szCs w:val="14"/>
                <w:b w:val="1"/>
                <w:bCs w:val="1"/>
                <w:color w:val="auto"/>
              </w:rPr>
              <w:t>Balances at December 31, 2019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7,375,631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102,980</w:t>
            </w:r>
          </w:p>
        </w:tc>
        <w:tc>
          <w:tcPr>
            <w:tcW w:w="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5,178,955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6,054</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(79,025)</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(72,970)</w:t>
            </w:r>
          </w:p>
        </w:tc>
      </w:tr>
      <w:tr>
        <w:trPr>
          <w:trHeight w:val="180"/>
        </w:trPr>
        <w:tc>
          <w:tcPr>
            <w:tcW w:w="3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Cumulative effect of adoption of</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ASU 2018-07</w:t>
            </w:r>
          </w:p>
        </w:tc>
        <w:tc>
          <w:tcPr>
            <w:tcW w:w="11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(39)</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39</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r>
      <w:tr>
        <w:trPr>
          <w:trHeight w:val="180"/>
        </w:trPr>
        <w:tc>
          <w:tcPr>
            <w:tcW w:w="3900" w:type="dxa"/>
            <w:vAlign w:val="bottom"/>
          </w:tcPr>
          <w:p>
            <w:pPr>
              <w:ind w:left="260"/>
              <w:spacing w:after="0"/>
              <w:rPr>
                <w:sz w:val="20"/>
                <w:szCs w:val="20"/>
                <w:color w:val="auto"/>
              </w:rPr>
            </w:pPr>
            <w:r>
              <w:rPr>
                <w:rFonts w:ascii="Arial" w:cs="Arial" w:eastAsia="Arial" w:hAnsi="Arial"/>
                <w:sz w:val="14"/>
                <w:szCs w:val="14"/>
                <w:color w:val="auto"/>
              </w:rPr>
              <w:t>Issuance of redeemable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3900" w:type="dxa"/>
            <w:vAlign w:val="bottom"/>
          </w:tcPr>
          <w:p>
            <w:pPr>
              <w:ind w:left="380"/>
              <w:spacing w:after="0"/>
              <w:rPr>
                <w:sz w:val="20"/>
                <w:szCs w:val="20"/>
                <w:color w:val="auto"/>
              </w:rPr>
            </w:pPr>
            <w:r>
              <w:rPr>
                <w:rFonts w:ascii="Arial" w:cs="Arial" w:eastAsia="Arial" w:hAnsi="Arial"/>
                <w:sz w:val="14"/>
                <w:szCs w:val="14"/>
                <w:color w:val="auto"/>
              </w:rPr>
              <w:t>convertible preferred stock,</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7"/>
        </w:trPr>
        <w:tc>
          <w:tcPr>
            <w:tcW w:w="3900" w:type="dxa"/>
            <w:vAlign w:val="bottom"/>
          </w:tcPr>
          <w:p>
            <w:pPr>
              <w:ind w:left="380"/>
              <w:spacing w:after="0" w:line="157" w:lineRule="exact"/>
              <w:rPr>
                <w:sz w:val="20"/>
                <w:szCs w:val="20"/>
                <w:color w:val="auto"/>
              </w:rPr>
            </w:pPr>
            <w:r>
              <w:rPr>
                <w:rFonts w:ascii="Arial" w:cs="Arial" w:eastAsia="Arial" w:hAnsi="Arial"/>
                <w:sz w:val="14"/>
                <w:szCs w:val="14"/>
                <w:color w:val="auto"/>
              </w:rPr>
              <w:t>net of $3,138 of issuance cost</w:t>
            </w:r>
          </w:p>
        </w:tc>
        <w:tc>
          <w:tcPr>
            <w:tcW w:w="10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4,200,353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right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72,468</w:t>
            </w:r>
          </w:p>
        </w:tc>
        <w:tc>
          <w:tcPr>
            <w:tcW w:w="40" w:type="dxa"/>
            <w:vAlign w:val="bottom"/>
          </w:tcPr>
          <w:p>
            <w:pPr>
              <w:spacing w:after="0"/>
              <w:rPr>
                <w:sz w:val="13"/>
                <w:szCs w:val="13"/>
                <w:color w:val="auto"/>
              </w:rPr>
            </w:pPr>
          </w:p>
        </w:tc>
        <w:tc>
          <w:tcPr>
            <w:tcW w:w="10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r>
      <w:tr>
        <w:trPr>
          <w:trHeight w:val="180"/>
        </w:trPr>
        <w:tc>
          <w:tcPr>
            <w:tcW w:w="3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Conversion of redeemable</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62"/>
        </w:trPr>
        <w:tc>
          <w:tcPr>
            <w:tcW w:w="39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convertible preferred stock</w:t>
            </w: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r>
      <w:tr>
        <w:trPr>
          <w:trHeight w:val="157"/>
        </w:trPr>
        <w:tc>
          <w:tcPr>
            <w:tcW w:w="39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into common stock</w:t>
            </w:r>
          </w:p>
        </w:tc>
        <w:tc>
          <w:tcPr>
            <w:tcW w:w="10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(11,575,984)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(175,448)</w:t>
            </w:r>
          </w:p>
        </w:tc>
        <w:tc>
          <w:tcPr>
            <w:tcW w:w="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11,575,984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175,447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175,448</w:t>
            </w:r>
          </w:p>
        </w:tc>
      </w:tr>
      <w:tr>
        <w:trPr>
          <w:trHeight w:val="180"/>
        </w:trPr>
        <w:tc>
          <w:tcPr>
            <w:tcW w:w="390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3900" w:type="dxa"/>
            <w:vAlign w:val="bottom"/>
          </w:tcPr>
          <w:p>
            <w:pPr>
              <w:ind w:left="380"/>
              <w:spacing w:after="0"/>
              <w:rPr>
                <w:sz w:val="20"/>
                <w:szCs w:val="20"/>
                <w:color w:val="auto"/>
              </w:rPr>
            </w:pPr>
            <w:r>
              <w:rPr>
                <w:rFonts w:ascii="Arial" w:cs="Arial" w:eastAsia="Arial" w:hAnsi="Arial"/>
                <w:sz w:val="14"/>
                <w:szCs w:val="14"/>
                <w:color w:val="auto"/>
              </w:rPr>
              <w:t>initial public offering, net of</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7"/>
        </w:trPr>
        <w:tc>
          <w:tcPr>
            <w:tcW w:w="3900" w:type="dxa"/>
            <w:vAlign w:val="bottom"/>
          </w:tcPr>
          <w:p>
            <w:pPr>
              <w:ind w:left="380"/>
              <w:spacing w:after="0" w:line="157" w:lineRule="exact"/>
              <w:rPr>
                <w:sz w:val="20"/>
                <w:szCs w:val="20"/>
                <w:color w:val="auto"/>
              </w:rPr>
            </w:pPr>
            <w:r>
              <w:rPr>
                <w:rFonts w:ascii="Arial" w:cs="Arial" w:eastAsia="Arial" w:hAnsi="Arial"/>
                <w:sz w:val="14"/>
                <w:szCs w:val="14"/>
                <w:color w:val="auto"/>
              </w:rPr>
              <w:t>$17,468 issuance cost</w:t>
            </w:r>
          </w:p>
        </w:tc>
        <w:tc>
          <w:tcPr>
            <w:tcW w:w="11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tcBorders>
              <w:right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9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9,660,000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204,712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204,713</w:t>
            </w:r>
          </w:p>
        </w:tc>
      </w:tr>
      <w:tr>
        <w:trPr>
          <w:trHeight w:val="180"/>
        </w:trPr>
        <w:tc>
          <w:tcPr>
            <w:tcW w:w="3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upon</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exercise of stock options</w:t>
            </w:r>
          </w:p>
        </w:tc>
        <w:tc>
          <w:tcPr>
            <w:tcW w:w="11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267,044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857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857</w:t>
            </w:r>
          </w:p>
        </w:tc>
      </w:tr>
      <w:tr>
        <w:trPr>
          <w:trHeight w:val="175"/>
        </w:trPr>
        <w:tc>
          <w:tcPr>
            <w:tcW w:w="39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4,984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4,984</w:t>
            </w:r>
          </w:p>
        </w:tc>
      </w:tr>
      <w:tr>
        <w:trPr>
          <w:trHeight w:val="180"/>
        </w:trPr>
        <w:tc>
          <w:tcPr>
            <w:tcW w:w="3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common stock warrant</w:t>
            </w: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issued for services</w:t>
            </w:r>
          </w:p>
        </w:tc>
        <w:tc>
          <w:tcPr>
            <w:tcW w:w="110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80" w:type="dxa"/>
            <w:vAlign w:val="bottom"/>
            <w:tcBorders>
              <w:right w:val="single" w:sz="8" w:color="auto"/>
            </w:tcBorders>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48</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48</w:t>
            </w:r>
          </w:p>
        </w:tc>
      </w:tr>
      <w:tr>
        <w:trPr>
          <w:trHeight w:val="176"/>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(56,693)</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(56,693)</w:t>
            </w: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Balances at December 31, 2020</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8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26,681,983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392,063</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(135,679)</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256,387</w:t>
            </w: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9" w:name="page170"/>
    <w:bookmarkEnd w:id="169"/>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(56,693)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(49,306)</w:t>
            </w: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activities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4,984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common stock warrant in return for services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(Gain) loss on disposition of property and equipment</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Write-off of public offering costs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In-process research and development acquired and expensed in</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non-monetary related party transaction</w:t>
            </w:r>
          </w:p>
        </w:tc>
        <w:tc>
          <w:tcPr>
            <w:tcW w:w="340" w:type="dxa"/>
            <w:vAlign w:val="bottom"/>
          </w:tcPr>
          <w:p>
            <w:pPr>
              <w:spacing w:after="0"/>
              <w:rPr>
                <w:sz w:val="17"/>
                <w:szCs w:val="17"/>
                <w:color w:val="auto"/>
              </w:rPr>
            </w:pPr>
          </w:p>
        </w:tc>
        <w:tc>
          <w:tcPr>
            <w:tcW w:w="13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(50,909)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(36,711)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redeemable convertible preferred stock,</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net of issuance costs</w:t>
            </w: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72,468</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Issuance of common stock in initial public offering,</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net of issuance costs</w:t>
            </w:r>
          </w:p>
        </w:tc>
        <w:tc>
          <w:tcPr>
            <w:tcW w:w="340" w:type="dxa"/>
            <w:vAlign w:val="bottom"/>
          </w:tcPr>
          <w:p>
            <w:pPr>
              <w:spacing w:after="0"/>
              <w:rPr>
                <w:sz w:val="17"/>
                <w:szCs w:val="17"/>
                <w:color w:val="auto"/>
              </w:rPr>
            </w:pPr>
          </w:p>
        </w:tc>
        <w:tc>
          <w:tcPr>
            <w:tcW w:w="13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205,658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upon exercise of stock options</w:t>
            </w: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857</w:t>
            </w:r>
          </w:p>
        </w:tc>
        <w:tc>
          <w:tcPr>
            <w:tcW w:w="18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278,983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227,074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(42,109)</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49,652</w:t>
            </w: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91,761</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276,726</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49,652</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information</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redeemable convertible preferred stock into</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common stock</w:t>
            </w:r>
          </w:p>
        </w:tc>
        <w:tc>
          <w:tcPr>
            <w:tcW w:w="340" w:type="dxa"/>
            <w:vAlign w:val="bottom"/>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175,448</w:t>
            </w:r>
          </w:p>
        </w:tc>
        <w:tc>
          <w:tcPr>
            <w:tcW w:w="5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property and equipment in accounts payable and</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accrued and other liabilities</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466</w:t>
            </w:r>
          </w:p>
        </w:tc>
        <w:tc>
          <w:tcPr>
            <w:tcW w:w="5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Unpaid offering costs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946</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0" w:name="page171"/>
    <w:bookmarkEnd w:id="170"/>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The Company</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clinical-stage gene therapy company pioneering the development of product candidates using its targeted and evolved adeno-associated viruses (“AAV”) vectors.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6" w:lineRule="exact"/>
        <w:rPr>
          <w:sz w:val="20"/>
          <w:szCs w:val="20"/>
          <w:color w:val="auto"/>
        </w:rPr>
      </w:pPr>
    </w:p>
    <w:p>
      <w:pPr>
        <w:ind w:right="220" w:firstLine="734"/>
        <w:spacing w:after="0" w:line="238" w:lineRule="auto"/>
        <w:rPr>
          <w:sz w:val="20"/>
          <w:szCs w:val="20"/>
          <w:color w:val="auto"/>
        </w:rPr>
      </w:pPr>
      <w:r>
        <w:rPr>
          <w:rFonts w:ascii="Arial" w:cs="Arial" w:eastAsia="Arial" w:hAnsi="Arial"/>
          <w:sz w:val="18"/>
          <w:szCs w:val="18"/>
          <w:color w:val="auto"/>
        </w:rPr>
        <w:t>In December 2020, the Company sold and issued 9,660,000 shares of common stock at a price to the public of $23.00 per share, which included shares sold upon the underwriters’ exercise of their overallotment option to purchase 1,260,000 additional shares. The Company received an aggregate of $204.7 million in net proceeds, after deducting underwriting discounts and commissions and offering costs.</w:t>
      </w:r>
    </w:p>
    <w:p>
      <w:pPr>
        <w:spacing w:after="0" w:line="205" w:lineRule="exact"/>
        <w:rPr>
          <w:sz w:val="20"/>
          <w:szCs w:val="20"/>
          <w:color w:val="auto"/>
        </w:rPr>
      </w:pPr>
    </w:p>
    <w:p>
      <w:pPr>
        <w:ind w:right="140" w:firstLine="734"/>
        <w:spacing w:after="0"/>
        <w:rPr>
          <w:sz w:val="20"/>
          <w:szCs w:val="20"/>
          <w:color w:val="auto"/>
        </w:rPr>
      </w:pPr>
      <w:r>
        <w:rPr>
          <w:rFonts w:ascii="Arial" w:cs="Arial" w:eastAsia="Arial" w:hAnsi="Arial"/>
          <w:sz w:val="18"/>
          <w:szCs w:val="18"/>
          <w:color w:val="auto"/>
        </w:rPr>
        <w:t>Upon the closing of the IPO, all outstanding shares of redeemable convertible preferred stock automatically converted into 11,575,984 shares of common stock. Subsequent to the closing of the IPO, there were no shares of redeemable convertible preferred stock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4"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The Company has incurred significant losses and negative cash flows from operations and had an accumulated deficit of $135.7 million as of December 31, 2020. The Company believes that its cash and cash equivalents as of December 31, 2020 are sufficient for the Company to fund planned operations for at least one year from the issuance date of these financial statements for the year ended December 31, 2020. The Company has historically financed its operations primarily through the sale of equity securities and, to a lesser extent from cash received pursuant to its collaboration and license agreements. To date, none of the Company’s product candidates have been approved for sale and therefore, the Company has not generated any revenue from product sales. Management expects operating losses and negative cash flows from operations to continue for the foreseeable future. The Company currently plans to raise additional funding as required based on the status of its clinical trials and projected cash flows.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spacing w:after="0" w:line="331" w:lineRule="exact"/>
        <w:rPr>
          <w:sz w:val="20"/>
          <w:szCs w:val="20"/>
          <w:color w:val="auto"/>
        </w:rPr>
      </w:pPr>
    </w:p>
    <w:p>
      <w:pPr>
        <w:ind w:right="7260" w:firstLine="8"/>
        <w:spacing w:after="0" w:line="372" w:lineRule="auto"/>
        <w:tabs>
          <w:tab w:leader="none" w:pos="20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Summary of Significant Accounting Policies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ind w:right="440" w:firstLine="734"/>
        <w:spacing w:after="0" w:line="246"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Judgements</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judgements that affect the reported amounts of assets, liabilities, revenue and expenses; and disclosure of contingent assets and liabilities as of the date of the financial statements. Such estimates include the determination of useful lives for property and equipment, the contract term, transaction price and costs of collaboration agreements, as well as estimates of the fair value of common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1" w:name="page172"/>
    <w:bookmarkEnd w:id="171"/>
    <w:p>
      <w:pPr>
        <w:ind w:right="780"/>
        <w:spacing w:after="0" w:line="246" w:lineRule="auto"/>
        <w:rPr>
          <w:sz w:val="20"/>
          <w:szCs w:val="20"/>
          <w:color w:val="auto"/>
        </w:rPr>
      </w:pPr>
      <w:r>
        <w:rPr>
          <w:rFonts w:ascii="Arial" w:cs="Arial" w:eastAsia="Arial" w:hAnsi="Arial"/>
          <w:sz w:val="18"/>
          <w:szCs w:val="18"/>
          <w:color w:val="auto"/>
        </w:rPr>
        <w:t>stock (prior to the IPO), stock options and derivative instruments and income tax uncertainties. Actual results could differ from those estimates.</w:t>
      </w:r>
    </w:p>
    <w:p>
      <w:pPr>
        <w:spacing w:after="0" w:line="197" w:lineRule="exact"/>
        <w:rPr>
          <w:sz w:val="20"/>
          <w:szCs w:val="20"/>
          <w:color w:val="auto"/>
        </w:rPr>
      </w:pPr>
    </w:p>
    <w:p>
      <w:pPr>
        <w:ind w:right="120" w:firstLine="734"/>
        <w:spacing w:after="0" w:line="237" w:lineRule="auto"/>
        <w:rPr>
          <w:sz w:val="20"/>
          <w:szCs w:val="20"/>
          <w:color w:val="auto"/>
        </w:rPr>
      </w:pPr>
      <w:r>
        <w:rPr>
          <w:rFonts w:ascii="Arial" w:cs="Arial" w:eastAsia="Arial" w:hAnsi="Arial"/>
          <w:sz w:val="18"/>
          <w:szCs w:val="18"/>
          <w:color w:val="auto"/>
        </w:rPr>
        <w:t>Due to the coronavirus (“COVID-19”) pandemic,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December 31, 2020. While there was not a material impact to the Company’s financial statements as of December 31, 2020, these estimates may change, as new events occur and additional information is obtained, as well as other factors related to the COVID-19 pandemic that could result in material impacts to the financial statements in future reporting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6"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financial information on a company-wide basis for purposes of allocating resources and assessing financial performance.</w:t>
      </w:r>
    </w:p>
    <w:p>
      <w:pPr>
        <w:spacing w:after="0" w:line="203" w:lineRule="exact"/>
        <w:rPr>
          <w:sz w:val="20"/>
          <w:szCs w:val="20"/>
          <w:color w:val="auto"/>
        </w:rPr>
      </w:pPr>
    </w:p>
    <w:p>
      <w:pPr>
        <w:ind w:right="460" w:firstLine="734"/>
        <w:spacing w:after="0" w:line="246" w:lineRule="auto"/>
        <w:rPr>
          <w:sz w:val="20"/>
          <w:szCs w:val="20"/>
          <w:color w:val="auto"/>
        </w:rPr>
      </w:pPr>
      <w:r>
        <w:rPr>
          <w:rFonts w:ascii="Arial" w:cs="Arial" w:eastAsia="Arial" w:hAnsi="Arial"/>
          <w:sz w:val="18"/>
          <w:szCs w:val="18"/>
          <w:color w:val="auto"/>
        </w:rPr>
        <w:t>As of and for the years ended December 31, 2020 and 2019, all of the Company’s long-lived assets were located in the United States and all revenue was earned in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and accounts receivable. The Company’s cash is held at two financial institutions in the United States of America. The Company’s cash equivalents are invested in money market funds. The Company has not experienced any losses on its deposits of cash and cash equivalents. Such deposits may, at times, exceed federally insured limits.</w:t>
      </w:r>
    </w:p>
    <w:p>
      <w:pPr>
        <w:spacing w:after="0" w:line="205" w:lineRule="exact"/>
        <w:rPr>
          <w:sz w:val="20"/>
          <w:szCs w:val="20"/>
          <w:color w:val="auto"/>
        </w:rPr>
      </w:pPr>
    </w:p>
    <w:p>
      <w:pPr>
        <w:ind w:right="200" w:firstLine="734"/>
        <w:spacing w:after="0" w:line="246" w:lineRule="auto"/>
        <w:rPr>
          <w:sz w:val="20"/>
          <w:szCs w:val="20"/>
          <w:color w:val="auto"/>
        </w:rPr>
      </w:pPr>
      <w:r>
        <w:rPr>
          <w:rFonts w:ascii="Arial" w:cs="Arial" w:eastAsia="Arial" w:hAnsi="Arial"/>
          <w:sz w:val="18"/>
          <w:szCs w:val="18"/>
          <w:color w:val="auto"/>
        </w:rPr>
        <w:t>The Company’s partners in collaboration and license agreements who represent 10% or more of the Company’s total revenue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Year Ended</w:t>
            </w:r>
          </w:p>
        </w:tc>
      </w:tr>
      <w:tr>
        <w:trPr>
          <w:trHeight w:val="203"/>
        </w:trPr>
        <w:tc>
          <w:tcPr>
            <w:tcW w:w="7720" w:type="dxa"/>
            <w:vAlign w:val="bottom"/>
          </w:tcPr>
          <w:p>
            <w:pPr>
              <w:spacing w:after="0"/>
              <w:rPr>
                <w:sz w:val="17"/>
                <w:szCs w:val="17"/>
                <w:color w:val="auto"/>
              </w:rPr>
            </w:pPr>
          </w:p>
        </w:tc>
        <w:tc>
          <w:tcPr>
            <w:tcW w:w="184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6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December 31,</w:t>
            </w:r>
          </w:p>
        </w:tc>
      </w:tr>
      <w:tr>
        <w:trPr>
          <w:trHeight w:val="225"/>
        </w:trPr>
        <w:tc>
          <w:tcPr>
            <w:tcW w:w="77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16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95%</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90%</w:t>
            </w: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B</w:t>
            </w: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95%</w:t>
            </w: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90%</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6459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63" w:lineRule="exact"/>
        <w:rPr>
          <w:sz w:val="20"/>
          <w:szCs w:val="20"/>
          <w:color w:val="auto"/>
        </w:rPr>
      </w:pPr>
    </w:p>
    <w:p>
      <w:pPr>
        <w:ind w:left="580" w:hanging="572"/>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12" w:lineRule="exact"/>
        <w:rPr>
          <w:sz w:val="20"/>
          <w:szCs w:val="20"/>
          <w:color w:val="auto"/>
        </w:rPr>
      </w:pPr>
    </w:p>
    <w:p>
      <w:pPr>
        <w:ind w:right="440" w:firstLine="734"/>
        <w:spacing w:after="0" w:line="246" w:lineRule="auto"/>
        <w:rPr>
          <w:sz w:val="20"/>
          <w:szCs w:val="20"/>
          <w:color w:val="auto"/>
        </w:rPr>
      </w:pPr>
      <w:r>
        <w:rPr>
          <w:rFonts w:ascii="Arial" w:cs="Arial" w:eastAsia="Arial" w:hAnsi="Arial"/>
          <w:sz w:val="18"/>
          <w:szCs w:val="18"/>
          <w:color w:val="auto"/>
        </w:rPr>
        <w:t>The Company’s partners in collaboration and license agreements who represent 10% or more of the Company’s total accounts receivable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3220" w:type="dxa"/>
            <w:vAlign w:val="bottom"/>
            <w:tcBorders>
              <w:bottom w:val="single" w:sz="8" w:color="CFF0FC"/>
            </w:tcBorders>
          </w:tcPr>
          <w:p>
            <w:pPr>
              <w:spacing w:after="0"/>
              <w:rPr>
                <w:sz w:val="19"/>
                <w:szCs w:val="19"/>
                <w:color w:val="auto"/>
              </w:rPr>
            </w:pPr>
          </w:p>
        </w:tc>
        <w:tc>
          <w:tcPr>
            <w:tcW w:w="450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Customer A</w:t>
            </w:r>
          </w:p>
        </w:tc>
        <w:tc>
          <w:tcPr>
            <w:tcW w:w="6180" w:type="dxa"/>
            <w:vAlign w:val="bottom"/>
            <w:gridSpan w:val="2"/>
            <w:shd w:val="clear" w:color="auto" w:fill="CFF0FC"/>
          </w:tcPr>
          <w:p>
            <w:pPr>
              <w:jc w:val="center"/>
              <w:ind w:left="4290"/>
              <w:spacing w:after="0"/>
              <w:rPr>
                <w:sz w:val="20"/>
                <w:szCs w:val="20"/>
                <w:color w:val="auto"/>
              </w:rPr>
            </w:pPr>
            <w:r>
              <w:rPr>
                <w:rFonts w:ascii="Arial" w:cs="Arial" w:eastAsia="Arial" w:hAnsi="Arial"/>
                <w:sz w:val="18"/>
                <w:szCs w:val="18"/>
                <w:color w:val="auto"/>
                <w:w w:val="99"/>
              </w:rPr>
              <w:t>74%</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64%</w:t>
            </w:r>
          </w:p>
        </w:tc>
      </w:tr>
      <w:tr>
        <w:trPr>
          <w:trHeight w:val="216"/>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B</w:t>
            </w:r>
          </w:p>
        </w:tc>
        <w:tc>
          <w:tcPr>
            <w:tcW w:w="4500" w:type="dxa"/>
            <w:vAlign w:val="bottom"/>
            <w:tcBorders>
              <w:bottom w:val="single" w:sz="8" w:color="CFF0FC"/>
            </w:tcBorders>
          </w:tcPr>
          <w:p>
            <w:pPr>
              <w:spacing w:after="0"/>
              <w:rPr>
                <w:sz w:val="18"/>
                <w:szCs w:val="18"/>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26%</w:t>
            </w:r>
          </w:p>
        </w:tc>
        <w:tc>
          <w:tcPr>
            <w:tcW w:w="160" w:type="dxa"/>
            <w:vAlign w:val="bottom"/>
            <w:tcBorders>
              <w:bottom w:val="single" w:sz="8" w:color="CFF0FC"/>
            </w:tcBorders>
          </w:tcPr>
          <w:p>
            <w:pPr>
              <w:spacing w:after="0"/>
              <w:rPr>
                <w:sz w:val="18"/>
                <w:szCs w:val="18"/>
                <w:color w:val="auto"/>
              </w:rPr>
            </w:pPr>
          </w:p>
        </w:tc>
        <w:tc>
          <w:tcPr>
            <w:tcW w:w="1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36%</w:t>
            </w:r>
          </w:p>
        </w:tc>
      </w:tr>
      <w:tr>
        <w:trPr>
          <w:trHeight w:val="209"/>
        </w:trPr>
        <w:tc>
          <w:tcPr>
            <w:tcW w:w="3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6180" w:type="dxa"/>
            <w:vAlign w:val="bottom"/>
            <w:gridSpan w:val="2"/>
            <w:shd w:val="clear" w:color="auto" w:fill="CFF0FC"/>
          </w:tcPr>
          <w:p>
            <w:pPr>
              <w:jc w:val="center"/>
              <w:ind w:left="4270"/>
              <w:spacing w:after="0"/>
              <w:rPr>
                <w:sz w:val="20"/>
                <w:szCs w:val="20"/>
                <w:color w:val="auto"/>
              </w:rPr>
            </w:pPr>
            <w:r>
              <w:rPr>
                <w:rFonts w:ascii="Arial" w:cs="Arial" w:eastAsia="Arial" w:hAnsi="Arial"/>
                <w:sz w:val="18"/>
                <w:szCs w:val="18"/>
                <w:color w:val="auto"/>
                <w:w w:val="99"/>
              </w:rPr>
              <w:t>100%</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9"/>
              </w:rPr>
              <w:t>100%</w:t>
            </w: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450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3220" w:type="dxa"/>
            <w:vAlign w:val="bottom"/>
          </w:tcPr>
          <w:p>
            <w:pPr>
              <w:spacing w:after="0"/>
              <w:rPr>
                <w:sz w:val="24"/>
                <w:szCs w:val="24"/>
                <w:color w:val="auto"/>
              </w:rPr>
            </w:pPr>
          </w:p>
        </w:tc>
        <w:tc>
          <w:tcPr>
            <w:tcW w:w="6340" w:type="dxa"/>
            <w:vAlign w:val="bottom"/>
            <w:gridSpan w:val="3"/>
          </w:tcPr>
          <w:p>
            <w:pPr>
              <w:ind w:left="2260"/>
              <w:spacing w:after="0"/>
              <w:rPr>
                <w:sz w:val="20"/>
                <w:szCs w:val="20"/>
                <w:color w:val="auto"/>
              </w:rPr>
            </w:pPr>
            <w:r>
              <w:rPr>
                <w:rFonts w:ascii="Arial" w:cs="Arial" w:eastAsia="Arial" w:hAnsi="Arial"/>
                <w:sz w:val="18"/>
                <w:szCs w:val="18"/>
                <w:color w:val="auto"/>
              </w:rPr>
              <w:t>F-8</w:t>
            </w:r>
          </w:p>
        </w:tc>
        <w:tc>
          <w:tcPr>
            <w:tcW w:w="1680" w:type="dxa"/>
            <w:vAlign w:val="bottom"/>
          </w:tcPr>
          <w:p>
            <w:pPr>
              <w:spacing w:after="0"/>
              <w:rPr>
                <w:sz w:val="24"/>
                <w:szCs w:val="24"/>
                <w:color w:val="auto"/>
              </w:rPr>
            </w:pPr>
          </w:p>
        </w:tc>
      </w:tr>
      <w:tr>
        <w:trPr>
          <w:trHeight w:val="101"/>
        </w:trPr>
        <w:tc>
          <w:tcPr>
            <w:tcW w:w="322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2" w:name="page173"/>
    <w:bookmarkEnd w:id="172"/>
    <w:p>
      <w:pPr>
        <w:jc w:val="center"/>
        <w:ind w:right="60"/>
        <w:spacing w:after="0"/>
        <w:rPr>
          <w:sz w:val="20"/>
          <w:szCs w:val="20"/>
          <w:color w:val="auto"/>
        </w:rPr>
      </w:pPr>
      <w:r>
        <w:rPr>
          <w:rFonts w:ascii="Arial" w:cs="Arial" w:eastAsia="Arial" w:hAnsi="Arial"/>
          <w:sz w:val="18"/>
          <w:szCs w:val="18"/>
          <w:color w:val="auto"/>
        </w:rPr>
        <w:t>The Company’s total revenues by geographic region, based on the location of the customer,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Year Ended</w:t>
            </w:r>
          </w:p>
        </w:tc>
      </w:tr>
      <w:tr>
        <w:trPr>
          <w:trHeight w:val="203"/>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Netherlands</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Switzerland</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12,897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6,287</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666</w:t>
            </w:r>
          </w:p>
        </w:tc>
      </w:tr>
      <w:tr>
        <w:trPr>
          <w:trHeight w:val="210"/>
        </w:trPr>
        <w:tc>
          <w:tcPr>
            <w:tcW w:w="77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13,612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6,986</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6" w:lineRule="exact"/>
        <w:rPr>
          <w:sz w:val="20"/>
          <w:szCs w:val="20"/>
          <w:color w:val="auto"/>
        </w:rPr>
      </w:pPr>
    </w:p>
    <w:p>
      <w:pPr>
        <w:ind w:right="260" w:firstLine="734"/>
        <w:spacing w:after="0" w:line="246"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Cash equivalents consist of money market funds.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26" w:lineRule="exact"/>
        <w:rPr>
          <w:sz w:val="20"/>
          <w:szCs w:val="20"/>
          <w:color w:val="auto"/>
        </w:rPr>
      </w:pPr>
    </w:p>
    <w:p>
      <w:pPr>
        <w:ind w:right="200" w:firstLine="734"/>
        <w:spacing w:after="0" w:line="23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suppliers for key raw materials, contract manufacturing organizations (“CMOs”)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and infrastructure and extensive compliance and reporting.</w:t>
      </w:r>
    </w:p>
    <w:p>
      <w:pPr>
        <w:spacing w:after="0" w:line="203"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(including for clinical trials and some aspects of research and preclinical testing).</w:t>
      </w:r>
    </w:p>
    <w:p>
      <w:pPr>
        <w:spacing w:after="0" w:line="203"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The extent of the impact of the COVID-19 pandemic on the Company’s business will depend upon the duration and spread of the outbreak and the extent and severity of the impact on the Company’s clinical trial activities, research activities and suppliers, all of which are uncertain and cannot be predicted. The extent to which the coronavirus outbreak may materially impact the Company’s financial condition, liquidity or results of operations is uncertain.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3" w:name="page174"/>
    <w:bookmarkEnd w:id="173"/>
    <w:p>
      <w:pPr>
        <w:ind w:right="300" w:firstLine="734"/>
        <w:spacing w:after="0" w:line="246" w:lineRule="auto"/>
        <w:rPr>
          <w:sz w:val="20"/>
          <w:szCs w:val="20"/>
          <w:color w:val="auto"/>
        </w:rPr>
      </w:pPr>
      <w:r>
        <w:rPr>
          <w:rFonts w:ascii="Arial" w:cs="Arial" w:eastAsia="Arial" w:hAnsi="Arial"/>
          <w:sz w:val="18"/>
          <w:szCs w:val="18"/>
          <w:color w:val="auto"/>
        </w:rPr>
        <w:t>As a basis for considering such assumptions, a three-level fair value hierarchy has been established, which prioritizes the inputs used in measuring fair value as follows:</w:t>
      </w:r>
    </w:p>
    <w:p>
      <w:pPr>
        <w:spacing w:after="0" w:line="71" w:lineRule="exact"/>
        <w:rPr>
          <w:sz w:val="20"/>
          <w:szCs w:val="20"/>
          <w:color w:val="auto"/>
        </w:rPr>
      </w:pPr>
    </w:p>
    <w:p>
      <w:pPr>
        <w:ind w:left="1020" w:hanging="283"/>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such as quoted prices in active markets for identical assets and liabilities.</w:t>
      </w:r>
    </w:p>
    <w:p>
      <w:pPr>
        <w:spacing w:after="0" w:line="144" w:lineRule="exact"/>
        <w:rPr>
          <w:rFonts w:ascii="Arial" w:cs="Arial" w:eastAsia="Arial" w:hAnsi="Arial"/>
          <w:sz w:val="18"/>
          <w:szCs w:val="18"/>
          <w:color w:val="auto"/>
        </w:rPr>
      </w:pPr>
    </w:p>
    <w:p>
      <w:pPr>
        <w:ind w:left="1020" w:right="100" w:hanging="283"/>
        <w:spacing w:after="0" w:line="250"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that are observable, either directly or indirectly, such as quoted prices for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quoted prices in markets that are not active, or other inputs that are observable or can be corroborated by observable market data for substantially the full term of the assets or liabilities.</w:t>
      </w:r>
    </w:p>
    <w:p>
      <w:pPr>
        <w:spacing w:after="0" w:line="68" w:lineRule="exact"/>
        <w:rPr>
          <w:rFonts w:ascii="Arial" w:cs="Arial" w:eastAsia="Arial" w:hAnsi="Arial"/>
          <w:sz w:val="18"/>
          <w:szCs w:val="18"/>
          <w:color w:val="auto"/>
        </w:rPr>
      </w:pPr>
    </w:p>
    <w:p>
      <w:pPr>
        <w:ind w:left="1020" w:right="680" w:hanging="283"/>
        <w:spacing w:after="0" w:line="267"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little or no market data.</w:t>
      </w:r>
    </w:p>
    <w:p>
      <w:pPr>
        <w:spacing w:after="0" w:line="178" w:lineRule="exact"/>
        <w:rPr>
          <w:sz w:val="20"/>
          <w:szCs w:val="20"/>
          <w:color w:val="auto"/>
        </w:rPr>
      </w:pPr>
    </w:p>
    <w:p>
      <w:pPr>
        <w:ind w:right="220" w:firstLine="734"/>
        <w:spacing w:after="0" w:line="246" w:lineRule="auto"/>
        <w:rPr>
          <w:sz w:val="20"/>
          <w:szCs w:val="20"/>
          <w:color w:val="auto"/>
        </w:rPr>
      </w:pPr>
      <w:r>
        <w:rPr>
          <w:rFonts w:ascii="Arial" w:cs="Arial" w:eastAsia="Arial" w:hAnsi="Arial"/>
          <w:sz w:val="18"/>
          <w:szCs w:val="18"/>
          <w:color w:val="auto"/>
        </w:rPr>
        <w:t>The Company accounts for transfers of financial instruments between levels of the fair value hierarchy on the date of the event or change in circumstance that caused the transfer.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Receivable—Allowance for Doubtful Accounts</w:t>
      </w:r>
    </w:p>
    <w:p>
      <w:pPr>
        <w:spacing w:after="0" w:line="12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The Company regularly reviews accounts receivable for collectability and establishes an allowance for probable credit losses and writes off uncollectible accounts as necessary. The Company has determined that no allowance was required at December 31, 2020 and 2019. The Company did not have any write-offs relating to uncollectible accounts receivable during the years ended December 31, 2020 and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6"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Property and equipment are stated at cost less accumulated depreciation for acquired assets. Depreciation is computed using the straight-line method over the estimated useful lives of assets, ranging from three to five years. Leasehold improvements are amortized over the shorter of the useful life of the assets or the lease term. Upon sale or retirement of assets, the costs and related accumulated depreciation are removed from the balance sheet and the resulting gain or loss is reflected within operating expenses in the statements of operations and comprehensive loss. Maintenance and repairs are charged to expense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typically measured by the amount by which the carrying amount of the assets exceeds the projected discounted future net cash flows arising from the asset. There have been no such impairments of long-lived assets in the years ended December 31, 2020 and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126"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The Company recorded all shares of redeemable convertible preferred stock at their respective fair values on the dates of issuance, net of issuance costs. The redeemable convertible preferred stock was recorded outside of permanent equity because while it was not mandatorily redeemable, in certain events considered not solely within the Company’s control, such as a merger or consolidation, sale, lease, or license of substantially all of the Company’s assets (each, a “deemed liquidation event”), the convertible preferred stock would become redeemable at the option of the holders of a majority of the outstanding series of redeemable convertible preferred stock. The Company did not adjust the carrying values of the redeemable convertible preferred stock to the liquidation preference of such shares because a deemed liquidation event obligating the Company to pay the liquidation preference did not occur. All outstanding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shares of the redeemable convertible preferred stock converted into common stock upon the closing of the IPO in December 2020.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6"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The Company accounts for common stock warrants which meet the definition of a derivative as liabilities if the warrant requires net cash settlement or gives the holder the option of net cash settlement. The Company accounts for common stock warrants as equity if the contract requires physical settlement or net physical settlement or if the Company has the option of physical settlement or net physical settlement. Common stock warrants classified as liabilities are initially recorded at fair value and remeasured at fair value each balance sheet date with the offset adjustments recorded in other income (expense), net within the statements of operations and comprehensive loss. Common stock warrants classified as equity are initially measured at fair value on the grant date and are not subsequently remeasured.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60" w:firstLine="734"/>
        <w:spacing w:after="0"/>
        <w:rPr>
          <w:sz w:val="20"/>
          <w:szCs w:val="20"/>
          <w:color w:val="auto"/>
        </w:rPr>
      </w:pPr>
      <w:r>
        <w:rPr>
          <w:rFonts w:ascii="Arial" w:cs="Arial" w:eastAsia="Arial" w:hAnsi="Arial"/>
          <w:sz w:val="18"/>
          <w:szCs w:val="18"/>
          <w:color w:val="auto"/>
        </w:rPr>
        <w:t xml:space="preserve">Effective January 1, 2019, the Company adopted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(“ASC 606”), using the modified retrospective transition method. The Company determines revenue recognition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within the scope of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203" w:lineRule="exact"/>
        <w:rPr>
          <w:sz w:val="20"/>
          <w:szCs w:val="20"/>
          <w:color w:val="auto"/>
        </w:rPr>
      </w:pPr>
    </w:p>
    <w:p>
      <w:pPr>
        <w:ind w:right="280" w:firstLine="734"/>
        <w:spacing w:after="0" w:line="234" w:lineRule="auto"/>
        <w:rPr>
          <w:sz w:val="20"/>
          <w:szCs w:val="20"/>
          <w:color w:val="auto"/>
        </w:rPr>
      </w:pPr>
      <w:r>
        <w:rPr>
          <w:rFonts w:ascii="Arial" w:cs="Arial" w:eastAsia="Arial" w:hAnsi="Arial"/>
          <w:sz w:val="18"/>
          <w:szCs w:val="18"/>
          <w:color w:val="auto"/>
        </w:rPr>
        <w:t>The Company’s revenue is primarily derived through its license, research, development and commercialization agreements. The terms of these types of agreements may include (i) licenses to the Company’s technology, (ii) research and development services, and</w:t>
      </w:r>
    </w:p>
    <w:p>
      <w:pPr>
        <w:spacing w:after="0" w:line="1" w:lineRule="exact"/>
        <w:rPr>
          <w:sz w:val="20"/>
          <w:szCs w:val="20"/>
          <w:color w:val="auto"/>
        </w:rPr>
      </w:pPr>
    </w:p>
    <w:p>
      <w:pPr>
        <w:ind w:right="40" w:firstLine="8"/>
        <w:spacing w:after="0" w:line="236" w:lineRule="auto"/>
        <w:tabs>
          <w:tab w:leader="none" w:pos="2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are recognized as revenue as performance conditions are met. The event-based milestone payments, royalties and cost reimbursements represent variable consideration, and the Company uses the most likely amount method to estimate this variable consideration. Royalty payments are recognized when earned or as the sales occur. The Company records cost reimbursements as accounts receivable when right to consideration is unconditional.</w:t>
      </w:r>
    </w:p>
    <w:p>
      <w:pPr>
        <w:spacing w:after="0" w:line="208"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The Company allocates the total transaction price to each performance obligation based on the estimated standalone selling price and recognizes revenue when, or as, the performance obligation is satisfied. The Company includes the unconstrained amount of estimated variable consideration in the transaction price. At the end of each reporting period, the Company re-evaluates the estimated variable consideration included in the transaction price and any related constraint, and if necessary, adjusts its estimate of the overall transaction price.</w:t>
      </w:r>
    </w:p>
    <w:p>
      <w:pPr>
        <w:spacing w:after="0" w:line="205" w:lineRule="exact"/>
        <w:rPr>
          <w:sz w:val="20"/>
          <w:szCs w:val="20"/>
          <w:color w:val="auto"/>
        </w:rPr>
      </w:pPr>
    </w:p>
    <w:p>
      <w:pPr>
        <w:ind w:right="300" w:firstLine="734"/>
        <w:spacing w:after="0"/>
        <w:rPr>
          <w:sz w:val="20"/>
          <w:szCs w:val="20"/>
          <w:color w:val="auto"/>
        </w:rPr>
      </w:pPr>
      <w:r>
        <w:rPr>
          <w:rFonts w:ascii="Arial" w:cs="Arial" w:eastAsia="Arial" w:hAnsi="Arial"/>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6"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Costs related to research, design and development of programs are charged to research and development expense as incurred. Research and development costs include, but are not limited to, payroll and personnel expenses including stock-based compensation, materials, laboratory supplies, outside services and allocated overhead, including rent, insurance, repairs and maintenance, depreciation and utilities. The Company expenses all research and development costs in the period in which they are incurred.</w:t>
      </w:r>
    </w:p>
    <w:p>
      <w:pPr>
        <w:spacing w:after="0" w:line="205" w:lineRule="exact"/>
        <w:rPr>
          <w:sz w:val="20"/>
          <w:szCs w:val="20"/>
          <w:color w:val="auto"/>
        </w:rPr>
      </w:pPr>
    </w:p>
    <w:p>
      <w:pPr>
        <w:ind w:right="20" w:firstLine="734"/>
        <w:spacing w:after="0" w:line="246" w:lineRule="auto"/>
        <w:rPr>
          <w:sz w:val="20"/>
          <w:szCs w:val="20"/>
          <w:color w:val="auto"/>
        </w:rPr>
      </w:pPr>
      <w:r>
        <w:rPr>
          <w:rFonts w:ascii="Arial" w:cs="Arial" w:eastAsia="Arial" w:hAnsi="Arial"/>
          <w:sz w:val="18"/>
          <w:szCs w:val="18"/>
          <w:color w:val="auto"/>
        </w:rPr>
        <w:t>Costs incurred in obtaining technology licenses are charged to research and development expense as acquired in-process research and development if the technology licensed has not reached technological feasibility and has no alternative future use.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w:t>
      </w:r>
    </w:p>
    <w:p>
      <w:pPr>
        <w:spacing w:after="0" w:line="126"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The Company has entered into various agreements with CROs and CMOs.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and other current liabilities on the balance sheet. If the actual timing of the performance of services or the level of effort varies from the original estimates, the Company will adjust the accrual accordingly. Payments made to CROs or CMOs under these arrangements in advance of the performance of the related services are recorded as prepaid expenses and other current assets until the services are rendered.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40" w:firstLine="734"/>
        <w:spacing w:after="0"/>
        <w:rPr>
          <w:sz w:val="20"/>
          <w:szCs w:val="20"/>
          <w:color w:val="auto"/>
        </w:rPr>
      </w:pPr>
      <w:r>
        <w:rPr>
          <w:rFonts w:ascii="Arial" w:cs="Arial" w:eastAsia="Arial" w:hAnsi="Arial"/>
          <w:sz w:val="18"/>
          <w:szCs w:val="18"/>
          <w:color w:val="auto"/>
        </w:rPr>
        <w:t xml:space="preserve">As of January 1, 2020, the Company adopted ASU 2018-07, </w:t>
      </w:r>
      <w:r>
        <w:rPr>
          <w:rFonts w:ascii="Arial" w:cs="Arial" w:eastAsia="Arial" w:hAnsi="Arial"/>
          <w:sz w:val="18"/>
          <w:szCs w:val="18"/>
          <w:i w:val="1"/>
          <w:iCs w:val="1"/>
          <w:color w:val="auto"/>
        </w:rPr>
        <w:t>Compensation - 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Nonemployee Share-Based Payment Accounting</w:t>
      </w:r>
      <w:r>
        <w:rPr>
          <w:rFonts w:ascii="Arial" w:cs="Arial" w:eastAsia="Arial" w:hAnsi="Arial"/>
          <w:sz w:val="18"/>
          <w:szCs w:val="18"/>
          <w:color w:val="auto"/>
        </w:rPr>
        <w:t>, which aligns the measurement and classification guidance for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with the guidance for share-based payments to employees. As of January 1, 2020, the Company accounts for stock-based compensation for stock options granted to employees, directors and nonemployees as measured at grant date, based on the fair value of the award. The Company measures the fair value of awards granted using the Black-Scholes option pricing model and recognizes the expense in the statements of operations and comprehensive loss over the requisite service period using the straight-line method. Forfeitures are accounted for as they occur. The Company’s policy for issuing stock upon stock option exercise is to issue new common stock.</w:t>
      </w:r>
    </w:p>
    <w:p>
      <w:pPr>
        <w:spacing w:after="0" w:line="95"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Prior to the adoption of ASU 2018-07 on January 1, 2020, stock-based compensation expense related to stock options granted to nonemployees was recognized based on the vesting date fair value of options as the stock options were earned. The Company remeasured the stock-based compensation at each reporting period end with the resulting change in fair value being recognized in the statements of operations and comprehensive loss over the period the related services were rendered. The Company estimated the service period for the options based on the time that would be required to satisfy the service condition, assuming the service condition would be satisfied. Stock-based compensation expense was recognized over the estimated service period but was accelerated if the performance condition was achieved earlier than estimated.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6" w:name="page177"/>
    <w:bookmarkEnd w:id="176"/>
    <w:p>
      <w:pPr>
        <w:ind w:right="140" w:firstLine="734"/>
        <w:spacing w:after="0" w:line="238"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w:t>
      </w:r>
    </w:p>
    <w:p>
      <w:pPr>
        <w:spacing w:after="0" w:line="126" w:lineRule="exact"/>
        <w:rPr>
          <w:sz w:val="20"/>
          <w:szCs w:val="20"/>
          <w:color w:val="auto"/>
        </w:rPr>
      </w:pPr>
    </w:p>
    <w:p>
      <w:pPr>
        <w:ind w:right="400" w:firstLine="734"/>
        <w:spacing w:after="0" w:line="237" w:lineRule="auto"/>
        <w:rPr>
          <w:sz w:val="20"/>
          <w:szCs w:val="20"/>
          <w:color w:val="auto"/>
        </w:rPr>
      </w:pPr>
      <w:r>
        <w:rPr>
          <w:rFonts w:ascii="Arial" w:cs="Arial" w:eastAsia="Arial" w:hAnsi="Arial"/>
          <w:sz w:val="18"/>
          <w:szCs w:val="18"/>
          <w:color w:val="auto"/>
        </w:rPr>
        <w:t>Embedded derivatives that are required to be bifurcated from the underlying host instrument are accounted for and valued as a separate financial instrument. An embedded derivative exists in the award agreement with the Cystic Fibrosis Foundation (“CFF”). As described in Note 15, the embedded derivative has been bifurcated and is classified as a liability on the balance sheet and separately accounted for at its fair value. The derivative liability is subject to remeasurement to fair value each reporting period. Changes in the fair value of the derivative liability are recognized as a component of other income (expense), net within the statements of operations and comprehensive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6" w:lineRule="exact"/>
        <w:rPr>
          <w:sz w:val="20"/>
          <w:szCs w:val="20"/>
          <w:color w:val="auto"/>
        </w:rPr>
      </w:pPr>
    </w:p>
    <w:p>
      <w:pPr>
        <w:ind w:right="200" w:firstLine="734"/>
        <w:spacing w:after="0" w:line="238"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the Company’s in-process financings, until such financings are consummated. After consummation of the financing, these costs are recorded as a reduction of the proceeds received as a result of the offering. In the event that a planned offering does not occur or is significantly delayed, all related deferred offering costs will be expensed immediately within the Company’s statements of operations and comprehensive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6"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The Company calculates basic and diluted net loss per share to common stockholders in conformity with the two-class method required for companies with participating securities. The Company considers all series of redeemable convertible preferred stock to be participating securities as the holders are entitled to receive non-cumulative dividends on a pari passu basis in the event the dividend is paid on common shares.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202" w:lineRule="exact"/>
        <w:rPr>
          <w:sz w:val="20"/>
          <w:szCs w:val="20"/>
          <w:color w:val="auto"/>
        </w:rPr>
      </w:pPr>
    </w:p>
    <w:p>
      <w:pPr>
        <w:ind w:right="120" w:firstLine="734"/>
        <w:spacing w:after="0" w:line="23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less shares subject to repurchase. Diluted net loss per share attributable to common stockholders is computed by giving effect to all potentially dilutive common shares outstanding for the period. For purposes of this calculation, redeemable convertible preferred shares, stock options to acquire shares of common stock, common stock warrants, and unvested common stock subject to repurchase, are considered potentially dilutive common shares, but have been excluded from the calculation of diluted net loss per share attributable to common stockholders as their effect is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In May 2014, the Financial Accounting Standards Board (“FASB”) issued ASC 606. This standard outlines a single comprehensive model for entities to use in accounting for revenue arising from contracts with customers and supersedes most current revenue recognition guidance, including industry-specific guidance. Under ASC 606, an entity recognizes revenue when its customer obtains control of promised goods or services, in an amount that reflects the consideration which the entity expects to receive in exchange for those goods or services. The Company adopted ASC 606 effective January 1, 2019 using the modified retrospective method only to contracts not completed as of this date. The Company recognized the cumulative effect of initially applying ASC 606 as an adjustment to the balance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77" w:name="page178"/>
    <w:bookmarkEnd w:id="177"/>
    <w:p>
      <w:pPr>
        <w:ind w:right="140"/>
        <w:spacing w:after="0" w:line="246" w:lineRule="auto"/>
        <w:rPr>
          <w:sz w:val="20"/>
          <w:szCs w:val="20"/>
          <w:color w:val="auto"/>
        </w:rPr>
      </w:pPr>
      <w:r>
        <w:rPr>
          <w:rFonts w:ascii="Arial" w:cs="Arial" w:eastAsia="Arial" w:hAnsi="Arial"/>
          <w:sz w:val="18"/>
          <w:szCs w:val="18"/>
          <w:color w:val="auto"/>
        </w:rPr>
        <w:t>accumulated deficit at January 1, 2019 with a cumulative effect adjustment of $0.3 million reflected as a decrease to the opening balance of accumulated deficit and a decrease to deferred revenue.</w:t>
      </w:r>
    </w:p>
    <w:p>
      <w:pPr>
        <w:spacing w:after="0" w:line="179"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 xml:space="preserve">In June 2018, FASB issued ASU 2018-07, </w:t>
      </w:r>
      <w:r>
        <w:rPr>
          <w:rFonts w:ascii="Arial" w:cs="Arial" w:eastAsia="Arial" w:hAnsi="Arial"/>
          <w:sz w:val="18"/>
          <w:szCs w:val="18"/>
          <w:i w:val="1"/>
          <w:iCs w:val="1"/>
          <w:color w:val="auto"/>
        </w:rPr>
        <w:t>Compensation—Stock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This ASU aligns the measurement and classification guidance for share-based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with the guidance for share-based payment to employees. Under this ASU, the measurement of equity-classified nonemployee awards will be fixed at the grant date, which may lower their cost and reduce volatility in the statement of operations and comprehensive loss. The transition method provided by this ASU is on a modified retrospective basis, which recognizes a cumulative-effect adjustment to the opening balance of retained earnings in the period of adoption. This ASU is effective for fiscal years beginning after December 15, 2019, and interim periods within fiscal years beginning after December 15, 2020, with early adoption permitted, but no earlier than a company’s adoption date of ASC 606. The Company adopted this guidance effective January 1, 2020 using the modified retrospective method. The Company recorded a less than $0.1 million cumulative-effect adjustment reflected as a decrease to the opening balance of accumulated deficit and a decrease to additional paid-in capital.</w:t>
      </w:r>
    </w:p>
    <w:p>
      <w:pPr>
        <w:spacing w:after="0" w:line="188"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This ASU amends the disclosure requirement in ASC 820, Fair Value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by adding, changing, or removing certain disclosures. This ASU applies to all entities that are required under this guidance to provide disclosure about recurring or nonrecurring fair value measurements. The amendments require new disclosures related to: (i) changes in unrealized gains and losses for the period included in other comprehensive income for recurring Level 3 fair value measurements held at the end of the reporting period; and (ii) the range and weighted-average of significant unobservable inputs used to develop Level 3 fair value measurements. In addition, there are certain changes in disclosure requirements in the existing guidance. For all entities, this ASU is effective for fiscal years beginning after December 15, 2019, and interim periods within those fiscal years. Early adoption is permitted. The Company adopted this guidance effective January 1, 2020 with relevant updates made to disclosures.</w:t>
      </w:r>
    </w:p>
    <w:p>
      <w:pPr>
        <w:spacing w:after="0" w:line="191"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This ASU simplifies the accounting for certain financial instruments with down</w:t>
      </w:r>
      <w:r>
        <w:rPr>
          <w:rFonts w:ascii="Arial" w:cs="Arial" w:eastAsia="Arial" w:hAnsi="Arial"/>
          <w:sz w:val="18"/>
          <w:szCs w:val="18"/>
          <w:i w:val="1"/>
          <w:iCs w:val="1"/>
          <w:color w:val="auto"/>
        </w:rPr>
        <w:t xml:space="preserve"> </w:t>
      </w:r>
      <w:r>
        <w:rPr>
          <w:rFonts w:ascii="Arial" w:cs="Arial" w:eastAsia="Arial" w:hAnsi="Arial"/>
          <w:sz w:val="18"/>
          <w:szCs w:val="18"/>
          <w:color w:val="auto"/>
        </w:rPr>
        <w:t>round features, a provision in an equity-linked financial 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ASU requires companies to disregard the down round feature when assessing whether the instrument is indexed to its own stock, for purposes of determining liability or equity classification. The amendments in Part I of this ASU are effective for fiscal years beginning after December 15, 2019, and interim periods within fiscal years beginning after December 15, 2020. Early adoption is permitted. The amendments in Part I should be applied (1) retrospectively to outstanding financial instruments with a down round feature by means of a cumulative-effect adjustment to the balance sheet as of the beginning of the first fiscal year and interim periods; (2) retrospectively to outstanding financial instruments with a down round feature for each prior reporting period presented. The amendments in Part II of this ASU do not require any transition guidance because those amendments do not have an accounting effect. The Company adopted this guidance effective January 1, 2020. The adoption did not have an impact on the Company’s financial statements and related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22" w:lineRule="exact"/>
        <w:rPr>
          <w:sz w:val="20"/>
          <w:szCs w:val="20"/>
          <w:color w:val="auto"/>
        </w:rPr>
      </w:pPr>
    </w:p>
    <w:p>
      <w:pPr>
        <w:ind w:right="40" w:firstLine="734"/>
        <w:spacing w:after="0"/>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elected to use this extended transition period under the JOBS Act. The adoption dates discussed below reflects this election.</w:t>
      </w:r>
    </w:p>
    <w:p>
      <w:pPr>
        <w:spacing w:after="0" w:line="86" w:lineRule="exact"/>
        <w:rPr>
          <w:sz w:val="20"/>
          <w:szCs w:val="20"/>
          <w:color w:val="auto"/>
        </w:rPr>
      </w:pPr>
    </w:p>
    <w:p>
      <w:pPr>
        <w:ind w:firstLine="734"/>
        <w:spacing w:after="0" w:line="239"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808 and Topic 606</w:t>
      </w:r>
      <w:r>
        <w:rPr>
          <w:rFonts w:ascii="Arial" w:cs="Arial" w:eastAsia="Arial" w:hAnsi="Arial"/>
          <w:sz w:val="18"/>
          <w:szCs w:val="18"/>
          <w:color w:val="auto"/>
        </w:rPr>
        <w:t>. This ASU clarifies that certain transactions between participants in a collaborative arrangement should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accounted for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when the counterparty is a customer. This ASU also precludes an entity from presenting consideration received from a transaction as revenue from contracts with customers if the counterparty is not a customer for that transaction. This ASU is effective for fiscal years beginning after December 15, 2020, and interim periods within fiscal years beginning after December 15, 2021. Early adoption is permitted for entities that have adopted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The Company is currently evaluating the impact the adoption of this standard will have on its financial statements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w:t>
      </w:r>
    </w:p>
    <w:p>
      <w:pPr>
        <w:spacing w:after="0" w:line="187" w:lineRule="exact"/>
        <w:rPr>
          <w:sz w:val="20"/>
          <w:szCs w:val="20"/>
          <w:color w:val="auto"/>
        </w:rPr>
      </w:pPr>
    </w:p>
    <w:p>
      <w:pPr>
        <w:ind w:right="80" w:firstLine="734"/>
        <w:spacing w:after="0"/>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or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ASU 2018-15 requires a customer that is a party to a cloud computing service contract to follow the internal-use software guidance in Subtopic 350-40 to determine which implementation costs to capitalize and which costs to expense. The amendments in this update should be applied either retrospectively or prospectively to all implementation costs incurred after the date of adoption. This ASU is effective for fiscal years beginning after December 15, 2020, and interim periods within fiscal years beginning after December 15, 2021. The Company is currently evaluating the impact the adoption of this standard will have on its financial statements and related disclosures.</w:t>
      </w:r>
    </w:p>
    <w:p>
      <w:pPr>
        <w:spacing w:after="0" w:line="185"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(“ASC 842”)</w:t>
      </w:r>
      <w:r>
        <w:rPr>
          <w:rFonts w:ascii="Arial" w:cs="Arial" w:eastAsia="Arial" w:hAnsi="Arial"/>
          <w:sz w:val="18"/>
          <w:szCs w:val="18"/>
          <w:color w:val="auto"/>
        </w:rPr>
        <w:t xml:space="preserve">, which sets out the principles for the recognition, measurement, presentation and disclosure of leases for both parties to a contract (i.e. lessees and lessors). In July 2018, the FASB issued ASU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which provides clarification to ASU 2016-02. These ASUs (collectively the “new leasing standard”) require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ASC 842 supersedes the previous leases standard,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July 2018, the FASB issued ASU 2018-11, </w:t>
      </w:r>
      <w:r>
        <w:rPr>
          <w:rFonts w:ascii="Arial" w:cs="Arial" w:eastAsia="Arial" w:hAnsi="Arial"/>
          <w:sz w:val="18"/>
          <w:szCs w:val="18"/>
          <w:i w:val="1"/>
          <w:iCs w:val="1"/>
          <w:color w:val="auto"/>
        </w:rPr>
        <w:t>Leases (Topic 842):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w:t>
      </w:r>
      <w:r>
        <w:rPr>
          <w:rFonts w:ascii="Arial" w:cs="Arial" w:eastAsia="Arial" w:hAnsi="Arial"/>
          <w:sz w:val="18"/>
          <w:szCs w:val="18"/>
          <w:color w:val="auto"/>
        </w:rPr>
        <w:t>which allows entities to elect an optional transition method where entities may continue to apply the existing lease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comparative periods and apply the new lease requirements through a cumulative effect adjustment in the period of adoption rather than in the earliest period presented. ASU 2016-02 is effective for the Company in the fiscal year beginning after December 15, 2021, and for interim periods within fiscal years beginning after December 15, 2022. Early adoption is permitted. The Company is currently evaluating the impact the adoption of this standard will have on its financial statements and related disclosures.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26" w:lineRule="exact"/>
        <w:rPr>
          <w:sz w:val="20"/>
          <w:szCs w:val="20"/>
          <w:color w:val="auto"/>
        </w:rPr>
      </w:pPr>
    </w:p>
    <w:p>
      <w:pPr>
        <w:ind w:right="120" w:firstLine="734"/>
        <w:spacing w:after="0" w:line="246" w:lineRule="auto"/>
        <w:rPr>
          <w:sz w:val="20"/>
          <w:szCs w:val="20"/>
          <w:color w:val="auto"/>
        </w:rPr>
      </w:pPr>
      <w:r>
        <w:rPr>
          <w:rFonts w:ascii="Arial" w:cs="Arial" w:eastAsia="Arial" w:hAnsi="Arial"/>
          <w:sz w:val="18"/>
          <w:szCs w:val="18"/>
          <w:color w:val="auto"/>
        </w:rPr>
        <w:t>The following tables represent the Company’s fair value hierarchy for financial assets and financial liabilities measured at fair value on a recurring basis as of December 31, 2020 and 2019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8"/>
              </w:rPr>
              <w:t>Basis for Fair Value</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Measurements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as of</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9"/>
                <w:szCs w:val="19"/>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276,726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276,726</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276,726</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276,726</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liability</w:t>
            </w: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500"/>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8"/>
              </w:rPr>
              <w:t>Basis for Fair Value</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Measurements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as of</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40" w:type="dxa"/>
            <w:vAlign w:val="bottom"/>
          </w:tcPr>
          <w:p>
            <w:pPr>
              <w:spacing w:after="0"/>
              <w:rPr>
                <w:sz w:val="19"/>
                <w:szCs w:val="19"/>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9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15,876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15,876</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 liability</w:t>
            </w: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500"/>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Inputs</w:t>
      </w:r>
    </w:p>
    <w:p>
      <w:pPr>
        <w:spacing w:after="0" w:line="234"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fair value of the derivative liability is based on significant inputs not observable in the market, which represents a Level 3 measurement within the fair value hierarchy. The fair value of the derivative liability was determined using a present value analysis with multiple scenarios. In determining the fair value of the derivative liability, the inputs impacting fair value include the change of control payment to CFF, the probability of a change of control event, the product status at time of a change of control event and the discount rate. See Note 15 for further discussion on embedded derivative.</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 were no transfers between Level 1, 2 and 3 during the periods presented.</w:t>
      </w:r>
    </w:p>
    <w:p>
      <w:pPr>
        <w:spacing w:after="0" w:line="212" w:lineRule="exact"/>
        <w:rPr>
          <w:sz w:val="20"/>
          <w:szCs w:val="20"/>
          <w:color w:val="auto"/>
        </w:rPr>
      </w:pPr>
    </w:p>
    <w:p>
      <w:pPr>
        <w:ind w:right="740" w:firstLine="734"/>
        <w:spacing w:after="0" w:line="246" w:lineRule="auto"/>
        <w:rPr>
          <w:sz w:val="20"/>
          <w:szCs w:val="20"/>
          <w:color w:val="auto"/>
        </w:rPr>
      </w:pPr>
      <w:r>
        <w:rPr>
          <w:rFonts w:ascii="Arial" w:cs="Arial" w:eastAsia="Arial" w:hAnsi="Arial"/>
          <w:sz w:val="18"/>
          <w:szCs w:val="18"/>
          <w:color w:val="auto"/>
        </w:rPr>
        <w:t>The following table sets forth a summary of the changes in the fair value of the Company’s Level 3 financial instruments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530"/>
              <w:spacing w:after="0"/>
              <w:rPr>
                <w:sz w:val="20"/>
                <w:szCs w:val="20"/>
                <w:color w:val="auto"/>
              </w:rPr>
            </w:pPr>
            <w:r>
              <w:rPr>
                <w:rFonts w:ascii="Arial" w:cs="Arial" w:eastAsia="Arial" w:hAnsi="Arial"/>
                <w:sz w:val="18"/>
                <w:szCs w:val="18"/>
                <w:b w:val="1"/>
                <w:bCs w:val="1"/>
                <w:color w:val="auto"/>
              </w:rPr>
              <w:t>Derivative</w:t>
            </w:r>
          </w:p>
        </w:tc>
      </w:tr>
      <w:tr>
        <w:trPr>
          <w:trHeight w:val="225"/>
        </w:trPr>
        <w:tc>
          <w:tcPr>
            <w:tcW w:w="5240" w:type="dxa"/>
            <w:vAlign w:val="bottom"/>
            <w:tcBorders>
              <w:bottom w:val="single" w:sz="8" w:color="CFF0FC"/>
            </w:tcBorders>
          </w:tcPr>
          <w:p>
            <w:pPr>
              <w:spacing w:after="0"/>
              <w:rPr>
                <w:sz w:val="19"/>
                <w:szCs w:val="19"/>
                <w:color w:val="auto"/>
              </w:rPr>
            </w:pPr>
          </w:p>
        </w:tc>
        <w:tc>
          <w:tcPr>
            <w:tcW w:w="40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Liability</w:t>
            </w: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4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r>
      <w:tr>
        <w:trPr>
          <w:trHeight w:val="216"/>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included in other income (expense), net</w:t>
            </w:r>
          </w:p>
        </w:tc>
        <w:tc>
          <w:tcPr>
            <w:tcW w:w="40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43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r>
      <w:tr>
        <w:trPr>
          <w:trHeight w:val="216"/>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included in other income (expense), net</w:t>
            </w:r>
          </w:p>
        </w:tc>
        <w:tc>
          <w:tcPr>
            <w:tcW w:w="40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r>
      <w:tr>
        <w:trPr>
          <w:trHeight w:val="209"/>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40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r>
      <w:tr>
        <w:trPr>
          <w:trHeight w:val="20"/>
        </w:trPr>
        <w:tc>
          <w:tcPr>
            <w:tcW w:w="5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629"/>
        </w:trPr>
        <w:tc>
          <w:tcPr>
            <w:tcW w:w="5240" w:type="dxa"/>
            <w:vAlign w:val="bottom"/>
          </w:tcPr>
          <w:p>
            <w:pPr>
              <w:spacing w:after="0"/>
              <w:rPr>
                <w:sz w:val="24"/>
                <w:szCs w:val="24"/>
                <w:color w:val="auto"/>
              </w:rPr>
            </w:pPr>
          </w:p>
        </w:tc>
        <w:tc>
          <w:tcPr>
            <w:tcW w:w="4300" w:type="dxa"/>
            <w:vAlign w:val="bottom"/>
            <w:gridSpan w:val="2"/>
          </w:tcPr>
          <w:p>
            <w:pPr>
              <w:jc w:val="right"/>
              <w:ind w:right="3650"/>
              <w:spacing w:after="0"/>
              <w:rPr>
                <w:sz w:val="20"/>
                <w:szCs w:val="20"/>
                <w:color w:val="auto"/>
              </w:rPr>
            </w:pPr>
            <w:r>
              <w:rPr>
                <w:rFonts w:ascii="Arial" w:cs="Arial" w:eastAsia="Arial" w:hAnsi="Arial"/>
                <w:sz w:val="18"/>
                <w:szCs w:val="18"/>
                <w:color w:val="auto"/>
              </w:rPr>
              <w:t>F-16</w:t>
            </w:r>
          </w:p>
        </w:tc>
        <w:tc>
          <w:tcPr>
            <w:tcW w:w="1700" w:type="dxa"/>
            <w:vAlign w:val="bottom"/>
          </w:tcPr>
          <w:p>
            <w:pPr>
              <w:spacing w:after="0"/>
              <w:rPr>
                <w:sz w:val="24"/>
                <w:szCs w:val="24"/>
                <w:color w:val="auto"/>
              </w:rPr>
            </w:pPr>
          </w:p>
        </w:tc>
      </w:tr>
      <w:tr>
        <w:trPr>
          <w:trHeight w:val="101"/>
        </w:trPr>
        <w:tc>
          <w:tcPr>
            <w:tcW w:w="524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ind w:left="7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23"/>
        </w:trPr>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4,911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3,761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2,405</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Office equipment</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98</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306</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539</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563</w:t>
            </w: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8,917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7,674</w:t>
            </w: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w:t>
            </w: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5,073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5,049</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40" w:firstLine="734"/>
        <w:spacing w:after="0" w:line="246" w:lineRule="auto"/>
        <w:rPr>
          <w:sz w:val="20"/>
          <w:szCs w:val="20"/>
          <w:color w:val="auto"/>
        </w:rPr>
      </w:pPr>
      <w:r>
        <w:rPr>
          <w:rFonts w:ascii="Arial" w:cs="Arial" w:eastAsia="Arial" w:hAnsi="Arial"/>
          <w:sz w:val="18"/>
          <w:szCs w:val="18"/>
          <w:color w:val="auto"/>
        </w:rPr>
        <w:t>All property and equipment are maintained in the United States. Depreciation expense was $1.4 million and $1.0 million for the years ended December 31, 2020 and 2019, respectively.</w:t>
      </w:r>
    </w:p>
    <w:p>
      <w:pPr>
        <w:spacing w:after="0" w:line="283" w:lineRule="exact"/>
        <w:rPr>
          <w:sz w:val="20"/>
          <w:szCs w:val="20"/>
          <w:color w:val="auto"/>
        </w:rPr>
      </w:pPr>
    </w:p>
    <w:p>
      <w:pPr>
        <w:ind w:left="740" w:right="5800" w:hanging="732"/>
        <w:spacing w:after="0" w:line="396" w:lineRule="auto"/>
        <w:tabs>
          <w:tab w:leader="none" w:pos="206"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Accrued and Other Liabilities, Current and Noncurrent </w:t>
      </w:r>
      <w:r>
        <w:rPr>
          <w:rFonts w:ascii="Arial" w:cs="Arial" w:eastAsia="Arial" w:hAnsi="Arial"/>
          <w:sz w:val="18"/>
          <w:szCs w:val="18"/>
          <w:color w:val="auto"/>
        </w:rPr>
        <w:t>Accrued liabilities consisted of the following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3,437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2,133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Accrued clinical and preclinical study costs</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494</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2,239</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481</w:t>
            </w:r>
          </w:p>
        </w:tc>
      </w:tr>
      <w:tr>
        <w:trPr>
          <w:trHeight w:val="210"/>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accrued and other current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8,371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5,347</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Other liabilities, noncurrent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4060" w:type="dxa"/>
            <w:vAlign w:val="bottom"/>
            <w:tcBorders>
              <w:bottom w:val="single" w:sz="8" w:color="CFF0FC"/>
            </w:tcBorders>
          </w:tcPr>
          <w:p>
            <w:pPr>
              <w:spacing w:after="0"/>
              <w:rPr>
                <w:sz w:val="19"/>
                <w:szCs w:val="19"/>
                <w:color w:val="auto"/>
              </w:rPr>
            </w:pPr>
          </w:p>
        </w:tc>
        <w:tc>
          <w:tcPr>
            <w:tcW w:w="36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0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3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FF0FC"/>
          </w:tcPr>
          <w:p>
            <w:pPr>
              <w:spacing w:after="0"/>
              <w:rPr>
                <w:sz w:val="18"/>
                <w:szCs w:val="18"/>
                <w:color w:val="auto"/>
              </w:rPr>
            </w:pPr>
          </w:p>
        </w:tc>
      </w:tr>
      <w:tr>
        <w:trPr>
          <w:trHeight w:val="216"/>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payable, noncurrent</w:t>
            </w:r>
          </w:p>
        </w:tc>
        <w:tc>
          <w:tcPr>
            <w:tcW w:w="36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FF0FC"/>
            </w:tcBorders>
          </w:tcPr>
          <w:p>
            <w:pPr>
              <w:spacing w:after="0"/>
              <w:rPr>
                <w:sz w:val="18"/>
                <w:szCs w:val="18"/>
                <w:color w:val="auto"/>
              </w:rPr>
            </w:pPr>
          </w:p>
        </w:tc>
      </w:tr>
      <w:tr>
        <w:trPr>
          <w:trHeight w:val="210"/>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other liabilities, noncurrent</w:t>
            </w:r>
          </w:p>
        </w:tc>
        <w:tc>
          <w:tcPr>
            <w:tcW w:w="3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FF0FC"/>
          </w:tcPr>
          <w:p>
            <w:pPr>
              <w:spacing w:after="0"/>
              <w:rPr>
                <w:sz w:val="18"/>
                <w:szCs w:val="18"/>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3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655"/>
        </w:trPr>
        <w:tc>
          <w:tcPr>
            <w:tcW w:w="4060" w:type="dxa"/>
            <w:vAlign w:val="bottom"/>
          </w:tcPr>
          <w:p>
            <w:pPr>
              <w:spacing w:after="0"/>
              <w:rPr>
                <w:sz w:val="24"/>
                <w:szCs w:val="24"/>
                <w:color w:val="auto"/>
              </w:rPr>
            </w:pPr>
          </w:p>
        </w:tc>
        <w:tc>
          <w:tcPr>
            <w:tcW w:w="3780" w:type="dxa"/>
            <w:vAlign w:val="bottom"/>
            <w:gridSpan w:val="2"/>
          </w:tcPr>
          <w:p>
            <w:pPr>
              <w:jc w:val="right"/>
              <w:ind w:right="2040"/>
              <w:spacing w:after="0"/>
              <w:rPr>
                <w:sz w:val="20"/>
                <w:szCs w:val="20"/>
                <w:color w:val="auto"/>
              </w:rPr>
            </w:pPr>
            <w:r>
              <w:rPr>
                <w:rFonts w:ascii="Arial" w:cs="Arial" w:eastAsia="Arial" w:hAnsi="Arial"/>
                <w:sz w:val="18"/>
                <w:szCs w:val="18"/>
                <w:color w:val="auto"/>
              </w:rPr>
              <w:t>F-17</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i w:val="1"/>
          <w:iCs w:val="1"/>
          <w:color w:val="auto"/>
        </w:rPr>
        <w:t>6. Research and Collaboration Arrangements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tcPr>
          <w:p>
            <w:pPr>
              <w:ind w:left="740"/>
              <w:spacing w:after="0"/>
              <w:rPr>
                <w:sz w:val="20"/>
                <w:szCs w:val="20"/>
                <w:color w:val="auto"/>
              </w:rPr>
            </w:pPr>
            <w:r>
              <w:rPr>
                <w:rFonts w:ascii="Arial" w:cs="Arial" w:eastAsia="Arial" w:hAnsi="Arial"/>
                <w:sz w:val="18"/>
                <w:szCs w:val="18"/>
                <w:color w:val="auto"/>
              </w:rPr>
              <w:t>Collaboration and license revenue for each period was as follows (in thousands):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25"/>
        </w:trPr>
        <w:tc>
          <w:tcPr>
            <w:tcW w:w="7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uniQure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Benitec</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CRF</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Roche</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12,897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CFF</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AstraZeneca</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13,612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ind w:left="740"/>
              <w:spacing w:after="0"/>
              <w:rPr>
                <w:sz w:val="20"/>
                <w:szCs w:val="20"/>
                <w:color w:val="auto"/>
              </w:rPr>
            </w:pPr>
            <w:r>
              <w:rPr>
                <w:rFonts w:ascii="Arial" w:cs="Arial" w:eastAsia="Arial" w:hAnsi="Arial"/>
                <w:sz w:val="18"/>
                <w:szCs w:val="18"/>
                <w:color w:val="auto"/>
              </w:rPr>
              <w:t>Deferred revenue for each period was as follows (in thousands):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w w:val="99"/>
              </w:rPr>
              <w:t>Deferred Revenue</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170"/>
              <w:spacing w:after="0" w:line="187" w:lineRule="exact"/>
              <w:rPr>
                <w:sz w:val="20"/>
                <w:szCs w:val="20"/>
                <w:color w:val="auto"/>
              </w:rPr>
            </w:pPr>
            <w:r>
              <w:rPr>
                <w:rFonts w:ascii="Arial" w:cs="Arial" w:eastAsia="Arial" w:hAnsi="Arial"/>
                <w:sz w:val="18"/>
                <w:szCs w:val="18"/>
                <w:b w:val="1"/>
                <w:bCs w:val="1"/>
                <w:color w:val="auto"/>
                <w:w w:val="97"/>
              </w:rPr>
              <w:t>As of</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center"/>
              <w:ind w:right="190"/>
              <w:spacing w:after="0" w:line="187" w:lineRule="exact"/>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uniQure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4,396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Benitec</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CRF</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Roche</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14,318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13,640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CFF</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AstraZeneca</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19,812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19,467</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734"/>
        <w:spacing w:after="0" w:line="246" w:lineRule="auto"/>
        <w:rPr>
          <w:sz w:val="20"/>
          <w:szCs w:val="20"/>
          <w:color w:val="auto"/>
        </w:rPr>
      </w:pPr>
      <w:r>
        <w:rPr>
          <w:rFonts w:ascii="Arial" w:cs="Arial" w:eastAsia="Arial" w:hAnsi="Arial"/>
          <w:sz w:val="18"/>
          <w:szCs w:val="18"/>
          <w:color w:val="auto"/>
        </w:rPr>
        <w:t>The total amount of revenue in the year ended December 31, 2020, which was included in deferred revenue at January 1, 2020, was $3.2 million. The total amount of revenue in the year ended December 31, 2019, which was included in deferred revenue at January 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2019, was $3.6 million.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uniQure</w:t>
      </w:r>
    </w:p>
    <w:p>
      <w:pPr>
        <w:spacing w:after="0" w:line="126" w:lineRule="exact"/>
        <w:rPr>
          <w:sz w:val="20"/>
          <w:szCs w:val="20"/>
          <w:color w:val="auto"/>
        </w:rPr>
      </w:pPr>
    </w:p>
    <w:p>
      <w:pPr>
        <w:ind w:right="220" w:firstLine="734"/>
        <w:spacing w:after="0" w:line="238" w:lineRule="auto"/>
        <w:rPr>
          <w:sz w:val="20"/>
          <w:szCs w:val="20"/>
          <w:color w:val="auto"/>
        </w:rPr>
      </w:pPr>
      <w:r>
        <w:rPr>
          <w:rFonts w:ascii="Arial" w:cs="Arial" w:eastAsia="Arial" w:hAnsi="Arial"/>
          <w:sz w:val="18"/>
          <w:szCs w:val="18"/>
          <w:color w:val="auto"/>
        </w:rPr>
        <w:t>In January 2014, the Company and uniQure biopharma B.V. (“uniQure”) entered into a Collaboration and License Agreement (the “uniQure Agreement”) to collaborate on the discovery and non-clinical research activities related to the Company’s Therapeutic Vector Evolution platform in order to generate and validate vectors for gene delivery to treat diseases within the central nervous system and liver (together, the “uniQure Field”).</w:t>
      </w:r>
    </w:p>
    <w:p>
      <w:pPr>
        <w:spacing w:after="0" w:line="205"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The uniQure Agreement provided uniQure with a research license as well as an exclusive development and commercialization license for each project variant selected for further development. The initial research term is three years with an option for uniQure to extend the research term one time for an additional year. Once the Company’s research plan has concluded, uniQure is solely responsible for the continued development, manufacturing and commercialization of the project variants as potential product candidates. In October 2016, uniQure exercised its option to extend the research term for an additional year to January 2018. The Company was also required to work exclusively with uniQure in the uniQure Field (the “uniQure Exclusivity Clause”).</w:t>
      </w:r>
    </w:p>
    <w:p>
      <w:pPr>
        <w:spacing w:after="0" w:line="20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Pursuant to the uniQure Agreement, the Company received upfront payments of $0.2 million, and was entitled to receive</w:t>
      </w:r>
    </w:p>
    <w:p>
      <w:pPr>
        <w:ind w:right="40" w:firstLine="8"/>
        <w:spacing w:after="0" w:line="246" w:lineRule="auto"/>
        <w:tabs>
          <w:tab w:leader="none" w:pos="2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contingent payments for the achievement of research and development milestones of up to $5.0 million for each licensed product selected under the arrangement, and (ii) royalties in the single digit range on future sales of the potential product candidates and sublicense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2" w:name="page183"/>
    <w:bookmarkEnd w:id="182"/>
    <w:p>
      <w:pPr>
        <w:ind w:right="120"/>
        <w:spacing w:after="0" w:line="238" w:lineRule="auto"/>
        <w:rPr>
          <w:sz w:val="20"/>
          <w:szCs w:val="20"/>
          <w:color w:val="auto"/>
        </w:rPr>
      </w:pPr>
      <w:r>
        <w:rPr>
          <w:rFonts w:ascii="Arial" w:cs="Arial" w:eastAsia="Arial" w:hAnsi="Arial"/>
          <w:sz w:val="18"/>
          <w:szCs w:val="18"/>
          <w:color w:val="auto"/>
        </w:rPr>
        <w:t>consideration in the low teens to low thirties range on any future sublicensing arrangements. The Company also received capped research and development service fees based on contractual full-time employee rates per year. In connection with the performance obligations under the uniQure Agreement, the founders of 4D Molecular Therapeutics, LLC received equity options to purchase an aggregate of 609,744 of uniQure ordinary shares that vest over the initial three-year term of the agreement.</w:t>
      </w:r>
    </w:p>
    <w:p>
      <w:pPr>
        <w:spacing w:after="0" w:line="205"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The upfront payment of $0.2 million was recorded as deferred revenue and was recognized on a ratable basis over the estimated performance period of four years. Payments and reimbursements for research costs were recognized on an as-incurred basis. The options to purchase uniQure shares were deemed to be a noncash component of the arrangement consideration, as the vesting of options is linked to the uniQure Agreement and there is a requirement for the holders of the options to provide services under the agreement. The fair value of the uniQure options, which was estimated to be $10.6 million, was recognized ratably as revenue over the estimated performance period of four years and the associated compensation expense related to the stock options were recorded as research and development expense.</w:t>
      </w:r>
    </w:p>
    <w:p>
      <w:pPr>
        <w:spacing w:after="0" w:line="205" w:lineRule="exact"/>
        <w:rPr>
          <w:sz w:val="20"/>
          <w:szCs w:val="20"/>
          <w:color w:val="auto"/>
        </w:rPr>
      </w:pPr>
    </w:p>
    <w:p>
      <w:pPr>
        <w:ind w:right="60" w:firstLine="734"/>
        <w:spacing w:after="0" w:line="238" w:lineRule="auto"/>
        <w:rPr>
          <w:sz w:val="20"/>
          <w:szCs w:val="20"/>
          <w:color w:val="auto"/>
        </w:rPr>
      </w:pPr>
      <w:r>
        <w:rPr>
          <w:rFonts w:ascii="Arial" w:cs="Arial" w:eastAsia="Arial" w:hAnsi="Arial"/>
          <w:sz w:val="18"/>
          <w:szCs w:val="18"/>
          <w:color w:val="auto"/>
        </w:rPr>
        <w:t>In August 2019, the Company and uniQure entered into an Amended and Restated Collaboration and License Agreement (the “Amended uniQure Agreement”), which amended and restated the uniQure Agreement, and a separate Collaboration and License Agreement (the “Second uniQure Agreement”). Under these agreements, the Company agreed to transfer incremental rights and services to uniQure in exchange for uniQure eliminating the uniQure Exclusivity Clause and transferring other rights back to the Company.</w:t>
      </w:r>
    </w:p>
    <w:p>
      <w:pPr>
        <w:spacing w:after="0" w:line="205"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Under the Amended uniQure Agreement, uniQure continues to have an exclusive license to select AAV capsid variants (the “Selected Variants”) in the uniQure Field. uniQure continues to be solely responsible, at its cost, to develop and commercialize the compounds and products containing the Selected Variants. The amended uniQure Agreement eliminated the uniQure Exclusivity Clause in the uniQure Agreement. Furthermore, the contingent payments that the Company was entitled to from uniQure for the achievement of research and development milestones of up to $5.0 million for each licensed product selected under the uniQure Agreement were eliminated and sublicense consideration on any future sublicensing arrangements was reduced from the low teens to low thirties percentages to mid-single digit to mid-twenties percentages.</w:t>
      </w:r>
    </w:p>
    <w:p>
      <w:pPr>
        <w:spacing w:after="0" w:line="203" w:lineRule="exact"/>
        <w:rPr>
          <w:sz w:val="20"/>
          <w:szCs w:val="20"/>
          <w:color w:val="auto"/>
        </w:rPr>
      </w:pPr>
    </w:p>
    <w:p>
      <w:pPr>
        <w:ind w:right="120" w:firstLine="734"/>
        <w:spacing w:after="0" w:line="253" w:lineRule="auto"/>
        <w:rPr>
          <w:sz w:val="20"/>
          <w:szCs w:val="20"/>
          <w:color w:val="auto"/>
        </w:rPr>
      </w:pPr>
      <w:r>
        <w:rPr>
          <w:rFonts w:ascii="Arial" w:cs="Arial" w:eastAsia="Arial" w:hAnsi="Arial"/>
          <w:sz w:val="17"/>
          <w:szCs w:val="17"/>
          <w:color w:val="auto"/>
        </w:rPr>
        <w:t>Under the Second uniQure Agreement, the parties agreed to research and develop new AAV capsid variants (the “New Variants”) that are not Selected Variants that affect certain targets selected by uniQure (the “uniQure Targets”) in the uniQure Field. The Company is solely responsible, at its cost, for the research of the New Variants. The Company granted uniQure an exclusive license to a certain number of the New Variants (the “uniQure New Variants”) that affect the uniQure Targets. uniQure is solely responsible, at its cost, to develop and commercialize the compounds and products containing the uniQure New Variants that affect the uniQure Targets (the “Licensed Products”). The Company retains all rights to New Variants in the uniQure Field that affect targets other than the uniQure Targets.</w:t>
      </w:r>
    </w:p>
    <w:p>
      <w:pPr>
        <w:spacing w:after="0" w:line="195" w:lineRule="exact"/>
        <w:rPr>
          <w:sz w:val="20"/>
          <w:szCs w:val="20"/>
          <w:color w:val="auto"/>
        </w:rPr>
      </w:pPr>
    </w:p>
    <w:p>
      <w:pPr>
        <w:ind w:right="120" w:firstLine="734"/>
        <w:spacing w:after="0" w:line="237" w:lineRule="auto"/>
        <w:rPr>
          <w:sz w:val="20"/>
          <w:szCs w:val="20"/>
          <w:color w:val="auto"/>
        </w:rPr>
      </w:pPr>
      <w:r>
        <w:rPr>
          <w:rFonts w:ascii="Arial" w:cs="Arial" w:eastAsia="Arial" w:hAnsi="Arial"/>
          <w:sz w:val="18"/>
          <w:szCs w:val="18"/>
          <w:color w:val="auto"/>
        </w:rPr>
        <w:t>Under both the Amended uniQure Agreement and the Second uniQure Agreement, uniQure will be required to pay the Company royalties on worldwide annual net sales of Licensed Products at a mid-single digit percentage rate, subject to certain specified reductions. uniQure will also be required to pay the Company sublicensing consideration for sublicensing the Company’s intellectual property rights licensed under the Amended uniQure Agreement or the Second uniQure Agreement to third parties at a rate between the mid-single digit to mid-twenties. The Company has reciprocal obligations, at the same percentage rates as uniQure, to pay uniQure royalties and sublicensing consideration for sublicensing certain intellectual property rights licensed under the Amended uniQure Agreement or the Second uniQure Agreement to third parties.</w:t>
      </w:r>
    </w:p>
    <w:p>
      <w:pPr>
        <w:spacing w:after="0" w:line="203" w:lineRule="exact"/>
        <w:rPr>
          <w:sz w:val="20"/>
          <w:szCs w:val="20"/>
          <w:color w:val="auto"/>
        </w:rPr>
      </w:pPr>
    </w:p>
    <w:p>
      <w:pPr>
        <w:ind w:right="80" w:firstLine="734"/>
        <w:spacing w:after="0"/>
        <w:rPr>
          <w:sz w:val="20"/>
          <w:szCs w:val="20"/>
          <w:color w:val="auto"/>
        </w:rPr>
      </w:pPr>
      <w:r>
        <w:rPr>
          <w:rFonts w:ascii="Arial" w:cs="Arial" w:eastAsia="Arial" w:hAnsi="Arial"/>
          <w:sz w:val="18"/>
          <w:szCs w:val="18"/>
          <w:color w:val="auto"/>
        </w:rPr>
        <w:t>The Company concluded that the Amended uniQure Agreement and the Second uniQure Agreement should be accounted for as one combined contract that should be accounted for as a separate contract from the uniQure Agreement given that the incremental licensed intellectual property rights and research and development services are distinct from the rights and services previously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83" w:name="page184"/>
    <w:bookmarkEnd w:id="183"/>
    <w:p>
      <w:pPr>
        <w:ind w:right="300"/>
        <w:spacing w:after="0"/>
        <w:rPr>
          <w:sz w:val="20"/>
          <w:szCs w:val="20"/>
          <w:color w:val="auto"/>
        </w:rPr>
      </w:pPr>
      <w:r>
        <w:rPr>
          <w:rFonts w:ascii="Arial" w:cs="Arial" w:eastAsia="Arial" w:hAnsi="Arial"/>
          <w:sz w:val="18"/>
          <w:szCs w:val="18"/>
          <w:color w:val="auto"/>
        </w:rPr>
        <w:t>transferred to uniQure under the uniQure Agreement and the transaction price increased by an amount that equals the standalone selling price of the incremental rights and services to be transferred to uniQure under the Amended uniQure Agreement and Second uniQure Agreement.</w:t>
      </w:r>
    </w:p>
    <w:p>
      <w:pPr>
        <w:spacing w:after="0" w:line="203" w:lineRule="exact"/>
        <w:rPr>
          <w:sz w:val="20"/>
          <w:szCs w:val="20"/>
          <w:color w:val="auto"/>
        </w:rPr>
      </w:pPr>
    </w:p>
    <w:p>
      <w:pPr>
        <w:jc w:val="both"/>
        <w:ind w:right="140" w:firstLine="734"/>
        <w:spacing w:after="0" w:line="237" w:lineRule="auto"/>
        <w:rPr>
          <w:sz w:val="20"/>
          <w:szCs w:val="20"/>
          <w:color w:val="auto"/>
        </w:rPr>
      </w:pPr>
      <w:r>
        <w:rPr>
          <w:rFonts w:ascii="Arial" w:cs="Arial" w:eastAsia="Arial" w:hAnsi="Arial"/>
          <w:sz w:val="18"/>
          <w:szCs w:val="18"/>
          <w:color w:val="auto"/>
        </w:rPr>
        <w:t>Neither party was required to pay monetary consideration in connection with the execution of the Amended uniQure Agreement or the Second uniQure Agreement or for subsequent performance by the parties under those agreements, notwithstanding the potential future royalty and sublicense consideration described above. The fair value of the non-monetary consideration given by uniQure to the Company, for the intellectual property right is $5.1 million. This intellectual property right is considered to be an in-process research and development asset with no alternative future use and, accordingly, was written off as acquired in-process research and development expense in the year ended December 31, 2019.</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incremental transaction price described in the paragraph above was recorded as deferred revenue given that the Company identified one single combined performance obligation under ASC 606, which includes the licenses to the New Variants, research services and participation in the joint steering committee (“JSC”). Revenue is being recognized using the input method based on actual costs incurred as a percentage of total budgeted costs as the Company completes its performance obligation. Based on the current estimated timelines, the deferred revenue is expected to be recognized as revenue over approximately two to three years from December 31, 2020.</w:t>
      </w:r>
    </w:p>
    <w:p>
      <w:pPr>
        <w:spacing w:after="0" w:line="202"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The Company determined the transaction price using the risk adjusted net present value analysis (“rNPV”) methodology to value the elimination of the uniQure exclusivity clause and other material rights received by the Company, including the potential royalties the Company would receive from uniQure. The rNPVs incorporate estimates and assumptions including the number of products the Company and uniQure would develop, the risk-adjusted probability of successfully developing a biopharmaceutical product, the probability that uniQure will develop a product, the research and development costs, the potential worldwide sales and associated commercialization costs, corporate tax rate, and discount rate.</w:t>
      </w:r>
    </w:p>
    <w:p>
      <w:pPr>
        <w:spacing w:after="0" w:line="205" w:lineRule="exact"/>
        <w:rPr>
          <w:sz w:val="20"/>
          <w:szCs w:val="20"/>
          <w:color w:val="auto"/>
        </w:rPr>
      </w:pPr>
    </w:p>
    <w:p>
      <w:pPr>
        <w:ind w:right="80" w:firstLine="734"/>
        <w:spacing w:after="0" w:line="237" w:lineRule="auto"/>
        <w:rPr>
          <w:sz w:val="20"/>
          <w:szCs w:val="20"/>
          <w:color w:val="auto"/>
        </w:rPr>
      </w:pPr>
      <w:r>
        <w:rPr>
          <w:rFonts w:ascii="Arial" w:cs="Arial" w:eastAsia="Arial" w:hAnsi="Arial"/>
          <w:sz w:val="18"/>
          <w:szCs w:val="18"/>
          <w:color w:val="auto"/>
        </w:rPr>
        <w:t>During the years ended December 31, 2020 and 2019 the Company recognized revenue of $ 0 and less than $0.1 million under the uniQure Agreement, respectively. During the years ended December 31, 2020 and 2019 the Company recognized revenue of $0.7 million and $0 under the Amended uniQure Agreement and the Second uniQure Agreement, respectively. As of December 31, 2020 and 2019, deferred revenue relating to uniQure was $4.4 million and $5.1 million, respectively. There were no amounts due from uniQure under the uniQure Agreement, Amended uniQure Agreement or Second uniQure Agreement as of December 31, 2020 and 2019. As of December 31, 2020 and 2019, the aggregate amount of the transaction price allocated to the remaining performance obligation was $4.4 million and $5.1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Benitec</w:t>
      </w:r>
    </w:p>
    <w:p>
      <w:pPr>
        <w:spacing w:after="0" w:line="126"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color w:val="auto"/>
        </w:rPr>
        <w:t>In November 2014, the Company and Benitec Biopharma Limited (“Benitec”) entered into a collaboration and license agreement to collaborate on the discovery and non-clinical research activities related to the Company’s Therapeutic Vector Evolution platform in order to generate and validate vectors for gene delivery to treat certain ophthalmic diseases (the “Benitec Agreement”). Benitec had the option of nominating up to three project variants as part of the Benitec Agreement.</w:t>
      </w:r>
    </w:p>
    <w:p>
      <w:pPr>
        <w:spacing w:after="0" w:line="205"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Benitec Agreement provided Benitec with a temporary research license as well as an exclusive development and commercialization license for each project variant selected to further develop. The initial research term was two years and was automatically extended in six-month increments, if necessary, in order to complete additional required studies, for a maximum of five years. Once the Company’s research plan concluded, Benitec was solely responsible for the continued development, manufacturing and commercialization of the project variants as potential product candidates.</w:t>
      </w:r>
    </w:p>
    <w:p>
      <w:pPr>
        <w:spacing w:after="0" w:line="202" w:lineRule="exact"/>
        <w:rPr>
          <w:sz w:val="20"/>
          <w:szCs w:val="20"/>
          <w:color w:val="auto"/>
        </w:rPr>
      </w:pPr>
    </w:p>
    <w:p>
      <w:pPr>
        <w:ind w:right="500" w:firstLine="734"/>
        <w:spacing w:after="0" w:line="246" w:lineRule="auto"/>
        <w:rPr>
          <w:sz w:val="20"/>
          <w:szCs w:val="20"/>
          <w:color w:val="auto"/>
        </w:rPr>
      </w:pPr>
      <w:r>
        <w:rPr>
          <w:rFonts w:ascii="Arial" w:cs="Arial" w:eastAsia="Arial" w:hAnsi="Arial"/>
          <w:sz w:val="18"/>
          <w:szCs w:val="18"/>
          <w:color w:val="auto"/>
        </w:rPr>
        <w:t>Pursuant to the Benitec Agreement, the Company received as consideration (i) an upfront payment of $0.5 million, (ii) capped research and development service fees based in part on prescribed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full-time equivalent labor rates and (iii) reimbursements of pass-through and overhead costs incurred on behalf of Benitec.</w:t>
      </w:r>
    </w:p>
    <w:p>
      <w:pPr>
        <w:spacing w:after="0" w:line="212" w:lineRule="exact"/>
        <w:rPr>
          <w:sz w:val="20"/>
          <w:szCs w:val="20"/>
          <w:color w:val="auto"/>
        </w:rPr>
      </w:pPr>
    </w:p>
    <w:p>
      <w:pPr>
        <w:ind w:right="220" w:firstLine="734"/>
        <w:spacing w:after="0" w:line="238" w:lineRule="auto"/>
        <w:rPr>
          <w:sz w:val="20"/>
          <w:szCs w:val="20"/>
          <w:color w:val="auto"/>
        </w:rPr>
      </w:pPr>
      <w:r>
        <w:rPr>
          <w:rFonts w:ascii="Arial" w:cs="Arial" w:eastAsia="Arial" w:hAnsi="Arial"/>
          <w:sz w:val="18"/>
          <w:szCs w:val="18"/>
          <w:color w:val="auto"/>
        </w:rPr>
        <w:t>On January 24, 2017, the Benitec Agreement was amended to give Benitec sole responsibility for the performance of certain research work which would have generated research services revenue for the Company under the original agreement. Pursuant to the amendment, the Company received $0.5 million as consideration. This $0.5 million was recorded as deferred revenue and was recognized over the same period as the upfront payment.</w:t>
      </w: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March 2019, the Benitec Agreement was terminated based on mutual agreement between the Company and Benitec.</w:t>
      </w:r>
    </w:p>
    <w:p>
      <w:pPr>
        <w:spacing w:after="0" w:line="212" w:lineRule="exact"/>
        <w:rPr>
          <w:sz w:val="20"/>
          <w:szCs w:val="20"/>
          <w:color w:val="auto"/>
        </w:rPr>
      </w:pPr>
    </w:p>
    <w:p>
      <w:pPr>
        <w:ind w:right="340" w:firstLine="734"/>
        <w:spacing w:after="0" w:line="238" w:lineRule="auto"/>
        <w:rPr>
          <w:sz w:val="20"/>
          <w:szCs w:val="20"/>
          <w:color w:val="auto"/>
        </w:rPr>
      </w:pPr>
      <w:r>
        <w:rPr>
          <w:rFonts w:ascii="Arial" w:cs="Arial" w:eastAsia="Arial" w:hAnsi="Arial"/>
          <w:sz w:val="18"/>
          <w:szCs w:val="18"/>
          <w:color w:val="auto"/>
        </w:rPr>
        <w:t>The Company identified one combined performance obligation to provide the research license, exclusive development and commercialization licenses for each project variance selected to further develop, research services and participation in the JSC. The transaction price included the $1.0 million non-refundable upfront fees and $2.4 million reimbursement for costs incurred and the value of labor hours expended. The Company excluded any consideration related to sales-based milestones, including royalties, which are recognized when the related sales occur. For the year ended December 31, 2019, there was no change in the transaction price.</w:t>
      </w:r>
    </w:p>
    <w:p>
      <w:pPr>
        <w:spacing w:after="0" w:line="202" w:lineRule="exact"/>
        <w:rPr>
          <w:sz w:val="20"/>
          <w:szCs w:val="20"/>
          <w:color w:val="auto"/>
        </w:rPr>
      </w:pPr>
    </w:p>
    <w:p>
      <w:pPr>
        <w:ind w:right="160" w:firstLine="734"/>
        <w:spacing w:after="0" w:line="238" w:lineRule="auto"/>
        <w:rPr>
          <w:sz w:val="20"/>
          <w:szCs w:val="20"/>
          <w:color w:val="auto"/>
        </w:rPr>
      </w:pPr>
      <w:r>
        <w:rPr>
          <w:rFonts w:ascii="Arial" w:cs="Arial" w:eastAsia="Arial" w:hAnsi="Arial"/>
          <w:sz w:val="18"/>
          <w:szCs w:val="18"/>
          <w:color w:val="auto"/>
        </w:rPr>
        <w:t>During the years ended December 31, 2020 and 2019, the Company recognized revenue of $0 and less than $0.1 million, respectively. As of December 31, 2020 and 2019, deferred revenue relating to the Benitec Agreement was $0. There were no amounts due from Benitec under the Benitec Agreement as of December 31, 2020 and 2019. Upon termination of the Benitec Agreement in March 2019, the Company had no further obligations impacting revenue recognition.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CRF</w:t>
      </w:r>
    </w:p>
    <w:p>
      <w:pPr>
        <w:spacing w:after="0" w:line="126"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In November 2015, the Company entered into a research funding and collaboration agreement (the “CRF Agreement”) with the Choroideremia Research Foundation (“CRF”), a non-profit organization dedicated to finding a cure for choroideremia, a rare inherited disorder that causes progressive vision loss, ultimately leading to complete blindness. The goal of the CRF Agreement is for CRF to contribute funding to help with the advancement of the Company’s choroideremia research program. The Company is responsible for all decision making and execution of any and all of the related activities to be completed in its sole discretion. The initial term of the CRF Research Plan is two years. The agreement includes contribution to CRF of up to $2.5 million upon certain development or approval milestones. The overall arrangement has automatic extensions of up to three additional years. As of December 31, 2020, no milestones have been achieved.</w:t>
      </w:r>
    </w:p>
    <w:p>
      <w:pPr>
        <w:spacing w:after="0" w:line="208" w:lineRule="exact"/>
        <w:rPr>
          <w:sz w:val="20"/>
          <w:szCs w:val="20"/>
          <w:color w:val="auto"/>
        </w:rPr>
      </w:pPr>
    </w:p>
    <w:p>
      <w:pPr>
        <w:jc w:val="both"/>
        <w:ind w:firstLine="734"/>
        <w:spacing w:after="0"/>
        <w:rPr>
          <w:sz w:val="20"/>
          <w:szCs w:val="20"/>
          <w:color w:val="auto"/>
        </w:rPr>
      </w:pPr>
      <w:r>
        <w:rPr>
          <w:rFonts w:ascii="Arial" w:cs="Arial" w:eastAsia="Arial" w:hAnsi="Arial"/>
          <w:sz w:val="18"/>
          <w:szCs w:val="18"/>
          <w:color w:val="auto"/>
        </w:rPr>
        <w:t>Revenue was fully recognized for this agreement in the year ended December 31, 2017. There was no deferred revenue relating to the CRF Agreement as of December 31, 2020 and 2019. No amount was due from CRF under the CRF Agreement as of December 31, 2020 and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In November 2017, the Company entered into a collaboration and license agreement with F. Hoffmann-La Roche Ltd and Hoffmann-La Roche Inc. (together, “Roche”) to discover and develop products containing optimized next generation AAV Vectors focused on ophthalmological diseases and disorders excluding select criteria (the “2017 Roche Agreement”). The Company and Roche both have the ability to nominate products to discover, develop and commercialize.</w:t>
      </w:r>
    </w:p>
    <w:p>
      <w:pPr>
        <w:spacing w:after="0" w:line="205"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At the effective date, choroideremia was designated a Roche product. The Company is responsible for conducting research and development services prior to pivotal clinical studies, and Roche is responsible for conducting subsequent development and commercialization activities. In addition, Roche agreed to pay for research and development services at the agreed upon full-time employee rate for work performed for choroideremia under the 2017 Roche Agreement, except for the costs associated with the manufacturing work for choroideremia.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5" w:name="page186"/>
    <w:bookmarkEnd w:id="185"/>
    <w:p>
      <w:pPr>
        <w:ind w:right="120" w:firstLine="734"/>
        <w:spacing w:after="0" w:line="238" w:lineRule="auto"/>
        <w:rPr>
          <w:sz w:val="20"/>
          <w:szCs w:val="20"/>
          <w:color w:val="auto"/>
        </w:rPr>
      </w:pPr>
      <w:r>
        <w:rPr>
          <w:rFonts w:ascii="Arial" w:cs="Arial" w:eastAsia="Arial" w:hAnsi="Arial"/>
          <w:sz w:val="18"/>
          <w:szCs w:val="18"/>
          <w:color w:val="auto"/>
        </w:rPr>
        <w:t>For any product that the Company nominates and conducts research and development services under the 2017 Roche Agreement prior to pivotal clinical studies, including 4D-125 (for the treatment of XLRP), Roche has an option to convert the status of the product to a Roche product during the 90-day option period. If Roche chooses to not exercise its option, the Company can continue subsequent development and commercialization activities and Roche will have no further rights with respect to such product.</w:t>
      </w:r>
    </w:p>
    <w:p>
      <w:pPr>
        <w:spacing w:after="0" w:line="205" w:lineRule="exact"/>
        <w:rPr>
          <w:sz w:val="20"/>
          <w:szCs w:val="20"/>
          <w:color w:val="auto"/>
        </w:rPr>
      </w:pPr>
    </w:p>
    <w:p>
      <w:pPr>
        <w:jc w:val="both"/>
        <w:ind w:right="220" w:firstLine="734"/>
        <w:spacing w:after="0" w:line="234" w:lineRule="auto"/>
        <w:rPr>
          <w:sz w:val="20"/>
          <w:szCs w:val="20"/>
          <w:color w:val="auto"/>
        </w:rPr>
      </w:pPr>
      <w:r>
        <w:rPr>
          <w:rFonts w:ascii="Arial" w:cs="Arial" w:eastAsia="Arial" w:hAnsi="Arial"/>
          <w:sz w:val="18"/>
          <w:szCs w:val="18"/>
          <w:color w:val="auto"/>
        </w:rPr>
        <w:t>Pursuant to the 2017 Roche Agreement, the Company received an upfront payment of $21.0 million as consideration. In addition, the Company is entitled to contingent payments including (i) $ 1.0 million for each Roche nominated product beyond the first three, (ii) up to $30.0 million upon exercise of the option to convert a product the Company nominated and developed prior to pivotal clinical studies</w:t>
      </w:r>
    </w:p>
    <w:p>
      <w:pPr>
        <w:spacing w:after="0" w:line="2" w:lineRule="exact"/>
        <w:rPr>
          <w:sz w:val="20"/>
          <w:szCs w:val="20"/>
          <w:color w:val="auto"/>
        </w:rPr>
      </w:pPr>
    </w:p>
    <w:p>
      <w:pPr>
        <w:ind w:right="100" w:firstLine="8"/>
        <w:spacing w:after="0" w:line="238" w:lineRule="auto"/>
        <w:tabs>
          <w:tab w:leader="none" w:pos="29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development milestone payments of up to $223.0 million, of which $86.0 million relates to choroideremia and the rest relate to other licensed products; and (iv) sales-based milestones of up to $123.0 million in connection with licensed products. The 2017 Roche Agreement also includes provisions that entitle the Company to receive royalty payments ranging from the mid-single digits to the mid-teens for the net sales of the licensed products, in each case subject to the reductions in accordance with the terms of the agreement.</w:t>
      </w:r>
    </w:p>
    <w:p>
      <w:pPr>
        <w:spacing w:after="0" w:line="205" w:lineRule="exact"/>
        <w:rPr>
          <w:sz w:val="20"/>
          <w:szCs w:val="20"/>
          <w:color w:val="auto"/>
        </w:rPr>
      </w:pPr>
    </w:p>
    <w:p>
      <w:pPr>
        <w:ind w:right="20" w:firstLine="734"/>
        <w:spacing w:after="0" w:line="235" w:lineRule="auto"/>
        <w:rPr>
          <w:sz w:val="20"/>
          <w:szCs w:val="20"/>
          <w:color w:val="auto"/>
        </w:rPr>
      </w:pPr>
      <w:r>
        <w:rPr>
          <w:rFonts w:ascii="Arial" w:cs="Arial" w:eastAsia="Arial" w:hAnsi="Arial"/>
          <w:sz w:val="18"/>
          <w:szCs w:val="18"/>
          <w:color w:val="auto"/>
        </w:rPr>
        <w:t>Under ASC 606, the Company identified a single combined performance obligation for the license, research services and participation in the JSC. Furthermore, the Company concluded that at the inception of the agreement, Roche’s option, exercisable prior to pivotal clinical study initiation, does not represent a material right and should be allocated to the single performance obligation and recognized as revenue upon Roche’s exercise of the option. The transaction price related to the agreement upon adoption of ASC 606 included the $21.0 million non-refundable upfront fee and $10.7 million for estimated reimbursements for research and development services at the agreed upon full-time employee rate and third party costs. The Company’s contract with Roche does not include a significant financing component. The Company concluded that the transaction price should not include the variable consideration related to development milestones as they were considered to be constrained as it is probable that the inclusion of such variable consideration could result in a significant reversal of cumulative revenue in the future. The Company excluded any consideration related to sales-based milestones, including royalties, which are recognized when the related sales occur. The transaction price and estimated period of performance will be re-evaluated at each reporting period. For the year ended December 31, 2020, an adjustment of $17.0 million was made to the transaction price to reflect an increase of $7.0 million in the scope of the project and expected reimbursable costs and the addition of $10.0 million of variable consideration as the uncertainty associated with two development milestones was resolved. The adjustments to the transaction price and total budgeted costs in 2020 resulted in a $4.6 million increase in revenue recognized in the year ended December 31, 2020 related to performance obligations partially satisfied in periods prior to January 1, 2020. For the year ended December 31, 2019, an adjustment of $ 4.5 million was made to the transaction price to reflect an increase in the scope of the project and expected reimbursable costs. The increase in the transaction price and total budgeted costs in 2019 resulted in a $1.6 million decrease in revenue recognized in the year ended December 31, 2019 related to performance obligations partially satisfied in periods prior to January 1, 2019.</w:t>
      </w:r>
    </w:p>
    <w:p>
      <w:pPr>
        <w:spacing w:after="0" w:line="213"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During the years ended December 31, 2020 and 2019, the Company recognized revenue of $12.9 million and $6.3 million, respectively. As of December 31, 2020 and 2019, deferred revenue relating to the Roche Agreement was $14.3 million and $13.6 million, respectively. Accounts receivable from Roche under this agreement as of December 31, 2020 and 2019 was $1.1 million and $0.6 million, respectively. As of December 31, 2020 and 2019, the aggregate amount of the transaction price allocated to the remaining performance obligation was $25.8 million and $21.6 million, respectively. Based on current timelines, the deferred revenue is expected to be recognized as revenue over the next three to four years as the Company continues to develop nominated products until the initiation of pivotal studies.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CFF</w:t>
      </w:r>
    </w:p>
    <w:p>
      <w:pPr>
        <w:spacing w:after="0" w:line="126"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In September 2016, the Company entered into an award agreement for the Optimized Adeno-Associated Virus for Lung Epithelia Gene Delivery Development Program with CFF, a non -profit organization dedicated to finding a cure for cystic fibrosis, an inherited disorder that causes disease in the pulmonary airways leading to morbidity and mortality. Under this agreement, CFF contributes funding to help advance the Company’s CF research program. The agreement was subsequently amended in September 2017 and August 2018 (all three agreements are collectively referred to as the “CFF Agreement”). The total amount of the award under the CFF Agreement is $3.5 million. As of December 31, 2020 and 2019, the Company achieved milestones totaling $1.3 million and $0.9 million under the CFF Agreement, respectively. The remaining award amount will be paid by CFF based on achievement of certain development milestones by the Company.</w:t>
      </w:r>
    </w:p>
    <w:p>
      <w:pPr>
        <w:spacing w:after="0" w:line="203" w:lineRule="exact"/>
        <w:rPr>
          <w:sz w:val="20"/>
          <w:szCs w:val="20"/>
          <w:color w:val="auto"/>
        </w:rPr>
      </w:pPr>
    </w:p>
    <w:p>
      <w:pPr>
        <w:ind w:firstLine="734"/>
        <w:spacing w:after="0" w:line="236" w:lineRule="auto"/>
        <w:rPr>
          <w:sz w:val="20"/>
          <w:szCs w:val="20"/>
          <w:color w:val="auto"/>
        </w:rPr>
      </w:pPr>
      <w:r>
        <w:rPr>
          <w:rFonts w:ascii="Arial" w:cs="Arial" w:eastAsia="Arial" w:hAnsi="Arial"/>
          <w:sz w:val="18"/>
          <w:szCs w:val="18"/>
          <w:color w:val="auto"/>
        </w:rPr>
        <w:t>The Company expects to make payments to CFF equal to six times the actual award received by the Company in three installments within the first four years of the first commercial sale of a product developed under this agreement. The Company also has agreed to make future sales-based milestone payments to CFF of up to three times the actual award received upon achieving specified commercialization milestones with respect to the first of any product developed utilizing any compound covered under the CFF Agreement. The CFF Agreement also requires the Company to pay to CFF royalties of a mid-single digit percentage, up to six 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 will receive certain payments, depending on the timing of the change of control and the size of the transaction.</w:t>
      </w:r>
    </w:p>
    <w:p>
      <w:pPr>
        <w:spacing w:after="0" w:line="207" w:lineRule="exact"/>
        <w:rPr>
          <w:sz w:val="20"/>
          <w:szCs w:val="20"/>
          <w:color w:val="auto"/>
        </w:rPr>
      </w:pPr>
    </w:p>
    <w:p>
      <w:pPr>
        <w:ind w:right="20" w:firstLine="734"/>
        <w:spacing w:after="0" w:line="246" w:lineRule="auto"/>
        <w:rPr>
          <w:sz w:val="20"/>
          <w:szCs w:val="20"/>
          <w:color w:val="auto"/>
        </w:rPr>
      </w:pPr>
      <w:r>
        <w:rPr>
          <w:rFonts w:ascii="Arial" w:cs="Arial" w:eastAsia="Arial" w:hAnsi="Arial"/>
          <w:sz w:val="18"/>
          <w:szCs w:val="18"/>
          <w:color w:val="auto"/>
        </w:rPr>
        <w:t>To date, the Company has not developed a commercial product in connection with the CFF Agreement, and it has not licensed, sold or otherwise transferred to another party the product developed under the CFF Agreement or the underlying technology.</w:t>
      </w:r>
    </w:p>
    <w:p>
      <w:pPr>
        <w:spacing w:after="0" w:line="197" w:lineRule="exact"/>
        <w:rPr>
          <w:sz w:val="20"/>
          <w:szCs w:val="20"/>
          <w:color w:val="auto"/>
        </w:rPr>
      </w:pPr>
    </w:p>
    <w:p>
      <w:pPr>
        <w:ind w:right="280" w:firstLine="734"/>
        <w:spacing w:after="0" w:line="238" w:lineRule="auto"/>
        <w:rPr>
          <w:sz w:val="20"/>
          <w:szCs w:val="20"/>
          <w:color w:val="auto"/>
        </w:rPr>
      </w:pPr>
      <w:r>
        <w:rPr>
          <w:rFonts w:ascii="Arial" w:cs="Arial" w:eastAsia="Arial" w:hAnsi="Arial"/>
          <w:sz w:val="18"/>
          <w:szCs w:val="18"/>
          <w:color w:val="auto"/>
        </w:rPr>
        <w:t>If at any time prior to the first commercial sale of a product developed as a result of the CFF Agreement, the Company ceases to use commercially reasonable efforts to develop or commercialize any product under the CFF Agreement for a continuous period of 180 consecutive days and fails to present a reasonable plan to resume commercially reasonable efforts, the Company will grant to CFF an irrevocable, exclusive worldwide interruption license under all of the Company’s interest in the research plan technology to exploit such product. Any third-party license granted by the Company shall be subject to such interruption license.</w:t>
      </w:r>
    </w:p>
    <w:p>
      <w:pPr>
        <w:spacing w:after="0" w:line="202" w:lineRule="exact"/>
        <w:rPr>
          <w:sz w:val="20"/>
          <w:szCs w:val="20"/>
          <w:color w:val="auto"/>
        </w:rPr>
      </w:pPr>
    </w:p>
    <w:p>
      <w:pPr>
        <w:ind w:right="320" w:firstLine="734"/>
        <w:spacing w:after="0" w:line="246" w:lineRule="auto"/>
        <w:rPr>
          <w:sz w:val="20"/>
          <w:szCs w:val="20"/>
          <w:color w:val="auto"/>
        </w:rPr>
      </w:pPr>
      <w:r>
        <w:rPr>
          <w:rFonts w:ascii="Arial" w:cs="Arial" w:eastAsia="Arial" w:hAnsi="Arial"/>
          <w:sz w:val="18"/>
          <w:szCs w:val="18"/>
          <w:color w:val="auto"/>
        </w:rPr>
        <w:t>Under ASC 606, the Company identified one performance obligation within the CFF grant agreement for research activities. The Company’s contract with CFF does not include a significant financing component.</w:t>
      </w:r>
    </w:p>
    <w:p>
      <w:pPr>
        <w:spacing w:after="0" w:line="197"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Company concluded that the transaction price should not include the variable consideration related to future research milestones as they were considered to be constrained as it is probable that the inclusion of such variable consideration could result in a significant reversal of cumulative revenue in the future. The Company re-evaluates the transaction price and estimated period of performance at each reporting period. For the year ended December 31, 2020, an adjustment of $0.4 million was made to the transaction price to reflect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achievement of the third milestone related to in-vitro screenings under the CFF Agreement.</w:t>
      </w:r>
    </w:p>
    <w:p>
      <w:pPr>
        <w:spacing w:after="0" w:line="225" w:lineRule="exact"/>
        <w:rPr>
          <w:sz w:val="20"/>
          <w:szCs w:val="20"/>
          <w:color w:val="auto"/>
        </w:rPr>
      </w:pPr>
    </w:p>
    <w:p>
      <w:pPr>
        <w:ind w:right="120" w:firstLine="734"/>
        <w:spacing w:after="0" w:line="265" w:lineRule="auto"/>
        <w:rPr>
          <w:sz w:val="20"/>
          <w:szCs w:val="20"/>
          <w:color w:val="auto"/>
        </w:rPr>
      </w:pPr>
      <w:r>
        <w:rPr>
          <w:rFonts w:ascii="Arial" w:cs="Arial" w:eastAsia="Arial" w:hAnsi="Arial"/>
          <w:sz w:val="17"/>
          <w:szCs w:val="17"/>
          <w:color w:val="auto"/>
        </w:rPr>
        <w:t>During the years ended December 31, 2020 and 2019, the Company recognized revenue of less than $(0.1) million and $0.1 million, respectively. As of December 31, 2020 and 2019, deferred revenue relating to the CFF Agreement was $1.1 million and $ 0.7 million,</w:t>
      </w:r>
    </w:p>
    <w:p>
      <w:pPr>
        <w:spacing w:after="0" w:line="243" w:lineRule="auto"/>
        <w:rPr>
          <w:sz w:val="20"/>
          <w:szCs w:val="20"/>
          <w:color w:val="auto"/>
        </w:rPr>
      </w:pPr>
      <w:r>
        <w:rPr>
          <w:rFonts w:ascii="Arial" w:cs="Arial" w:eastAsia="Arial" w:hAnsi="Arial"/>
          <w:sz w:val="18"/>
          <w:szCs w:val="18"/>
          <w:color w:val="auto"/>
        </w:rPr>
        <w:t>respectively. Accounts receivable from CFF under the CFF Agreement as of both December 31, 2020 and 2019 was $0.4 million. As of December 31, 2020 and 2019, the aggregate amount of the transaction price allocated to the remaining performance obligation was $1.1 million and $0.7 million, respectively. Based on current timelines, the deferred revenue is expected to be recognized as revenue over the next two to three years as the Company performs research services through the completion of IND-enabling studies.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7" w:name="page188"/>
    <w:bookmarkEnd w:id="187"/>
    <w:p>
      <w:pPr>
        <w:ind w:right="200" w:firstLine="734"/>
        <w:spacing w:after="0" w:line="261" w:lineRule="auto"/>
        <w:rPr>
          <w:sz w:val="20"/>
          <w:szCs w:val="20"/>
          <w:color w:val="auto"/>
        </w:rPr>
      </w:pPr>
      <w:r>
        <w:rPr>
          <w:rFonts w:ascii="Arial" w:cs="Arial" w:eastAsia="Arial" w:hAnsi="Arial"/>
          <w:sz w:val="17"/>
          <w:szCs w:val="17"/>
          <w:color w:val="auto"/>
        </w:rPr>
        <w:t>The obligation to make payments to CFF upon a change of control meets the definition of an embedded derivative that is required to be bifurcated and separately accounted for as a derivative liability. The Company determined the estimated fair value of this derivative liability to be $0.1 million as of both December 31, 2020 and 2019. See Note 15 for further discussion of the embedded derivative.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w:t>
      </w:r>
    </w:p>
    <w:p>
      <w:pPr>
        <w:spacing w:after="0" w:line="126"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In December 2017, the Company entered into a collaboration and option agreement with MedImmune, Inc., the global biologics research and development arm of AstraZeneca (“AstraZeneca”) to discover and develop optimized AAV vectors to treat specific lung disease indications (the “AstraZeneca Agreement”). The AstraZeneca agreement included both a research funding component as well as a licensing component, wherein AstraZeneca was granted the option to license up to three resulting project vector variants for further development and commercialization.</w:t>
      </w:r>
    </w:p>
    <w:p>
      <w:pPr>
        <w:spacing w:after="0" w:line="202"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The initial research term was approximately twelve months with AstraZeneca’s option to extend the term for an additional six months. AstraZeneca requested the six-month extension in October 2018. AstraZeneca’s option to license the resulting project variants expires twelve months after the conclusion of the research phase. Once the Company’s research activities concluded, AstraZeneca was solely responsible for the continued development, manufacturing and eventual commercialization of the project variants as potential product candidates.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Pursuant to the AstraZeneca Agreement, the Company received an upfront payment of $1.5 million as consideration.</w:t>
      </w:r>
    </w:p>
    <w:p>
      <w:pPr>
        <w:spacing w:after="0" w:line="212"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The Company identified a single combined performance obligation within the AstraZeneca agreement for the research program license, research and development activities and participation in the joint project team and JSC. The Company concluded that these activities are not distinct and, therefore, should be combined into a single combined performance obligation. Furthermore, the Company concluded that at the inception of the agreement, AstraZeneca’s license option, did not represent a material right and should be allocated to the single performance obligation and recognized as revenue upon AstraZeneca’s exercise of the option.</w:t>
      </w:r>
    </w:p>
    <w:p>
      <w:pPr>
        <w:spacing w:after="0" w:line="202"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The transaction price related to the agreement consists of the $1.5 million non-refundable upfront fee. The Company concluded that the transaction price should not include the variable consideration related to developmental milestones as they were considered to be constrained as it is probable that the inclusion of such variable consideration could result in a significant reversal of cumulative revenue in the future. The Company excluded any consideration related to sales-based milestones, including royalties, which are recognized when the related sales occur. The Company re-evaluates the transaction price and estimated period of performance at each reporting period. The Company’s contract with AstraZeneca does not include a significant financing component.</w:t>
      </w:r>
    </w:p>
    <w:p>
      <w:pPr>
        <w:spacing w:after="0" w:line="205" w:lineRule="exact"/>
        <w:rPr>
          <w:sz w:val="20"/>
          <w:szCs w:val="20"/>
          <w:color w:val="auto"/>
        </w:rPr>
      </w:pPr>
    </w:p>
    <w:p>
      <w:pPr>
        <w:ind w:right="140" w:firstLine="734"/>
        <w:spacing w:after="0"/>
        <w:rPr>
          <w:sz w:val="20"/>
          <w:szCs w:val="20"/>
          <w:color w:val="auto"/>
        </w:rPr>
      </w:pPr>
      <w:r>
        <w:rPr>
          <w:rFonts w:ascii="Arial" w:cs="Arial" w:eastAsia="Arial" w:hAnsi="Arial"/>
          <w:sz w:val="18"/>
          <w:szCs w:val="18"/>
          <w:color w:val="auto"/>
        </w:rPr>
        <w:t>Under ASC 606, the Company used the input method to measure progress toward completion of the performance obligation and concluded that revenue will be recognized based on actual resources consumed, labor hours expended and costs incurred as a percentage of total budgeted costs.</w:t>
      </w:r>
    </w:p>
    <w:p>
      <w:pPr>
        <w:spacing w:after="0" w:line="203" w:lineRule="exact"/>
        <w:rPr>
          <w:sz w:val="20"/>
          <w:szCs w:val="20"/>
          <w:color w:val="auto"/>
        </w:rPr>
      </w:pPr>
    </w:p>
    <w:p>
      <w:pPr>
        <w:ind w:right="460" w:firstLine="734"/>
        <w:spacing w:after="0" w:line="274" w:lineRule="auto"/>
        <w:rPr>
          <w:sz w:val="20"/>
          <w:szCs w:val="20"/>
          <w:color w:val="auto"/>
        </w:rPr>
      </w:pPr>
      <w:r>
        <w:rPr>
          <w:rFonts w:ascii="Arial" w:cs="Arial" w:eastAsia="Arial" w:hAnsi="Arial"/>
          <w:sz w:val="17"/>
          <w:szCs w:val="17"/>
          <w:color w:val="auto"/>
        </w:rPr>
        <w:t>In June 2019, the research phase concluded and the Company delivered its final report to AstraZeneca. In June 2020, AstraZeneca’s option to obtain the license of up to three project vector variants under the AstraZeneca Agreement expired unexercised.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88" w:name="page189"/>
    <w:bookmarkEnd w:id="188"/>
    <w:p>
      <w:pPr>
        <w:ind w:right="60" w:firstLine="742"/>
        <w:spacing w:after="0"/>
        <w:rPr>
          <w:sz w:val="20"/>
          <w:szCs w:val="20"/>
          <w:color w:val="auto"/>
        </w:rPr>
      </w:pPr>
      <w:r>
        <w:rPr>
          <w:rFonts w:ascii="Arial" w:cs="Arial" w:eastAsia="Arial" w:hAnsi="Arial"/>
          <w:sz w:val="18"/>
          <w:szCs w:val="18"/>
          <w:color w:val="auto"/>
        </w:rPr>
        <w:t>During the years ended December 31, 2020 and 2019, the Company recognized revenue of $0 and $0.5 million, respectively. As of December 31, 2020 and 2019, deferred revenue relating to the AstraZeneca Agreement was $0. No amount was due from AstraZeneca under this agreement as of December 31, 2020 and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License Arrangements</w:t>
      </w:r>
    </w:p>
    <w:p>
      <w:pPr>
        <w:spacing w:after="0" w:line="126" w:lineRule="exact"/>
        <w:rPr>
          <w:sz w:val="20"/>
          <w:szCs w:val="20"/>
          <w:color w:val="auto"/>
        </w:rPr>
      </w:pPr>
    </w:p>
    <w:p>
      <w:pPr>
        <w:ind w:right="80" w:firstLine="734"/>
        <w:spacing w:after="0" w:line="236" w:lineRule="auto"/>
        <w:rPr>
          <w:sz w:val="20"/>
          <w:szCs w:val="20"/>
          <w:color w:val="auto"/>
        </w:rPr>
      </w:pPr>
      <w:r>
        <w:rPr>
          <w:rFonts w:ascii="Arial" w:cs="Arial" w:eastAsia="Arial" w:hAnsi="Arial"/>
          <w:sz w:val="18"/>
          <w:szCs w:val="18"/>
          <w:color w:val="auto"/>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 (i) non-refundable license fee of $5,000 upon execution, (ii) a non-refundable license fee of $5,000 each year thereafter, until sales of a licensed product are made and royalties are paid to the UC Regents, (iii) reimbursement of domestic and foreign patent filing, prosecution and maintenance fees, and (iv) either $50,000 or issuance of a 3% equity interest in the Company upon the closing of the first qualified financing at the option of the UC Regents. The Company’s first qualified financing occurred in 2015 and at the election of the UC Regents, the Company issued the UC Regents in January 2016 an amount of common stock equal to 6% of the equity interests in the Company pursuant to the applicable clause in each of the UC Agreements.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Pursuant to an agreement with the UC Regents executed in January 2019 the Company paid a non-refundable license fee of</w:t>
      </w:r>
    </w:p>
    <w:p>
      <w:pPr>
        <w:spacing w:after="0" w:line="234" w:lineRule="auto"/>
        <w:rPr>
          <w:sz w:val="20"/>
          <w:szCs w:val="20"/>
          <w:color w:val="auto"/>
        </w:rPr>
      </w:pPr>
      <w:r>
        <w:rPr>
          <w:rFonts w:ascii="Arial" w:cs="Arial" w:eastAsia="Arial" w:hAnsi="Arial"/>
          <w:sz w:val="18"/>
          <w:szCs w:val="18"/>
          <w:color w:val="auto"/>
        </w:rPr>
        <w:t>$50,000 to the UC Regents upon execution of the agreement. The Company is obligated to pay a non-refundable license fee of $5,000 on</w:t>
      </w:r>
    </w:p>
    <w:p>
      <w:pPr>
        <w:spacing w:after="0" w:line="235" w:lineRule="auto"/>
        <w:rPr>
          <w:sz w:val="20"/>
          <w:szCs w:val="20"/>
          <w:color w:val="auto"/>
        </w:rPr>
      </w:pPr>
      <w:r>
        <w:rPr>
          <w:rFonts w:ascii="Arial" w:cs="Arial" w:eastAsia="Arial" w:hAnsi="Arial"/>
          <w:sz w:val="18"/>
          <w:szCs w:val="18"/>
          <w:color w:val="auto"/>
        </w:rPr>
        <w:t>the one-year anniversary of the contract effective date and each year thereafter, until sales of a licensed product are made and royalties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paid to the UC Regents.</w:t>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 addition, the Company is obligated to make certain contingent payments including (i) development milestones up to $3.1 million,</w:t>
      </w:r>
    </w:p>
    <w:p>
      <w:pPr>
        <w:ind w:right="40" w:firstLine="8"/>
        <w:spacing w:after="0" w:line="238" w:lineRule="auto"/>
        <w:tabs>
          <w:tab w:leader="none" w:pos="2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low single digit royalties on the net sales of its developed products that consists of a minimum annual royalty of up to $0.1 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p>
    <w:p>
      <w:pPr>
        <w:spacing w:after="0" w:line="205" w:lineRule="exact"/>
        <w:rPr>
          <w:sz w:val="20"/>
          <w:szCs w:val="20"/>
          <w:color w:val="auto"/>
        </w:rPr>
      </w:pPr>
    </w:p>
    <w:p>
      <w:pPr>
        <w:ind w:right="960" w:firstLine="734"/>
        <w:spacing w:after="0" w:line="246" w:lineRule="auto"/>
        <w:rPr>
          <w:sz w:val="20"/>
          <w:szCs w:val="20"/>
          <w:color w:val="auto"/>
        </w:rPr>
      </w:pPr>
      <w:r>
        <w:rPr>
          <w:rFonts w:ascii="Arial" w:cs="Arial" w:eastAsia="Arial" w:hAnsi="Arial"/>
          <w:sz w:val="18"/>
          <w:szCs w:val="18"/>
          <w:color w:val="auto"/>
        </w:rPr>
        <w:t>During the years ended December 31, 2020 and 2019, the Company incurred expenses of $0.2 million and $0.3 million, respectively, under the provisions of the UC Agreements.</w:t>
      </w:r>
    </w:p>
    <w:p>
      <w:pPr>
        <w:spacing w:after="0" w:line="283" w:lineRule="exact"/>
        <w:rPr>
          <w:sz w:val="20"/>
          <w:szCs w:val="20"/>
          <w:color w:val="auto"/>
        </w:rPr>
      </w:pPr>
    </w:p>
    <w:p>
      <w:pPr>
        <w:ind w:right="8160" w:firstLine="8"/>
        <w:spacing w:after="0" w:line="394" w:lineRule="auto"/>
        <w:tabs>
          <w:tab w:leader="none" w:pos="200" w:val="left"/>
        </w:tabs>
        <w:numPr>
          <w:ilvl w:val="0"/>
          <w:numId w:val="9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Commitments and Contingencies </w:t>
      </w:r>
      <w:r>
        <w:rPr>
          <w:rFonts w:ascii="Arial" w:cs="Arial" w:eastAsia="Arial" w:hAnsi="Arial"/>
          <w:sz w:val="17"/>
          <w:szCs w:val="17"/>
          <w:b w:val="1"/>
          <w:bCs w:val="1"/>
          <w:color w:val="auto"/>
        </w:rPr>
        <w:t>Operating Lease Commitments</w:t>
      </w:r>
    </w:p>
    <w:p>
      <w:pPr>
        <w:spacing w:after="0" w:line="1" w:lineRule="exact"/>
        <w:rPr>
          <w:sz w:val="20"/>
          <w:szCs w:val="20"/>
          <w:color w:val="auto"/>
        </w:rPr>
      </w:pPr>
    </w:p>
    <w:p>
      <w:pPr>
        <w:jc w:val="both"/>
        <w:ind w:right="160" w:firstLine="734"/>
        <w:spacing w:after="0" w:line="234" w:lineRule="auto"/>
        <w:rPr>
          <w:sz w:val="20"/>
          <w:szCs w:val="20"/>
          <w:color w:val="auto"/>
        </w:rPr>
      </w:pPr>
      <w:r>
        <w:rPr>
          <w:rFonts w:ascii="Arial" w:cs="Arial" w:eastAsia="Arial" w:hAnsi="Arial"/>
          <w:sz w:val="18"/>
          <w:szCs w:val="18"/>
          <w:color w:val="auto"/>
        </w:rPr>
        <w:t>In May 2015, the Company executed a lease agreement for office and laboratory space in Emeryville, California. In January 2016, the Company executed the first amendment to the lease agreement for additional rentable office and laboratory space which extended the lease to March 31, 2023. In October 2018, the Company executed a second amendment to extend the lease to September 2026.</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the second amendment provided a tenant improvement allowance of $0.2 million, which was paid to the Company in November 2018. The Company amortizes the tenant improvement allowance on a straight-line basis over the remaining term of the lease as a reduction of rent expense.</w:t>
      </w:r>
    </w:p>
    <w:p>
      <w:pPr>
        <w:spacing w:after="0" w:line="203"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In October 2018, the Company executed a second lease agreement for additional office and laboratory space in Emeryville, California. The new lease has an initial term of 87 months beginning on the rent commencement date with the option to renew the lease for one additional term of five years. The Company did not have to pay rent until October 2019. This lease agreement also provided for a tenant improvement allowance of $0.4 million, which was paid to the Company in December 2019. The Company amortizes the tenant improvement allowance on a straight-line basis over the remaining term of the lease as a reduction of rent expense.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89" w:name="page190"/>
    <w:bookmarkEnd w:id="189"/>
    <w:p>
      <w:pPr>
        <w:ind w:right="60" w:firstLine="734"/>
        <w:spacing w:after="0" w:line="238" w:lineRule="auto"/>
        <w:rPr>
          <w:sz w:val="20"/>
          <w:szCs w:val="20"/>
          <w:color w:val="auto"/>
        </w:rPr>
      </w:pPr>
      <w:r>
        <w:rPr>
          <w:rFonts w:ascii="Arial" w:cs="Arial" w:eastAsia="Arial" w:hAnsi="Arial"/>
          <w:sz w:val="18"/>
          <w:szCs w:val="18"/>
          <w:color w:val="auto"/>
        </w:rPr>
        <w:t>In May 2019, the Company amended the second lease agreement executed in October 2018 to add additional office and laboratory space. The amendment extended the term of the lease to December 31, 2029. The Company did not have to pay rent until December 2019. The annual rent for the additional space is $1.0 million per annum and escalates at 3% annually. This lease agreement also provides for a tenant improvement allowance of at least $1.6 million.</w:t>
      </w:r>
    </w:p>
    <w:p>
      <w:pPr>
        <w:spacing w:after="0" w:line="205" w:lineRule="exact"/>
        <w:rPr>
          <w:sz w:val="20"/>
          <w:szCs w:val="20"/>
          <w:color w:val="auto"/>
        </w:rPr>
      </w:pPr>
    </w:p>
    <w:p>
      <w:pPr>
        <w:ind w:right="120" w:firstLine="734"/>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term with the difference between the rent payments and the straight-line rent expense recorded as deferred rent. Rent expense for the years ended December 31, 2020 and 2019 was $3.0 million and $1.3 million, respectively. Deferred rent as of December 31, 2020 and 2019 was $1.6 million and $1.2 million, respectively. In conjunction with the lease agreements and amendments, the Company paid total security deposits of $0.6 million, which is included in other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assets within the balance sheets as of both December 31, 2020 and 2019.</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the Company’s future minimum commitments under lease contracts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As of December 31, 2020</w:t>
            </w: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2,956</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3,035</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3,115</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3,205</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3,258</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2026 and beyond</w:t>
            </w:r>
          </w:p>
        </w:tc>
        <w:tc>
          <w:tcPr>
            <w:tcW w:w="7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11,820</w:t>
            </w:r>
          </w:p>
        </w:tc>
      </w:tr>
      <w:tr>
        <w:trPr>
          <w:trHeight w:val="210"/>
        </w:trPr>
        <w:tc>
          <w:tcPr>
            <w:tcW w:w="9240" w:type="dxa"/>
            <w:vAlign w:val="bottom"/>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27,389</w:t>
            </w: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such as with vendors and other parties.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firstLine="734"/>
        <w:spacing w:after="0" w:line="234"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3" w:lineRule="exact"/>
        <w:rPr>
          <w:sz w:val="20"/>
          <w:szCs w:val="20"/>
          <w:color w:val="auto"/>
        </w:rPr>
      </w:pPr>
    </w:p>
    <w:p>
      <w:pPr>
        <w:ind w:right="60" w:firstLine="734"/>
        <w:spacing w:after="0" w:line="246" w:lineRule="auto"/>
        <w:rPr>
          <w:sz w:val="20"/>
          <w:szCs w:val="20"/>
          <w:color w:val="auto"/>
        </w:rPr>
      </w:pPr>
      <w:r>
        <w:rPr>
          <w:rFonts w:ascii="Arial" w:cs="Arial" w:eastAsia="Arial" w:hAnsi="Arial"/>
          <w:sz w:val="18"/>
          <w:szCs w:val="18"/>
          <w:color w:val="auto"/>
        </w:rPr>
        <w:t>Included in Accrued and Other Current Liabilities within the balance sheet at December 31, 2020 is a $1.4 million accrual relating to the estimated settlement of a claim from a former employee.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126" w:lineRule="exact"/>
        <w:rPr>
          <w:sz w:val="20"/>
          <w:szCs w:val="20"/>
          <w:color w:val="auto"/>
        </w:rPr>
      </w:pPr>
    </w:p>
    <w:p>
      <w:pPr>
        <w:ind w:right="180" w:firstLine="734"/>
        <w:spacing w:after="0"/>
        <w:rPr>
          <w:sz w:val="20"/>
          <w:szCs w:val="20"/>
          <w:color w:val="auto"/>
        </w:rPr>
      </w:pPr>
      <w:r>
        <w:rPr>
          <w:rFonts w:ascii="Arial" w:cs="Arial" w:eastAsia="Arial" w:hAnsi="Arial"/>
          <w:sz w:val="18"/>
          <w:szCs w:val="18"/>
          <w:color w:val="auto"/>
        </w:rPr>
        <w:t>The Company did not record any income tax expense during the years ended December 31, 2020 and 2019.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effective tax rate of the Company’s income tax expense (benefit) differs from the federal statutory rate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19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180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480" w:type="dxa"/>
            <w:vAlign w:val="bottom"/>
            <w:tcBorders>
              <w:bottom w:val="single" w:sz="8" w:color="CFF0FC"/>
            </w:tcBorders>
          </w:tcPr>
          <w:p>
            <w:pPr>
              <w:spacing w:after="0"/>
              <w:rPr>
                <w:sz w:val="19"/>
                <w:szCs w:val="19"/>
                <w:color w:val="auto"/>
              </w:rPr>
            </w:pPr>
          </w:p>
        </w:tc>
        <w:tc>
          <w:tcPr>
            <w:tcW w:w="17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0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Research tax credit</w:t>
            </w: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bottom w:val="single" w:sz="8" w:color="CFF0FC"/>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09"/>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taxes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21,132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10,638</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336</w:t>
            </w: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3,111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2,698</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tax credits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6,018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4,457</w:t>
            </w: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554</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basis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1,591</w:t>
            </w:r>
          </w:p>
        </w:tc>
      </w:tr>
      <w:tr>
        <w:trPr>
          <w:trHeight w:val="21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32,811</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20,274</w:t>
            </w: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(32,811)</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(20,274)</w:t>
            </w: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0"/>
        </w:trPr>
        <w:tc>
          <w:tcPr>
            <w:tcW w:w="7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firstLine="734"/>
        <w:spacing w:after="0"/>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future tax benefits is currently not likely to be realized and, accordingly, has provided a full valuation allowance. The valuation allowance increased by $12.5 million during each of the years ended December 31, 2020 and 2019. The increase in the valuation allowance for each of the years ended December 31, 2020 and 2019 was primarily driven by losses and tax credits generated in the U.S.</w:t>
      </w:r>
    </w:p>
    <w:p>
      <w:pPr>
        <w:spacing w:after="0" w:line="203" w:lineRule="exact"/>
        <w:rPr>
          <w:sz w:val="20"/>
          <w:szCs w:val="20"/>
          <w:color w:val="auto"/>
        </w:rPr>
      </w:pPr>
    </w:p>
    <w:p>
      <w:pPr>
        <w:jc w:val="both"/>
        <w:ind w:right="60" w:firstLine="734"/>
        <w:spacing w:after="0"/>
        <w:rPr>
          <w:sz w:val="20"/>
          <w:szCs w:val="20"/>
          <w:color w:val="auto"/>
        </w:rPr>
      </w:pPr>
      <w:r>
        <w:rPr>
          <w:rFonts w:ascii="Arial" w:cs="Arial" w:eastAsia="Arial" w:hAnsi="Arial"/>
          <w:sz w:val="18"/>
          <w:szCs w:val="18"/>
          <w:color w:val="auto"/>
        </w:rPr>
        <w:t>The Company had net operating loss (“NOL”) carryforwards of $100.6 million and $50.7 million as of December 31, 2020 and 2019, respectively, available to reduce future taxable income, if any, for federal income tax purposes. $9.5 million of the federal NOL carryforwards expire in 2037 and the remaining $91.1 million carryforward indefinitely.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1" w:name="page192"/>
    <w:bookmarkEnd w:id="191"/>
    <w:p>
      <w:pPr>
        <w:ind w:firstLine="742"/>
        <w:spacing w:after="0" w:line="238" w:lineRule="auto"/>
        <w:rPr>
          <w:sz w:val="20"/>
          <w:szCs w:val="20"/>
          <w:color w:val="auto"/>
        </w:rPr>
      </w:pPr>
      <w:r>
        <w:rPr>
          <w:rFonts w:ascii="Arial" w:cs="Arial" w:eastAsia="Arial" w:hAnsi="Arial"/>
          <w:sz w:val="18"/>
          <w:szCs w:val="18"/>
          <w:color w:val="auto"/>
        </w:rPr>
        <w:t>As of December 31, 2020 and 2019, the Company had federal research and development credit carryforwards of $5.7 million and $3.3 million, respectively, and state research and development credit carryforwards of $4.3 million and $3.3 million, respectively, available to reduce future taxable income, if any, for federal and California state income tax purposes, respectively. The federal credit carryforwards begin expiring in 2035 and the state credits carryforward indefinitely.</w:t>
      </w:r>
    </w:p>
    <w:p>
      <w:pPr>
        <w:spacing w:after="0" w:line="205" w:lineRule="exact"/>
        <w:rPr>
          <w:sz w:val="20"/>
          <w:szCs w:val="20"/>
          <w:color w:val="auto"/>
        </w:rPr>
      </w:pPr>
    </w:p>
    <w:p>
      <w:pPr>
        <w:ind w:right="140" w:firstLine="734"/>
        <w:spacing w:after="0" w:line="246" w:lineRule="auto"/>
        <w:rPr>
          <w:sz w:val="20"/>
          <w:szCs w:val="20"/>
          <w:color w:val="auto"/>
        </w:rPr>
      </w:pPr>
      <w:r>
        <w:rPr>
          <w:rFonts w:ascii="Arial" w:cs="Arial" w:eastAsia="Arial" w:hAnsi="Arial"/>
          <w:sz w:val="18"/>
          <w:szCs w:val="18"/>
          <w:color w:val="auto"/>
        </w:rPr>
        <w:t>Utilization of the NOL carryforwards and research credit carryforwards may be subject to an annual limitation due to the ownership percentage change limitations provided by the Internal Revenue Code and similar state provisions. Annual limitations may result in the</w:t>
      </w:r>
    </w:p>
    <w:p>
      <w:pPr>
        <w:spacing w:after="0" w:line="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expiration of the NOL and tax credit carryforwards before they are utilized. The Company has experienced ownership changes in the past as a result of its Series B redeemable convertible preferred stock financing. As a result of the ownership changes, the Company has determined that $0.9 million of its NOLs will expire unutilized for federal income tax purposes and such amounts are excluded from its NOL carryforwards. The Company does not expect any ownership changes during the year ended December 31, 2020. Subsequent ownership changes may affect the limitation in future years.</w:t>
      </w:r>
    </w:p>
    <w:p>
      <w:pPr>
        <w:spacing w:after="0" w:line="20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reconciliation of the beginning and ending unrecognized tax benefits amounts is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center"/>
              <w:ind w:right="250"/>
              <w:spacing w:after="0"/>
              <w:rPr>
                <w:sz w:val="20"/>
                <w:szCs w:val="20"/>
                <w:color w:val="auto"/>
              </w:rPr>
            </w:pPr>
            <w:r>
              <w:rPr>
                <w:rFonts w:ascii="Arial" w:cs="Arial" w:eastAsia="Arial" w:hAnsi="Arial"/>
                <w:sz w:val="18"/>
                <w:szCs w:val="18"/>
                <w:b w:val="1"/>
                <w:bCs w:val="1"/>
                <w:color w:val="auto"/>
              </w:rPr>
              <w:t>Unrecognized</w:t>
            </w:r>
          </w:p>
        </w:tc>
      </w:tr>
      <w:tr>
        <w:trPr>
          <w:trHeight w:val="203"/>
        </w:trPr>
        <w:tc>
          <w:tcPr>
            <w:tcW w:w="9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center"/>
              <w:ind w:right="250"/>
              <w:spacing w:after="0" w:line="202" w:lineRule="exact"/>
              <w:rPr>
                <w:sz w:val="20"/>
                <w:szCs w:val="20"/>
                <w:color w:val="auto"/>
              </w:rPr>
            </w:pPr>
            <w:r>
              <w:rPr>
                <w:rFonts w:ascii="Arial" w:cs="Arial" w:eastAsia="Arial" w:hAnsi="Arial"/>
                <w:sz w:val="18"/>
                <w:szCs w:val="18"/>
                <w:b w:val="1"/>
                <w:bCs w:val="1"/>
                <w:color w:val="auto"/>
                <w:w w:val="96"/>
              </w:rPr>
              <w:t>Income Tax</w:t>
            </w:r>
          </w:p>
        </w:tc>
      </w:tr>
      <w:tr>
        <w:trPr>
          <w:trHeight w:val="225"/>
        </w:trPr>
        <w:tc>
          <w:tcPr>
            <w:tcW w:w="9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Benefits</w:t>
            </w: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659</w:t>
            </w:r>
          </w:p>
        </w:tc>
      </w:tr>
      <w:tr>
        <w:trPr>
          <w:trHeight w:val="216"/>
        </w:trPr>
        <w:tc>
          <w:tcPr>
            <w:tcW w:w="9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907</w:t>
            </w:r>
          </w:p>
        </w:tc>
      </w:tr>
      <w:tr>
        <w:trPr>
          <w:trHeight w:val="20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1,566</w:t>
            </w:r>
          </w:p>
        </w:tc>
      </w:tr>
      <w:tr>
        <w:trPr>
          <w:trHeight w:val="216"/>
        </w:trPr>
        <w:tc>
          <w:tcPr>
            <w:tcW w:w="9240" w:type="dxa"/>
            <w:vAlign w:val="bottom"/>
          </w:tcPr>
          <w:p>
            <w:pPr>
              <w:ind w:left="26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1,729</w:t>
            </w:r>
          </w:p>
        </w:tc>
      </w:tr>
      <w:tr>
        <w:trPr>
          <w:trHeight w:val="216"/>
        </w:trPr>
        <w:tc>
          <w:tcPr>
            <w:tcW w:w="9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for tax positions of prior years</w:t>
            </w:r>
          </w:p>
        </w:tc>
        <w:tc>
          <w:tcPr>
            <w:tcW w:w="2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Balance as of December 31, 2020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3,367</w:t>
            </w: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734"/>
        <w:spacing w:after="0" w:line="238"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During each of the years ended December 31, 2020 and 2019, the Company did not recognize accrued interest and penalties related to unrecognized tax benefits. The Company does not anticipate that the amount of existing unrecognized tax benefits will materially increase or decrease during the next 12 months.</w:t>
      </w:r>
    </w:p>
    <w:p>
      <w:pPr>
        <w:spacing w:after="0" w:line="205" w:lineRule="exact"/>
        <w:rPr>
          <w:sz w:val="20"/>
          <w:szCs w:val="20"/>
          <w:color w:val="auto"/>
        </w:rPr>
      </w:pPr>
    </w:p>
    <w:p>
      <w:pPr>
        <w:ind w:right="140" w:firstLine="734"/>
        <w:spacing w:after="0" w:line="238" w:lineRule="auto"/>
        <w:rPr>
          <w:sz w:val="20"/>
          <w:szCs w:val="20"/>
          <w:color w:val="auto"/>
        </w:rPr>
      </w:pPr>
      <w:r>
        <w:rPr>
          <w:rFonts w:ascii="Arial" w:cs="Arial" w:eastAsia="Arial" w:hAnsi="Arial"/>
          <w:sz w:val="18"/>
          <w:szCs w:val="18"/>
          <w:color w:val="auto"/>
        </w:rPr>
        <w:t>The Company files income tax returns in the U.S. federal and California tax jurisdictions. In general, the Company is no longer subject to tax examination by the Internal Revenue Service or state taxing authorities for years before 2016. Although the federal and state statutes are closed for purposes of assessing additional income tax in those prior years, the taxing authorities may still make adjustments to the NOL and credit carryforwards used in open years. Therefore, the tax statutes should be considered open as it relates to the NOL and credit carryforwards used in open years. The Company has no ongoing income tax examinations by tax authorities at this time.</w:t>
      </w:r>
    </w:p>
    <w:p>
      <w:pPr>
        <w:spacing w:after="0" w:line="202" w:lineRule="exact"/>
        <w:rPr>
          <w:sz w:val="20"/>
          <w:szCs w:val="20"/>
          <w:color w:val="auto"/>
        </w:rPr>
      </w:pPr>
    </w:p>
    <w:p>
      <w:pPr>
        <w:ind w:right="20" w:firstLine="734"/>
        <w:spacing w:after="0" w:line="237" w:lineRule="auto"/>
        <w:rPr>
          <w:sz w:val="20"/>
          <w:szCs w:val="20"/>
          <w:color w:val="auto"/>
        </w:rPr>
      </w:pPr>
      <w:r>
        <w:rPr>
          <w:rFonts w:ascii="Arial" w:cs="Arial" w:eastAsia="Arial" w:hAnsi="Arial"/>
          <w:sz w:val="18"/>
          <w:szCs w:val="18"/>
          <w:color w:val="auto"/>
        </w:rPr>
        <w:t>In March 2020, the Coronavirus Aid, Relief, and Economic Security Act (the “CARES Act”) was signed into law. The CARES Act changed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eliminated the limitation on the deduction of NOLs to 80% of current year taxable income for taxable years beginning before January 1, 2021 and increased the amount of interest expense that may be deducted to 50% of adjusted taxable income for taxable years beginning in 2019 or 2020. The Company evaluated the impact of the CARES act on its tax provision and concluded that there was not a material impact.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2" w:name="page193"/>
    <w:bookmarkEnd w:id="192"/>
    <w:p>
      <w:pPr>
        <w:ind w:right="80" w:firstLine="742"/>
        <w:spacing w:after="0" w:line="237" w:lineRule="auto"/>
        <w:rPr>
          <w:sz w:val="20"/>
          <w:szCs w:val="20"/>
          <w:color w:val="auto"/>
        </w:rPr>
      </w:pPr>
      <w:r>
        <w:rPr>
          <w:rFonts w:ascii="Arial" w:cs="Arial" w:eastAsia="Arial" w:hAnsi="Arial"/>
          <w:sz w:val="18"/>
          <w:szCs w:val="18"/>
          <w:color w:val="auto"/>
        </w:rPr>
        <w:t>On December 21, 2020, the U.S. president signed into law the Consolidated Appropriations Act, 2021 which includes further COVID-19 economic relief and extension of certain expiring tax provisions. The relief package includes a tax provision clarifying that businesses with forgiven PPP loans can deduct regular business expenses that are paid for with the loan proceeds. Additional pandemic relief tax measures include an expansion of the employee retention credit, enhanced charitable contribution deductions, and a temporary full deduction for business expenses for food and beverages provided by a restaurant. The Company evaluated the impact of the Consolidated Appropriations Act, 2021 on its tax provision and concluded that there was not a material impact.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Redeemable Convertible Preferred Stock</w:t>
      </w:r>
    </w:p>
    <w:p>
      <w:pPr>
        <w:spacing w:after="0" w:line="126" w:lineRule="exact"/>
        <w:rPr>
          <w:sz w:val="20"/>
          <w:szCs w:val="20"/>
          <w:color w:val="auto"/>
        </w:rPr>
      </w:pPr>
    </w:p>
    <w:p>
      <w:pPr>
        <w:ind w:right="220" w:firstLine="734"/>
        <w:spacing w:after="0" w:line="246" w:lineRule="auto"/>
        <w:rPr>
          <w:sz w:val="20"/>
          <w:szCs w:val="20"/>
          <w:color w:val="auto"/>
        </w:rPr>
      </w:pPr>
      <w:r>
        <w:rPr>
          <w:rFonts w:ascii="Arial" w:cs="Arial" w:eastAsia="Arial" w:hAnsi="Arial"/>
          <w:sz w:val="18"/>
          <w:szCs w:val="18"/>
          <w:color w:val="auto"/>
        </w:rPr>
        <w:t>As of December 31, 2020 and 2019, the Company’s certificate of incorporation authorized the Company to issue 0 and 7,375,638 shares of redeemable convertible preferred stock, respectively at the par value of $0.0001 per share.</w:t>
      </w:r>
    </w:p>
    <w:p>
      <w:pPr>
        <w:spacing w:after="0" w:line="197" w:lineRule="exact"/>
        <w:rPr>
          <w:sz w:val="20"/>
          <w:szCs w:val="20"/>
          <w:color w:val="auto"/>
        </w:rPr>
      </w:pPr>
    </w:p>
    <w:p>
      <w:pPr>
        <w:ind w:right="260" w:firstLine="734"/>
        <w:spacing w:after="0" w:line="246" w:lineRule="auto"/>
        <w:rPr>
          <w:sz w:val="20"/>
          <w:szCs w:val="20"/>
          <w:color w:val="auto"/>
        </w:rPr>
      </w:pPr>
      <w:r>
        <w:rPr>
          <w:rFonts w:ascii="Arial" w:cs="Arial" w:eastAsia="Arial" w:hAnsi="Arial"/>
          <w:sz w:val="18"/>
          <w:szCs w:val="18"/>
          <w:color w:val="auto"/>
        </w:rPr>
        <w:t>As of December 31, 2019, redeemable convertible preferred stock consisted of the following (in thousands, except per share and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Original</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Shares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Proceeds</w:t>
            </w:r>
          </w:p>
        </w:tc>
      </w:tr>
      <w:tr>
        <w:trPr>
          <w:trHeight w:val="203"/>
        </w:trPr>
        <w:tc>
          <w:tcPr>
            <w:tcW w:w="4940" w:type="dxa"/>
            <w:vAlign w:val="bottom"/>
          </w:tcPr>
          <w:p>
            <w:pPr>
              <w:spacing w:after="0"/>
              <w:rPr>
                <w:sz w:val="17"/>
                <w:szCs w:val="17"/>
                <w:color w:val="auto"/>
              </w:rPr>
            </w:pPr>
          </w:p>
        </w:tc>
        <w:tc>
          <w:tcPr>
            <w:tcW w:w="11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8"/>
              </w:rPr>
              <w:t>Issuance</w:t>
            </w:r>
          </w:p>
        </w:tc>
        <w:tc>
          <w:tcPr>
            <w:tcW w:w="12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Issued and</w:t>
            </w:r>
          </w:p>
        </w:tc>
        <w:tc>
          <w:tcPr>
            <w:tcW w:w="12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Liquidation</w:t>
            </w:r>
          </w:p>
        </w:tc>
        <w:tc>
          <w:tcPr>
            <w:tcW w:w="160" w:type="dxa"/>
            <w:vAlign w:val="bottom"/>
          </w:tcPr>
          <w:p>
            <w:pPr>
              <w:spacing w:after="0"/>
              <w:rPr>
                <w:sz w:val="17"/>
                <w:szCs w:val="17"/>
                <w:color w:val="auto"/>
              </w:rPr>
            </w:pPr>
          </w:p>
        </w:tc>
        <w:tc>
          <w:tcPr>
            <w:tcW w:w="118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Net of</w:t>
            </w:r>
          </w:p>
        </w:tc>
      </w:tr>
      <w:tr>
        <w:trPr>
          <w:trHeight w:val="225"/>
        </w:trPr>
        <w:tc>
          <w:tcPr>
            <w:tcW w:w="49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Authorized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Price</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Outstanding</w:t>
            </w: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Issuance Cost</w:t>
            </w:r>
          </w:p>
        </w:tc>
      </w:tr>
      <w:tr>
        <w:trPr>
          <w:trHeight w:val="209"/>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909,312</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7.70</w:t>
            </w:r>
          </w:p>
        </w:tc>
        <w:tc>
          <w:tcPr>
            <w:tcW w:w="12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909,312</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7,001</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6,960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Series A-1</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1,311,687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1,311,687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11,548</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Series B</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5,154,639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5,154,632</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84,472</w:t>
            </w: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7,375,638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7,375,631</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108,596</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102,980</w:t>
            </w:r>
          </w:p>
        </w:tc>
      </w:tr>
      <w:tr>
        <w:trPr>
          <w:trHeight w:val="20"/>
        </w:trPr>
        <w:tc>
          <w:tcPr>
            <w:tcW w:w="4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734"/>
        <w:spacing w:after="0" w:line="241" w:lineRule="auto"/>
        <w:rPr>
          <w:sz w:val="20"/>
          <w:szCs w:val="20"/>
          <w:color w:val="auto"/>
        </w:rPr>
      </w:pPr>
      <w:r>
        <w:rPr>
          <w:rFonts w:ascii="Arial" w:cs="Arial" w:eastAsia="Arial" w:hAnsi="Arial"/>
          <w:sz w:val="18"/>
          <w:szCs w:val="18"/>
          <w:color w:val="auto"/>
        </w:rPr>
        <w:t>In April and June of 2020, the Company issued a total of 4,200,353 shares of Series C redeemable convertible preferred stock at $18.00 per share for net proceeds of $72.5 million. Upon the closing of the Company’s IPO on December 15, 2020, all outstanding redeemable convertible preferred stock automatically converted into shares of common stock and the related carrying value was reclassified to common stock and additional paid in capital. There were no shares of redeemable convertible preferred stock outstanding as of December 31, 2020.</w:t>
      </w:r>
    </w:p>
    <w:p>
      <w:pPr>
        <w:spacing w:after="0" w:line="203" w:lineRule="exact"/>
        <w:rPr>
          <w:sz w:val="20"/>
          <w:szCs w:val="20"/>
          <w:color w:val="auto"/>
        </w:rPr>
      </w:pPr>
    </w:p>
    <w:p>
      <w:pPr>
        <w:ind w:right="60" w:firstLine="734"/>
        <w:spacing w:after="0" w:line="246" w:lineRule="auto"/>
        <w:rPr>
          <w:sz w:val="20"/>
          <w:szCs w:val="20"/>
          <w:color w:val="auto"/>
        </w:rPr>
      </w:pPr>
      <w:r>
        <w:rPr>
          <w:rFonts w:ascii="Arial" w:cs="Arial" w:eastAsia="Arial" w:hAnsi="Arial"/>
          <w:sz w:val="18"/>
          <w:szCs w:val="18"/>
          <w:color w:val="auto"/>
        </w:rPr>
        <w:t>Prior to the closing of the Company’s IPO the holders of redeemable convertible preferred stock had various rights and preferences including the following:</w:t>
      </w:r>
    </w:p>
    <w:p>
      <w:pPr>
        <w:spacing w:after="0" w:line="179"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In the event of a liquidation event, the holders of the shares of Series C and Series B redeemable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preferred stock were entitled to receive any distribution of any of the assets of the Company in preference to the holders of the Series A-1 redeemable convertible preferred stock, Series A redeemable convertible preferred stock or common stock, an amount per share equal to the greater of (i) the sum of the original Series C issue price plus all declared but unpaid dividends thereon or the original Series B issue price plus all declared but unpaid dividends and (ii) such amount per share payable had all shares of Series C and Series B redeemable convertible preferred stock been converted into common stock. If upon the occurrence of a liquidation event, the available assets were insufficient to pay the holders of Series C and Series B redeemable convertible preferred stock the full amount to which they were entitled, then the available assets would be distributed to the holders of the shares of Series C and Series B redeemable convertible preferred stock, in proportion to the full preferential amount each holder was otherwise entitled to receive. After full payment to holders of the Series C and Series B redeemable convertible preferred stock, payment would be made to the holders of Series A-1 redeemable convertible preferred stock, in preference to the holders of the Series A redeemable convertible preferred stock or common stock, in an amount equal to the greater of (i) the original Series A-1 issue price plus all declared but unpaid dividends and (ii) such amount per share payable had all shares of Series A-1 redeemable convertible preferred stock been converted into common stock. After full payment to holders of the Series A-1 redeemable convertible preferred stock, payment would be made to the holders of Series A redeemable convertible preferred stock, in preference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3" w:name="page194"/>
    <w:bookmarkEnd w:id="193"/>
    <w:p>
      <w:pPr>
        <w:ind w:right="100"/>
        <w:spacing w:after="0" w:line="237" w:lineRule="auto"/>
        <w:rPr>
          <w:sz w:val="20"/>
          <w:szCs w:val="20"/>
          <w:color w:val="auto"/>
        </w:rPr>
      </w:pPr>
      <w:r>
        <w:rPr>
          <w:rFonts w:ascii="Arial" w:cs="Arial" w:eastAsia="Arial" w:hAnsi="Arial"/>
          <w:sz w:val="18"/>
          <w:szCs w:val="18"/>
          <w:color w:val="auto"/>
        </w:rPr>
        <w:t>to the holders of the common stock, in an amount equal to the greater of (i) the original Series A issue price plus all declared but unpaid dividends and (ii) such amount per share payable had all shares of Series A redeemable convertible preferred stock been converted into common stock. If upon the occurrence of a liquidation event, the available assets were insufficient to pay the holders of Series A-1 or Series A redeemable convertible preferred stock the full amount to which they are entitled, then the available assets would be distributed to the holders of such redeemable convertible preferred stock on a pro rata, on an equal priority, pari passu basis, in proportion to the full preferential amount such holder was otherwise entitled to receive.</w:t>
      </w:r>
    </w:p>
    <w:p>
      <w:pPr>
        <w:spacing w:after="0" w:line="205"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Notwithstanding the above, for purposes of determining the amount each holder of shares of redeemable convertible preferred stock would be entitled to receive with respect to a Liquidation Event, each such holder of shares of a series of redeemable convertible preferred stock would be deemed to have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redeemable convertible preferred stock into shares of common stock. If any such holder was deemed to have converted shares of redeemable convertible preferred stock into common stock pursuant to this paragraph, then such holder would not be entitled to receive any distribution that would otherwise be made to holders of redeemable convertible preferred stock that had not converted into shares of common stock.</w:t>
      </w:r>
    </w:p>
    <w:p>
      <w:pPr>
        <w:spacing w:after="0" w:line="190" w:lineRule="exact"/>
        <w:rPr>
          <w:sz w:val="20"/>
          <w:szCs w:val="20"/>
          <w:color w:val="auto"/>
        </w:rPr>
      </w:pPr>
    </w:p>
    <w:p>
      <w:pPr>
        <w:ind w:firstLine="734"/>
        <w:spacing w:after="0" w:line="245"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Shares of any series of redeemable convertible preferred stock could be converted, at the option of the holder, into</w:t>
      </w:r>
      <w:r>
        <w:rPr>
          <w:rFonts w:ascii="Arial" w:cs="Arial" w:eastAsia="Arial" w:hAnsi="Arial"/>
          <w:sz w:val="18"/>
          <w:szCs w:val="18"/>
          <w:i w:val="1"/>
          <w:iCs w:val="1"/>
          <w:color w:val="auto"/>
        </w:rPr>
        <w:t xml:space="preserve"> </w:t>
      </w:r>
      <w:r>
        <w:rPr>
          <w:rFonts w:ascii="Arial" w:cs="Arial" w:eastAsia="Arial" w:hAnsi="Arial"/>
          <w:sz w:val="18"/>
          <w:szCs w:val="18"/>
          <w:color w:val="auto"/>
        </w:rPr>
        <w:t>such number of fully paid and non-assessable shares of common stock using a conversion rate determined by dividing the applicable original issue price by the applicable conversion price, as adjusted for any anti-dilution adjustments. The Company’s redeemable convertible preferred stock was convertible into the Company’s shares of common stock on a one-for-one basis.</w:t>
      </w:r>
    </w:p>
    <w:p>
      <w:pPr>
        <w:spacing w:after="0" w:line="199" w:lineRule="exact"/>
        <w:rPr>
          <w:sz w:val="20"/>
          <w:szCs w:val="20"/>
          <w:color w:val="auto"/>
        </w:rPr>
      </w:pPr>
    </w:p>
    <w:p>
      <w:pPr>
        <w:ind w:right="60" w:firstLine="734"/>
        <w:spacing w:after="0" w:line="236" w:lineRule="auto"/>
        <w:rPr>
          <w:sz w:val="20"/>
          <w:szCs w:val="20"/>
          <w:color w:val="auto"/>
        </w:rPr>
      </w:pPr>
      <w:r>
        <w:rPr>
          <w:rFonts w:ascii="Arial" w:cs="Arial" w:eastAsia="Arial" w:hAnsi="Arial"/>
          <w:sz w:val="18"/>
          <w:szCs w:val="18"/>
          <w:color w:val="auto"/>
        </w:rPr>
        <w:t xml:space="preserve">Prior to the issuance of Series C redeemable convertible preferred stock in April 2020, shares of redeemable convertible preferred stock would automatically be converted into shares of common stock at the then effective conversion price for such share, immediately prior to either: </w:t>
      </w:r>
      <w:r>
        <w:rPr>
          <w:rFonts w:ascii="Arial" w:cs="Arial" w:eastAsia="Arial" w:hAnsi="Arial"/>
          <w:sz w:val="18"/>
          <w:szCs w:val="18"/>
          <w:color w:val="333333"/>
        </w:rPr>
        <w:t>(i) the completion of an underwritten public offering of the Company’s common stock at a price of at least 1.5 times the original</w:t>
      </w:r>
      <w:r>
        <w:rPr>
          <w:rFonts w:ascii="Arial" w:cs="Arial" w:eastAsia="Arial" w:hAnsi="Arial"/>
          <w:sz w:val="18"/>
          <w:szCs w:val="18"/>
          <w:color w:val="auto"/>
        </w:rPr>
        <w:t xml:space="preserve"> </w:t>
      </w:r>
      <w:r>
        <w:rPr>
          <w:rFonts w:ascii="Arial" w:cs="Arial" w:eastAsia="Arial" w:hAnsi="Arial"/>
          <w:sz w:val="18"/>
          <w:szCs w:val="18"/>
          <w:color w:val="333333"/>
        </w:rPr>
        <w:t>Series B issuance price for any initial public offering consummated at any time prior to the first anniversary of the Series B original issuance date, or 1.25 times the original Series B issuance price for any such IPO thereafter and that provides at least $ 30.0 million of gross proceeds to the Company or (ii) the conversion by the holders of redeemable convertible preferred stock, which requires the vote of the holders of a majority of the then outstanding shares of redeemable convertible preferred stock, voting together as a single class on an as-converted to common stock basis.</w:t>
      </w:r>
    </w:p>
    <w:p>
      <w:pPr>
        <w:spacing w:after="0" w:line="208" w:lineRule="exact"/>
        <w:rPr>
          <w:sz w:val="20"/>
          <w:szCs w:val="20"/>
          <w:color w:val="auto"/>
        </w:rPr>
      </w:pPr>
    </w:p>
    <w:p>
      <w:pPr>
        <w:ind w:right="40" w:firstLine="734"/>
        <w:spacing w:after="0" w:line="236" w:lineRule="auto"/>
        <w:rPr>
          <w:sz w:val="20"/>
          <w:szCs w:val="20"/>
          <w:color w:val="auto"/>
        </w:rPr>
      </w:pPr>
      <w:r>
        <w:rPr>
          <w:rFonts w:ascii="Arial" w:cs="Arial" w:eastAsia="Arial" w:hAnsi="Arial"/>
          <w:sz w:val="18"/>
          <w:szCs w:val="18"/>
          <w:color w:val="auto"/>
        </w:rPr>
        <w:t xml:space="preserve">After the issuance of the Series C redeemable convertible preferred stock in April 2020, shares of redeemable convertible preferred stock would automatically be converted into shares of common stock at the then effective conversion price for such share, immediately prior to either: </w:t>
      </w:r>
      <w:r>
        <w:rPr>
          <w:rFonts w:ascii="Arial" w:cs="Arial" w:eastAsia="Arial" w:hAnsi="Arial"/>
          <w:sz w:val="18"/>
          <w:szCs w:val="18"/>
          <w:color w:val="333333"/>
        </w:rPr>
        <w:t>(i) the completion of an underwritten public offering of the Company’s common stock at a price of at least 1.25 times the original</w:t>
      </w:r>
      <w:r>
        <w:rPr>
          <w:rFonts w:ascii="Arial" w:cs="Arial" w:eastAsia="Arial" w:hAnsi="Arial"/>
          <w:sz w:val="18"/>
          <w:szCs w:val="18"/>
          <w:color w:val="auto"/>
        </w:rPr>
        <w:t xml:space="preserve"> </w:t>
      </w:r>
      <w:r>
        <w:rPr>
          <w:rFonts w:ascii="Arial" w:cs="Arial" w:eastAsia="Arial" w:hAnsi="Arial"/>
          <w:sz w:val="18"/>
          <w:szCs w:val="18"/>
          <w:color w:val="333333"/>
        </w:rPr>
        <w:t>Series C issuance price, as adjusted for any stock splits, stock dividends, combinations, subdivisions, recapitalizations or the like that provides at least $50.0 million of gross proceeds to the Company or (ii) the conversion by the holders of redeemable convertible preferred stock, which requires the vote of the holders of a majority of the then outstanding shares of redeemable convertible preferred stock voting together as a single class on an as-converted to common stock basis; provided, however that any automatic conversion of the Series C and Series B redeemable convertible preferred stock under (ii) shall require the consent of the holders of a majority of Series C and Series B redeemable convertible preferred stock then outstanding voting together as a single class on an as-converted to common stock basis.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94" w:name="page195"/>
    <w:bookmarkEnd w:id="194"/>
    <w:p>
      <w:pPr>
        <w:jc w:val="both"/>
        <w:ind w:right="260" w:firstLine="734"/>
        <w:spacing w:after="0" w:line="29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The redeemable convertible preferred stock dividends were not cumulative and were payable only when declared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No such dividends were declared. Such dividends were in preference to any dividends to holders of common stock.</w:t>
      </w:r>
    </w:p>
    <w:p>
      <w:pPr>
        <w:spacing w:after="0" w:line="139" w:lineRule="exact"/>
        <w:rPr>
          <w:sz w:val="20"/>
          <w:szCs w:val="20"/>
          <w:color w:val="auto"/>
        </w:rPr>
      </w:pPr>
    </w:p>
    <w:p>
      <w:pPr>
        <w:jc w:val="both"/>
        <w:ind w:right="20" w:firstLine="734"/>
        <w:spacing w:after="0" w:line="250"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Each holder of redeemable convertible preferred stock would be entitled to the number of votes equal to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into which the shares of redeemable convertible preferred stock held by such holder could be converted as of the record date.</w:t>
      </w:r>
    </w:p>
    <w:p>
      <w:pPr>
        <w:spacing w:after="0" w:line="177" w:lineRule="exact"/>
        <w:rPr>
          <w:sz w:val="20"/>
          <w:szCs w:val="20"/>
          <w:color w:val="auto"/>
        </w:rPr>
      </w:pPr>
    </w:p>
    <w:p>
      <w:pPr>
        <w:ind w:right="240" w:firstLine="734"/>
        <w:spacing w:after="0" w:line="250" w:lineRule="auto"/>
        <w:rPr>
          <w:sz w:val="20"/>
          <w:szCs w:val="20"/>
          <w:color w:val="auto"/>
        </w:rPr>
      </w:pPr>
      <w:r>
        <w:rPr>
          <w:rFonts w:ascii="Arial" w:cs="Arial" w:eastAsia="Arial" w:hAnsi="Arial"/>
          <w:sz w:val="18"/>
          <w:szCs w:val="18"/>
          <w:i w:val="1"/>
          <w:iCs w:val="1"/>
          <w:color w:val="auto"/>
        </w:rPr>
        <w:t>Redemption and Balance Sheet Classification—</w:t>
      </w:r>
      <w:r>
        <w:rPr>
          <w:rFonts w:ascii="Arial" w:cs="Arial" w:eastAsia="Arial" w:hAnsi="Arial"/>
          <w:sz w:val="18"/>
          <w:szCs w:val="18"/>
          <w:color w:val="auto"/>
        </w:rPr>
        <w:t>The redeemable convertible preferred stock was recorded in mezzanine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while it was not mandatorily redeemable, it would become redeemable at the option of the stockholders upon the occurrence of a deemed liquidation event that was considered not solely within the Company’s control.</w:t>
      </w:r>
    </w:p>
    <w:p>
      <w:pPr>
        <w:spacing w:after="0" w:line="177" w:lineRule="exact"/>
        <w:rPr>
          <w:sz w:val="20"/>
          <w:szCs w:val="20"/>
          <w:color w:val="auto"/>
        </w:rPr>
      </w:pPr>
    </w:p>
    <w:p>
      <w:pPr>
        <w:ind w:right="100" w:firstLine="734"/>
        <w:spacing w:after="0" w:line="238" w:lineRule="auto"/>
        <w:rPr>
          <w:sz w:val="20"/>
          <w:szCs w:val="20"/>
          <w:color w:val="auto"/>
        </w:rPr>
      </w:pPr>
      <w:r>
        <w:rPr>
          <w:rFonts w:ascii="Arial" w:cs="Arial" w:eastAsia="Arial" w:hAnsi="Arial"/>
          <w:sz w:val="18"/>
          <w:szCs w:val="18"/>
          <w:i w:val="1"/>
          <w:iCs w:val="1"/>
          <w:color w:val="auto"/>
        </w:rPr>
        <w:t>Funding Agreement with CFF —</w:t>
      </w:r>
      <w:r>
        <w:rPr>
          <w:rFonts w:ascii="Arial" w:cs="Arial" w:eastAsia="Arial" w:hAnsi="Arial"/>
          <w:sz w:val="18"/>
          <w:szCs w:val="18"/>
          <w:color w:val="auto"/>
        </w:rPr>
        <w:t>In April 2020, CFF made a $10.0 million investment in the Company’s Series C redeemable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preferred stock financing. In return for the investment, CFF received shares of Series C redeemable convertible preferred stock, and the Company and CFF entered into a Funding Agreement (“the Funding Agreement”). Pursuant to the terms of the Funding Agreement, except in the event of a technical failure, the $10.0 million received from CFF will be used to advance the development program for 4D-710, the Company’s lead product in cystic fibrosis, or any other therapeutic approved by the Program Advisory Group (“PAG”) to alleviate pulmonary complications of cystic fibrosis (“the Funding Agreement Product”). CFF is committed to provide an additional $4.0 million of funding upon acceptance of an Investigational New Drug application or its equivalent to allow for human testing of the Funding Agreement Product (“Acceptance”), except in the event of a change of control transaction occurring prior to Acceptance or Acceptance occurring after April 29, 2026. At the time of Acceptance, CFF will receive shares of common stock priced at the 10-day average reported closing price of the Company’s common stock on the date of Acceptance.</w:t>
      </w:r>
    </w:p>
    <w:p>
      <w:pPr>
        <w:spacing w:after="0" w:line="206" w:lineRule="exact"/>
        <w:rPr>
          <w:sz w:val="20"/>
          <w:szCs w:val="20"/>
          <w:color w:val="auto"/>
        </w:rPr>
      </w:pPr>
    </w:p>
    <w:p>
      <w:pPr>
        <w:ind w:firstLine="734"/>
        <w:spacing w:after="0" w:line="237" w:lineRule="auto"/>
        <w:rPr>
          <w:sz w:val="20"/>
          <w:szCs w:val="20"/>
          <w:color w:val="auto"/>
        </w:rPr>
      </w:pPr>
      <w:r>
        <w:rPr>
          <w:rFonts w:ascii="Arial" w:cs="Arial" w:eastAsia="Arial" w:hAnsi="Arial"/>
          <w:sz w:val="18"/>
          <w:szCs w:val="18"/>
          <w:color w:val="auto"/>
        </w:rPr>
        <w:t>Except in the event of a technical failure, the Company is committed to providing an amount equal to the funding provided by CFF to be used solely to advance the Funding Agreement Product. A technical failure is defined as a determination by the Company, after consultation with and approval of the PAG that (i) the Funding Agreement Product has failed to reach its intended endpoints due to safety issues, lack of sufficient transgene expression and/or efficacy, each despite commercially reasonable efforts and (ii) the exercise of further commercially reasonable efforts is unlikely to correct such failure. Under the terms of the Funding Agreement, neither the $10.0 million investment in the Series C redeemable convertible preferred stock, which converted to common stock as of December 31, 2020, nor the $4.0 million of funding upon Acceptance are restricted as to withdrawal or usage.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Common Stock</w:t>
      </w:r>
    </w:p>
    <w:p>
      <w:pPr>
        <w:spacing w:after="0" w:line="126" w:lineRule="exact"/>
        <w:rPr>
          <w:sz w:val="20"/>
          <w:szCs w:val="20"/>
          <w:color w:val="auto"/>
        </w:rPr>
      </w:pPr>
    </w:p>
    <w:p>
      <w:pPr>
        <w:ind w:right="520" w:firstLine="734"/>
        <w:spacing w:after="0"/>
        <w:rPr>
          <w:sz w:val="20"/>
          <w:szCs w:val="20"/>
          <w:color w:val="auto"/>
        </w:rPr>
      </w:pPr>
      <w:r>
        <w:rPr>
          <w:rFonts w:ascii="Arial" w:cs="Arial" w:eastAsia="Arial" w:hAnsi="Arial"/>
          <w:sz w:val="18"/>
          <w:szCs w:val="18"/>
          <w:color w:val="auto"/>
        </w:rPr>
        <w:t>As of each of December 31, 2020 and 2019, the Company’s certificate of incorporation authorized the Company to issue 300,000,000 and 50,000,000 shares of common stock, respectively, at the par value of $0.0001 per share. The holder of each share of common stock is entitled to one vote per share.</w:t>
      </w:r>
    </w:p>
    <w:p>
      <w:pPr>
        <w:spacing w:after="0" w:line="203" w:lineRule="exact"/>
        <w:rPr>
          <w:sz w:val="20"/>
          <w:szCs w:val="20"/>
          <w:color w:val="auto"/>
        </w:rPr>
      </w:pPr>
    </w:p>
    <w:p>
      <w:pPr>
        <w:ind w:right="120" w:firstLine="734"/>
        <w:spacing w:after="0"/>
        <w:rPr>
          <w:sz w:val="20"/>
          <w:szCs w:val="20"/>
          <w:color w:val="auto"/>
        </w:rPr>
      </w:pPr>
      <w:r>
        <w:rPr>
          <w:rFonts w:ascii="Arial" w:cs="Arial" w:eastAsia="Arial" w:hAnsi="Arial"/>
          <w:sz w:val="18"/>
          <w:szCs w:val="18"/>
          <w:color w:val="auto"/>
        </w:rPr>
        <w:t>Common stockholders are entitled to dividends if and when declared by the board of directors, subject to the prior rights of the redeemable preferred stockholders. As of December 31, 2020 and 2019, no dividends on common stock had been declared by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5" w:name="page196"/>
    <w:bookmarkEnd w:id="195"/>
    <w:p>
      <w:pPr>
        <w:ind w:left="740"/>
        <w:spacing w:after="0"/>
        <w:rPr>
          <w:sz w:val="20"/>
          <w:szCs w:val="20"/>
          <w:color w:val="auto"/>
        </w:rPr>
      </w:pPr>
      <w:r>
        <w:rPr>
          <w:rFonts w:ascii="Arial" w:cs="Arial" w:eastAsia="Arial" w:hAnsi="Arial"/>
          <w:sz w:val="18"/>
          <w:szCs w:val="18"/>
          <w:color w:val="auto"/>
        </w:rPr>
        <w:t>As of December 31, 2020 and 2019, the Company has reserved common stock, on an as-converted basis, for future issuance as</w:t>
      </w:r>
    </w:p>
    <w:p>
      <w:pPr>
        <w:spacing w:after="0"/>
        <w:rPr>
          <w:sz w:val="20"/>
          <w:szCs w:val="20"/>
          <w:color w:val="auto"/>
        </w:rPr>
      </w:pPr>
      <w:r>
        <w:rPr>
          <w:rFonts w:ascii="Arial" w:cs="Arial" w:eastAsia="Arial" w:hAnsi="Arial"/>
          <w:sz w:val="18"/>
          <w:szCs w:val="18"/>
          <w:color w:val="auto"/>
        </w:rPr>
        <w:t>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7,375,631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Issuance of common stock under the 2015 Equity Incentive Plan</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125,353</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the 2020 Equity Incentive Plan</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2,606,546</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Issuance of common stock under the Employee Stock Share Purchase Plan</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252,337</w:t>
            </w:r>
          </w:p>
        </w:tc>
        <w:tc>
          <w:tcPr>
            <w:tcW w:w="16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issued and outstanding</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3,194,113</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2,474,152</w:t>
            </w: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Exercise of common stock warrants</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98,669</w:t>
            </w:r>
          </w:p>
        </w:tc>
        <w:tc>
          <w:tcPr>
            <w:tcW w:w="160" w:type="dxa"/>
            <w:vAlign w:val="bottom"/>
            <w:tcBorders>
              <w:bottom w:val="single" w:sz="8" w:color="CFF0FC"/>
            </w:tcBorders>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68,669</w:t>
            </w: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common stock reserved</w:t>
            </w: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6,151,665</w:t>
            </w: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10,043,805</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126"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During 2015, the Company issued common stock to the Company founders of 4,710,060 shares, of which 4,473,374 were fully vested upon issuance. The remainder were deemed to be restricted based on their vesting conditions. The stock agreement contains certain provisions that allow the Company to repurchase unvested portions of stock from such founders in the event they depart from the Company. The repurchase rights on the restricted common stock lapsed over time and fully expired in March 2019. As of December 31, 2020 and 2019, no shares of restricted common stock remained subject to repurchase.</w:t>
      </w:r>
    </w:p>
    <w:p>
      <w:pPr>
        <w:spacing w:after="0" w:line="329" w:lineRule="exact"/>
        <w:rPr>
          <w:sz w:val="20"/>
          <w:szCs w:val="20"/>
          <w:color w:val="auto"/>
        </w:rPr>
      </w:pPr>
    </w:p>
    <w:p>
      <w:pPr>
        <w:ind w:right="8560" w:firstLine="8"/>
        <w:spacing w:after="0" w:line="372" w:lineRule="auto"/>
        <w:tabs>
          <w:tab w:leader="none" w:pos="30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b w:val="1"/>
          <w:bCs w:val="1"/>
          <w:color w:val="auto"/>
        </w:rPr>
        <w:t>2020 Incentive Award Plan</w:t>
      </w:r>
    </w:p>
    <w:p>
      <w:pPr>
        <w:spacing w:after="0" w:line="1" w:lineRule="exact"/>
        <w:rPr>
          <w:sz w:val="20"/>
          <w:szCs w:val="20"/>
          <w:color w:val="auto"/>
        </w:rPr>
      </w:pPr>
    </w:p>
    <w:p>
      <w:pPr>
        <w:ind w:right="160" w:firstLine="734"/>
        <w:spacing w:after="0" w:line="237" w:lineRule="auto"/>
        <w:rPr>
          <w:sz w:val="20"/>
          <w:szCs w:val="20"/>
          <w:color w:val="auto"/>
        </w:rPr>
      </w:pPr>
      <w:r>
        <w:rPr>
          <w:rFonts w:ascii="Arial" w:cs="Arial" w:eastAsia="Arial" w:hAnsi="Arial"/>
          <w:sz w:val="18"/>
          <w:szCs w:val="18"/>
          <w:color w:val="auto"/>
        </w:rPr>
        <w:t>In December 2020, the Company adopted the 2020 Incentive Award Plan (“2020 Plan”), which became effective on December 10, 2020. The 2020 Plan initially reserved 2,606,546 shares of common stock for the issuance of stock options, stock appreciation rights, restricted stock awards, restricted stock units, performance bonus awards, performance stock units, dividend equivalents or other stock or cash based award granted to employees, directors and consultants of the Company. All options are exercisable over a period not to exceed the contractual term of ten years from the date the stock options were issued. As of December 31, 2020, there were 2,606,546 shares available for grant under the 2020 Plan.</w:t>
      </w:r>
    </w:p>
    <w:p>
      <w:pPr>
        <w:spacing w:after="0" w:line="205" w:lineRule="exact"/>
        <w:rPr>
          <w:sz w:val="20"/>
          <w:szCs w:val="20"/>
          <w:color w:val="auto"/>
        </w:rPr>
      </w:pPr>
    </w:p>
    <w:p>
      <w:pPr>
        <w:ind w:right="260" w:firstLine="734"/>
        <w:spacing w:after="0" w:line="246" w:lineRule="auto"/>
        <w:rPr>
          <w:sz w:val="20"/>
          <w:szCs w:val="20"/>
          <w:color w:val="auto"/>
        </w:rPr>
      </w:pPr>
      <w:r>
        <w:rPr>
          <w:rFonts w:ascii="Arial" w:cs="Arial" w:eastAsia="Arial" w:hAnsi="Arial"/>
          <w:sz w:val="18"/>
          <w:szCs w:val="18"/>
          <w:color w:val="auto"/>
        </w:rPr>
        <w:t>Following the effectiveness of the 2020 Plan, the Company will not make any further grants under the 2015 Equity Incentive Plan (the “2015 Plan”). However, the 2015 plan continues to govern the terms of options that remain outstanding under the 2015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Equity Incentive Plan</w:t>
      </w:r>
    </w:p>
    <w:p>
      <w:pPr>
        <w:spacing w:after="0" w:line="126" w:lineRule="exact"/>
        <w:rPr>
          <w:sz w:val="20"/>
          <w:szCs w:val="20"/>
          <w:color w:val="auto"/>
        </w:rPr>
      </w:pPr>
    </w:p>
    <w:p>
      <w:pPr>
        <w:ind w:right="20" w:firstLine="734"/>
        <w:spacing w:after="0"/>
        <w:rPr>
          <w:sz w:val="20"/>
          <w:szCs w:val="20"/>
          <w:color w:val="auto"/>
        </w:rPr>
      </w:pPr>
      <w:r>
        <w:rPr>
          <w:rFonts w:ascii="Arial" w:cs="Arial" w:eastAsia="Arial" w:hAnsi="Arial"/>
          <w:sz w:val="18"/>
          <w:szCs w:val="18"/>
          <w:color w:val="auto"/>
        </w:rPr>
        <w:t>The 2015 Plan provided for grants of stock options, stock appreciation rights, restricted stock and restricted stock unit awards to employees, directors and consultants of the Company. As of December 31, 2020, options to purchase 3,194,113 shares of common stock were outstanding under the 2015 Plan. All options are exercisable over a period not to exceed the contractual term of ten years from the date the stock options were issued and are granted at prices not less than the estimated fair market value of the Company’s common stock on the grant date as determined by the board of directors. If an individual owns stock representing more than 10% of the Company’s outstanding shares, the exercise price of each share shall be at least 110% of the fair market value on the date of grant.</w:t>
      </w:r>
    </w:p>
    <w:p>
      <w:pPr>
        <w:spacing w:after="0" w:line="95" w:lineRule="exact"/>
        <w:rPr>
          <w:sz w:val="20"/>
          <w:szCs w:val="20"/>
          <w:color w:val="auto"/>
        </w:rPr>
      </w:pPr>
    </w:p>
    <w:p>
      <w:pPr>
        <w:ind w:right="580" w:firstLine="734"/>
        <w:spacing w:after="0" w:line="246" w:lineRule="auto"/>
        <w:rPr>
          <w:sz w:val="20"/>
          <w:szCs w:val="20"/>
          <w:color w:val="auto"/>
        </w:rPr>
      </w:pPr>
      <w:r>
        <w:rPr>
          <w:rFonts w:ascii="Arial" w:cs="Arial" w:eastAsia="Arial" w:hAnsi="Arial"/>
          <w:sz w:val="18"/>
          <w:szCs w:val="18"/>
          <w:color w:val="auto"/>
        </w:rPr>
        <w:t>No additional grants will be made under the 2015 Plan, and all outstanding grants under the 2015 Plan that are repurchased, forfeited, expire or are cancelled will become available for grant under the 2020 Plan in accordance with its terms.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ind w:right="40" w:firstLine="734"/>
        <w:spacing w:after="0" w:line="253" w:lineRule="auto"/>
        <w:rPr>
          <w:sz w:val="20"/>
          <w:szCs w:val="20"/>
          <w:color w:val="auto"/>
        </w:rPr>
      </w:pPr>
      <w:r>
        <w:rPr>
          <w:rFonts w:ascii="Arial" w:cs="Arial" w:eastAsia="Arial" w:hAnsi="Arial"/>
          <w:sz w:val="17"/>
          <w:szCs w:val="17"/>
          <w:color w:val="auto"/>
        </w:rPr>
        <w:t>In December 2020, the Company adopted the 2020 Employee Stock Purchase Plan (the “2020 ESPP”). Under the 2020 ESPP, 252,337 shares of our common stock were initially reserved for employee purchases of our common stock under terms and provisions established by the Board of Directors and approved by our stockholders. Under the 2020 ESPP our employees may purchase common stock through payroll deductions at a price equal to 85% of the lower of the fair market value of the stock at the beginning of the offering period or at the end of each applicable purchase period. The 2020 ESPP provides for a series of overlapping 24-month offering periods comprising of four six-month purchase periods. The initial offering period under the ESPP will be longer than 24 months, commencing February 15, 2021 and ending on May 14, 2023. Contributions under the 2020 ESPP are limited to a maximum of 15% of an employee's eligible compensation.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5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summarizes the stock options activity: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ind w:left="240"/>
              <w:spacing w:after="0"/>
              <w:rPr>
                <w:sz w:val="20"/>
                <w:szCs w:val="20"/>
                <w:color w:val="auto"/>
              </w:rPr>
            </w:pPr>
            <w:r>
              <w:rPr>
                <w:rFonts w:ascii="Arial" w:cs="Arial" w:eastAsia="Arial" w:hAnsi="Arial"/>
                <w:sz w:val="18"/>
                <w:szCs w:val="18"/>
                <w:b w:val="1"/>
                <w:bCs w:val="1"/>
                <w:color w:val="auto"/>
              </w:rPr>
              <w:t>Options Outstanding</w:t>
            </w:r>
          </w:p>
        </w:tc>
        <w:tc>
          <w:tcPr>
            <w:tcW w:w="124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8"/>
              </w:rPr>
              <w:t>Weighted-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8"/>
              </w:rPr>
              <w:t>Average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Number of</w:t>
            </w:r>
          </w:p>
        </w:tc>
        <w:tc>
          <w:tcPr>
            <w:tcW w:w="11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22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Weighted-</w:t>
            </w:r>
          </w:p>
        </w:tc>
        <w:tc>
          <w:tcPr>
            <w:tcW w:w="124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Remaining</w:t>
            </w:r>
          </w:p>
        </w:tc>
        <w:tc>
          <w:tcPr>
            <w:tcW w:w="140" w:type="dxa"/>
            <w:vAlign w:val="bottom"/>
          </w:tcPr>
          <w:p>
            <w:pPr>
              <w:spacing w:after="0"/>
              <w:rPr>
                <w:sz w:val="17"/>
                <w:szCs w:val="17"/>
                <w:color w:val="auto"/>
              </w:rPr>
            </w:pPr>
          </w:p>
        </w:tc>
        <w:tc>
          <w:tcPr>
            <w:tcW w:w="12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Shares</w:t>
            </w:r>
          </w:p>
        </w:tc>
        <w:tc>
          <w:tcPr>
            <w:tcW w:w="11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Underlying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Average</w:t>
            </w:r>
          </w:p>
        </w:tc>
        <w:tc>
          <w:tcPr>
            <w:tcW w:w="124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40" w:type="dxa"/>
            <w:vAlign w:val="bottom"/>
          </w:tcPr>
          <w:p>
            <w:pPr>
              <w:spacing w:after="0"/>
              <w:rPr>
                <w:sz w:val="17"/>
                <w:szCs w:val="17"/>
                <w:color w:val="auto"/>
              </w:rPr>
            </w:pPr>
          </w:p>
        </w:tc>
        <w:tc>
          <w:tcPr>
            <w:tcW w:w="12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Available</w:t>
            </w:r>
          </w:p>
        </w:tc>
        <w:tc>
          <w:tcPr>
            <w:tcW w:w="11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Outstanding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Exercise</w:t>
            </w: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17"/>
                <w:szCs w:val="17"/>
                <w:color w:val="auto"/>
              </w:rPr>
            </w:pPr>
          </w:p>
        </w:tc>
        <w:tc>
          <w:tcPr>
            <w:tcW w:w="122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for Grant</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Options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Price</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(in years)</w:t>
            </w:r>
          </w:p>
        </w:tc>
        <w:tc>
          <w:tcPr>
            <w:tcW w:w="10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125,353</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2,474,152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19,974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Options authorized</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3,468,198</w:t>
            </w:r>
          </w:p>
        </w:tc>
        <w:tc>
          <w:tcPr>
            <w:tcW w:w="1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(1,321,743)</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1,321,743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(267,044)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Options expired</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103,637</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(103,637)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forfeited</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231,101</w:t>
            </w:r>
          </w:p>
        </w:tc>
        <w:tc>
          <w:tcPr>
            <w:tcW w:w="120" w:type="dxa"/>
            <w:vAlign w:val="bottom"/>
            <w:tcBorders>
              <w:bottom w:val="single" w:sz="8" w:color="CFF0FC"/>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(231,101)</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jc w:val="right"/>
              <w:ind w:right="30"/>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2020</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2,606,546</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3,194,113</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97,105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Shares exercisable, December 31,</w:t>
            </w: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160"/>
              <w:spacing w:after="0" w:line="203" w:lineRule="exact"/>
              <w:rPr>
                <w:sz w:val="20"/>
                <w:szCs w:val="20"/>
                <w:color w:val="auto"/>
              </w:rPr>
            </w:pPr>
            <w:r>
              <w:rPr>
                <w:rFonts w:ascii="Arial" w:cs="Arial" w:eastAsia="Arial" w:hAnsi="Arial"/>
                <w:sz w:val="18"/>
                <w:szCs w:val="18"/>
                <w:color w:val="auto"/>
              </w:rPr>
              <w:t>2020</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1,207,394</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6.24</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7.36</w:t>
            </w:r>
          </w:p>
        </w:tc>
        <w:tc>
          <w:tcPr>
            <w:tcW w:w="100" w:type="dxa"/>
            <w:vAlign w:val="bottom"/>
          </w:tcPr>
          <w:p>
            <w:pPr>
              <w:spacing w:after="0"/>
              <w:rPr>
                <w:sz w:val="17"/>
                <w:szCs w:val="17"/>
                <w:color w:val="auto"/>
              </w:rPr>
            </w:pPr>
          </w:p>
        </w:tc>
        <w:tc>
          <w:tcPr>
            <w:tcW w:w="140" w:type="dxa"/>
            <w:vAlign w:val="bottom"/>
          </w:tcPr>
          <w:p>
            <w:pPr>
              <w:ind w:left="2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42,515</w:t>
            </w:r>
          </w:p>
        </w:tc>
        <w:tc>
          <w:tcPr>
            <w:tcW w:w="0" w:type="dxa"/>
            <w:vAlign w:val="bottom"/>
          </w:tcPr>
          <w:p>
            <w:pPr>
              <w:spacing w:after="0"/>
              <w:rPr>
                <w:sz w:val="1"/>
                <w:szCs w:val="1"/>
                <w:color w:val="auto"/>
              </w:rPr>
            </w:pPr>
          </w:p>
        </w:tc>
      </w:tr>
      <w:tr>
        <w:trPr>
          <w:trHeight w:val="215"/>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Shares vested and expected to</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vest, December 31, 2020</w:t>
            </w: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3,194,113</w:t>
            </w:r>
          </w:p>
        </w:tc>
        <w:tc>
          <w:tcPr>
            <w:tcW w:w="220" w:type="dxa"/>
            <w:vAlign w:val="bottom"/>
            <w:tcBorders>
              <w:bottom w:val="single" w:sz="8" w:color="CFF0FC"/>
            </w:tcBorders>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11.05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8.46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FF0FC"/>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97,105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table is a summary of stock compensation expense for employees and nonemployees by function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Year Ended</w:t>
            </w:r>
          </w:p>
        </w:tc>
      </w:tr>
      <w:tr>
        <w:trPr>
          <w:trHeight w:val="203"/>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2019</w:t>
            </w: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2,670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2,191</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2,314</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1,350</w:t>
            </w: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4,984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3,541</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734"/>
        <w:spacing w:after="0" w:line="237" w:lineRule="auto"/>
        <w:rPr>
          <w:sz w:val="20"/>
          <w:szCs w:val="20"/>
          <w:color w:val="auto"/>
        </w:rPr>
      </w:pPr>
      <w:r>
        <w:rPr>
          <w:rFonts w:ascii="Arial" w:cs="Arial" w:eastAsia="Arial" w:hAnsi="Arial"/>
          <w:sz w:val="18"/>
          <w:szCs w:val="18"/>
          <w:color w:val="auto"/>
        </w:rPr>
        <w:t>During the years ended December 31, 2020 and 2019, the Company granted 1,267,743 and 1,101,840 stock options to employees with a weighted-average grant date fair value of $11.84 and $8.46 per share, respectively, and 54,000 and 35,000 stock options to nonemployees with a weighted-average grant date fair value of $11.05 and $8.43 per share, respectively. The total fair value of options vested during the years ended December 31, 2020 and 2019 was $5.0 million and $ 2.2 million, respectively. As of December 31, 2020, the unrecognized stock-based compensation of unvested options was $19.4 million and is expected to be recognized over a weighted-average period of 3.1 years.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7" w:name="page198"/>
    <w:bookmarkEnd w:id="197"/>
    <w:p>
      <w:pPr>
        <w:ind w:right="20" w:firstLine="734"/>
        <w:spacing w:after="0"/>
        <w:rPr>
          <w:sz w:val="20"/>
          <w:szCs w:val="20"/>
          <w:color w:val="auto"/>
        </w:rPr>
      </w:pPr>
      <w:r>
        <w:rPr>
          <w:rFonts w:ascii="Arial" w:cs="Arial" w:eastAsia="Arial" w:hAnsi="Arial"/>
          <w:sz w:val="18"/>
          <w:szCs w:val="18"/>
          <w:color w:val="auto"/>
        </w:rPr>
        <w:t>Stock-based compensation expense recorded for employee options was $4.6 million and $2.8 million for the years ended December 31, 2020 and 2019, respectively. Stock-based compensation expense recorded for nonemployee consultants was $0.4 million and $0.7 million for the years ended December 31, 2020 and 2019, respectively.</w:t>
      </w:r>
    </w:p>
    <w:p>
      <w:pPr>
        <w:spacing w:after="0" w:line="203" w:lineRule="exact"/>
        <w:rPr>
          <w:sz w:val="20"/>
          <w:szCs w:val="20"/>
          <w:color w:val="auto"/>
        </w:rPr>
      </w:pPr>
    </w:p>
    <w:p>
      <w:pPr>
        <w:ind w:right="40" w:firstLine="734"/>
        <w:spacing w:after="0" w:line="237" w:lineRule="auto"/>
        <w:rPr>
          <w:sz w:val="20"/>
          <w:szCs w:val="20"/>
          <w:color w:val="auto"/>
        </w:rPr>
      </w:pPr>
      <w:r>
        <w:rPr>
          <w:rFonts w:ascii="Arial" w:cs="Arial" w:eastAsia="Arial" w:hAnsi="Arial"/>
          <w:sz w:val="18"/>
          <w:szCs w:val="18"/>
          <w:color w:val="auto"/>
        </w:rPr>
        <w:t>Prior to the Company’s IPO, the fair value of the shares of common stock underlying the stock options was estimated by the board of directors at various dates considering the Company’s most recently available third-party valuations of common stock as well as a number of objective and subjective factors including valuation of comparable companies, sales of redeemable convertible preferred stock, operating and financial performance and general and industry specific economic outlook, amongst other factors. The fair value was determined in accordance with the guidance provided by the American Institute of Certified Public Accountants’ Practice Guide, Valuation of Privately-Held-Company Equity Securities Issued as Compensation. Subsequent to the Company’s IPO, the fair value of the Company’s common stock is determined based on its closing market price.</w:t>
      </w:r>
    </w:p>
    <w:p>
      <w:pPr>
        <w:spacing w:after="0" w:line="203" w:lineRule="exact"/>
        <w:rPr>
          <w:sz w:val="20"/>
          <w:szCs w:val="20"/>
          <w:color w:val="auto"/>
        </w:rPr>
      </w:pPr>
    </w:p>
    <w:p>
      <w:pPr>
        <w:jc w:val="both"/>
        <w:ind w:right="160" w:firstLine="734"/>
        <w:spacing w:after="0" w:line="238" w:lineRule="auto"/>
        <w:rPr>
          <w:sz w:val="20"/>
          <w:szCs w:val="20"/>
          <w:color w:val="auto"/>
        </w:rPr>
      </w:pPr>
      <w:r>
        <w:rPr>
          <w:rFonts w:ascii="Arial" w:cs="Arial" w:eastAsia="Arial" w:hAnsi="Arial"/>
          <w:sz w:val="18"/>
          <w:szCs w:val="18"/>
          <w:color w:val="auto"/>
        </w:rPr>
        <w:t>The Company estimates the fair value of employee and nonemployee stock options using the Black-Scholes valuation model. The fair value of employee and nonemployee stock options is recognized on a straight-line basis over the requisite service period of the awards. The fair value of the Company’s stock options was estimated using the following assumptions for the years ended December 31, 2020 and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43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8"/>
              </w:rPr>
              <w:t>Year Ended</w:t>
            </w:r>
          </w:p>
        </w:tc>
        <w:tc>
          <w:tcPr>
            <w:tcW w:w="2480" w:type="dxa"/>
            <w:vAlign w:val="bottom"/>
            <w:gridSpan w:val="3"/>
          </w:tcPr>
          <w:p>
            <w:pPr>
              <w:jc w:val="center"/>
              <w:ind w:left="1410"/>
              <w:spacing w:after="0"/>
              <w:rPr>
                <w:sz w:val="20"/>
                <w:szCs w:val="20"/>
                <w:color w:val="auto"/>
              </w:rPr>
            </w:pPr>
            <w:r>
              <w:rPr>
                <w:rFonts w:ascii="Arial" w:cs="Arial" w:eastAsia="Arial" w:hAnsi="Arial"/>
                <w:sz w:val="18"/>
                <w:szCs w:val="18"/>
                <w:b w:val="1"/>
                <w:bCs w:val="1"/>
                <w:color w:val="auto"/>
                <w:w w:val="98"/>
              </w:rPr>
              <w:t>Year Ended</w:t>
            </w:r>
          </w:p>
        </w:tc>
        <w:tc>
          <w:tcPr>
            <w:tcW w:w="17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4320" w:type="dxa"/>
            <w:vAlign w:val="bottom"/>
            <w:gridSpan w:val="5"/>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4180" w:type="dxa"/>
            <w:vAlign w:val="bottom"/>
            <w:gridSpan w:val="4"/>
          </w:tcPr>
          <w:p>
            <w:pPr>
              <w:jc w:val="center"/>
              <w:ind w:right="11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2740" w:type="dxa"/>
            <w:vAlign w:val="bottom"/>
          </w:tcPr>
          <w:p>
            <w:pPr>
              <w:spacing w:after="0"/>
              <w:rPr>
                <w:sz w:val="19"/>
                <w:szCs w:val="19"/>
                <w:color w:val="auto"/>
              </w:rPr>
            </w:pPr>
          </w:p>
        </w:tc>
        <w:tc>
          <w:tcPr>
            <w:tcW w:w="2340" w:type="dxa"/>
            <w:vAlign w:val="bottom"/>
            <w:tcBorders>
              <w:bottom w:val="single" w:sz="8" w:color="auto"/>
            </w:tcBorders>
            <w:gridSpan w:val="3"/>
          </w:tcPr>
          <w:p>
            <w:pPr>
              <w:jc w:val="center"/>
              <w:ind w:left="1570"/>
              <w:spacing w:after="0"/>
              <w:rPr>
                <w:sz w:val="20"/>
                <w:szCs w:val="20"/>
                <w:color w:val="auto"/>
              </w:rPr>
            </w:pPr>
            <w:r>
              <w:rPr>
                <w:rFonts w:ascii="Arial" w:cs="Arial" w:eastAsia="Arial" w:hAnsi="Arial"/>
                <w:sz w:val="18"/>
                <w:szCs w:val="18"/>
                <w:b w:val="1"/>
                <w:bCs w:val="1"/>
                <w:color w:val="auto"/>
                <w:w w:val="99"/>
              </w:rPr>
              <w:t>2020</w:t>
            </w:r>
          </w:p>
        </w:tc>
        <w:tc>
          <w:tcPr>
            <w:tcW w:w="1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b w:val="1"/>
                <w:bCs w:val="1"/>
                <w:color w:val="auto"/>
                <w:w w:val="99"/>
              </w:rPr>
              <w:t>2019</w:t>
            </w:r>
          </w:p>
        </w:tc>
        <w:tc>
          <w:tcPr>
            <w:tcW w:w="1700" w:type="dxa"/>
            <w:vAlign w:val="bottom"/>
            <w:tcBorders>
              <w:bottom w:val="single" w:sz="8" w:color="auto"/>
            </w:tcBorders>
          </w:tcPr>
          <w:p>
            <w:pPr>
              <w:spacing w:after="0"/>
              <w:rPr>
                <w:sz w:val="19"/>
                <w:szCs w:val="19"/>
                <w:color w:val="auto"/>
              </w:rPr>
            </w:pPr>
          </w:p>
        </w:tc>
      </w:tr>
      <w:tr>
        <w:trPr>
          <w:trHeight w:val="209"/>
        </w:trPr>
        <w:tc>
          <w:tcPr>
            <w:tcW w:w="2740" w:type="dxa"/>
            <w:vAlign w:val="bottom"/>
            <w:tcBorders>
              <w:bottom w:val="single" w:sz="8" w:color="CFF0FC"/>
            </w:tcBorders>
          </w:tcPr>
          <w:p>
            <w:pPr>
              <w:spacing w:after="0"/>
              <w:rPr>
                <w:sz w:val="18"/>
                <w:szCs w:val="18"/>
                <w:color w:val="auto"/>
              </w:rPr>
            </w:pPr>
          </w:p>
        </w:tc>
        <w:tc>
          <w:tcPr>
            <w:tcW w:w="2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Employee</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Nonemployee</w:t>
            </w:r>
          </w:p>
        </w:tc>
        <w:tc>
          <w:tcPr>
            <w:tcW w:w="140" w:type="dxa"/>
            <w:vAlign w:val="bottom"/>
            <w:tcBorders>
              <w:bottom w:val="single" w:sz="8" w:color="CFF0FC"/>
            </w:tcBorders>
          </w:tcPr>
          <w:p>
            <w:pPr>
              <w:spacing w:after="0"/>
              <w:rPr>
                <w:sz w:val="18"/>
                <w:szCs w:val="18"/>
                <w:color w:val="auto"/>
              </w:rPr>
            </w:pPr>
          </w:p>
        </w:tc>
        <w:tc>
          <w:tcPr>
            <w:tcW w:w="20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Employee</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8"/>
              </w:rPr>
              <w:t>Nonemployee</w:t>
            </w: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2340" w:type="dxa"/>
            <w:vAlign w:val="bottom"/>
            <w:gridSpan w:val="3"/>
            <w:shd w:val="clear" w:color="auto" w:fill="CFF0FC"/>
          </w:tcPr>
          <w:p>
            <w:pPr>
              <w:ind w:left="700"/>
              <w:spacing w:after="0"/>
              <w:rPr>
                <w:sz w:val="20"/>
                <w:szCs w:val="20"/>
                <w:color w:val="auto"/>
              </w:rPr>
            </w:pPr>
            <w:r>
              <w:rPr>
                <w:rFonts w:ascii="Arial" w:cs="Arial" w:eastAsia="Arial" w:hAnsi="Arial"/>
                <w:sz w:val="18"/>
                <w:szCs w:val="18"/>
                <w:color w:val="auto"/>
              </w:rPr>
              <w:t>5.5 –6.3 years</w:t>
            </w:r>
          </w:p>
        </w:tc>
        <w:tc>
          <w:tcPr>
            <w:tcW w:w="198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6.0 years</w:t>
            </w:r>
          </w:p>
        </w:tc>
        <w:tc>
          <w:tcPr>
            <w:tcW w:w="2480" w:type="dxa"/>
            <w:vAlign w:val="bottom"/>
            <w:gridSpan w:val="3"/>
            <w:shd w:val="clear" w:color="auto" w:fill="CFF0FC"/>
          </w:tcPr>
          <w:p>
            <w:pPr>
              <w:ind w:left="700"/>
              <w:spacing w:after="0"/>
              <w:rPr>
                <w:sz w:val="20"/>
                <w:szCs w:val="20"/>
                <w:color w:val="auto"/>
              </w:rPr>
            </w:pPr>
            <w:r>
              <w:rPr>
                <w:rFonts w:ascii="Arial" w:cs="Arial" w:eastAsia="Arial" w:hAnsi="Arial"/>
                <w:sz w:val="18"/>
                <w:szCs w:val="18"/>
                <w:color w:val="auto"/>
              </w:rPr>
              <w:t>5.5 –6.3 years</w:t>
            </w: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 –10.0 years</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Expected volatility</w:t>
            </w:r>
          </w:p>
        </w:tc>
        <w:tc>
          <w:tcPr>
            <w:tcW w:w="2340" w:type="dxa"/>
            <w:vAlign w:val="bottom"/>
            <w:gridSpan w:val="3"/>
          </w:tcPr>
          <w:p>
            <w:pPr>
              <w:jc w:val="right"/>
              <w:ind w:right="500"/>
              <w:spacing w:after="0"/>
              <w:rPr>
                <w:sz w:val="20"/>
                <w:szCs w:val="20"/>
                <w:color w:val="auto"/>
              </w:rPr>
            </w:pPr>
            <w:r>
              <w:rPr>
                <w:rFonts w:ascii="Arial" w:cs="Arial" w:eastAsia="Arial" w:hAnsi="Arial"/>
                <w:sz w:val="18"/>
                <w:szCs w:val="18"/>
                <w:color w:val="auto"/>
              </w:rPr>
              <w:t>82.1% – 83.8%</w:t>
            </w: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82.1% – 83.1%</w:t>
            </w:r>
          </w:p>
        </w:tc>
        <w:tc>
          <w:tcPr>
            <w:tcW w:w="2480" w:type="dxa"/>
            <w:vAlign w:val="bottom"/>
            <w:gridSpan w:val="3"/>
          </w:tcPr>
          <w:p>
            <w:pPr>
              <w:jc w:val="right"/>
              <w:ind w:right="640"/>
              <w:spacing w:after="0"/>
              <w:rPr>
                <w:sz w:val="20"/>
                <w:szCs w:val="20"/>
                <w:color w:val="auto"/>
              </w:rPr>
            </w:pPr>
            <w:r>
              <w:rPr>
                <w:rFonts w:ascii="Arial" w:cs="Arial" w:eastAsia="Arial" w:hAnsi="Arial"/>
                <w:sz w:val="18"/>
                <w:szCs w:val="18"/>
                <w:color w:val="auto"/>
              </w:rPr>
              <w:t>81.9% – 83.0%</w:t>
            </w: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81.3% – 83.7%</w:t>
            </w: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34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0.4% – 0.7%</w:t>
            </w:r>
          </w:p>
        </w:tc>
        <w:tc>
          <w:tcPr>
            <w:tcW w:w="1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0.4% – 0.7%</w:t>
            </w:r>
          </w:p>
        </w:tc>
        <w:tc>
          <w:tcPr>
            <w:tcW w:w="248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1.5% – 2.3%</w:t>
            </w:r>
          </w:p>
        </w:tc>
        <w:tc>
          <w:tcPr>
            <w:tcW w:w="1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 – 2.4%</w:t>
            </w: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11" w:lineRule="exact"/>
        <w:rPr>
          <w:sz w:val="20"/>
          <w:szCs w:val="20"/>
          <w:color w:val="auto"/>
        </w:rPr>
      </w:pPr>
    </w:p>
    <w:p>
      <w:pPr>
        <w:jc w:val="both"/>
        <w:ind w:right="40" w:firstLine="734"/>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for employee options is calculated using the simplified method as the Company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information to provide a basis for estimate. The simplified method is based on the average of the vesting tranches and the contractual life of each grant. The expected term for nonemployee options is the contractual term of the options.</w:t>
      </w:r>
    </w:p>
    <w:p>
      <w:pPr>
        <w:spacing w:after="0" w:line="177" w:lineRule="exact"/>
        <w:rPr>
          <w:sz w:val="20"/>
          <w:szCs w:val="20"/>
          <w:color w:val="auto"/>
        </w:rPr>
      </w:pPr>
    </w:p>
    <w:p>
      <w:pPr>
        <w:ind w:right="100" w:firstLine="734"/>
        <w:spacing w:after="0" w:line="24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was estimated based on a study of publicly traded peer companies as the Company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trading history for its common stock. The Company selected the peer group based on similarities in industry, stage of development, size and financial leverage with the Company’s principal business operations. For each grant, the Company measured historical volatility over a period equivalent to the expected term.</w:t>
      </w:r>
    </w:p>
    <w:p>
      <w:pPr>
        <w:spacing w:after="0" w:line="181" w:lineRule="exact"/>
        <w:rPr>
          <w:sz w:val="20"/>
          <w:szCs w:val="20"/>
          <w:color w:val="auto"/>
        </w:rPr>
      </w:pPr>
    </w:p>
    <w:p>
      <w:pPr>
        <w:ind w:right="100" w:firstLine="734"/>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available on U.S. Treasury zero-coupon issues whose term</w:t>
      </w:r>
      <w:r>
        <w:rPr>
          <w:rFonts w:ascii="Arial" w:cs="Arial" w:eastAsia="Arial" w:hAnsi="Arial"/>
          <w:sz w:val="18"/>
          <w:szCs w:val="18"/>
          <w:i w:val="1"/>
          <w:iCs w:val="1"/>
          <w:color w:val="auto"/>
        </w:rPr>
        <w:t xml:space="preserve"> </w:t>
      </w:r>
      <w:r>
        <w:rPr>
          <w:rFonts w:ascii="Arial" w:cs="Arial" w:eastAsia="Arial" w:hAnsi="Arial"/>
          <w:sz w:val="18"/>
          <w:szCs w:val="18"/>
          <w:color w:val="auto"/>
        </w:rPr>
        <w:t>is similar in duration to the expected term of the respective stock option.</w:t>
      </w:r>
    </w:p>
    <w:p>
      <w:pPr>
        <w:spacing w:after="0" w:line="160" w:lineRule="exact"/>
        <w:rPr>
          <w:sz w:val="20"/>
          <w:szCs w:val="20"/>
          <w:color w:val="auto"/>
        </w:rPr>
      </w:pPr>
    </w:p>
    <w:p>
      <w:pPr>
        <w:ind w:right="420" w:firstLine="734"/>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Accordingly, the Company has estimated the dividend yield to be zero.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i w:val="1"/>
          <w:iCs w:val="1"/>
          <w:color w:val="auto"/>
        </w:rPr>
        <w:t>13. Common Stock Warrants</w:t>
      </w:r>
    </w:p>
    <w:p>
      <w:pPr>
        <w:spacing w:after="0" w:line="126" w:lineRule="exact"/>
        <w:rPr>
          <w:sz w:val="20"/>
          <w:szCs w:val="20"/>
          <w:color w:val="auto"/>
        </w:rPr>
      </w:pPr>
    </w:p>
    <w:p>
      <w:pPr>
        <w:ind w:right="100" w:firstLine="734"/>
        <w:spacing w:after="0" w:line="236" w:lineRule="auto"/>
        <w:rPr>
          <w:sz w:val="20"/>
          <w:szCs w:val="20"/>
          <w:color w:val="auto"/>
        </w:rPr>
      </w:pPr>
      <w:r>
        <w:rPr>
          <w:rFonts w:ascii="Arial" w:cs="Arial" w:eastAsia="Arial" w:hAnsi="Arial"/>
          <w:sz w:val="18"/>
          <w:szCs w:val="18"/>
          <w:color w:val="auto"/>
        </w:rPr>
        <w:t>In 2016, the Company issued a warrant for 45,000 shares of the Company’s common stock to a service provider with an exercise price of $1.14 per share, of which 15,000 warrant shares become exercisable upon completion of an offering of securities in a private placement by the Company with net proceeds in excess of $25.0 million and 30,000 warrant shares become exercisable upon completion of an IPO by the Company. The warrant expires in 2023. As the services had been completed at the date the warrant had been issued, the fair value of the warrant was determined at the issuance date. 15,000 of these warrant shares became exercisable upon the completion of the Series B financing in 2018 and 30,000 of these warrants became exercisable upon completion of the IPO in 2020. The Company recorded less than $0.1 million fair value of these warrant shares, as determined under the Black-Scholes Model, within operating expenses in the statements of operations and comprehensive loss and within additional paid-in-capital in the balance sheets during the year ended December 31, 2018 and December 31, 2020.</w:t>
      </w:r>
    </w:p>
    <w:p>
      <w:pPr>
        <w:spacing w:after="0" w:line="99" w:lineRule="exact"/>
        <w:rPr>
          <w:sz w:val="20"/>
          <w:szCs w:val="20"/>
          <w:color w:val="auto"/>
        </w:rPr>
      </w:pPr>
    </w:p>
    <w:p>
      <w:pPr>
        <w:ind w:right="440" w:firstLine="734"/>
        <w:spacing w:after="0"/>
        <w:rPr>
          <w:sz w:val="20"/>
          <w:szCs w:val="20"/>
          <w:color w:val="auto"/>
        </w:rPr>
      </w:pPr>
      <w:r>
        <w:rPr>
          <w:rFonts w:ascii="Arial" w:cs="Arial" w:eastAsia="Arial" w:hAnsi="Arial"/>
          <w:sz w:val="18"/>
          <w:szCs w:val="18"/>
          <w:color w:val="auto"/>
        </w:rPr>
        <w:t>In May 2018, the Company issued a warrant for 23,669 shares of the Company’s common stock to a service provider with an exercise price of $3.19 per share and recorded $0.1 million within in additional paid-in-capital upon issuance of the warrant. The warrant expires in 2025.</w:t>
      </w:r>
    </w:p>
    <w:p>
      <w:pPr>
        <w:spacing w:after="0" w:line="203"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In 2020, the Company issued a warrant for 30,000 shares of the Company’s common stock to a service provider with an exercise price of $18.00 per share. This warrant vests over a period of four years and expires in 2027. The fair value of the warrant was determined at the issuance date using the Black-Scholes Model. In 2020, an expense of less than $0.1 million was recorded within operating expenses in the statements of operations and comprehensive loss and within additional paid-in-capital in the balance sheets in connection with the vested portion of warrant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Net Loss Per Share Attributable to Common Stockholders</w:t>
      </w:r>
    </w:p>
    <w:p>
      <w:pPr>
        <w:spacing w:after="0" w:line="126" w:lineRule="exact"/>
        <w:rPr>
          <w:sz w:val="20"/>
          <w:szCs w:val="20"/>
          <w:color w:val="auto"/>
        </w:rPr>
      </w:pPr>
    </w:p>
    <w:p>
      <w:pPr>
        <w:ind w:right="600" w:firstLine="734"/>
        <w:spacing w:after="0" w:line="246"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Year Ended</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(56,693)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(49,306)</w:t>
            </w:r>
          </w:p>
        </w:tc>
        <w:tc>
          <w:tcPr>
            <w:tcW w:w="0" w:type="dxa"/>
            <w:vAlign w:val="bottom"/>
          </w:tcPr>
          <w:p>
            <w:pPr>
              <w:spacing w:after="0"/>
              <w:rPr>
                <w:sz w:val="1"/>
                <w:szCs w:val="1"/>
                <w:color w:val="auto"/>
              </w:rPr>
            </w:pPr>
          </w:p>
        </w:tc>
      </w:tr>
      <w:tr>
        <w:trPr>
          <w:trHeight w:val="197"/>
        </w:trPr>
        <w:tc>
          <w:tcPr>
            <w:tcW w:w="7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4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6,430,555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5,143,776</w:t>
            </w: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Weighted-average shares subject to repurchase used in</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computing net loss per share attributable to common stockholders,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Weighted-average shares outstanding used in computing net loss per</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share attributable to common stockholders, basic and diluted</w:t>
            </w: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6,430,555</w:t>
            </w:r>
          </w:p>
        </w:tc>
        <w:tc>
          <w:tcPr>
            <w:tcW w:w="1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5,142,560</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stockholders—basic and</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(8.82)</w:t>
            </w:r>
          </w:p>
        </w:tc>
        <w:tc>
          <w:tcPr>
            <w:tcW w:w="3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ind w:left="5440"/>
              <w:spacing w:after="0"/>
              <w:rPr>
                <w:sz w:val="20"/>
                <w:szCs w:val="20"/>
                <w:color w:val="auto"/>
              </w:rPr>
            </w:pPr>
            <w:r>
              <w:rPr>
                <w:rFonts w:ascii="Arial" w:cs="Arial" w:eastAsia="Arial" w:hAnsi="Arial"/>
                <w:sz w:val="18"/>
                <w:szCs w:val="18"/>
                <w:color w:val="auto"/>
              </w:rPr>
              <w:t>F-35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9" w:name="page200"/>
    <w:bookmarkEnd w:id="199"/>
    <w:p>
      <w:pPr>
        <w:ind w:right="180" w:firstLine="734"/>
        <w:spacing w:after="0" w:line="24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 presented because including them would have been antidilutive: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2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7,375,631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3,194,113</w:t>
            </w:r>
          </w:p>
        </w:tc>
        <w:tc>
          <w:tcPr>
            <w:tcW w:w="16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2,474,152</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98,669</w:t>
            </w:r>
          </w:p>
        </w:tc>
        <w:tc>
          <w:tcPr>
            <w:tcW w:w="16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68,669</w:t>
            </w:r>
          </w:p>
        </w:tc>
      </w:tr>
      <w:tr>
        <w:trPr>
          <w:trHeight w:val="210"/>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3,292,782</w:t>
            </w: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9,918,452</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Derivative Liability</w:t>
      </w:r>
    </w:p>
    <w:p>
      <w:pPr>
        <w:spacing w:after="0" w:line="126" w:lineRule="exact"/>
        <w:rPr>
          <w:sz w:val="20"/>
          <w:szCs w:val="20"/>
          <w:color w:val="auto"/>
        </w:rPr>
      </w:pPr>
    </w:p>
    <w:p>
      <w:pPr>
        <w:ind w:right="20" w:firstLine="734"/>
        <w:spacing w:after="0" w:line="236" w:lineRule="auto"/>
        <w:rPr>
          <w:sz w:val="20"/>
          <w:szCs w:val="20"/>
          <w:color w:val="auto"/>
        </w:rPr>
      </w:pPr>
      <w:r>
        <w:rPr>
          <w:rFonts w:ascii="Arial" w:cs="Arial" w:eastAsia="Arial" w:hAnsi="Arial"/>
          <w:sz w:val="18"/>
          <w:szCs w:val="18"/>
          <w:color w:val="auto"/>
        </w:rPr>
        <w:t>The Company identified an embedded derivative resulting from the change of control provision in the CFF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 (range of $0 to $10.6 million at December 31, 2020), the probability of a change of control event, the probability of the product achieving development or commercial status at time of change of control (range of 3.4% to 12.3% at December 31, 2020) and the discount rate (14% at December 31, 2020). The Company determined the estimated fair value of this liability as of the inception date of the CFF Agreement and concluded that the amount was immaterial. The Company determined the fair value of this derivative liability was $0.1 million as of December 31, 2020 and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Related Party Transactions</w:t>
      </w:r>
    </w:p>
    <w:p>
      <w:pPr>
        <w:spacing w:after="0" w:line="126" w:lineRule="exact"/>
        <w:rPr>
          <w:sz w:val="20"/>
          <w:szCs w:val="20"/>
          <w:color w:val="auto"/>
        </w:rPr>
      </w:pPr>
    </w:p>
    <w:p>
      <w:pPr>
        <w:ind w:right="20" w:firstLine="734"/>
        <w:spacing w:after="0" w:line="238" w:lineRule="auto"/>
        <w:rPr>
          <w:sz w:val="20"/>
          <w:szCs w:val="20"/>
          <w:color w:val="auto"/>
        </w:rPr>
      </w:pPr>
      <w:r>
        <w:rPr>
          <w:rFonts w:ascii="Arial" w:cs="Arial" w:eastAsia="Arial" w:hAnsi="Arial"/>
          <w:sz w:val="18"/>
          <w:szCs w:val="18"/>
          <w:color w:val="auto"/>
        </w:rPr>
        <w:t>In August 2019, the Company and uniQure entered into the amended uniQure Agreement and the Second uniQure Agreement. Under these agreements, the Company agreed to transfer incremental rights and services to uniQure in exchange for uniQure eliminating the exclusivity clause in the uniQure Agreement and transferring other rights back to the Company. Further details and the accounting for these agreements is discussed in Note 6. As of June 17, 2020, uniQure is no longer a related party of the Company.</w:t>
      </w:r>
    </w:p>
    <w:p>
      <w:pPr>
        <w:spacing w:after="0" w:line="205" w:lineRule="exact"/>
        <w:rPr>
          <w:sz w:val="20"/>
          <w:szCs w:val="20"/>
          <w:color w:val="auto"/>
        </w:rPr>
      </w:pPr>
    </w:p>
    <w:p>
      <w:pPr>
        <w:ind w:right="200" w:firstLine="734"/>
        <w:spacing w:after="0" w:line="237" w:lineRule="auto"/>
        <w:rPr>
          <w:sz w:val="20"/>
          <w:szCs w:val="20"/>
          <w:color w:val="auto"/>
        </w:rPr>
      </w:pPr>
      <w:r>
        <w:rPr>
          <w:rFonts w:ascii="Arial" w:cs="Arial" w:eastAsia="Arial" w:hAnsi="Arial"/>
          <w:sz w:val="18"/>
          <w:szCs w:val="18"/>
          <w:color w:val="auto"/>
        </w:rPr>
        <w:t>As of December 31, 2019, Pfizer owned 1,474,992 shares of the Company’s redeemable convertible preferred stock and had a representative director on the Company’s board of directors. In April 2020, as part of Series C Preferred Stock Purchase Agreement, Pfizer acquired 166,666 shares of the Company’s redeemable convertible preferred stock. On December 11, 2020 upon completion of the IPO, Pfizer’s 1,641,658 shares of redeemable convertible preferred stock were converted into 1,641,658 shares of common stock. Pfizer also acquired additional 25,000 shares of common stock at $23.00 per share during the IPO. As of December 31, 2020, Pfizer owns 1,666,658 shares of common stock and has a representative director on the Company’s board of directors.</w:t>
      </w:r>
    </w:p>
    <w:p>
      <w:pPr>
        <w:spacing w:after="0" w:line="205" w:lineRule="exact"/>
        <w:rPr>
          <w:sz w:val="20"/>
          <w:szCs w:val="20"/>
          <w:color w:val="auto"/>
        </w:rPr>
      </w:pPr>
    </w:p>
    <w:p>
      <w:pPr>
        <w:ind w:right="40" w:firstLine="734"/>
        <w:spacing w:after="0" w:line="238" w:lineRule="auto"/>
        <w:rPr>
          <w:sz w:val="20"/>
          <w:szCs w:val="20"/>
          <w:color w:val="auto"/>
        </w:rPr>
      </w:pPr>
      <w:r>
        <w:rPr>
          <w:rFonts w:ascii="Arial" w:cs="Arial" w:eastAsia="Arial" w:hAnsi="Arial"/>
          <w:sz w:val="18"/>
          <w:szCs w:val="18"/>
          <w:color w:val="auto"/>
        </w:rPr>
        <w:t>In the years ended December 31, 2020 and 2019, the Company paid $93,000 and $52,000, respectively, to David Schaffer, PhD, the co-founder and Chief Scientific Advisor of the Company for consulting services. In April 2019, the Company entered into two sponsored research agreements (“SRAs”) with the UC Regents to conduct research in a research facility on the Berkeley campus, under the direction of Dr. Schaffer. The SRAs have a three year term ending in May 2022. Under the SRAs, the Company has an option to license (on a royalty-bearing basis) all intellectual property generated under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00" w:name="page201"/>
    <w:bookmarkEnd w:id="200"/>
    <w:p>
      <w:pPr>
        <w:ind w:right="100"/>
        <w:spacing w:after="0" w:line="238" w:lineRule="auto"/>
        <w:rPr>
          <w:sz w:val="20"/>
          <w:szCs w:val="20"/>
          <w:color w:val="auto"/>
        </w:rPr>
      </w:pPr>
      <w:r>
        <w:rPr>
          <w:rFonts w:ascii="Arial" w:cs="Arial" w:eastAsia="Arial" w:hAnsi="Arial"/>
          <w:sz w:val="18"/>
          <w:szCs w:val="18"/>
          <w:color w:val="auto"/>
        </w:rPr>
        <w:t>the SRAs. The total amount the Company is committed to pay to the UC Regents under the SRAs is $1.5 million, of which $1.0 million and $0.4 million was paid as of December 31, 2020 and 2019, respectively. In the years ended December 31, 2020 and 2019, the Company recorded $0.5 million and $0.3 million, respectively, of expense related to SRAs. As of December 31, 2020 and 2019, accounts payable related to the SRAs was $0.2 million and $0.3 million, respectively. Any patent prosecution costs incurred under the SRAs will also be borne by the Company. The Company can terminate the SRAs for convenience and without cause with 60 days’ notice.</w:t>
      </w:r>
    </w:p>
    <w:p>
      <w:pPr>
        <w:spacing w:after="0" w:line="202" w:lineRule="exact"/>
        <w:rPr>
          <w:sz w:val="20"/>
          <w:szCs w:val="20"/>
          <w:color w:val="auto"/>
        </w:rPr>
      </w:pPr>
    </w:p>
    <w:p>
      <w:pPr>
        <w:ind w:right="140" w:firstLine="734"/>
        <w:spacing w:after="0" w:line="255" w:lineRule="auto"/>
        <w:rPr>
          <w:sz w:val="20"/>
          <w:szCs w:val="20"/>
          <w:color w:val="auto"/>
        </w:rPr>
      </w:pPr>
      <w:r>
        <w:rPr>
          <w:rFonts w:ascii="Arial" w:cs="Arial" w:eastAsia="Arial" w:hAnsi="Arial"/>
          <w:sz w:val="17"/>
          <w:szCs w:val="17"/>
          <w:color w:val="auto"/>
        </w:rPr>
        <w:t>In 2016, the Chief Executive Officer and several other employees of the Company founded Ignite Immunotherapy (“Ignite”). From 2016 through October 2019, the Company’s Chief Executive Officer served as the Chief Executive Officer and Executive Chairman of Ignite and certain executives of the Company held ownership interests in Ignite and were members of the board of directors of Ignite. Additionally, during this time period, Pfizer, which is a related party of the Company, held a significant equity stake in Ignite. There were no transactions between the Company and Ignite from 2016 to October 2019. As of October 18, 2019, Ignite was no longer a related party of the Company.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401(k) Plan</w:t>
      </w:r>
    </w:p>
    <w:p>
      <w:pPr>
        <w:spacing w:after="0" w:line="126" w:lineRule="exact"/>
        <w:rPr>
          <w:sz w:val="20"/>
          <w:szCs w:val="20"/>
          <w:color w:val="auto"/>
        </w:rPr>
      </w:pPr>
    </w:p>
    <w:p>
      <w:pPr>
        <w:ind w:firstLine="734"/>
        <w:spacing w:after="0" w:line="238" w:lineRule="auto"/>
        <w:rPr>
          <w:sz w:val="20"/>
          <w:szCs w:val="20"/>
          <w:color w:val="auto"/>
        </w:rPr>
      </w:pPr>
      <w:r>
        <w:rPr>
          <w:rFonts w:ascii="Arial" w:cs="Arial" w:eastAsia="Arial" w:hAnsi="Arial"/>
          <w:sz w:val="18"/>
          <w:szCs w:val="18"/>
          <w:color w:val="auto"/>
        </w:rPr>
        <w:t>In 2014, the Company adopted a 401(k) plan for all employees who have met certain eligibility requirements. The 401(k) plan allows employees to make pre-tax and post-tax contributions up to the maximum allowable amount set by the Internal Revenue Service. The Company made contributions to the Plan for eligible participants, and recorded contribution expenses of $0.4 million and $0.3 million for the years ended December 31, 2020 and 2019, respectively.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320" w:top="571" w:right="35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4.1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12 OF THE SECURITIES EXCHANGE ACT OF 1934</w:t>
      </w:r>
    </w:p>
    <w:p>
      <w:pPr>
        <w:spacing w:after="0" w:line="212" w:lineRule="exact"/>
        <w:rPr>
          <w:sz w:val="20"/>
          <w:szCs w:val="20"/>
          <w:color w:val="auto"/>
        </w:rPr>
      </w:pPr>
    </w:p>
    <w:p>
      <w:pPr>
        <w:ind w:right="360" w:firstLine="864"/>
        <w:spacing w:after="0" w:line="246" w:lineRule="auto"/>
        <w:rPr>
          <w:sz w:val="20"/>
          <w:szCs w:val="20"/>
          <w:color w:val="auto"/>
        </w:rPr>
      </w:pPr>
      <w:r>
        <w:rPr>
          <w:rFonts w:ascii="Arial" w:cs="Arial" w:eastAsia="Arial" w:hAnsi="Arial"/>
          <w:sz w:val="18"/>
          <w:szCs w:val="18"/>
          <w:color w:val="auto"/>
        </w:rPr>
        <w:t>As of December 31, 2020, 4D Molecular Therapeutics, Inc. had one class of common stock registered under Section 12 of the Securities Exchange Act of 1934, as amended (the “Exchange Act”).</w:t>
      </w:r>
    </w:p>
    <w:p>
      <w:pPr>
        <w:spacing w:after="0" w:line="197" w:lineRule="exact"/>
        <w:rPr>
          <w:sz w:val="20"/>
          <w:szCs w:val="20"/>
          <w:color w:val="auto"/>
        </w:rPr>
      </w:pPr>
    </w:p>
    <w:p>
      <w:pPr>
        <w:ind w:firstLine="864"/>
        <w:spacing w:after="0" w:line="237" w:lineRule="auto"/>
        <w:rPr>
          <w:sz w:val="20"/>
          <w:szCs w:val="20"/>
          <w:color w:val="auto"/>
        </w:rPr>
      </w:pPr>
      <w:r>
        <w:rPr>
          <w:rFonts w:ascii="Arial" w:cs="Arial" w:eastAsia="Arial" w:hAnsi="Arial"/>
          <w:sz w:val="18"/>
          <w:szCs w:val="18"/>
          <w:color w:val="auto"/>
        </w:rPr>
        <w:t>The following summary describes our capital stock and the material provisions of our amended and restated certificate of incorporation, our amended and restated bylaws, the amended and restated investors’ rights agreement to which we and certain of our stockholders are parties, and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each of which is incorporated herein by reference as an exhibit to the Annual Report on Form 10-K filed with the Securities and Exchange Commission, of which this Exhibit 4.1 is a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34" w:lineRule="exact"/>
        <w:rPr>
          <w:sz w:val="20"/>
          <w:szCs w:val="20"/>
          <w:color w:val="auto"/>
        </w:rPr>
      </w:pPr>
    </w:p>
    <w:p>
      <w:pPr>
        <w:ind w:right="300" w:firstLine="864"/>
        <w:spacing w:after="0"/>
        <w:rPr>
          <w:sz w:val="20"/>
          <w:szCs w:val="20"/>
          <w:color w:val="auto"/>
        </w:rPr>
      </w:pPr>
      <w:r>
        <w:rPr>
          <w:rFonts w:ascii="Arial" w:cs="Arial" w:eastAsia="Arial" w:hAnsi="Arial"/>
          <w:sz w:val="18"/>
          <w:szCs w:val="18"/>
          <w:color w:val="auto"/>
        </w:rPr>
        <w:t>Our authorized capital stock consists of 300,000,000 shares of common stock, par value $0.0001 per share, and 10,000,000 shares of preferred stock, par value $0.0001 per share. Unless our board of directors determines otherwise, we will issue all shares of our capital stock in uncertificated form.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December 31, 2020, there were 93 holders of record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30" w:lineRule="exact"/>
        <w:rPr>
          <w:sz w:val="20"/>
          <w:szCs w:val="20"/>
          <w:color w:val="auto"/>
        </w:rPr>
      </w:pPr>
    </w:p>
    <w:p>
      <w:pPr>
        <w:ind w:right="80" w:firstLine="864"/>
        <w:spacing w:after="0" w:line="237"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0" w:lineRule="exact"/>
        <w:rPr>
          <w:sz w:val="20"/>
          <w:szCs w:val="20"/>
          <w:color w:val="auto"/>
        </w:rPr>
      </w:pPr>
    </w:p>
    <w:p>
      <w:pPr>
        <w:ind w:right="200" w:firstLine="864"/>
        <w:spacing w:after="0" w:line="246"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30" w:lineRule="exact"/>
        <w:rPr>
          <w:sz w:val="20"/>
          <w:szCs w:val="20"/>
          <w:color w:val="auto"/>
        </w:rPr>
      </w:pPr>
    </w:p>
    <w:p>
      <w:pPr>
        <w:jc w:val="both"/>
        <w:ind w:right="320" w:firstLine="864"/>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230" w:lineRule="exact"/>
        <w:rPr>
          <w:sz w:val="20"/>
          <w:szCs w:val="20"/>
          <w:color w:val="auto"/>
        </w:rPr>
      </w:pPr>
    </w:p>
    <w:p>
      <w:pPr>
        <w:ind w:right="20" w:firstLine="864"/>
        <w:spacing w:after="0"/>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affected by the rights of the holders of shares of any series of our preferred stock that we may designate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 Paid and Nonassessable</w:t>
      </w:r>
    </w:p>
    <w:p>
      <w:pPr>
        <w:spacing w:after="0" w:line="2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234" w:lineRule="exact"/>
        <w:rPr>
          <w:sz w:val="20"/>
          <w:szCs w:val="20"/>
          <w:color w:val="auto"/>
        </w:rPr>
      </w:pPr>
    </w:p>
    <w:p>
      <w:pPr>
        <w:ind w:firstLine="864"/>
        <w:spacing w:after="0" w:line="236"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or other corporate action. As of December 31, 2020, no shares of preferred stock are outstanding, and we have no present plan to issue any shares of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160" w:firstLine="864"/>
        <w:spacing w:after="0" w:line="238" w:lineRule="auto"/>
        <w:rPr>
          <w:sz w:val="20"/>
          <w:szCs w:val="20"/>
          <w:color w:val="auto"/>
        </w:rPr>
      </w:pPr>
      <w:r>
        <w:rPr>
          <w:rFonts w:ascii="Arial" w:cs="Arial" w:eastAsia="Arial" w:hAnsi="Arial"/>
          <w:sz w:val="18"/>
          <w:szCs w:val="18"/>
          <w:color w:val="auto"/>
        </w:rPr>
        <w:t>Under our amended and restated investors’ rights agreement, based on the number of shares outstanding as of December 31, 2020, the holders of 11.6 million shares of our common stock, or their transferees, have the right to require us to register their shares under the Securities Act of 1933 (the “Securities Act”) so that those shares may be publicly resold, and the holders of 11.6 million shares of our common stock, or their transferees, have the right to include their shares in any registration statement we file, in each case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30" w:lineRule="exact"/>
        <w:rPr>
          <w:sz w:val="20"/>
          <w:szCs w:val="20"/>
          <w:color w:val="auto"/>
        </w:rPr>
      </w:pPr>
    </w:p>
    <w:p>
      <w:pPr>
        <w:ind w:firstLine="864"/>
        <w:spacing w:after="0" w:line="237" w:lineRule="auto"/>
        <w:rPr>
          <w:sz w:val="20"/>
          <w:szCs w:val="20"/>
          <w:color w:val="auto"/>
        </w:rPr>
      </w:pPr>
      <w:r>
        <w:rPr>
          <w:rFonts w:ascii="Arial" w:cs="Arial" w:eastAsia="Arial" w:hAnsi="Arial"/>
          <w:sz w:val="18"/>
          <w:szCs w:val="18"/>
          <w:color w:val="auto"/>
        </w:rPr>
        <w:t>Based on the number of shares outstanding as of December 31, 2020, the holders of 11.6 million shares of our common stock (on an as-converted basis), or their transferees, were entitled to certain demand registration rights. Beginning 180 days following our initial public offering completed December 11, 2020, the holders of at least 50% of these shares can, on not more than two occasions, request that we register all or a portion of their shares if the aggregate price to the public of the shares offered is at least $30.0 million (before deductions of underwriters’ commissions and expenses). Additionally, we will not be required to effect a demand registration during the period beginning 60 days prior to the filing and ending 180 days following the effectiveness of a company-initiated registration statement relating to an initial public offering of our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30" w:lineRule="exact"/>
        <w:rPr>
          <w:sz w:val="20"/>
          <w:szCs w:val="20"/>
          <w:color w:val="auto"/>
        </w:rPr>
      </w:pPr>
    </w:p>
    <w:p>
      <w:pPr>
        <w:ind w:firstLine="864"/>
        <w:spacing w:after="0" w:line="236" w:lineRule="auto"/>
        <w:rPr>
          <w:sz w:val="20"/>
          <w:szCs w:val="20"/>
          <w:color w:val="auto"/>
        </w:rPr>
      </w:pPr>
      <w:r>
        <w:rPr>
          <w:rFonts w:ascii="Arial" w:cs="Arial" w:eastAsia="Arial" w:hAnsi="Arial"/>
          <w:sz w:val="18"/>
          <w:szCs w:val="18"/>
          <w:color w:val="auto"/>
        </w:rPr>
        <w:t>Based on the number of shares outstanding as of December 31, 2020, in the event that we determine to register any of our securities under the Securities Act (subject to certain exceptions), either for our own account or for the account of other security holders, the holders of 11.6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exclude or limit the number of shares such holders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748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i w:val="1"/>
          <w:iCs w:val="1"/>
          <w:color w:val="auto"/>
        </w:rPr>
        <w:t>Form S-3 Registration Rights</w:t>
      </w:r>
    </w:p>
    <w:p>
      <w:pPr>
        <w:spacing w:after="0" w:line="230" w:lineRule="exact"/>
        <w:rPr>
          <w:sz w:val="20"/>
          <w:szCs w:val="20"/>
          <w:color w:val="auto"/>
        </w:rPr>
      </w:pPr>
    </w:p>
    <w:p>
      <w:pPr>
        <w:ind w:firstLine="864"/>
        <w:spacing w:after="0" w:line="237" w:lineRule="auto"/>
        <w:rPr>
          <w:sz w:val="20"/>
          <w:szCs w:val="20"/>
          <w:color w:val="auto"/>
        </w:rPr>
      </w:pPr>
      <w:r>
        <w:rPr>
          <w:rFonts w:ascii="Arial" w:cs="Arial" w:eastAsia="Arial" w:hAnsi="Arial"/>
          <w:sz w:val="18"/>
          <w:szCs w:val="18"/>
          <w:color w:val="auto"/>
        </w:rPr>
        <w:t>Based on the number of shares outstanding as of December 31, 2020, the holders of 11.6 million shares of our common stock (on an as-converted basis), or their transferees, will be entitled to certain Form S-3 registration rights. The holders of at least 30% of the registrable securities then outstanding of these shares can make a written request that we register their shares on Form S-3 if we are eligible to file a registration statement on Form S-3 and if the aggregate price to the public of the shares offered is at least $5.0 million (before deductions of underwriters’ commissions and expenses). These stockholders may make an unlimited number of requests for registration on Form S-3, but in no event shall we be required to file more than two registrations on Form S-3 in any given twelve-month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of Registration</w:t>
      </w:r>
    </w:p>
    <w:p>
      <w:pPr>
        <w:spacing w:after="0" w:line="230" w:lineRule="exact"/>
        <w:rPr>
          <w:sz w:val="20"/>
          <w:szCs w:val="20"/>
          <w:color w:val="auto"/>
        </w:rPr>
      </w:pPr>
    </w:p>
    <w:p>
      <w:pPr>
        <w:ind w:right="280" w:firstLine="864"/>
        <w:spacing w:after="0"/>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the expenses in an amount not to exceed $25,000 of one special counsel for the selling 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Registration Rights</w:t>
      </w:r>
    </w:p>
    <w:p>
      <w:pPr>
        <w:spacing w:after="0" w:line="230"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The demand, piggyback and Form S-3 registration rights described above will expire, with respect to any particular stockholder, upon the earlier of five years after the consummation of our initial public offering or when that stockholder can sell all of its shares under Rule 144 of the Securities Act during any three-month period (and without the requirement for us to be in compliance with the current public information required under Section c(1) of Rule 144 of the Securities Act).</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76" w:lineRule="exact"/>
        <w:rPr>
          <w:sz w:val="20"/>
          <w:szCs w:val="20"/>
          <w:color w:val="auto"/>
        </w:rPr>
      </w:pPr>
    </w:p>
    <w:p>
      <w:pPr>
        <w:ind w:firstLine="864"/>
        <w:spacing w:after="0" w:line="238"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2" w:lineRule="exact"/>
        <w:rPr>
          <w:sz w:val="20"/>
          <w:szCs w:val="20"/>
          <w:color w:val="auto"/>
        </w:rPr>
      </w:pPr>
    </w:p>
    <w:p>
      <w:pPr>
        <w:ind w:right="20" w:firstLine="864"/>
        <w:spacing w:after="0" w:line="238"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230" w:lineRule="exact"/>
        <w:rPr>
          <w:sz w:val="20"/>
          <w:szCs w:val="20"/>
          <w:color w:val="auto"/>
        </w:rPr>
      </w:pPr>
    </w:p>
    <w:p>
      <w:pPr>
        <w:ind w:right="60" w:firstLine="864"/>
        <w:spacing w:after="0" w:line="236"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directors, such as discouraging takeover attempts that might result in a premium over the market price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Undesignated Preferred Stock</w:t>
      </w:r>
    </w:p>
    <w:p>
      <w:pPr>
        <w:spacing w:after="0" w:line="230" w:lineRule="exact"/>
        <w:rPr>
          <w:sz w:val="20"/>
          <w:szCs w:val="20"/>
          <w:color w:val="auto"/>
        </w:rPr>
      </w:pPr>
    </w:p>
    <w:p>
      <w:pPr>
        <w:jc w:val="both"/>
        <w:ind w:right="180" w:firstLine="864"/>
        <w:spacing w:after="0"/>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230" w:lineRule="exact"/>
        <w:rPr>
          <w:sz w:val="20"/>
          <w:szCs w:val="20"/>
          <w:color w:val="auto"/>
        </w:rPr>
      </w:pPr>
    </w:p>
    <w:p>
      <w:pPr>
        <w:ind w:firstLine="864"/>
        <w:spacing w:after="0"/>
        <w:rPr>
          <w:sz w:val="20"/>
          <w:szCs w:val="20"/>
          <w:color w:val="auto"/>
        </w:rPr>
      </w:pPr>
      <w:r>
        <w:rPr>
          <w:rFonts w:ascii="Arial" w:cs="Arial" w:eastAsia="Arial" w:hAnsi="Arial"/>
          <w:sz w:val="18"/>
          <w:szCs w:val="18"/>
          <w:color w:val="auto"/>
        </w:rPr>
        <w:t>Our amended and restated bylaws provide that a special meeting of stockholders may be called at any time by our board of directors, or our President or Chief Executive Officer, but such special meetings may not be called by our stockholders or any other person or persons.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30" w:lineRule="exact"/>
        <w:rPr>
          <w:sz w:val="20"/>
          <w:szCs w:val="20"/>
          <w:color w:val="auto"/>
        </w:rPr>
      </w:pPr>
    </w:p>
    <w:p>
      <w:pPr>
        <w:ind w:right="40" w:firstLine="864"/>
        <w:spacing w:after="0"/>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30" w:lineRule="exact"/>
        <w:rPr>
          <w:sz w:val="20"/>
          <w:szCs w:val="20"/>
          <w:color w:val="auto"/>
        </w:rPr>
      </w:pPr>
    </w:p>
    <w:p>
      <w:pPr>
        <w:ind w:right="620" w:firstLine="864"/>
        <w:spacing w:after="0" w:line="246" w:lineRule="auto"/>
        <w:rPr>
          <w:sz w:val="20"/>
          <w:szCs w:val="20"/>
          <w:color w:val="auto"/>
        </w:rPr>
      </w:pPr>
      <w:r>
        <w:rPr>
          <w:rFonts w:ascii="Arial" w:cs="Arial" w:eastAsia="Arial" w:hAnsi="Arial"/>
          <w:sz w:val="18"/>
          <w:szCs w:val="18"/>
          <w:color w:val="auto"/>
        </w:rPr>
        <w:t>Our amended and restated certificate of incorporation and our amended and restated bylaws do not provide for the right of stockholders to act by written consent without a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Election and Removal of Directors; Filling Vacancies</w:t>
      </w:r>
    </w:p>
    <w:p>
      <w:pPr>
        <w:spacing w:after="0" w:line="230" w:lineRule="exact"/>
        <w:rPr>
          <w:sz w:val="20"/>
          <w:szCs w:val="20"/>
          <w:color w:val="auto"/>
        </w:rPr>
      </w:pPr>
    </w:p>
    <w:p>
      <w:pPr>
        <w:ind w:right="20" w:firstLine="864"/>
        <w:spacing w:after="0" w:line="236"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our board of directors, may only be filled by a resolution of our board of directors unless our board of directors determines that such vacancies shall be filled by our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230" w:lineRule="exact"/>
        <w:rPr>
          <w:sz w:val="20"/>
          <w:szCs w:val="20"/>
          <w:color w:val="auto"/>
        </w:rPr>
      </w:pPr>
    </w:p>
    <w:p>
      <w:pPr>
        <w:ind w:right="20" w:firstLine="864"/>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748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5" w:name="page206"/>
    <w:bookmarkEnd w:id="205"/>
    <w:p>
      <w:pPr>
        <w:spacing w:after="0" w:line="236" w:lineRule="auto"/>
        <w:rPr>
          <w:sz w:val="20"/>
          <w:szCs w:val="20"/>
          <w:color w:val="auto"/>
        </w:rPr>
      </w:pPr>
      <w:r>
        <w:rPr>
          <w:rFonts w:ascii="Arial" w:cs="Arial" w:eastAsia="Arial" w:hAnsi="Arial"/>
          <w:sz w:val="18"/>
          <w:szCs w:val="18"/>
          <w:color w:val="auto"/>
        </w:rPr>
        <w:t>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207" w:lineRule="exact"/>
        <w:rPr>
          <w:sz w:val="20"/>
          <w:szCs w:val="20"/>
          <w:color w:val="auto"/>
        </w:rPr>
      </w:pPr>
    </w:p>
    <w:p>
      <w:pPr>
        <w:ind w:right="40" w:firstLine="864"/>
        <w:spacing w:after="0" w:line="236" w:lineRule="auto"/>
        <w:rPr>
          <w:sz w:val="20"/>
          <w:szCs w:val="20"/>
          <w:color w:val="auto"/>
        </w:rPr>
      </w:pPr>
      <w:r>
        <w:rPr>
          <w:rFonts w:ascii="Arial" w:cs="Arial" w:eastAsia="Arial" w:hAnsi="Arial"/>
          <w:sz w:val="18"/>
          <w:szCs w:val="18"/>
          <w:color w:val="auto"/>
        </w:rPr>
        <w:t>If any action the subject matter of which is within the scope described above is filed in a court other than a court located within the State of Delaware, or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208" w:lineRule="exact"/>
        <w:rPr>
          <w:sz w:val="20"/>
          <w:szCs w:val="20"/>
          <w:color w:val="auto"/>
        </w:rPr>
      </w:pPr>
    </w:p>
    <w:p>
      <w:pPr>
        <w:ind w:right="20" w:firstLine="864"/>
        <w:spacing w:after="0" w:line="23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Provisions</w:t>
      </w:r>
    </w:p>
    <w:p>
      <w:pPr>
        <w:spacing w:after="0" w:line="230" w:lineRule="exact"/>
        <w:rPr>
          <w:sz w:val="20"/>
          <w:szCs w:val="20"/>
          <w:color w:val="auto"/>
        </w:rPr>
      </w:pPr>
    </w:p>
    <w:p>
      <w:pPr>
        <w:ind w:right="180" w:firstLine="864"/>
        <w:spacing w:after="0"/>
        <w:rPr>
          <w:sz w:val="20"/>
          <w:szCs w:val="20"/>
          <w:color w:val="auto"/>
        </w:rPr>
      </w:pPr>
      <w:r>
        <w:rPr>
          <w:rFonts w:ascii="Arial" w:cs="Arial" w:eastAsia="Arial" w:hAnsi="Arial"/>
          <w:sz w:val="18"/>
          <w:szCs w:val="18"/>
          <w:color w:val="auto"/>
        </w:rPr>
        <w:t>The amendment of any of the above provisions in our amended and restated certificate of incorporation, except for the provision making it possible for our board of directors to issue undesignated preferred stock, would require approval by a stockholder vote by the holders of at least a 66 2/3% of the voting power of the then outstanding voting stock.</w:t>
      </w:r>
    </w:p>
    <w:p>
      <w:pPr>
        <w:spacing w:after="0" w:line="203" w:lineRule="exact"/>
        <w:rPr>
          <w:sz w:val="20"/>
          <w:szCs w:val="20"/>
          <w:color w:val="auto"/>
        </w:rPr>
      </w:pPr>
    </w:p>
    <w:p>
      <w:pPr>
        <w:ind w:right="40" w:firstLine="864"/>
        <w:spacing w:after="0" w:line="238"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4" w:lineRule="exact"/>
        <w:rPr>
          <w:sz w:val="20"/>
          <w:szCs w:val="20"/>
          <w:color w:val="auto"/>
        </w:rPr>
      </w:pPr>
    </w:p>
    <w:p>
      <w:pPr>
        <w:ind w:firstLine="864"/>
        <w:spacing w:after="0"/>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203" w:lineRule="exact"/>
        <w:rPr>
          <w:sz w:val="20"/>
          <w:szCs w:val="20"/>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11" w:lineRule="exact"/>
        <w:rPr>
          <w:rFonts w:ascii="Arial" w:cs="Arial" w:eastAsia="Arial" w:hAnsi="Arial"/>
          <w:sz w:val="18"/>
          <w:szCs w:val="18"/>
          <w:color w:val="auto"/>
        </w:rPr>
      </w:pPr>
    </w:p>
    <w:p>
      <w:pPr>
        <w:ind w:left="1300" w:hanging="442"/>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748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6" w:name="page207"/>
    <w:bookmarkEnd w:id="206"/>
    <w:p>
      <w:pPr>
        <w:ind w:left="1300" w:right="260" w:hanging="442"/>
        <w:spacing w:after="0" w:line="245"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57" w:lineRule="exact"/>
        <w:rPr>
          <w:rFonts w:ascii="Arial" w:cs="Arial" w:eastAsia="Arial" w:hAnsi="Arial"/>
          <w:sz w:val="18"/>
          <w:szCs w:val="18"/>
          <w:color w:val="auto"/>
        </w:rPr>
      </w:pPr>
    </w:p>
    <w:p>
      <w:pPr>
        <w:ind w:left="1300" w:hanging="442"/>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52" w:lineRule="exact"/>
        <w:rPr>
          <w:sz w:val="20"/>
          <w:szCs w:val="20"/>
          <w:color w:val="auto"/>
        </w:rPr>
      </w:pPr>
    </w:p>
    <w:p>
      <w:pPr>
        <w:ind w:firstLine="864"/>
        <w:spacing w:after="0" w:line="236" w:lineRule="auto"/>
        <w:rPr>
          <w:sz w:val="20"/>
          <w:szCs w:val="20"/>
          <w:color w:val="auto"/>
        </w:rPr>
      </w:pPr>
      <w:r>
        <w:rPr>
          <w:rFonts w:ascii="Arial" w:cs="Arial" w:eastAsia="Arial" w:hAnsi="Arial"/>
          <w:sz w:val="18"/>
          <w:szCs w:val="18"/>
          <w:color w:val="auto"/>
        </w:rPr>
        <w:t>Each of our amended and restated certificate of incorporation and amended and restated bylaws provide that we are required to indemnify our directors and officers, in each case to the fullest extent permitted by Delaware law. Our amended and restated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206" w:lineRule="exact"/>
        <w:rPr>
          <w:sz w:val="20"/>
          <w:szCs w:val="20"/>
          <w:color w:val="auto"/>
        </w:rPr>
      </w:pPr>
    </w:p>
    <w:p>
      <w:pPr>
        <w:ind w:right="20" w:firstLine="864"/>
        <w:spacing w:after="0" w:line="238"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on the Nasdaq Global Select Market under the symbol “FDMT.”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ind w:right="60" w:firstLine="864"/>
        <w:spacing w:after="0" w:line="24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ectPr>
          <w:pgSz w:w="11900" w:h="16838" w:orient="portrait"/>
          <w:cols w:equalWidth="0" w:num="1">
            <w:col w:w="11220"/>
          </w:cols>
          <w:pgMar w:left="320" w:top="140" w:right="35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ind w:right="860"/>
        <w:spacing w:after="0" w:line="274"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333-251370) of 4D Molecular Therapeutics, Inc. of our report dated March 25, 2021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25, 2021</w:t>
      </w:r>
    </w:p>
    <w:p>
      <w:pPr>
        <w:sectPr>
          <w:pgSz w:w="11900" w:h="16838" w:orient="portrait"/>
          <w:cols w:equalWidth="0" w:num="1">
            <w:col w:w="11240"/>
          </w:cols>
          <w:pgMar w:left="320" w:top="118"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w:t>
      </w:r>
    </w:p>
    <w:p>
      <w:pPr>
        <w:jc w:val="center"/>
        <w:spacing w:after="0" w:line="234" w:lineRule="auto"/>
        <w:rPr>
          <w:sz w:val="20"/>
          <w:szCs w:val="20"/>
          <w:color w:val="auto"/>
        </w:rPr>
      </w:pPr>
      <w:r>
        <w:rPr>
          <w:rFonts w:ascii="Arial" w:cs="Arial" w:eastAsia="Arial" w:hAnsi="Arial"/>
          <w:sz w:val="18"/>
          <w:szCs w:val="18"/>
          <w:b w:val="1"/>
          <w:bCs w:val="1"/>
          <w:color w:val="auto"/>
        </w:rPr>
        <w:t>15d-14(a) UNDER THE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David Kirn, certify that:</w:t>
      </w:r>
    </w:p>
    <w:p>
      <w:pPr>
        <w:spacing w:after="0" w:line="117" w:lineRule="exact"/>
        <w:rPr>
          <w:sz w:val="20"/>
          <w:szCs w:val="20"/>
          <w:color w:val="auto"/>
        </w:rPr>
      </w:pPr>
    </w:p>
    <w:p>
      <w:pPr>
        <w:ind w:left="88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4D Molecular Therapeutics, Inc.;</w:t>
      </w:r>
    </w:p>
    <w:p>
      <w:pPr>
        <w:spacing w:after="0" w:line="157" w:lineRule="exact"/>
        <w:rPr>
          <w:rFonts w:ascii="Arial" w:cs="Arial" w:eastAsia="Arial" w:hAnsi="Arial"/>
          <w:sz w:val="18"/>
          <w:szCs w:val="18"/>
          <w:color w:val="auto"/>
        </w:rPr>
      </w:pPr>
    </w:p>
    <w:p>
      <w:pPr>
        <w:ind w:left="880" w:right="22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880" w:right="2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880" w:hanging="440"/>
        <w:spacing w:after="0" w:line="24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20" w:hanging="442"/>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00" w:hanging="442"/>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157" w:lineRule="exact"/>
        <w:rPr>
          <w:rFonts w:ascii="Arial" w:cs="Arial" w:eastAsia="Arial" w:hAnsi="Arial"/>
          <w:sz w:val="18"/>
          <w:szCs w:val="18"/>
          <w:color w:val="auto"/>
        </w:rPr>
      </w:pPr>
    </w:p>
    <w:p>
      <w:pPr>
        <w:ind w:left="1300" w:right="320" w:hanging="442"/>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300" w:right="80" w:hanging="442"/>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880" w:right="60" w:hanging="440"/>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1300" w:right="440" w:hanging="442"/>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300" w:right="780" w:hanging="442"/>
        <w:spacing w:after="0" w:line="246"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March 25, 2021</w:t>
      </w:r>
      <w:r>
        <w:rPr>
          <w:sz w:val="20"/>
          <w:szCs w:val="20"/>
          <w:color w:val="auto"/>
        </w:rPr>
        <w:tab/>
      </w:r>
      <w:r>
        <w:rPr>
          <w:rFonts w:ascii="Arial" w:cs="Arial" w:eastAsia="Arial" w:hAnsi="Arial"/>
          <w:sz w:val="17"/>
          <w:szCs w:val="17"/>
          <w:color w:val="auto"/>
        </w:rPr>
        <w:t>4D MOLECULAR THERAPEUTICS, INC.</w:t>
      </w:r>
    </w:p>
    <w:p>
      <w:pPr>
        <w:spacing w:after="0" w:line="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Kirn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ind w:left="340" w:right="1940"/>
        <w:spacing w:after="0" w:line="247"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UNDER THE SECURITIES EXCHANGE ACT OF 1934, AS ADOPTED PURSUANT TO SECTION 302 OF THE SARBANES-OXLEY ACT OF 2002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 August J. Moretti, certify that:</w:t>
      </w:r>
    </w:p>
    <w:p>
      <w:pPr>
        <w:spacing w:after="0" w:line="117" w:lineRule="exact"/>
        <w:rPr>
          <w:sz w:val="20"/>
          <w:szCs w:val="20"/>
          <w:color w:val="auto"/>
        </w:rPr>
      </w:pPr>
    </w:p>
    <w:p>
      <w:pPr>
        <w:ind w:left="880" w:hanging="440"/>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4D Molecular Therapeutics, Inc.;</w:t>
      </w:r>
    </w:p>
    <w:p>
      <w:pPr>
        <w:spacing w:after="0" w:line="157" w:lineRule="exact"/>
        <w:rPr>
          <w:rFonts w:ascii="Arial" w:cs="Arial" w:eastAsia="Arial" w:hAnsi="Arial"/>
          <w:sz w:val="18"/>
          <w:szCs w:val="18"/>
          <w:color w:val="auto"/>
        </w:rPr>
      </w:pPr>
    </w:p>
    <w:p>
      <w:pPr>
        <w:ind w:left="880" w:right="220" w:hanging="440"/>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880" w:right="20" w:hanging="440"/>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Arial" w:cs="Arial" w:eastAsia="Arial" w:hAnsi="Arial"/>
          <w:sz w:val="18"/>
          <w:szCs w:val="18"/>
          <w:color w:val="auto"/>
        </w:rPr>
      </w:pPr>
    </w:p>
    <w:p>
      <w:pPr>
        <w:ind w:left="880" w:hanging="440"/>
        <w:spacing w:after="0" w:line="24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1300" w:right="20" w:hanging="442"/>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00" w:hanging="442"/>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[Reserved];</w:t>
      </w:r>
    </w:p>
    <w:p>
      <w:pPr>
        <w:spacing w:after="0" w:line="157" w:lineRule="exact"/>
        <w:rPr>
          <w:rFonts w:ascii="Arial" w:cs="Arial" w:eastAsia="Arial" w:hAnsi="Arial"/>
          <w:sz w:val="18"/>
          <w:szCs w:val="18"/>
          <w:color w:val="auto"/>
        </w:rPr>
      </w:pPr>
    </w:p>
    <w:p>
      <w:pPr>
        <w:ind w:left="1300" w:right="320" w:hanging="442"/>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ind w:left="1300" w:right="80" w:hanging="442"/>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8"/>
          <w:szCs w:val="18"/>
          <w:color w:val="auto"/>
        </w:rPr>
      </w:pPr>
    </w:p>
    <w:p>
      <w:pPr>
        <w:ind w:left="880" w:right="60" w:hanging="440"/>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Arial" w:cs="Arial" w:eastAsia="Arial" w:hAnsi="Arial"/>
          <w:sz w:val="18"/>
          <w:szCs w:val="18"/>
          <w:color w:val="auto"/>
        </w:rPr>
      </w:pPr>
    </w:p>
    <w:p>
      <w:pPr>
        <w:jc w:val="both"/>
        <w:ind w:left="1300" w:right="440" w:hanging="442"/>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1300" w:right="780" w:hanging="442"/>
        <w:spacing w:after="0" w:line="246"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March 25, 2021</w:t>
      </w:r>
      <w:r>
        <w:rPr>
          <w:sz w:val="20"/>
          <w:szCs w:val="20"/>
          <w:color w:val="auto"/>
        </w:rPr>
        <w:tab/>
      </w:r>
      <w:r>
        <w:rPr>
          <w:rFonts w:ascii="Arial" w:cs="Arial" w:eastAsia="Arial" w:hAnsi="Arial"/>
          <w:sz w:val="17"/>
          <w:szCs w:val="17"/>
          <w:color w:val="auto"/>
        </w:rPr>
        <w:t>4D MOLECULAR THERAPEUTICS, INC.</w:t>
      </w:r>
    </w:p>
    <w:p>
      <w:pPr>
        <w:spacing w:after="0" w:line="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August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August J. Moretti</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3"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connection with the Annual Report on Form 10-K (the “Annual Report”) of 4D Molecular Therapeutics, Inc. (the “Company”) for the year ended December 31, 2020, David Kirn, as Chief Executive Officer of the Company, and August J. Moretti, as Chief Financial Officer of the Company, each hereby certify, pursuant to 18 U.S.C. Section 1350, as adopted pursuant to Section 906 of the Sarbanes-Oxley Act of 2002, that, to the best of his knowledge:</w:t>
      </w:r>
    </w:p>
    <w:p>
      <w:pPr>
        <w:spacing w:after="0" w:line="205" w:lineRule="exact"/>
        <w:rPr>
          <w:sz w:val="20"/>
          <w:szCs w:val="20"/>
          <w:color w:val="auto"/>
        </w:rPr>
      </w:pPr>
    </w:p>
    <w:p>
      <w:pPr>
        <w:ind w:left="880" w:right="400" w:hanging="440"/>
        <w:spacing w:after="0" w:line="24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Company’s Annual Report for the year ended December 31, 2020 fully complies with the requirements of Section 13(a) or 15(d) of the Securities Exchange Act of 1934, as amended; and</w:t>
      </w:r>
    </w:p>
    <w:p>
      <w:pPr>
        <w:spacing w:after="0" w:line="196" w:lineRule="exact"/>
        <w:rPr>
          <w:rFonts w:ascii="Arial" w:cs="Arial" w:eastAsia="Arial" w:hAnsi="Arial"/>
          <w:sz w:val="18"/>
          <w:szCs w:val="18"/>
          <w:color w:val="auto"/>
        </w:rPr>
      </w:pPr>
    </w:p>
    <w:p>
      <w:pPr>
        <w:ind w:left="880" w:right="500" w:hanging="440"/>
        <w:spacing w:after="0" w:line="24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such Annual Report fairly presents, in all material respects, the financial condition and results of operations of 4D Molecular Therapeutics,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2021</w:t>
      </w:r>
    </w:p>
    <w:p>
      <w:pPr>
        <w:spacing w:after="0" w:line="212"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-1905</wp:posOffset>
            </wp:positionV>
            <wp:extent cx="32658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David Kirn</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2021</w:t>
      </w:r>
    </w:p>
    <w:p>
      <w:pPr>
        <w:spacing w:after="0" w:line="212"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August J.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-1905</wp:posOffset>
            </wp:positionV>
            <wp:extent cx="32658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August J. Moretti</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4"/>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3"/>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2"/>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4"/>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lvl w:ilvl="1">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1)"/>
      <w:numFmt w:val="decimal"/>
      <w:start w:val="2"/>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1)"/>
      <w:numFmt w:val="lowerRoman"/>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1)"/>
      <w:numFmt w:val="lowerLetter"/>
      <w:start w:val="1"/>
    </w:lvl>
    <w:lvl w:ilvl="1">
      <w:lvlJc w:val="left"/>
      <w:lvlText w:val="(%2)"/>
      <w:numFmt w:val="decimal"/>
      <w:start w:val="1"/>
    </w:lvl>
  </w:abstractNum>
  <w:abstractNum w:abstractNumId="81">
    <w:nsid w:val="46B7D447"/>
    <w:multiLevelType w:val="hybridMultilevel"/>
    <w:lvl w:ilvl="0">
      <w:lvlJc w:val="left"/>
      <w:lvlText w:val="%1"/>
      <w:numFmt w:val="decimal"/>
      <w:start w:val="104"/>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1."/>
      <w:numFmt w:val="decimal"/>
      <w:start w:val="2"/>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1)"/>
      <w:numFmt w:val="lowerRoman"/>
      <w:start w:val="3"/>
    </w:lvl>
  </w:abstractNum>
  <w:abstractNum w:abstractNumId="89">
    <w:nsid w:val="7F01579B"/>
    <w:multiLevelType w:val="hybridMultilevel"/>
    <w:lvl w:ilvl="0">
      <w:lvlJc w:val="left"/>
      <w:lvlText w:val="%1."/>
      <w:numFmt w:val="decimal"/>
      <w:start w:val="5"/>
    </w:lvl>
  </w:abstractNum>
  <w:abstractNum w:abstractNumId="90">
    <w:nsid w:val="49DA307D"/>
    <w:multiLevelType w:val="hybridMultilevel"/>
    <w:lvl w:ilvl="0">
      <w:lvlJc w:val="left"/>
      <w:lvlText w:val="(%1)"/>
      <w:numFmt w:val="lowerRoman"/>
      <w:start w:val="1"/>
    </w:lvl>
  </w:abstractNum>
  <w:abstractNum w:abstractNumId="91">
    <w:nsid w:val="7055A5F5"/>
    <w:multiLevelType w:val="hybridMultilevel"/>
    <w:lvl w:ilvl="0">
      <w:lvlJc w:val="left"/>
      <w:lvlText w:val="(%1)"/>
      <w:numFmt w:val="lowerRoman"/>
      <w:start w:val="3"/>
    </w:lvl>
  </w:abstractNum>
  <w:abstractNum w:abstractNumId="92">
    <w:nsid w:val="5FB8370B"/>
    <w:multiLevelType w:val="hybridMultilevel"/>
    <w:lvl w:ilvl="0">
      <w:lvlJc w:val="left"/>
      <w:lvlText w:val="(%1)"/>
      <w:numFmt w:val="lowerRoman"/>
      <w:start w:val="2"/>
    </w:lvl>
  </w:abstractNum>
  <w:abstractNum w:abstractNumId="93">
    <w:nsid w:val="50801EE1"/>
    <w:multiLevelType w:val="hybridMultilevel"/>
    <w:lvl w:ilvl="0">
      <w:lvlJc w:val="left"/>
      <w:lvlText w:val="%1."/>
      <w:numFmt w:val="decimal"/>
      <w:start w:val="8"/>
    </w:lvl>
  </w:abstractNum>
  <w:abstractNum w:abstractNumId="94">
    <w:nsid w:val="488AC1A"/>
    <w:multiLevelType w:val="hybridMultilevel"/>
    <w:lvl w:ilvl="0">
      <w:lvlJc w:val="left"/>
      <w:lvlText w:val="%1."/>
      <w:numFmt w:val="decimal"/>
      <w:start w:val="12"/>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34"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16" Type="http://schemas.openxmlformats.org/officeDocument/2006/relationships/hyperlink" Target="http://www.sec.gov/Archives/edgar/data/1650648/000119312520318186/d13863dex31.htm" TargetMode="External"/><Relationship Id="rId217" Type="http://schemas.openxmlformats.org/officeDocument/2006/relationships/hyperlink" Target="http://www.sec.gov/Archives/edgar/data/1650648/000119312520318186/d13863dex32.htm" TargetMode="External"/><Relationship Id="rId218" Type="http://schemas.openxmlformats.org/officeDocument/2006/relationships/hyperlink" Target="http://www.sec.gov/Archives/edgar/data/1650648/000119312520311111/d69563dex42.htm" TargetMode="External"/><Relationship Id="rId219" Type="http://schemas.openxmlformats.org/officeDocument/2006/relationships/hyperlink" Target="http://www.sec.gov/Archives/edgar/data/1650648/000119312520311111/d69563dex43.htm" TargetMode="External"/><Relationship Id="rId220" Type="http://schemas.openxmlformats.org/officeDocument/2006/relationships/hyperlink" Target="http://www.sec.gov/Archives/edgar/data/1650648/000119312520296146/d69563dex101a.htm" TargetMode="External"/><Relationship Id="rId221" Type="http://schemas.openxmlformats.org/officeDocument/2006/relationships/hyperlink" Target="http://www.sec.gov/Archives/edgar/data/1650648/000119312520296146/d69563dex101b.htm" TargetMode="External"/><Relationship Id="rId222" Type="http://schemas.openxmlformats.org/officeDocument/2006/relationships/hyperlink" Target="http://www.sec.gov/Archives/edgar/data/0001650648/000119312520318232/d28592dex992a.htm" TargetMode="External"/><Relationship Id="rId223" Type="http://schemas.openxmlformats.org/officeDocument/2006/relationships/hyperlink" Target="http://www.sec.gov/Archives/edgar/data/1650648/000119312520311111/d69563dex102b.htm" TargetMode="External"/><Relationship Id="rId224" Type="http://schemas.openxmlformats.org/officeDocument/2006/relationships/hyperlink" Target="http://www.sec.gov/Archives/edgar/data/1650648/000119312520311111/d69563dex102c.htm" TargetMode="External"/><Relationship Id="rId225" Type="http://schemas.openxmlformats.org/officeDocument/2006/relationships/hyperlink" Target="http://www.sec.gov/Archives/edgar/data/1650648/000119312520311111/d69563dex102d.htm" TargetMode="External"/><Relationship Id="rId226" Type="http://schemas.openxmlformats.org/officeDocument/2006/relationships/hyperlink" Target="http://www.sec.gov/Archives/edgar/data/0001650648/000119312520318232/d28592dex993.htm" TargetMode="External"/><Relationship Id="rId227" Type="http://schemas.openxmlformats.org/officeDocument/2006/relationships/hyperlink" Target="http://www.sec.gov/Archives/edgar/data/1650648/000119312520311111/d69563dex104.htm" TargetMode="External"/><Relationship Id="rId228" Type="http://schemas.openxmlformats.org/officeDocument/2006/relationships/hyperlink" Target="http://www.sec.gov/Archives/edgar/data/1650648/000119312520296146/d69563dex105.htm" TargetMode="External"/><Relationship Id="rId229" Type="http://schemas.openxmlformats.org/officeDocument/2006/relationships/hyperlink" Target="http://www.sec.gov/Archives/edgar/data/1650648/000119312520296146/d69563dex106.htm" TargetMode="External"/><Relationship Id="rId230" Type="http://schemas.openxmlformats.org/officeDocument/2006/relationships/hyperlink" Target="http://www.sec.gov/Archives/edgar/data/1650648/000119312520296146/d69563dex107.htm" TargetMode="External"/><Relationship Id="rId231" Type="http://schemas.openxmlformats.org/officeDocument/2006/relationships/hyperlink" Target="http://www.sec.gov/Archives/edgar/data/1650648/000119312520311111/d69563dex108.htm" TargetMode="External"/><Relationship Id="rId232" Type="http://schemas.openxmlformats.org/officeDocument/2006/relationships/hyperlink" Target="http://www.sec.gov/Archives/edgar/data/1650648/000119312520311111/d69563dex109.htm" TargetMode="External"/><Relationship Id="rId233" Type="http://schemas.openxmlformats.org/officeDocument/2006/relationships/hyperlink" Target="http://www.sec.gov/Archives/edgar/data/1650648/000119312520311111/d69563dex1010.htm" TargetMode="External"/><Relationship Id="rId235" Type="http://schemas.openxmlformats.org/officeDocument/2006/relationships/hyperlink" Target="http://www.sec.gov/Archives/edgar/data/1650648/000119312520311111/d69563dex1011.htm" TargetMode="External"/><Relationship Id="rId236" Type="http://schemas.openxmlformats.org/officeDocument/2006/relationships/hyperlink" Target="http://www.sec.gov/Archives/edgar/data/1650648/000119312520311111/d69563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2021-03-28T09:06:18Z</dcterms:created>
  <dcterms:modified xsi:type="dcterms:W3CDTF">2021-03-28T09:06:18Z</dcterms:modified>
</cp:coreProperties>
</file>