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Securities and Exchange Commission on September 30, 2019.</w:t>
      </w:r>
    </w:p>
    <w:p>
      <w:pPr>
        <w:spacing w:after="0" w:line="55" w:lineRule="exact"/>
        <w:rPr>
          <w:sz w:val="24"/>
          <w:szCs w:val="24"/>
          <w:color w:val="auto"/>
        </w:rPr>
      </w:pPr>
    </w:p>
    <w:p>
      <w:pPr>
        <w:ind w:left="93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2"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96520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1"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FORM S-1</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REGISTRATION STATEMENT</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UNDER</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87630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6" w:lineRule="exact"/>
        <w:rPr>
          <w:sz w:val="24"/>
          <w:szCs w:val="24"/>
          <w:color w:val="auto"/>
        </w:rPr>
      </w:pPr>
    </w:p>
    <w:p>
      <w:pPr>
        <w:ind w:left="3560"/>
        <w:spacing w:after="0"/>
        <w:rPr>
          <w:sz w:val="20"/>
          <w:szCs w:val="20"/>
          <w:color w:val="auto"/>
        </w:rPr>
      </w:pPr>
      <w:r>
        <w:rPr>
          <w:rFonts w:ascii="Arial" w:cs="Arial" w:eastAsia="Arial" w:hAnsi="Arial"/>
          <w:sz w:val="29"/>
          <w:szCs w:val="29"/>
          <w:b w:val="1"/>
          <w:bCs w:val="1"/>
          <w:color w:val="auto"/>
        </w:rPr>
        <w:t>4D Molecular Therapeutics, Inc.</w:t>
      </w:r>
    </w:p>
    <w:p>
      <w:pPr>
        <w:spacing w:after="0" w:line="49"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(Exact name of Registrant as specified in its charter)</w:t>
      </w:r>
    </w:p>
    <w:p>
      <w:pPr>
        <w:spacing w:after="0" w:line="51" w:lineRule="exact"/>
        <w:rPr>
          <w:sz w:val="24"/>
          <w:szCs w:val="24"/>
          <w:color w:val="auto"/>
        </w:rPr>
      </w:pPr>
    </w:p>
    <w:tbl>
      <w:tblPr>
        <w:tblLayout w:type="fixed"/>
        <w:tblInd w:w="1140" w:type="dxa"/>
        <w:tblCellMar>
          <w:top w:w="0" w:type="dxa"/>
          <w:left w:w="0" w:type="dxa"/>
          <w:bottom w:w="0" w:type="dxa"/>
          <w:right w:w="0" w:type="dxa"/>
        </w:tblCellMar>
      </w:tblPr>
      <w:tr>
        <w:trPr>
          <w:trHeight w:val="180"/>
        </w:trPr>
        <w:tc>
          <w:tcPr>
            <w:tcW w:w="2820" w:type="dxa"/>
            <w:vAlign w:val="bottom"/>
          </w:tcPr>
          <w:p>
            <w:pPr>
              <w:jc w:val="center"/>
              <w:ind w:right="868"/>
              <w:spacing w:after="0"/>
              <w:rPr>
                <w:sz w:val="20"/>
                <w:szCs w:val="20"/>
                <w:color w:val="auto"/>
              </w:rPr>
            </w:pPr>
            <w:r>
              <w:rPr>
                <w:rFonts w:ascii="Arial" w:cs="Arial" w:eastAsia="Arial" w:hAnsi="Arial"/>
                <w:sz w:val="14"/>
                <w:szCs w:val="14"/>
                <w:b w:val="1"/>
                <w:bCs w:val="1"/>
                <w:color w:val="auto"/>
              </w:rPr>
              <w:t>Delaware</w:t>
            </w:r>
          </w:p>
        </w:tc>
        <w:tc>
          <w:tcPr>
            <w:tcW w:w="3800" w:type="dxa"/>
            <w:vAlign w:val="bottom"/>
          </w:tcPr>
          <w:p>
            <w:pPr>
              <w:jc w:val="center"/>
              <w:ind w:right="8"/>
              <w:spacing w:after="0"/>
              <w:rPr>
                <w:sz w:val="20"/>
                <w:szCs w:val="20"/>
                <w:color w:val="auto"/>
              </w:rPr>
            </w:pPr>
            <w:r>
              <w:rPr>
                <w:rFonts w:ascii="Arial" w:cs="Arial" w:eastAsia="Arial" w:hAnsi="Arial"/>
                <w:sz w:val="14"/>
                <w:szCs w:val="14"/>
                <w:b w:val="1"/>
                <w:bCs w:val="1"/>
                <w:color w:val="auto"/>
              </w:rPr>
              <w:t>2836</w:t>
            </w:r>
          </w:p>
        </w:tc>
        <w:tc>
          <w:tcPr>
            <w:tcW w:w="2400" w:type="dxa"/>
            <w:vAlign w:val="bottom"/>
          </w:tcPr>
          <w:p>
            <w:pPr>
              <w:jc w:val="center"/>
              <w:ind w:left="928"/>
              <w:spacing w:after="0"/>
              <w:rPr>
                <w:sz w:val="20"/>
                <w:szCs w:val="20"/>
                <w:color w:val="auto"/>
              </w:rPr>
            </w:pPr>
            <w:r>
              <w:rPr>
                <w:rFonts w:ascii="Arial" w:cs="Arial" w:eastAsia="Arial" w:hAnsi="Arial"/>
                <w:sz w:val="14"/>
                <w:szCs w:val="14"/>
                <w:b w:val="1"/>
                <w:bCs w:val="1"/>
                <w:color w:val="auto"/>
              </w:rPr>
              <w:t>47-3506994</w:t>
            </w:r>
          </w:p>
        </w:tc>
      </w:tr>
      <w:tr>
        <w:trPr>
          <w:trHeight w:val="162"/>
        </w:trPr>
        <w:tc>
          <w:tcPr>
            <w:tcW w:w="2820" w:type="dxa"/>
            <w:vAlign w:val="bottom"/>
          </w:tcPr>
          <w:p>
            <w:pPr>
              <w:jc w:val="center"/>
              <w:ind w:right="868"/>
              <w:spacing w:after="0"/>
              <w:rPr>
                <w:sz w:val="20"/>
                <w:szCs w:val="20"/>
                <w:color w:val="auto"/>
              </w:rPr>
            </w:pPr>
            <w:r>
              <w:rPr>
                <w:rFonts w:ascii="Arial" w:cs="Arial" w:eastAsia="Arial" w:hAnsi="Arial"/>
                <w:sz w:val="14"/>
                <w:szCs w:val="14"/>
                <w:color w:val="auto"/>
              </w:rPr>
              <w:t>(State or other jurisdiction of</w:t>
            </w:r>
          </w:p>
        </w:tc>
        <w:tc>
          <w:tcPr>
            <w:tcW w:w="3800" w:type="dxa"/>
            <w:vAlign w:val="bottom"/>
          </w:tcPr>
          <w:p>
            <w:pPr>
              <w:jc w:val="center"/>
              <w:spacing w:after="0"/>
              <w:rPr>
                <w:sz w:val="20"/>
                <w:szCs w:val="20"/>
                <w:color w:val="auto"/>
              </w:rPr>
            </w:pPr>
            <w:r>
              <w:rPr>
                <w:rFonts w:ascii="Arial" w:cs="Arial" w:eastAsia="Arial" w:hAnsi="Arial"/>
                <w:sz w:val="14"/>
                <w:szCs w:val="14"/>
                <w:color w:val="auto"/>
              </w:rPr>
              <w:t>(Primary Standard Industrial</w:t>
            </w:r>
          </w:p>
        </w:tc>
        <w:tc>
          <w:tcPr>
            <w:tcW w:w="2400" w:type="dxa"/>
            <w:vAlign w:val="bottom"/>
          </w:tcPr>
          <w:p>
            <w:pPr>
              <w:jc w:val="center"/>
              <w:ind w:left="928"/>
              <w:spacing w:after="0"/>
              <w:rPr>
                <w:sz w:val="20"/>
                <w:szCs w:val="20"/>
                <w:color w:val="auto"/>
              </w:rPr>
            </w:pPr>
            <w:r>
              <w:rPr>
                <w:rFonts w:ascii="Arial" w:cs="Arial" w:eastAsia="Arial" w:hAnsi="Arial"/>
                <w:sz w:val="14"/>
                <w:szCs w:val="14"/>
                <w:color w:val="auto"/>
              </w:rPr>
              <w:t>(I.R.S. Employer</w:t>
            </w:r>
          </w:p>
        </w:tc>
      </w:tr>
      <w:tr>
        <w:trPr>
          <w:trHeight w:val="172"/>
        </w:trPr>
        <w:tc>
          <w:tcPr>
            <w:tcW w:w="2820" w:type="dxa"/>
            <w:vAlign w:val="bottom"/>
          </w:tcPr>
          <w:p>
            <w:pPr>
              <w:jc w:val="center"/>
              <w:ind w:right="868"/>
              <w:spacing w:after="0"/>
              <w:rPr>
                <w:sz w:val="20"/>
                <w:szCs w:val="20"/>
                <w:color w:val="auto"/>
              </w:rPr>
            </w:pPr>
            <w:r>
              <w:rPr>
                <w:rFonts w:ascii="Arial" w:cs="Arial" w:eastAsia="Arial" w:hAnsi="Arial"/>
                <w:sz w:val="14"/>
                <w:szCs w:val="14"/>
                <w:color w:val="auto"/>
              </w:rPr>
              <w:t>incorporation or organization)</w:t>
            </w:r>
          </w:p>
        </w:tc>
        <w:tc>
          <w:tcPr>
            <w:tcW w:w="3800" w:type="dxa"/>
            <w:vAlign w:val="bottom"/>
          </w:tcPr>
          <w:p>
            <w:pPr>
              <w:jc w:val="center"/>
              <w:spacing w:after="0"/>
              <w:rPr>
                <w:sz w:val="20"/>
                <w:szCs w:val="20"/>
                <w:color w:val="auto"/>
              </w:rPr>
            </w:pPr>
            <w:r>
              <w:rPr>
                <w:rFonts w:ascii="Arial" w:cs="Arial" w:eastAsia="Arial" w:hAnsi="Arial"/>
                <w:sz w:val="14"/>
                <w:szCs w:val="14"/>
                <w:color w:val="auto"/>
              </w:rPr>
              <w:t>Classification Code Number)</w:t>
            </w:r>
          </w:p>
        </w:tc>
        <w:tc>
          <w:tcPr>
            <w:tcW w:w="2400" w:type="dxa"/>
            <w:vAlign w:val="bottom"/>
          </w:tcPr>
          <w:p>
            <w:pPr>
              <w:jc w:val="center"/>
              <w:ind w:left="928"/>
              <w:spacing w:after="0"/>
              <w:rPr>
                <w:sz w:val="20"/>
                <w:szCs w:val="20"/>
                <w:color w:val="auto"/>
              </w:rPr>
            </w:pPr>
            <w:r>
              <w:rPr>
                <w:rFonts w:ascii="Arial" w:cs="Arial" w:eastAsia="Arial" w:hAnsi="Arial"/>
                <w:sz w:val="14"/>
                <w:szCs w:val="14"/>
                <w:color w:val="auto"/>
              </w:rPr>
              <w:t>Identification Number)</w:t>
            </w:r>
          </w:p>
        </w:tc>
      </w:tr>
    </w:tbl>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5858 Horton Street #455</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Emeryville, California 94608</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(510) 505-2680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83185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David Kirn, M.D.</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Chairman and Chief Executive Officer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5858 Horton Street #455</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Emeryville, California 94608</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(510) 505-2680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83185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6" w:lineRule="exact"/>
        <w:rPr>
          <w:sz w:val="24"/>
          <w:szCs w:val="24"/>
          <w:color w:val="auto"/>
        </w:rPr>
      </w:pPr>
    </w:p>
    <w:tbl>
      <w:tblPr>
        <w:tblLayout w:type="fixed"/>
        <w:tblInd w:w="1100" w:type="dxa"/>
        <w:tblCellMar>
          <w:top w:w="0" w:type="dxa"/>
          <w:left w:w="0" w:type="dxa"/>
          <w:bottom w:w="0" w:type="dxa"/>
          <w:right w:w="0" w:type="dxa"/>
        </w:tblCellMar>
      </w:tblPr>
      <w:tr>
        <w:trPr>
          <w:trHeight w:val="190"/>
        </w:trPr>
        <w:tc>
          <w:tcPr>
            <w:tcW w:w="2800" w:type="dxa"/>
            <w:vAlign w:val="bottom"/>
          </w:tcPr>
          <w:p>
            <w:pPr>
              <w:spacing w:after="0"/>
              <w:rPr>
                <w:sz w:val="16"/>
                <w:szCs w:val="16"/>
                <w:color w:val="auto"/>
              </w:rPr>
            </w:pPr>
          </w:p>
        </w:tc>
        <w:tc>
          <w:tcPr>
            <w:tcW w:w="3740" w:type="dxa"/>
            <w:vAlign w:val="bottom"/>
          </w:tcPr>
          <w:p>
            <w:pPr>
              <w:ind w:left="1460"/>
              <w:spacing w:after="0"/>
              <w:rPr>
                <w:sz w:val="20"/>
                <w:szCs w:val="20"/>
                <w:color w:val="auto"/>
              </w:rPr>
            </w:pPr>
            <w:r>
              <w:rPr>
                <w:rFonts w:ascii="Arial" w:cs="Arial" w:eastAsia="Arial" w:hAnsi="Arial"/>
                <w:sz w:val="14"/>
                <w:szCs w:val="14"/>
                <w:b w:val="1"/>
                <w:bCs w:val="1"/>
                <w:color w:val="auto"/>
              </w:rPr>
              <w:t>Copies to:</w:t>
            </w:r>
          </w:p>
        </w:tc>
        <w:tc>
          <w:tcPr>
            <w:tcW w:w="2900" w:type="dxa"/>
            <w:vAlign w:val="bottom"/>
          </w:tcPr>
          <w:p>
            <w:pPr>
              <w:spacing w:after="0"/>
              <w:rPr>
                <w:sz w:val="16"/>
                <w:szCs w:val="16"/>
                <w:color w:val="auto"/>
              </w:rPr>
            </w:pPr>
          </w:p>
        </w:tc>
      </w:tr>
      <w:tr>
        <w:trPr>
          <w:trHeight w:val="201"/>
        </w:trPr>
        <w:tc>
          <w:tcPr>
            <w:tcW w:w="2800" w:type="dxa"/>
            <w:vAlign w:val="bottom"/>
          </w:tcPr>
          <w:p>
            <w:pPr>
              <w:jc w:val="center"/>
              <w:ind w:right="768"/>
              <w:spacing w:after="0"/>
              <w:rPr>
                <w:sz w:val="20"/>
                <w:szCs w:val="20"/>
                <w:color w:val="auto"/>
              </w:rPr>
            </w:pPr>
            <w:r>
              <w:rPr>
                <w:rFonts w:ascii="Arial" w:cs="Arial" w:eastAsia="Arial" w:hAnsi="Arial"/>
                <w:sz w:val="14"/>
                <w:szCs w:val="14"/>
                <w:b w:val="1"/>
                <w:bCs w:val="1"/>
                <w:color w:val="auto"/>
              </w:rPr>
              <w:t>Alan C. Mendelson</w:t>
            </w:r>
          </w:p>
        </w:tc>
        <w:tc>
          <w:tcPr>
            <w:tcW w:w="3740" w:type="dxa"/>
            <w:vAlign w:val="bottom"/>
          </w:tcPr>
          <w:p>
            <w:pPr>
              <w:jc w:val="center"/>
              <w:ind w:left="48"/>
              <w:spacing w:after="0"/>
              <w:rPr>
                <w:sz w:val="20"/>
                <w:szCs w:val="20"/>
                <w:color w:val="auto"/>
              </w:rPr>
            </w:pPr>
            <w:r>
              <w:rPr>
                <w:rFonts w:ascii="Arial" w:cs="Arial" w:eastAsia="Arial" w:hAnsi="Arial"/>
                <w:sz w:val="14"/>
                <w:szCs w:val="14"/>
                <w:b w:val="1"/>
                <w:bCs w:val="1"/>
                <w:color w:val="auto"/>
              </w:rPr>
              <w:t>August J. Moretti</w:t>
            </w:r>
          </w:p>
        </w:tc>
        <w:tc>
          <w:tcPr>
            <w:tcW w:w="2900" w:type="dxa"/>
            <w:vAlign w:val="bottom"/>
          </w:tcPr>
          <w:p>
            <w:pPr>
              <w:jc w:val="center"/>
              <w:ind w:left="668"/>
              <w:spacing w:after="0"/>
              <w:rPr>
                <w:sz w:val="20"/>
                <w:szCs w:val="20"/>
                <w:color w:val="auto"/>
              </w:rPr>
            </w:pPr>
            <w:r>
              <w:rPr>
                <w:rFonts w:ascii="Arial" w:cs="Arial" w:eastAsia="Arial" w:hAnsi="Arial"/>
                <w:sz w:val="14"/>
                <w:szCs w:val="14"/>
                <w:b w:val="1"/>
                <w:bCs w:val="1"/>
                <w:color w:val="auto"/>
              </w:rPr>
              <w:t>David Peinsipp</w:t>
            </w:r>
          </w:p>
        </w:tc>
      </w:tr>
      <w:tr>
        <w:trPr>
          <w:trHeight w:val="162"/>
        </w:trPr>
        <w:tc>
          <w:tcPr>
            <w:tcW w:w="2800" w:type="dxa"/>
            <w:vAlign w:val="bottom"/>
          </w:tcPr>
          <w:p>
            <w:pPr>
              <w:jc w:val="center"/>
              <w:ind w:right="768"/>
              <w:spacing w:after="0"/>
              <w:rPr>
                <w:sz w:val="20"/>
                <w:szCs w:val="20"/>
                <w:color w:val="auto"/>
              </w:rPr>
            </w:pPr>
            <w:r>
              <w:rPr>
                <w:rFonts w:ascii="Arial" w:cs="Arial" w:eastAsia="Arial" w:hAnsi="Arial"/>
                <w:sz w:val="14"/>
                <w:szCs w:val="14"/>
                <w:b w:val="1"/>
                <w:bCs w:val="1"/>
                <w:color w:val="auto"/>
              </w:rPr>
              <w:t>Benjamin A. Potter</w:t>
            </w:r>
          </w:p>
        </w:tc>
        <w:tc>
          <w:tcPr>
            <w:tcW w:w="3740" w:type="dxa"/>
            <w:vAlign w:val="bottom"/>
          </w:tcPr>
          <w:p>
            <w:pPr>
              <w:jc w:val="center"/>
              <w:ind w:left="48"/>
              <w:spacing w:after="0"/>
              <w:rPr>
                <w:sz w:val="20"/>
                <w:szCs w:val="20"/>
                <w:color w:val="auto"/>
              </w:rPr>
            </w:pPr>
            <w:r>
              <w:rPr>
                <w:rFonts w:ascii="Arial" w:cs="Arial" w:eastAsia="Arial" w:hAnsi="Arial"/>
                <w:sz w:val="14"/>
                <w:szCs w:val="14"/>
                <w:b w:val="1"/>
                <w:bCs w:val="1"/>
                <w:color w:val="auto"/>
              </w:rPr>
              <w:t>Chief Financial Officer</w:t>
            </w:r>
          </w:p>
        </w:tc>
        <w:tc>
          <w:tcPr>
            <w:tcW w:w="2900" w:type="dxa"/>
            <w:vAlign w:val="bottom"/>
          </w:tcPr>
          <w:p>
            <w:pPr>
              <w:jc w:val="center"/>
              <w:ind w:left="668"/>
              <w:spacing w:after="0"/>
              <w:rPr>
                <w:sz w:val="20"/>
                <w:szCs w:val="20"/>
                <w:color w:val="auto"/>
              </w:rPr>
            </w:pPr>
            <w:r>
              <w:rPr>
                <w:rFonts w:ascii="Arial" w:cs="Arial" w:eastAsia="Arial" w:hAnsi="Arial"/>
                <w:sz w:val="14"/>
                <w:szCs w:val="14"/>
                <w:b w:val="1"/>
                <w:bCs w:val="1"/>
                <w:color w:val="auto"/>
              </w:rPr>
              <w:t>Charles S. Kim</w:t>
            </w:r>
          </w:p>
        </w:tc>
      </w:tr>
      <w:tr>
        <w:trPr>
          <w:trHeight w:val="162"/>
        </w:trPr>
        <w:tc>
          <w:tcPr>
            <w:tcW w:w="2800" w:type="dxa"/>
            <w:vAlign w:val="bottom"/>
          </w:tcPr>
          <w:p>
            <w:pPr>
              <w:jc w:val="center"/>
              <w:ind w:right="788"/>
              <w:spacing w:after="0"/>
              <w:rPr>
                <w:sz w:val="20"/>
                <w:szCs w:val="20"/>
                <w:color w:val="auto"/>
              </w:rPr>
            </w:pPr>
            <w:r>
              <w:rPr>
                <w:rFonts w:ascii="Arial" w:cs="Arial" w:eastAsia="Arial" w:hAnsi="Arial"/>
                <w:sz w:val="14"/>
                <w:szCs w:val="14"/>
                <w:b w:val="1"/>
                <w:bCs w:val="1"/>
                <w:color w:val="auto"/>
              </w:rPr>
              <w:t>Phillip S. Stoup</w:t>
            </w:r>
          </w:p>
        </w:tc>
        <w:tc>
          <w:tcPr>
            <w:tcW w:w="3740" w:type="dxa"/>
            <w:vAlign w:val="bottom"/>
          </w:tcPr>
          <w:p>
            <w:pPr>
              <w:jc w:val="center"/>
              <w:ind w:left="28"/>
              <w:spacing w:after="0"/>
              <w:rPr>
                <w:sz w:val="20"/>
                <w:szCs w:val="20"/>
                <w:color w:val="auto"/>
              </w:rPr>
            </w:pPr>
            <w:r>
              <w:rPr>
                <w:rFonts w:ascii="Arial" w:cs="Arial" w:eastAsia="Arial" w:hAnsi="Arial"/>
                <w:sz w:val="14"/>
                <w:szCs w:val="14"/>
                <w:b w:val="1"/>
                <w:bCs w:val="1"/>
                <w:color w:val="auto"/>
              </w:rPr>
              <w:t>4D Molecular Therapeutics, Inc.</w:t>
            </w:r>
          </w:p>
        </w:tc>
        <w:tc>
          <w:tcPr>
            <w:tcW w:w="2900" w:type="dxa"/>
            <w:vAlign w:val="bottom"/>
          </w:tcPr>
          <w:p>
            <w:pPr>
              <w:jc w:val="center"/>
              <w:ind w:left="668"/>
              <w:spacing w:after="0"/>
              <w:rPr>
                <w:sz w:val="20"/>
                <w:szCs w:val="20"/>
                <w:color w:val="auto"/>
              </w:rPr>
            </w:pPr>
            <w:r>
              <w:rPr>
                <w:rFonts w:ascii="Arial" w:cs="Arial" w:eastAsia="Arial" w:hAnsi="Arial"/>
                <w:sz w:val="14"/>
                <w:szCs w:val="14"/>
                <w:b w:val="1"/>
                <w:bCs w:val="1"/>
                <w:color w:val="auto"/>
              </w:rPr>
              <w:t>Kristin VanderPas</w:t>
            </w:r>
          </w:p>
        </w:tc>
      </w:tr>
      <w:tr>
        <w:trPr>
          <w:trHeight w:val="162"/>
        </w:trPr>
        <w:tc>
          <w:tcPr>
            <w:tcW w:w="2800" w:type="dxa"/>
            <w:vAlign w:val="bottom"/>
          </w:tcPr>
          <w:p>
            <w:pPr>
              <w:jc w:val="center"/>
              <w:ind w:right="768"/>
              <w:spacing w:after="0"/>
              <w:rPr>
                <w:sz w:val="20"/>
                <w:szCs w:val="20"/>
                <w:color w:val="auto"/>
              </w:rPr>
            </w:pPr>
            <w:r>
              <w:rPr>
                <w:rFonts w:ascii="Arial" w:cs="Arial" w:eastAsia="Arial" w:hAnsi="Arial"/>
                <w:sz w:val="14"/>
                <w:szCs w:val="14"/>
                <w:b w:val="1"/>
                <w:bCs w:val="1"/>
                <w:color w:val="auto"/>
              </w:rPr>
              <w:t>Latham &amp; Watkins LLP</w:t>
            </w:r>
          </w:p>
        </w:tc>
        <w:tc>
          <w:tcPr>
            <w:tcW w:w="3740" w:type="dxa"/>
            <w:vAlign w:val="bottom"/>
          </w:tcPr>
          <w:p>
            <w:pPr>
              <w:jc w:val="center"/>
              <w:ind w:left="28"/>
              <w:spacing w:after="0"/>
              <w:rPr>
                <w:sz w:val="20"/>
                <w:szCs w:val="20"/>
                <w:color w:val="auto"/>
              </w:rPr>
            </w:pPr>
            <w:r>
              <w:rPr>
                <w:rFonts w:ascii="Arial" w:cs="Arial" w:eastAsia="Arial" w:hAnsi="Arial"/>
                <w:sz w:val="14"/>
                <w:szCs w:val="14"/>
                <w:b w:val="1"/>
                <w:bCs w:val="1"/>
                <w:color w:val="auto"/>
              </w:rPr>
              <w:t>5858 Horton Street #455</w:t>
            </w:r>
          </w:p>
        </w:tc>
        <w:tc>
          <w:tcPr>
            <w:tcW w:w="2900" w:type="dxa"/>
            <w:vAlign w:val="bottom"/>
          </w:tcPr>
          <w:p>
            <w:pPr>
              <w:jc w:val="center"/>
              <w:ind w:left="688"/>
              <w:spacing w:after="0"/>
              <w:rPr>
                <w:sz w:val="20"/>
                <w:szCs w:val="20"/>
                <w:color w:val="auto"/>
              </w:rPr>
            </w:pPr>
            <w:r>
              <w:rPr>
                <w:rFonts w:ascii="Arial" w:cs="Arial" w:eastAsia="Arial" w:hAnsi="Arial"/>
                <w:sz w:val="14"/>
                <w:szCs w:val="14"/>
                <w:b w:val="1"/>
                <w:bCs w:val="1"/>
                <w:color w:val="auto"/>
              </w:rPr>
              <w:t>Will H. Cai</w:t>
            </w:r>
          </w:p>
        </w:tc>
      </w:tr>
      <w:tr>
        <w:trPr>
          <w:trHeight w:val="162"/>
        </w:trPr>
        <w:tc>
          <w:tcPr>
            <w:tcW w:w="2800" w:type="dxa"/>
            <w:vAlign w:val="bottom"/>
          </w:tcPr>
          <w:p>
            <w:pPr>
              <w:jc w:val="center"/>
              <w:ind w:right="768"/>
              <w:spacing w:after="0"/>
              <w:rPr>
                <w:sz w:val="20"/>
                <w:szCs w:val="20"/>
                <w:color w:val="auto"/>
              </w:rPr>
            </w:pPr>
            <w:r>
              <w:rPr>
                <w:rFonts w:ascii="Arial" w:cs="Arial" w:eastAsia="Arial" w:hAnsi="Arial"/>
                <w:sz w:val="14"/>
                <w:szCs w:val="14"/>
                <w:b w:val="1"/>
                <w:bCs w:val="1"/>
                <w:color w:val="auto"/>
              </w:rPr>
              <w:t>140 Scott Drive</w:t>
            </w:r>
          </w:p>
        </w:tc>
        <w:tc>
          <w:tcPr>
            <w:tcW w:w="3740" w:type="dxa"/>
            <w:vAlign w:val="bottom"/>
          </w:tcPr>
          <w:p>
            <w:pPr>
              <w:jc w:val="center"/>
              <w:ind w:left="48"/>
              <w:spacing w:after="0"/>
              <w:rPr>
                <w:sz w:val="20"/>
                <w:szCs w:val="20"/>
                <w:color w:val="auto"/>
              </w:rPr>
            </w:pPr>
            <w:r>
              <w:rPr>
                <w:rFonts w:ascii="Arial" w:cs="Arial" w:eastAsia="Arial" w:hAnsi="Arial"/>
                <w:sz w:val="14"/>
                <w:szCs w:val="14"/>
                <w:b w:val="1"/>
                <w:bCs w:val="1"/>
                <w:color w:val="auto"/>
              </w:rPr>
              <w:t>Emeryville, California 94608</w:t>
            </w:r>
          </w:p>
        </w:tc>
        <w:tc>
          <w:tcPr>
            <w:tcW w:w="2900" w:type="dxa"/>
            <w:vAlign w:val="bottom"/>
          </w:tcPr>
          <w:p>
            <w:pPr>
              <w:jc w:val="center"/>
              <w:ind w:left="66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2800" w:type="dxa"/>
            <w:vAlign w:val="bottom"/>
          </w:tcPr>
          <w:p>
            <w:pPr>
              <w:jc w:val="center"/>
              <w:ind w:right="768"/>
              <w:spacing w:after="0"/>
              <w:rPr>
                <w:sz w:val="20"/>
                <w:szCs w:val="20"/>
                <w:color w:val="auto"/>
              </w:rPr>
            </w:pPr>
            <w:r>
              <w:rPr>
                <w:rFonts w:ascii="Arial" w:cs="Arial" w:eastAsia="Arial" w:hAnsi="Arial"/>
                <w:sz w:val="14"/>
                <w:szCs w:val="14"/>
                <w:b w:val="1"/>
                <w:bCs w:val="1"/>
                <w:color w:val="auto"/>
              </w:rPr>
              <w:t>Menlo Park, California 94025</w:t>
            </w:r>
          </w:p>
        </w:tc>
        <w:tc>
          <w:tcPr>
            <w:tcW w:w="3740" w:type="dxa"/>
            <w:vAlign w:val="bottom"/>
          </w:tcPr>
          <w:p>
            <w:pPr>
              <w:jc w:val="center"/>
              <w:ind w:left="48"/>
              <w:spacing w:after="0"/>
              <w:rPr>
                <w:sz w:val="20"/>
                <w:szCs w:val="20"/>
                <w:color w:val="auto"/>
              </w:rPr>
            </w:pPr>
            <w:r>
              <w:rPr>
                <w:rFonts w:ascii="Arial" w:cs="Arial" w:eastAsia="Arial" w:hAnsi="Arial"/>
                <w:sz w:val="14"/>
                <w:szCs w:val="14"/>
                <w:b w:val="1"/>
                <w:bCs w:val="1"/>
                <w:color w:val="auto"/>
              </w:rPr>
              <w:t>Telephone: (510) 505-2680</w:t>
            </w:r>
          </w:p>
        </w:tc>
        <w:tc>
          <w:tcPr>
            <w:tcW w:w="2900" w:type="dxa"/>
            <w:vAlign w:val="bottom"/>
          </w:tcPr>
          <w:p>
            <w:pPr>
              <w:jc w:val="center"/>
              <w:ind w:left="668"/>
              <w:spacing w:after="0"/>
              <w:rPr>
                <w:sz w:val="20"/>
                <w:szCs w:val="20"/>
                <w:color w:val="auto"/>
              </w:rPr>
            </w:pPr>
            <w:r>
              <w:rPr>
                <w:rFonts w:ascii="Arial" w:cs="Arial" w:eastAsia="Arial" w:hAnsi="Arial"/>
                <w:sz w:val="14"/>
                <w:szCs w:val="14"/>
                <w:b w:val="1"/>
                <w:bCs w:val="1"/>
                <w:color w:val="auto"/>
              </w:rPr>
              <w:t>101 California Street, 5th Floor</w:t>
            </w:r>
          </w:p>
        </w:tc>
      </w:tr>
      <w:tr>
        <w:trPr>
          <w:trHeight w:val="162"/>
        </w:trPr>
        <w:tc>
          <w:tcPr>
            <w:tcW w:w="2800" w:type="dxa"/>
            <w:vAlign w:val="bottom"/>
          </w:tcPr>
          <w:p>
            <w:pPr>
              <w:jc w:val="center"/>
              <w:ind w:right="788"/>
              <w:spacing w:after="0"/>
              <w:rPr>
                <w:sz w:val="20"/>
                <w:szCs w:val="20"/>
                <w:color w:val="auto"/>
              </w:rPr>
            </w:pPr>
            <w:r>
              <w:rPr>
                <w:rFonts w:ascii="Arial" w:cs="Arial" w:eastAsia="Arial" w:hAnsi="Arial"/>
                <w:sz w:val="14"/>
                <w:szCs w:val="14"/>
                <w:b w:val="1"/>
                <w:bCs w:val="1"/>
                <w:color w:val="auto"/>
              </w:rPr>
              <w:t>Telephone: (650) 328-4600</w:t>
            </w:r>
          </w:p>
        </w:tc>
        <w:tc>
          <w:tcPr>
            <w:tcW w:w="3740" w:type="dxa"/>
            <w:vAlign w:val="bottom"/>
          </w:tcPr>
          <w:p>
            <w:pPr>
              <w:spacing w:after="0"/>
              <w:rPr>
                <w:sz w:val="14"/>
                <w:szCs w:val="14"/>
                <w:color w:val="auto"/>
              </w:rPr>
            </w:pPr>
          </w:p>
        </w:tc>
        <w:tc>
          <w:tcPr>
            <w:tcW w:w="2900" w:type="dxa"/>
            <w:vAlign w:val="bottom"/>
          </w:tcPr>
          <w:p>
            <w:pPr>
              <w:jc w:val="center"/>
              <w:ind w:left="668"/>
              <w:spacing w:after="0"/>
              <w:rPr>
                <w:sz w:val="20"/>
                <w:szCs w:val="20"/>
                <w:color w:val="auto"/>
              </w:rPr>
            </w:pPr>
            <w:r>
              <w:rPr>
                <w:rFonts w:ascii="Arial" w:cs="Arial" w:eastAsia="Arial" w:hAnsi="Arial"/>
                <w:sz w:val="14"/>
                <w:szCs w:val="14"/>
                <w:b w:val="1"/>
                <w:bCs w:val="1"/>
                <w:color w:val="auto"/>
              </w:rPr>
              <w:t>San Francisco, California 94111</w:t>
            </w:r>
          </w:p>
        </w:tc>
      </w:tr>
      <w:tr>
        <w:trPr>
          <w:trHeight w:val="190"/>
        </w:trPr>
        <w:tc>
          <w:tcPr>
            <w:tcW w:w="28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900" w:type="dxa"/>
            <w:vAlign w:val="bottom"/>
          </w:tcPr>
          <w:p>
            <w:pPr>
              <w:jc w:val="center"/>
              <w:ind w:left="688"/>
              <w:spacing w:after="0"/>
              <w:rPr>
                <w:sz w:val="20"/>
                <w:szCs w:val="20"/>
                <w:color w:val="auto"/>
              </w:rPr>
            </w:pPr>
            <w:r>
              <w:rPr>
                <w:rFonts w:ascii="Arial" w:cs="Arial" w:eastAsia="Arial" w:hAnsi="Arial"/>
                <w:sz w:val="14"/>
                <w:szCs w:val="14"/>
                <w:b w:val="1"/>
                <w:bCs w:val="1"/>
                <w:color w:val="auto"/>
              </w:rPr>
              <w:t>Telephone: (415) 693-2000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93345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9" w:lineRule="exact"/>
        <w:rPr>
          <w:sz w:val="24"/>
          <w:szCs w:val="24"/>
          <w:color w:val="auto"/>
        </w:rPr>
      </w:pPr>
    </w:p>
    <w:p>
      <w:pPr>
        <w:ind w:left="760"/>
        <w:spacing w:after="0"/>
        <w:rPr>
          <w:sz w:val="20"/>
          <w:szCs w:val="20"/>
          <w:color w:val="auto"/>
        </w:rPr>
      </w:pPr>
      <w:r>
        <w:rPr>
          <w:rFonts w:ascii="Arial" w:cs="Arial" w:eastAsia="Arial" w:hAnsi="Arial"/>
          <w:sz w:val="14"/>
          <w:szCs w:val="14"/>
          <w:color w:val="auto"/>
        </w:rPr>
        <w:t>Approximate date of commencement of proposed sale to the public: As soon as practicable after the effective date of this Registration Statement.</w:t>
      </w:r>
    </w:p>
    <w:p>
      <w:pPr>
        <w:spacing w:after="0" w:line="55" w:lineRule="exact"/>
        <w:rPr>
          <w:sz w:val="24"/>
          <w:szCs w:val="24"/>
          <w:color w:val="auto"/>
        </w:rPr>
      </w:pPr>
    </w:p>
    <w:p>
      <w:pPr>
        <w:ind w:left="200" w:right="20" w:firstLine="551"/>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1" w:lineRule="exact"/>
        <w:rPr>
          <w:sz w:val="24"/>
          <w:szCs w:val="24"/>
          <w:color w:val="auto"/>
        </w:rPr>
      </w:pPr>
    </w:p>
    <w:p>
      <w:pPr>
        <w:ind w:left="200" w:right="520" w:firstLine="551"/>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200" w:right="420" w:firstLine="551"/>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200" w:right="400" w:firstLine="551"/>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200" w:right="500" w:firstLine="551"/>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0" w:type="dxa"/>
        <w:tblCellMar>
          <w:top w:w="0" w:type="dxa"/>
          <w:left w:w="0" w:type="dxa"/>
          <w:bottom w:w="0" w:type="dxa"/>
          <w:right w:w="0" w:type="dxa"/>
        </w:tblCellMar>
      </w:tblPr>
      <w:tr>
        <w:trPr>
          <w:trHeight w:val="235"/>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280"/>
              <w:spacing w:after="0"/>
              <w:rPr>
                <w:sz w:val="20"/>
                <w:szCs w:val="20"/>
                <w:color w:val="auto"/>
              </w:rPr>
            </w:pPr>
            <w:r>
              <w:rPr>
                <w:rFonts w:ascii="Arial" w:cs="Arial" w:eastAsia="Arial" w:hAnsi="Arial"/>
                <w:sz w:val="14"/>
                <w:szCs w:val="14"/>
                <w:color w:val="auto"/>
              </w:rPr>
              <w:t>Accelerated filer</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280"/>
              <w:spacing w:after="0"/>
              <w:rPr>
                <w:sz w:val="20"/>
                <w:szCs w:val="20"/>
                <w:color w:val="auto"/>
              </w:rPr>
            </w:pPr>
            <w:r>
              <w:rPr>
                <w:rFonts w:ascii="Arial" w:cs="Arial" w:eastAsia="Arial" w:hAnsi="Arial"/>
                <w:sz w:val="14"/>
                <w:szCs w:val="14"/>
                <w:color w:val="auto"/>
              </w:rPr>
              <w:t>Smaller reporting company</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4"/>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spacing w:after="0"/>
              <w:rPr>
                <w:sz w:val="20"/>
                <w:szCs w:val="20"/>
                <w:color w:val="auto"/>
              </w:rPr>
            </w:pPr>
          </w:p>
        </w:tc>
        <w:tc>
          <w:tcPr>
            <w:tcW w:w="300" w:type="dxa"/>
            <w:vAlign w:val="bottom"/>
          </w:tcPr>
          <w:p>
            <w:pPr>
              <w:spacing w:after="0"/>
              <w:rPr>
                <w:sz w:val="20"/>
                <w:szCs w:val="20"/>
                <w:color w:val="auto"/>
              </w:rPr>
            </w:pPr>
          </w:p>
        </w:tc>
      </w:tr>
    </w:tbl>
    <w:p>
      <w:pPr>
        <w:spacing w:after="0" w:line="41" w:lineRule="exact"/>
        <w:rPr>
          <w:sz w:val="24"/>
          <w:szCs w:val="24"/>
          <w:color w:val="auto"/>
        </w:rPr>
      </w:pPr>
    </w:p>
    <w:p>
      <w:pPr>
        <w:ind w:left="200" w:right="120" w:firstLine="551"/>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75"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7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29"/>
        </w:trPr>
        <w:tc>
          <w:tcPr>
            <w:tcW w:w="20" w:type="dxa"/>
            <w:vAlign w:val="bottom"/>
          </w:tcPr>
          <w:p>
            <w:pPr>
              <w:spacing w:after="0"/>
              <w:rPr>
                <w:sz w:val="11"/>
                <w:szCs w:val="11"/>
                <w:color w:val="auto"/>
              </w:rPr>
            </w:pPr>
          </w:p>
        </w:tc>
        <w:tc>
          <w:tcPr>
            <w:tcW w:w="774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Proposed</w:t>
            </w:r>
          </w:p>
        </w:tc>
        <w:tc>
          <w:tcPr>
            <w:tcW w:w="164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774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640" w:type="dxa"/>
            <w:vAlign w:val="bottom"/>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77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Title of each class of</w:t>
            </w:r>
          </w:p>
        </w:tc>
        <w:tc>
          <w:tcPr>
            <w:tcW w:w="16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aggregate</w:t>
            </w:r>
          </w:p>
        </w:tc>
        <w:tc>
          <w:tcPr>
            <w:tcW w:w="1640" w:type="dxa"/>
            <w:vAlign w:val="bottom"/>
          </w:tcPr>
          <w:p>
            <w:pPr>
              <w:jc w:val="center"/>
              <w:ind w:left="10"/>
              <w:spacing w:after="0" w:line="159" w:lineRule="exact"/>
              <w:rPr>
                <w:sz w:val="20"/>
                <w:szCs w:val="20"/>
                <w:color w:val="auto"/>
              </w:rPr>
            </w:pPr>
            <w:r>
              <w:rPr>
                <w:rFonts w:ascii="Arial" w:cs="Arial" w:eastAsia="Arial" w:hAnsi="Arial"/>
                <w:sz w:val="14"/>
                <w:szCs w:val="14"/>
                <w:b w:val="1"/>
                <w:bCs w:val="1"/>
                <w:color w:val="auto"/>
              </w:rPr>
              <w:t>Amount of</w:t>
            </w:r>
          </w:p>
        </w:tc>
      </w:tr>
      <w:tr>
        <w:trPr>
          <w:trHeight w:val="192"/>
        </w:trPr>
        <w:tc>
          <w:tcPr>
            <w:tcW w:w="20" w:type="dxa"/>
            <w:vAlign w:val="bottom"/>
          </w:tcPr>
          <w:p>
            <w:pPr>
              <w:spacing w:after="0"/>
              <w:rPr>
                <w:sz w:val="16"/>
                <w:szCs w:val="16"/>
                <w:color w:val="auto"/>
              </w:rPr>
            </w:pPr>
          </w:p>
        </w:tc>
        <w:tc>
          <w:tcPr>
            <w:tcW w:w="7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164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3"/>
                <w:szCs w:val="13"/>
                <w:b w:val="1"/>
                <w:bCs w:val="1"/>
                <w:color w:val="auto"/>
              </w:rPr>
              <w:t>offering price</w:t>
            </w:r>
            <w:r>
              <w:rPr>
                <w:rFonts w:ascii="Arial" w:cs="Arial" w:eastAsia="Arial" w:hAnsi="Arial"/>
                <w:sz w:val="22"/>
                <w:szCs w:val="22"/>
                <w:b w:val="1"/>
                <w:bCs w:val="1"/>
                <w:color w:val="auto"/>
                <w:vertAlign w:val="superscript"/>
              </w:rPr>
              <w:t>(1)</w:t>
            </w:r>
          </w:p>
        </w:tc>
        <w:tc>
          <w:tcPr>
            <w:tcW w:w="16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3"/>
                <w:szCs w:val="13"/>
                <w:b w:val="1"/>
                <w:bCs w:val="1"/>
                <w:color w:val="auto"/>
              </w:rPr>
              <w:t>registration fee</w:t>
            </w:r>
            <w:r>
              <w:rPr>
                <w:rFonts w:ascii="Arial" w:cs="Arial" w:eastAsia="Arial" w:hAnsi="Arial"/>
                <w:sz w:val="22"/>
                <w:szCs w:val="22"/>
                <w:b w:val="1"/>
                <w:bCs w:val="1"/>
                <w:color w:val="auto"/>
                <w:vertAlign w:val="superscript"/>
              </w:rPr>
              <w:t>(2)</w:t>
            </w:r>
          </w:p>
        </w:tc>
      </w:tr>
      <w:tr>
        <w:trPr>
          <w:trHeight w:val="156"/>
        </w:trPr>
        <w:tc>
          <w:tcPr>
            <w:tcW w:w="7760" w:type="dxa"/>
            <w:vAlign w:val="bottom"/>
            <w:tcBorders>
              <w:bottom w:val="single" w:sz="8" w:color="auto"/>
              <w:right w:val="single" w:sz="8" w:color="auto"/>
            </w:tcBorders>
            <w:gridSpan w:val="2"/>
          </w:tcPr>
          <w:p>
            <w:pPr>
              <w:spacing w:after="0" w:line="155" w:lineRule="exact"/>
              <w:rPr>
                <w:sz w:val="20"/>
                <w:szCs w:val="20"/>
                <w:color w:val="auto"/>
              </w:rPr>
            </w:pPr>
            <w:r>
              <w:rPr>
                <w:rFonts w:ascii="Arial" w:cs="Arial" w:eastAsia="Arial" w:hAnsi="Arial"/>
                <w:sz w:val="14"/>
                <w:szCs w:val="14"/>
                <w:color w:val="auto"/>
              </w:rPr>
              <w:t>Common Stock, $0.0001 par value per share</w:t>
            </w:r>
          </w:p>
        </w:tc>
        <w:tc>
          <w:tcPr>
            <w:tcW w:w="16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$100,000,000</w:t>
            </w:r>
          </w:p>
        </w:tc>
        <w:tc>
          <w:tcPr>
            <w:tcW w:w="1640" w:type="dxa"/>
            <w:vAlign w:val="bottom"/>
            <w:tcBorders>
              <w:bottom w:val="single" w:sz="8" w:color="auto"/>
            </w:tcBorders>
          </w:tcPr>
          <w:p>
            <w:pPr>
              <w:jc w:val="center"/>
              <w:ind w:left="10"/>
              <w:spacing w:after="0" w:line="155" w:lineRule="exact"/>
              <w:rPr>
                <w:sz w:val="20"/>
                <w:szCs w:val="20"/>
                <w:color w:val="auto"/>
              </w:rPr>
            </w:pPr>
            <w:r>
              <w:rPr>
                <w:rFonts w:ascii="Arial" w:cs="Arial" w:eastAsia="Arial" w:hAnsi="Arial"/>
                <w:sz w:val="14"/>
                <w:szCs w:val="14"/>
                <w:color w:val="auto"/>
              </w:rPr>
              <w:t>$12,120.00</w:t>
            </w:r>
          </w:p>
        </w:tc>
      </w:tr>
      <w:tr>
        <w:trPr>
          <w:trHeight w:val="20"/>
        </w:trPr>
        <w:tc>
          <w:tcPr>
            <w:tcW w:w="20" w:type="dxa"/>
            <w:vAlign w:val="bottom"/>
          </w:tcPr>
          <w:p>
            <w:pPr>
              <w:spacing w:after="0" w:line="20" w:lineRule="exact"/>
              <w:rPr>
                <w:sz w:val="1"/>
                <w:szCs w:val="1"/>
                <w:color w:val="auto"/>
              </w:rPr>
            </w:pPr>
          </w:p>
        </w:tc>
        <w:tc>
          <w:tcPr>
            <w:tcW w:w="77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86" w:lineRule="exact"/>
        <w:rPr>
          <w:sz w:val="24"/>
          <w:szCs w:val="24"/>
          <w:color w:val="auto"/>
        </w:rPr>
      </w:pPr>
    </w:p>
    <w:p>
      <w:pPr>
        <w:ind w:left="740" w:right="380" w:hanging="536"/>
        <w:spacing w:after="0" w:line="241" w:lineRule="auto"/>
        <w:tabs>
          <w:tab w:leader="none" w:pos="7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in accordance with Rule 457(o) under the Securities Act of 1933, as amended. Includes shares that the underwriters have the option to purchase solely to cover over-allotments, if any.</w:t>
      </w:r>
    </w:p>
    <w:p>
      <w:pPr>
        <w:ind w:left="740" w:hanging="536"/>
        <w:spacing w:after="0"/>
        <w:tabs>
          <w:tab w:leader="none" w:pos="7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offering price.</w:t>
      </w:r>
    </w:p>
    <w:p>
      <w:pPr>
        <w:spacing w:after="0" w:line="37" w:lineRule="exact"/>
        <w:rPr>
          <w:sz w:val="24"/>
          <w:szCs w:val="24"/>
          <w:color w:val="auto"/>
        </w:rPr>
      </w:pPr>
    </w:p>
    <w:p>
      <w:pPr>
        <w:ind w:left="200" w:right="160" w:firstLine="551"/>
        <w:spacing w:after="0" w:line="256"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35560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78105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CC062A"/>
        </w:rPr>
        <w:t>The information contained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DE1A1E"/>
        </w:rPr>
        <w:t>Subject to Completion, Dated September 30, 2019</w:t>
      </w:r>
    </w:p>
    <w:p>
      <w:pPr>
        <w:spacing w:after="0" w:line="74" w:lineRule="exact"/>
        <w:rPr>
          <w:sz w:val="20"/>
          <w:szCs w:val="20"/>
          <w:color w:val="auto"/>
        </w:rPr>
      </w:pPr>
    </w:p>
    <w:p>
      <w:pPr>
        <w:ind w:left="6140"/>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240030</wp:posOffset>
            </wp:positionV>
            <wp:extent cx="2487295" cy="754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8729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210820</wp:posOffset>
            </wp:positionV>
            <wp:extent cx="1466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760"/>
        <w:spacing w:after="0"/>
        <w:tabs>
          <w:tab w:leader="none" w:pos="10100" w:val="left"/>
        </w:tabs>
        <w:rPr>
          <w:sz w:val="20"/>
          <w:szCs w:val="20"/>
          <w:color w:val="auto"/>
        </w:rPr>
      </w:pPr>
      <w:r>
        <w:rPr>
          <w:rFonts w:ascii="Arial" w:cs="Arial" w:eastAsia="Arial" w:hAnsi="Arial"/>
          <w:sz w:val="18"/>
          <w:szCs w:val="18"/>
          <w:color w:val="auto"/>
        </w:rPr>
        <w:t>This is the initial public offering of shares of common stock of 4D Molecular Therapeutics, Inc. We are offering</w:t>
      </w:r>
      <w:r>
        <w:rPr>
          <w:sz w:val="20"/>
          <w:szCs w:val="20"/>
          <w:color w:val="auto"/>
        </w:rPr>
        <w:tab/>
      </w:r>
      <w:r>
        <w:rPr>
          <w:rFonts w:ascii="Arial" w:cs="Arial" w:eastAsia="Arial" w:hAnsi="Arial"/>
          <w:sz w:val="17"/>
          <w:szCs w:val="17"/>
          <w:color w:val="auto"/>
        </w:rPr>
        <w:t>shares of our</w:t>
      </w:r>
    </w:p>
    <w:p>
      <w:pPr>
        <w:ind w:left="200"/>
        <w:spacing w:after="0"/>
        <w:rPr>
          <w:sz w:val="20"/>
          <w:szCs w:val="20"/>
          <w:color w:val="auto"/>
        </w:rPr>
      </w:pPr>
      <w:r>
        <w:rPr>
          <w:rFonts w:ascii="Arial" w:cs="Arial" w:eastAsia="Arial" w:hAnsi="Arial"/>
          <w:sz w:val="18"/>
          <w:szCs w:val="18"/>
          <w:color w:val="auto"/>
        </w:rPr>
        <w:t>common stock.</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Prior to this offering, there has been no public market for our common stock. It is currently estimated that the initial public offering</w:t>
      </w:r>
    </w:p>
    <w:p>
      <w:pPr>
        <w:ind w:left="200"/>
        <w:spacing w:after="0"/>
        <w:tabs>
          <w:tab w:leader="none" w:pos="2800" w:val="left"/>
          <w:tab w:leader="none" w:pos="4060" w:val="left"/>
        </w:tabs>
        <w:rPr>
          <w:sz w:val="20"/>
          <w:szCs w:val="20"/>
          <w:color w:val="auto"/>
        </w:rPr>
      </w:pPr>
      <w:r>
        <w:rPr>
          <w:rFonts w:ascii="Arial" w:cs="Arial" w:eastAsia="Arial" w:hAnsi="Arial"/>
          <w:sz w:val="18"/>
          <w:szCs w:val="18"/>
          <w:color w:val="auto"/>
        </w:rPr>
        <w:t>price will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7"/>
          <w:szCs w:val="17"/>
          <w:color w:val="auto"/>
        </w:rPr>
        <w:t>per share.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applied to list our common stock on The Nasdaq Global Market under the symbol “DDDD.”</w:t>
      </w:r>
    </w:p>
    <w:p>
      <w:pPr>
        <w:spacing w:after="0" w:line="171" w:lineRule="exact"/>
        <w:rPr>
          <w:sz w:val="20"/>
          <w:szCs w:val="20"/>
          <w:color w:val="auto"/>
        </w:rPr>
      </w:pPr>
    </w:p>
    <w:p>
      <w:pPr>
        <w:ind w:left="200" w:right="480" w:firstLine="551"/>
        <w:spacing w:after="0" w:line="246"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public company reporting requirements in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202565</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right="320" w:firstLine="551"/>
        <w:spacing w:after="0" w:line="267" w:lineRule="auto"/>
        <w:rPr>
          <w:rFonts w:ascii="Arial" w:cs="Arial" w:eastAsia="Arial" w:hAnsi="Arial"/>
          <w:sz w:val="18"/>
          <w:szCs w:val="18"/>
          <w:i w:val="1"/>
          <w:iCs w:val="1"/>
          <w:color w:val="auto"/>
        </w:rPr>
      </w:pPr>
      <w:r>
        <w:rPr>
          <w:rFonts w:ascii="Arial" w:cs="Arial" w:eastAsia="Arial" w:hAnsi="Arial"/>
          <w:sz w:val="18"/>
          <w:szCs w:val="18"/>
          <w:i w:val="1"/>
          <w:iCs w:val="1"/>
          <w:color w:val="auto"/>
        </w:rPr>
        <w:t>See the section titled “</w:t>
      </w:r>
      <w:hyperlink w:anchor="page16">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13 to read about factors you should consider before deciding to invest in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182880</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left="200" w:right="280" w:firstLine="551"/>
        <w:spacing w:after="0" w:line="25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190500</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Per Share</w:t>
            </w:r>
          </w:p>
        </w:tc>
        <w:tc>
          <w:tcPr>
            <w:tcW w:w="28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Arial" w:cs="Arial" w:eastAsia="Arial" w:hAnsi="Arial"/>
                <w:sz w:val="18"/>
                <w:szCs w:val="18"/>
                <w:color w:val="auto"/>
              </w:rPr>
              <w:t>Total</w:t>
            </w:r>
          </w:p>
        </w:tc>
      </w:tr>
      <w:tr>
        <w:trPr>
          <w:trHeight w:val="196"/>
        </w:trPr>
        <w:tc>
          <w:tcPr>
            <w:tcW w:w="20" w:type="dxa"/>
            <w:vAlign w:val="bottom"/>
          </w:tcPr>
          <w:p>
            <w:pPr>
              <w:spacing w:after="0"/>
              <w:rPr>
                <w:sz w:val="17"/>
                <w:szCs w:val="17"/>
                <w:color w:val="auto"/>
              </w:rPr>
            </w:pPr>
          </w:p>
        </w:tc>
        <w:tc>
          <w:tcPr>
            <w:tcW w:w="6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18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8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2840" w:type="dxa"/>
            <w:vAlign w:val="bottom"/>
            <w:gridSpan w:val="2"/>
          </w:tcPr>
          <w:p>
            <w:pPr>
              <w:jc w:val="right"/>
              <w:ind w:right="77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7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4D Molecular Therapeutics, Inc.</w:t>
            </w:r>
          </w:p>
        </w:tc>
        <w:tc>
          <w:tcPr>
            <w:tcW w:w="2840" w:type="dxa"/>
            <w:vAlign w:val="bottom"/>
            <w:gridSpan w:val="2"/>
            <w:shd w:val="clear" w:color="auto" w:fill="CCEEFF"/>
          </w:tcPr>
          <w:p>
            <w:pPr>
              <w:jc w:val="right"/>
              <w:ind w:right="77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7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0" w:lineRule="exact"/>
        <w:rPr>
          <w:sz w:val="20"/>
          <w:szCs w:val="20"/>
          <w:color w:val="auto"/>
        </w:rPr>
      </w:pPr>
    </w:p>
    <w:p>
      <w:pPr>
        <w:ind w:left="640" w:hanging="436"/>
        <w:spacing w:after="0"/>
        <w:tabs>
          <w:tab w:leader="none" w:pos="64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the section titled “Underwriting” for a description of the compensation payable to the underwriters.</w:t>
      </w:r>
    </w:p>
    <w:p>
      <w:pPr>
        <w:spacing w:after="0" w:line="180" w:lineRule="exact"/>
        <w:rPr>
          <w:sz w:val="20"/>
          <w:szCs w:val="20"/>
          <w:color w:val="auto"/>
        </w:rPr>
      </w:pPr>
    </w:p>
    <w:p>
      <w:pPr>
        <w:ind w:left="760"/>
        <w:spacing w:after="0"/>
        <w:tabs>
          <w:tab w:leader="none" w:pos="5480" w:val="left"/>
        </w:tabs>
        <w:rPr>
          <w:sz w:val="20"/>
          <w:szCs w:val="20"/>
          <w:color w:val="auto"/>
        </w:rPr>
      </w:pPr>
      <w:r>
        <w:rPr>
          <w:rFonts w:ascii="Arial" w:cs="Arial" w:eastAsia="Arial" w:hAnsi="Arial"/>
          <w:sz w:val="18"/>
          <w:szCs w:val="18"/>
          <w:color w:val="auto"/>
        </w:rPr>
        <w:t>To the extent that the underwriters sell more than</w:t>
      </w:r>
      <w:r>
        <w:rPr>
          <w:sz w:val="20"/>
          <w:szCs w:val="20"/>
          <w:color w:val="auto"/>
        </w:rPr>
        <w:tab/>
      </w:r>
      <w:r>
        <w:rPr>
          <w:rFonts w:ascii="Arial" w:cs="Arial" w:eastAsia="Arial" w:hAnsi="Arial"/>
          <w:sz w:val="17"/>
          <w:szCs w:val="17"/>
          <w:color w:val="auto"/>
        </w:rPr>
        <w:t>shares of common stock, the underwriters have an over-allotment</w:t>
      </w:r>
    </w:p>
    <w:p>
      <w:pPr>
        <w:ind w:left="200"/>
        <w:spacing w:after="0"/>
        <w:tabs>
          <w:tab w:leader="none" w:pos="4040" w:val="left"/>
        </w:tabs>
        <w:rPr>
          <w:sz w:val="20"/>
          <w:szCs w:val="20"/>
          <w:color w:val="auto"/>
        </w:rPr>
      </w:pPr>
      <w:r>
        <w:rPr>
          <w:rFonts w:ascii="Arial" w:cs="Arial" w:eastAsia="Arial" w:hAnsi="Arial"/>
          <w:sz w:val="18"/>
          <w:szCs w:val="18"/>
          <w:color w:val="auto"/>
        </w:rPr>
        <w:t>option to purchase up to an additional</w:t>
      </w:r>
      <w:r>
        <w:rPr>
          <w:sz w:val="20"/>
          <w:szCs w:val="20"/>
          <w:color w:val="auto"/>
        </w:rPr>
        <w:tab/>
      </w:r>
      <w:r>
        <w:rPr>
          <w:rFonts w:ascii="Arial" w:cs="Arial" w:eastAsia="Arial" w:hAnsi="Arial"/>
          <w:sz w:val="17"/>
          <w:szCs w:val="17"/>
          <w:color w:val="auto"/>
        </w:rPr>
        <w:t>shares from us at the initial public offering price, less the underwriting discounts and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commissions.</w:t>
      </w:r>
    </w:p>
    <w:p>
      <w:pPr>
        <w:spacing w:after="0" w:line="212" w:lineRule="exact"/>
        <w:rPr>
          <w:sz w:val="20"/>
          <w:szCs w:val="20"/>
          <w:color w:val="auto"/>
        </w:rPr>
      </w:pPr>
    </w:p>
    <w:p>
      <w:pPr>
        <w:ind w:left="760"/>
        <w:spacing w:after="0"/>
        <w:tabs>
          <w:tab w:leader="none" w:pos="8680" w:val="left"/>
        </w:tabs>
        <w:rPr>
          <w:sz w:val="20"/>
          <w:szCs w:val="20"/>
          <w:color w:val="auto"/>
        </w:rPr>
      </w:pPr>
      <w:r>
        <w:rPr>
          <w:rFonts w:ascii="Arial" w:cs="Arial" w:eastAsia="Arial" w:hAnsi="Arial"/>
          <w:sz w:val="18"/>
          <w:szCs w:val="18"/>
          <w:color w:val="auto"/>
        </w:rPr>
        <w:t>The underwriters expect to deliver the shares against payment in New York, New York on</w:t>
      </w:r>
      <w:r>
        <w:rPr>
          <w:sz w:val="20"/>
          <w:szCs w:val="20"/>
          <w:color w:val="auto"/>
        </w:rPr>
        <w:tab/>
      </w:r>
      <w:r>
        <w:rPr>
          <w:rFonts w:ascii="Arial" w:cs="Arial" w:eastAsia="Arial" w:hAnsi="Arial"/>
          <w:sz w:val="17"/>
          <w:szCs w:val="17"/>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203835</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200"/>
        <w:spacing w:after="0"/>
        <w:tabs>
          <w:tab w:leader="none" w:pos="4600" w:val="left"/>
          <w:tab w:leader="none" w:pos="970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Evercore ISI</w:t>
      </w:r>
      <w:r>
        <w:rPr>
          <w:sz w:val="20"/>
          <w:szCs w:val="20"/>
          <w:color w:val="auto"/>
        </w:rPr>
        <w:tab/>
      </w:r>
      <w:r>
        <w:rPr>
          <w:rFonts w:ascii="Arial" w:cs="Arial" w:eastAsia="Arial" w:hAnsi="Arial"/>
          <w:sz w:val="24"/>
          <w:szCs w:val="24"/>
          <w:b w:val="1"/>
          <w:bCs w:val="1"/>
          <w:color w:val="auto"/>
        </w:rPr>
        <w:t>William Blair</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Chardan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220345</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4320"/>
        <w:spacing w:after="0"/>
        <w:tabs>
          <w:tab w:leader="none" w:pos="654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8"/>
          <w:szCs w:val="18"/>
          <w:color w:val="auto"/>
        </w:rPr>
        <w:t>, 2019.</w:t>
      </w:r>
    </w:p>
    <w:p>
      <w:pPr>
        <w:sectPr>
          <w:pgSz w:w="11900" w:h="16838" w:orient="portrait"/>
          <w:cols w:equalWidth="0" w:num="1">
            <w:col w:w="11240"/>
          </w:cols>
          <w:pgMar w:left="240" w:top="459" w:right="41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00" w:type="dxa"/>
            <w:vAlign w:val="bottom"/>
            <w:gridSpan w:val="3"/>
          </w:tcPr>
          <w:p>
            <w:pPr>
              <w:ind w:left="28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580" w:type="dxa"/>
            <w:vAlign w:val="bottom"/>
            <w:gridSpan w:val="23"/>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580" w:type="dxa"/>
            <w:vAlign w:val="bottom"/>
            <w:gridSpan w:val="23"/>
            <w:vMerge w:val="continue"/>
          </w:tcPr>
          <w:p>
            <w:pPr>
              <w:spacing w:after="0"/>
              <w:rPr>
                <w:sz w:val="14"/>
                <w:szCs w:val="14"/>
                <w:color w:val="auto"/>
              </w:rPr>
            </w:pPr>
          </w:p>
        </w:tc>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72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The Offering</w:t>
              </w:r>
            </w:hyperlink>
          </w:p>
        </w:tc>
        <w:tc>
          <w:tcPr>
            <w:tcW w:w="8860" w:type="dxa"/>
            <w:vAlign w:val="bottom"/>
            <w:gridSpan w:val="12"/>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580" w:type="dxa"/>
            <w:vAlign w:val="bottom"/>
            <w:gridSpan w:val="23"/>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580" w:type="dxa"/>
            <w:vAlign w:val="bottom"/>
            <w:gridSpan w:val="23"/>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Special Note Regarding Forward-Looking Statements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3"/>
        </w:trPr>
        <w:tc>
          <w:tcPr>
            <w:tcW w:w="426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Industry and Market Data</w:t>
              </w:r>
            </w:hyperlink>
          </w:p>
        </w:tc>
        <w:tc>
          <w:tcPr>
            <w:tcW w:w="6320" w:type="dxa"/>
            <w:vAlign w:val="bottom"/>
            <w:gridSpan w:val="4"/>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83"/>
        </w:trPr>
        <w:tc>
          <w:tcPr>
            <w:tcW w:w="134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84">
              <w:r>
                <w:rPr>
                  <w:rFonts w:ascii="Arial" w:cs="Arial" w:eastAsia="Arial" w:hAnsi="Arial"/>
                  <w:sz w:val="18"/>
                  <w:szCs w:val="18"/>
                  <w:color w:val="0000EE"/>
                  <w:w w:val="99"/>
                </w:rPr>
                <w:t>Use of Proceeds</w:t>
              </w:r>
            </w:hyperlink>
          </w:p>
        </w:tc>
        <w:tc>
          <w:tcPr>
            <w:tcW w:w="680" w:type="dxa"/>
            <w:vAlign w:val="bottom"/>
            <w:tcBorders>
              <w:top w:val="single" w:sz="8" w:color="0000EE"/>
            </w:tcBorders>
            <w:gridSpan w:val="5"/>
          </w:tcPr>
          <w:p>
            <w:pPr>
              <w:spacing w:after="0"/>
              <w:rPr>
                <w:sz w:val="15"/>
                <w:szCs w:val="15"/>
                <w:color w:val="auto"/>
              </w:rPr>
            </w:pPr>
          </w:p>
        </w:tc>
        <w:tc>
          <w:tcPr>
            <w:tcW w:w="8560" w:type="dxa"/>
            <w:vAlign w:val="bottom"/>
            <w:gridSpan w:val="8"/>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83"/>
        </w:trPr>
        <w:tc>
          <w:tcPr>
            <w:tcW w:w="124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86">
              <w:r>
                <w:rPr>
                  <w:rFonts w:ascii="Arial" w:cs="Arial" w:eastAsia="Arial" w:hAnsi="Arial"/>
                  <w:sz w:val="18"/>
                  <w:szCs w:val="18"/>
                  <w:color w:val="0000EE"/>
                  <w:w w:val="99"/>
                </w:rPr>
                <w:t>Dividend Policy</w:t>
              </w:r>
            </w:hyperlink>
          </w:p>
        </w:tc>
        <w:tc>
          <w:tcPr>
            <w:tcW w:w="9340" w:type="dxa"/>
            <w:vAlign w:val="bottom"/>
            <w:gridSpan w:val="14"/>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3"/>
        </w:trPr>
        <w:tc>
          <w:tcPr>
            <w:tcW w:w="10580" w:type="dxa"/>
            <w:vAlign w:val="bottom"/>
            <w:gridSpan w:val="23"/>
          </w:tcPr>
          <w:p>
            <w:pPr>
              <w:spacing w:after="0" w:line="182" w:lineRule="exact"/>
              <w:rPr>
                <w:rFonts w:ascii="Arial" w:cs="Arial" w:eastAsia="Arial" w:hAnsi="Arial"/>
                <w:sz w:val="18"/>
                <w:szCs w:val="18"/>
                <w:color w:val="0000EE"/>
              </w:rPr>
            </w:pPr>
            <w:hyperlink w:anchor="page87">
              <w:r>
                <w:rPr>
                  <w:rFonts w:ascii="Arial" w:cs="Arial" w:eastAsia="Arial" w:hAnsi="Arial"/>
                  <w:sz w:val="18"/>
                  <w:szCs w:val="18"/>
                  <w:color w:val="0000EE"/>
                </w:rPr>
                <w:t>Capitalization</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83"/>
        </w:trPr>
        <w:tc>
          <w:tcPr>
            <w:tcW w:w="10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89">
              <w:r>
                <w:rPr>
                  <w:rFonts w:ascii="Arial" w:cs="Arial" w:eastAsia="Arial" w:hAnsi="Arial"/>
                  <w:sz w:val="18"/>
                  <w:szCs w:val="18"/>
                  <w:color w:val="0000EE"/>
                </w:rPr>
                <w:t>Dilution</w:t>
              </w:r>
            </w:hyperlink>
          </w:p>
        </w:tc>
        <w:tc>
          <w:tcPr>
            <w:tcW w:w="9500" w:type="dxa"/>
            <w:vAlign w:val="bottom"/>
            <w:gridSpan w:val="16"/>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580" w:type="dxa"/>
            <w:vAlign w:val="bottom"/>
            <w:gridSpan w:val="23"/>
          </w:tcPr>
          <w:p>
            <w:pPr>
              <w:spacing w:after="0" w:line="182" w:lineRule="exact"/>
              <w:rPr>
                <w:rFonts w:ascii="Arial" w:cs="Arial" w:eastAsia="Arial" w:hAnsi="Arial"/>
                <w:sz w:val="18"/>
                <w:szCs w:val="18"/>
                <w:color w:val="0000EE"/>
              </w:rPr>
            </w:pPr>
            <w:hyperlink w:anchor="page92">
              <w:r>
                <w:rPr>
                  <w:rFonts w:ascii="Arial" w:cs="Arial" w:eastAsia="Arial" w:hAnsi="Arial"/>
                  <w:sz w:val="18"/>
                  <w:szCs w:val="18"/>
                  <w:color w:val="0000EE"/>
                </w:rPr>
                <w:t>Selected Financial Data</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94">
              <w:r>
                <w:rPr>
                  <w:rFonts w:ascii="Arial" w:cs="Arial" w:eastAsia="Arial" w:hAnsi="Arial"/>
                  <w:sz w:val="18"/>
                  <w:szCs w:val="18"/>
                  <w:color w:val="0000EE"/>
                  <w:w w:val="99"/>
                </w:rPr>
                <w:t>Management’s Discussion and Analysis of Results of Operation and Financial Condition</w:t>
              </w:r>
            </w:hyperlink>
          </w:p>
        </w:tc>
        <w:tc>
          <w:tcPr>
            <w:tcW w:w="3580" w:type="dxa"/>
            <w:vAlign w:val="bottom"/>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83"/>
        </w:trPr>
        <w:tc>
          <w:tcPr>
            <w:tcW w:w="74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111">
              <w:r>
                <w:rPr>
                  <w:rFonts w:ascii="Arial" w:cs="Arial" w:eastAsia="Arial" w:hAnsi="Arial"/>
                  <w:sz w:val="18"/>
                  <w:szCs w:val="18"/>
                  <w:color w:val="0000EE"/>
                  <w:w w:val="98"/>
                </w:rPr>
                <w:t>Business</w:t>
              </w:r>
            </w:hyperlink>
          </w:p>
        </w:tc>
        <w:tc>
          <w:tcPr>
            <w:tcW w:w="9840" w:type="dxa"/>
            <w:vAlign w:val="bottom"/>
            <w:gridSpan w:val="20"/>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83"/>
        </w:trPr>
        <w:tc>
          <w:tcPr>
            <w:tcW w:w="106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w:anchor="page174">
              <w:r>
                <w:rPr>
                  <w:rFonts w:ascii="Arial" w:cs="Arial" w:eastAsia="Arial" w:hAnsi="Arial"/>
                  <w:sz w:val="18"/>
                  <w:szCs w:val="18"/>
                  <w:color w:val="0000EE"/>
                  <w:w w:val="98"/>
                </w:rPr>
                <w:t>Management</w:t>
              </w:r>
            </w:hyperlink>
          </w:p>
        </w:tc>
        <w:tc>
          <w:tcPr>
            <w:tcW w:w="9520" w:type="dxa"/>
            <w:vAlign w:val="bottom"/>
            <w:gridSpan w:val="17"/>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183"/>
        </w:trPr>
        <w:tc>
          <w:tcPr>
            <w:tcW w:w="200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185">
              <w:r>
                <w:rPr>
                  <w:rFonts w:ascii="Arial" w:cs="Arial" w:eastAsia="Arial" w:hAnsi="Arial"/>
                  <w:sz w:val="18"/>
                  <w:szCs w:val="18"/>
                  <w:color w:val="0000EE"/>
                  <w:w w:val="99"/>
                </w:rPr>
                <w:t>Executive Compensation</w:t>
              </w:r>
            </w:hyperlink>
          </w:p>
        </w:tc>
        <w:tc>
          <w:tcPr>
            <w:tcW w:w="8580" w:type="dxa"/>
            <w:vAlign w:val="bottom"/>
            <w:gridSpan w:val="9"/>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200">
              <w:r>
                <w:rPr>
                  <w:rFonts w:ascii="Arial" w:cs="Arial" w:eastAsia="Arial" w:hAnsi="Arial"/>
                  <w:sz w:val="18"/>
                  <w:szCs w:val="18"/>
                  <w:color w:val="0000EE"/>
                  <w:w w:val="99"/>
                </w:rPr>
                <w:t>Certain Relationships and Related Party Transactions</w:t>
              </w:r>
            </w:hyperlink>
          </w:p>
        </w:tc>
        <w:tc>
          <w:tcPr>
            <w:tcW w:w="6300" w:type="dxa"/>
            <w:vAlign w:val="bottom"/>
            <w:gridSpan w:val="3"/>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83"/>
        </w:trPr>
        <w:tc>
          <w:tcPr>
            <w:tcW w:w="10580" w:type="dxa"/>
            <w:vAlign w:val="bottom"/>
            <w:gridSpan w:val="23"/>
          </w:tcPr>
          <w:p>
            <w:pPr>
              <w:spacing w:after="0" w:line="182" w:lineRule="exact"/>
              <w:rPr>
                <w:rFonts w:ascii="Arial" w:cs="Arial" w:eastAsia="Arial" w:hAnsi="Arial"/>
                <w:sz w:val="18"/>
                <w:szCs w:val="18"/>
                <w:color w:val="0000EE"/>
              </w:rPr>
            </w:pPr>
            <w:hyperlink w:anchor="page203">
              <w:r>
                <w:rPr>
                  <w:rFonts w:ascii="Arial" w:cs="Arial" w:eastAsia="Arial" w:hAnsi="Arial"/>
                  <w:sz w:val="18"/>
                  <w:szCs w:val="18"/>
                  <w:color w:val="0000EE"/>
                </w:rPr>
                <w:t>Principal Stockholders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2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205">
              <w:r>
                <w:rPr>
                  <w:rFonts w:ascii="Arial" w:cs="Arial" w:eastAsia="Arial" w:hAnsi="Arial"/>
                  <w:sz w:val="18"/>
                  <w:szCs w:val="18"/>
                  <w:color w:val="0000EE"/>
                  <w:w w:val="99"/>
                </w:rPr>
                <w:t>Description of Capital Stock</w:t>
              </w:r>
            </w:hyperlink>
          </w:p>
        </w:tc>
        <w:tc>
          <w:tcPr>
            <w:tcW w:w="8360" w:type="dxa"/>
            <w:vAlign w:val="bottom"/>
            <w:gridSpan w:val="7"/>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83"/>
        </w:trPr>
        <w:tc>
          <w:tcPr>
            <w:tcW w:w="10580" w:type="dxa"/>
            <w:vAlign w:val="bottom"/>
            <w:gridSpan w:val="23"/>
          </w:tcPr>
          <w:p>
            <w:pPr>
              <w:spacing w:after="0" w:line="182" w:lineRule="exact"/>
              <w:rPr>
                <w:rFonts w:ascii="Arial" w:cs="Arial" w:eastAsia="Arial" w:hAnsi="Arial"/>
                <w:sz w:val="18"/>
                <w:szCs w:val="18"/>
                <w:color w:val="0000EE"/>
              </w:rPr>
            </w:pPr>
            <w:hyperlink w:anchor="page211">
              <w:r>
                <w:rPr>
                  <w:rFonts w:ascii="Arial" w:cs="Arial" w:eastAsia="Arial" w:hAnsi="Arial"/>
                  <w:sz w:val="18"/>
                  <w:szCs w:val="18"/>
                  <w:color w:val="0000EE"/>
                </w:rPr>
                <w:t>Shares Eligible for Future Sale</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340" w:type="dxa"/>
            <w:vAlign w:val="bottom"/>
            <w:tcBorders>
              <w:right w:val="single" w:sz="8" w:color="0000EE"/>
            </w:tcBorders>
            <w:gridSpan w:val="9"/>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580" w:type="dxa"/>
            <w:vAlign w:val="bottom"/>
            <w:gridSpan w:val="23"/>
          </w:tcPr>
          <w:p>
            <w:pPr>
              <w:spacing w:after="0" w:line="182" w:lineRule="exact"/>
              <w:rPr>
                <w:rFonts w:ascii="Arial" w:cs="Arial" w:eastAsia="Arial" w:hAnsi="Arial"/>
                <w:sz w:val="18"/>
                <w:szCs w:val="18"/>
                <w:color w:val="0000EE"/>
              </w:rPr>
            </w:pPr>
            <w:hyperlink w:anchor="page214">
              <w:r>
                <w:rPr>
                  <w:rFonts w:ascii="Arial" w:cs="Arial" w:eastAsia="Arial" w:hAnsi="Arial"/>
                  <w:sz w:val="18"/>
                  <w:szCs w:val="18"/>
                  <w:color w:val="0000EE"/>
                </w:rPr>
                <w:t>Material U.S. Federal Income Tax Consequences to Non-U.S. Holders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83"/>
        </w:trPr>
        <w:tc>
          <w:tcPr>
            <w:tcW w:w="10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218">
              <w:r>
                <w:rPr>
                  <w:rFonts w:ascii="Arial" w:cs="Arial" w:eastAsia="Arial" w:hAnsi="Arial"/>
                  <w:sz w:val="18"/>
                  <w:szCs w:val="18"/>
                  <w:color w:val="0000EE"/>
                  <w:w w:val="98"/>
                </w:rPr>
                <w:t>Underwriting</w:t>
              </w:r>
            </w:hyperlink>
          </w:p>
        </w:tc>
        <w:tc>
          <w:tcPr>
            <w:tcW w:w="4560" w:type="dxa"/>
            <w:vAlign w:val="bottom"/>
            <w:tcBorders>
              <w:top w:val="single" w:sz="8" w:color="0000EE"/>
            </w:tcBorders>
            <w:gridSpan w:val="16"/>
          </w:tcPr>
          <w:p>
            <w:pPr>
              <w:spacing w:after="0"/>
              <w:rPr>
                <w:sz w:val="15"/>
                <w:szCs w:val="15"/>
                <w:color w:val="auto"/>
              </w:rPr>
            </w:pPr>
          </w:p>
        </w:tc>
        <w:tc>
          <w:tcPr>
            <w:tcW w:w="5000" w:type="dxa"/>
            <w:vAlign w:val="bottom"/>
            <w:gridSpan w:val="2"/>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83"/>
        </w:trPr>
        <w:tc>
          <w:tcPr>
            <w:tcW w:w="110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w:anchor="page225">
              <w:r>
                <w:rPr>
                  <w:rFonts w:ascii="Arial" w:cs="Arial" w:eastAsia="Arial" w:hAnsi="Arial"/>
                  <w:sz w:val="18"/>
                  <w:szCs w:val="18"/>
                  <w:color w:val="0000EE"/>
                  <w:w w:val="98"/>
                </w:rPr>
                <w:t>Legal Matters</w:t>
              </w:r>
            </w:hyperlink>
          </w:p>
        </w:tc>
        <w:tc>
          <w:tcPr>
            <w:tcW w:w="9480" w:type="dxa"/>
            <w:vAlign w:val="bottom"/>
            <w:gridSpan w:val="15"/>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183"/>
        </w:trPr>
        <w:tc>
          <w:tcPr>
            <w:tcW w:w="6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225">
              <w:r>
                <w:rPr>
                  <w:rFonts w:ascii="Arial" w:cs="Arial" w:eastAsia="Arial" w:hAnsi="Arial"/>
                  <w:sz w:val="18"/>
                  <w:szCs w:val="18"/>
                  <w:color w:val="0000EE"/>
                  <w:w w:val="98"/>
                </w:rPr>
                <w:t>Experts</w:t>
              </w:r>
            </w:hyperlink>
          </w:p>
        </w:tc>
        <w:tc>
          <w:tcPr>
            <w:tcW w:w="9960" w:type="dxa"/>
            <w:vAlign w:val="bottom"/>
            <w:gridSpan w:val="21"/>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0000EE"/>
            </w:tcBorders>
            <w:gridSpan w:val="18"/>
          </w:tcPr>
          <w:p>
            <w:pPr>
              <w:spacing w:after="0" w:line="182" w:lineRule="exact"/>
              <w:rPr>
                <w:rFonts w:ascii="Arial" w:cs="Arial" w:eastAsia="Arial" w:hAnsi="Arial"/>
                <w:sz w:val="18"/>
                <w:szCs w:val="18"/>
                <w:color w:val="0000EE"/>
                <w:w w:val="98"/>
              </w:rPr>
            </w:pPr>
            <w:hyperlink w:anchor="page225">
              <w:r>
                <w:rPr>
                  <w:rFonts w:ascii="Arial" w:cs="Arial" w:eastAsia="Arial" w:hAnsi="Arial"/>
                  <w:sz w:val="18"/>
                  <w:szCs w:val="18"/>
                  <w:color w:val="0000EE"/>
                  <w:w w:val="98"/>
                </w:rPr>
                <w:t>Where You Can Find More Information</w:t>
              </w:r>
            </w:hyperlink>
          </w:p>
        </w:tc>
        <w:tc>
          <w:tcPr>
            <w:tcW w:w="7500" w:type="dxa"/>
            <w:vAlign w:val="bottom"/>
            <w:gridSpan w:val="5"/>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183"/>
        </w:trPr>
        <w:tc>
          <w:tcPr>
            <w:tcW w:w="2440" w:type="dxa"/>
            <w:vAlign w:val="bottom"/>
            <w:tcBorders>
              <w:bottom w:val="single" w:sz="8" w:color="0000EE"/>
            </w:tcBorders>
            <w:gridSpan w:val="17"/>
          </w:tcPr>
          <w:p>
            <w:pPr>
              <w:spacing w:after="0" w:line="182" w:lineRule="exact"/>
              <w:rPr>
                <w:rFonts w:ascii="Arial" w:cs="Arial" w:eastAsia="Arial" w:hAnsi="Arial"/>
                <w:sz w:val="18"/>
                <w:szCs w:val="18"/>
                <w:color w:val="0000EE"/>
              </w:rPr>
            </w:pPr>
            <w:hyperlink w:anchor="page226">
              <w:r>
                <w:rPr>
                  <w:rFonts w:ascii="Arial" w:cs="Arial" w:eastAsia="Arial" w:hAnsi="Arial"/>
                  <w:sz w:val="18"/>
                  <w:szCs w:val="18"/>
                  <w:color w:val="0000EE"/>
                </w:rPr>
                <w:t>Index to Financial Statements</w:t>
              </w:r>
            </w:hyperlink>
          </w:p>
        </w:tc>
        <w:tc>
          <w:tcPr>
            <w:tcW w:w="8140" w:type="dxa"/>
            <w:vAlign w:val="bottom"/>
            <w:gridSpan w:val="6"/>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240030</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We and the underwriters have not authorized anyone to provide you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205"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202"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 xml:space="preserve">4D Molecular Therapeutics™, Therapeutic Vector Evolution™, and our logo are some of our trademarks and tradenames used in this prospectus. This prospectus also includes trademarks, tradenames and service marks that are the property of other organizations. Solely for convenience, our trademarks and tradenames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xml:space="preserve"> and ™ symbol, but those references are not intended to indicate, in any way, that we will not assert, to the fullest extent under applicable law, our rights, or the right of the applicable licensor to these trademarks and tradenames.</w:t>
      </w:r>
    </w:p>
    <w:p>
      <w:pPr>
        <w:sectPr>
          <w:pgSz w:w="11900" w:h="16838" w:orient="portrait"/>
          <w:cols w:equalWidth="0" w:num="1">
            <w:col w:w="11160"/>
          </w:cols>
          <w:pgMar w:left="24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49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2145" cy="57499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80" w:firstLine="533"/>
        <w:spacing w:after="0" w:line="241"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that you should consider in making your investment decision. Before deciding to invest in our common stock, you should read this entire prospectus carefully, including the sections of this prospectus titled “Risk Factors” and “Management’s Discussion and Analysis of Financial Condition and Results of Operations” and our financial statements and related notes included elsewhere in this prospectus. Unless the context otherwise requires or as otherwise noted, references in this prospectus to the “company,” “4D Molecular Therapeutics,” “4DMT,” “we,” “us” and “our” refer to 4D Molecular Therapeutics, Inc.</w:t>
      </w:r>
    </w:p>
    <w:p>
      <w:pPr>
        <w:spacing w:after="0" w:line="28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4D Molecular Therapeutics, Inc.</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left="380" w:right="100" w:firstLine="533"/>
        <w:spacing w:after="0" w:line="236" w:lineRule="auto"/>
        <w:rPr>
          <w:sz w:val="20"/>
          <w:szCs w:val="20"/>
          <w:color w:val="auto"/>
        </w:rPr>
      </w:pPr>
      <w:r>
        <w:rPr>
          <w:rFonts w:ascii="Arial" w:cs="Arial" w:eastAsia="Arial" w:hAnsi="Arial"/>
          <w:sz w:val="18"/>
          <w:szCs w:val="18"/>
          <w:color w:val="auto"/>
        </w:rPr>
        <w:t>We are a development stage precision gene therapy company dedicated to pioneering the development of targeted therapies based on our next-generation AAV vectors. Our proprietary Therapeutic Vector Evolution platform enables our “disease first” approach to product discovery and development, thereby allowing us to customize our AAV vectors to target specific tissue types associated with the underlying disease. Our proprietary AAV vectors are designed to provide targeted delivery by routine clinical routes, efficient transduction, reduced immunogenicity and resistance to pre-existing antibodies, which we believe will enable us to develop gene therapies that could overcome known limitations of conventional AAVs. As a result, we believe these key attributes will enable us to develop gene therapies with improved therapeutic profiles, pursue previously untreatable diseases and address a broad range of rare and large market diseases.</w:t>
      </w:r>
    </w:p>
    <w:p>
      <w:pPr>
        <w:spacing w:after="0" w:line="208" w:lineRule="exact"/>
        <w:rPr>
          <w:sz w:val="20"/>
          <w:szCs w:val="20"/>
          <w:color w:val="auto"/>
        </w:rPr>
      </w:pPr>
    </w:p>
    <w:p>
      <w:pPr>
        <w:ind w:left="380" w:right="60" w:firstLine="533"/>
        <w:spacing w:after="0" w:line="236" w:lineRule="auto"/>
        <w:rPr>
          <w:sz w:val="20"/>
          <w:szCs w:val="20"/>
          <w:color w:val="auto"/>
        </w:rPr>
      </w:pPr>
      <w:r>
        <w:rPr>
          <w:rFonts w:ascii="Arial" w:cs="Arial" w:eastAsia="Arial" w:hAnsi="Arial"/>
          <w:sz w:val="18"/>
          <w:szCs w:val="18"/>
          <w:color w:val="auto"/>
        </w:rPr>
        <w:t>Our product candidates that are in or have completed Investigational New Drug (IND)-enabling studies include a wholly-owned asset in development for the treatment of Fabry disease, as well as two assets in ophthalmology. In ophthalmology, our product candidate for the treatment of X-linked Retinitis Pigmentosa (XLRP) is wholly-owned subject to an exclusive option for Roche to develop and commercialize the asset, and our product candidate for the treatment of Choroideremia is licensed to Roche. In addition, our wholly-owned product candidate for the treatment of Cystic Fibrosis has completed lead optimization and we expect to initiate IND-enabling studies in the first half of 2020. We expect to initiate our first clinical trials for these three product candidates in 2020. We also have a pipeline of product candidates in the lead optimization stage, including for the treatment of Duchenne Muscular Dystrophy (DMD) and Wet Age-Related Macular Degeneration (Wet AMD).</w:t>
      </w:r>
    </w:p>
    <w:p>
      <w:pPr>
        <w:spacing w:after="0" w:line="29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Therapeutic Vector Evolution Platform</w:t>
      </w:r>
    </w:p>
    <w:p>
      <w:pPr>
        <w:spacing w:after="0" w:line="126" w:lineRule="exact"/>
        <w:rPr>
          <w:sz w:val="20"/>
          <w:szCs w:val="20"/>
          <w:color w:val="auto"/>
        </w:rPr>
      </w:pPr>
    </w:p>
    <w:p>
      <w:pPr>
        <w:ind w:left="380" w:right="40" w:firstLine="533"/>
        <w:spacing w:after="0" w:line="236" w:lineRule="auto"/>
        <w:rPr>
          <w:sz w:val="20"/>
          <w:szCs w:val="20"/>
          <w:color w:val="auto"/>
        </w:rPr>
      </w:pPr>
      <w:r>
        <w:rPr>
          <w:rFonts w:ascii="Arial" w:cs="Arial" w:eastAsia="Arial" w:hAnsi="Arial"/>
          <w:sz w:val="18"/>
          <w:szCs w:val="18"/>
          <w:color w:val="auto"/>
        </w:rPr>
        <w:t>While gene therapy holds tremendous promise as a transformative therapeutic class, the majority of gene therapeutic approaches utilize naturally-occurring or conventional AAV vectors that have encountered limitations such as high dose requirements, limited efficacy, inflammation and toxicity, and neutralization by pre-existing antibodies. As a result of these shortcomings, current efforts with conventional AAV vectors have focused on diseases in which a surgical technique is used for direct cell access such as subretinal injection for the retina, or a low level of gene expression may be sufficient for patient benefit, such as Hemophilia A or B treatment. Rather than using conventional AAV vectors for our products, we instead take a “disease first” approach by creating proprietary customized AAV vectors for each disease through our Therapeutic Vector Evolution platform. Our Therapeutic Vector Evolution platform is based on directed evolution, a high-throughput biological engineering and screening approach harnessing the power of natural selection to identify novel AAVs with desirable characteristics.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8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648716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firstLine="533"/>
        <w:spacing w:after="0" w:line="237" w:lineRule="auto"/>
        <w:rPr>
          <w:sz w:val="20"/>
          <w:szCs w:val="20"/>
          <w:color w:val="auto"/>
        </w:rPr>
      </w:pPr>
      <w:r>
        <w:rPr>
          <w:rFonts w:ascii="Arial" w:cs="Arial" w:eastAsia="Arial" w:hAnsi="Arial"/>
          <w:sz w:val="18"/>
          <w:szCs w:val="18"/>
          <w:color w:val="auto"/>
        </w:rPr>
        <w:t xml:space="preserve">As of September 1, 2019, we have a total of 37 distinct libraries with an estimated over one billion AAV vector sequences. We select customized AAVs based on the Target Vector Profile (TVP) for the disease, and we subsequently characterize each lead vector through extensive studies in non-human primates (NHPs) and proprietary human cell and organotypic tissue assays. Based on our preclinical data to date from NHPs and human cell models, including preclinical head-to-head comparisons with conventional AAVs, we observed that our precision gene therapy AAVs were well-tolerated and achieved enhanced delivery, increased transgene expression, reduced immunogenicity and/or improved antibody resistance when compared to conventional AAVs. Our preclinical data comparing vectors carrying and expressing a marker </w:t>
      </w:r>
      <w:r>
        <w:rPr>
          <w:rFonts w:ascii="Arial" w:cs="Arial" w:eastAsia="Arial" w:hAnsi="Arial"/>
          <w:sz w:val="18"/>
          <w:szCs w:val="18"/>
          <w:i w:val="1"/>
          <w:iCs w:val="1"/>
          <w:color w:val="auto"/>
        </w:rPr>
        <w:t>GFP</w:t>
      </w:r>
      <w:r>
        <w:rPr>
          <w:rFonts w:ascii="Arial" w:cs="Arial" w:eastAsia="Arial" w:hAnsi="Arial"/>
          <w:sz w:val="18"/>
          <w:szCs w:val="18"/>
          <w:color w:val="auto"/>
        </w:rPr>
        <w:t xml:space="preserve"> transgene is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24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09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61099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Pipeline</w:t>
      </w:r>
    </w:p>
    <w:p>
      <w:pPr>
        <w:spacing w:after="0" w:line="126" w:lineRule="exact"/>
        <w:rPr>
          <w:sz w:val="20"/>
          <w:szCs w:val="20"/>
          <w:color w:val="auto"/>
        </w:rPr>
      </w:pPr>
    </w:p>
    <w:p>
      <w:pPr>
        <w:ind w:left="380" w:right="40" w:firstLine="533"/>
        <w:spacing w:after="0" w:line="237" w:lineRule="auto"/>
        <w:rPr>
          <w:sz w:val="20"/>
          <w:szCs w:val="20"/>
          <w:color w:val="auto"/>
        </w:rPr>
      </w:pPr>
      <w:r>
        <w:rPr>
          <w:rFonts w:ascii="Arial" w:cs="Arial" w:eastAsia="Arial" w:hAnsi="Arial"/>
          <w:sz w:val="18"/>
          <w:szCs w:val="18"/>
          <w:color w:val="auto"/>
        </w:rPr>
        <w:t>Our initial focus is on developing a broad pipeline of transformative gene therapy product candidates designed to treat patients suffering from lysosomal storage diseases, lung diseases, muscular dystrophies and ophthalmological diseases. We are developing a diverse pipeline of wholly-owned and partnered programs for both rare and large market diseases. We have not conducted any clinical trials but we expect to initiate our first clinical trials for these three product candidates in 2020. We believe our AAV products are modular, in that a single vector can be armed with different transgene payloads in order to treat multiple diseases within the same tissue types or therapeutic areas. Our pipeline is represented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00" w:hanging="314"/>
        <w:spacing w:after="0"/>
        <w:tabs>
          <w:tab w:leader="none" w:pos="70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Expected timing of milestone. FIH refers to first-in-human, Phase 1 or Phase 1/2, clinical studies.</w:t>
      </w:r>
    </w:p>
    <w:p>
      <w:pPr>
        <w:spacing w:after="0" w:line="15" w:lineRule="exact"/>
        <w:rPr>
          <w:sz w:val="20"/>
          <w:szCs w:val="20"/>
          <w:color w:val="auto"/>
        </w:rPr>
      </w:pPr>
    </w:p>
    <w:p>
      <w:pPr>
        <w:ind w:left="700" w:right="160" w:hanging="314"/>
        <w:spacing w:after="0" w:line="241" w:lineRule="auto"/>
        <w:tabs>
          <w:tab w:leader="none" w:pos="70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We are responsible for development of this product candidate and Roche has an exclusive option to assume development and commercialization at its sole cost and expense. Such option may be exercised prior to pivotal trial initiation.</w:t>
      </w:r>
    </w:p>
    <w:p>
      <w:pPr>
        <w:spacing w:after="0" w:line="1" w:lineRule="exact"/>
        <w:rPr>
          <w:sz w:val="20"/>
          <w:szCs w:val="20"/>
          <w:color w:val="auto"/>
        </w:rPr>
      </w:pPr>
    </w:p>
    <w:p>
      <w:pPr>
        <w:jc w:val="both"/>
        <w:ind w:left="700" w:right="20" w:hanging="314"/>
        <w:spacing w:after="0" w:line="241" w:lineRule="auto"/>
        <w:tabs>
          <w:tab w:leader="none" w:pos="70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We are independently optimizing lead assets in this field. If we elect to declare product candidates in the field specified in our collaboration and license agreement with Roche, Roche could exercise the option to license, further develop and commercialize this product candidate at any time prior to pivotal trial initiation. See the</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4"/>
          <w:szCs w:val="14"/>
          <w:i w:val="1"/>
          <w:iCs w:val="1"/>
          <w:color w:val="auto"/>
        </w:rPr>
        <w:t>section titled “Business—Strategic Collaborations—Collaboration and License Agreement with F. Hoffman Ltd. and Hoffman-La Roche Inc.” for further information.</w:t>
      </w:r>
    </w:p>
    <w:p>
      <w:pPr>
        <w:spacing w:after="0" w:line="1" w:lineRule="exact"/>
        <w:rPr>
          <w:sz w:val="20"/>
          <w:szCs w:val="20"/>
          <w:color w:val="auto"/>
        </w:rPr>
      </w:pPr>
    </w:p>
    <w:p>
      <w:pPr>
        <w:ind w:left="700" w:right="480" w:hanging="314"/>
        <w:spacing w:after="0" w:line="258" w:lineRule="auto"/>
        <w:tabs>
          <w:tab w:leader="none" w:pos="70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Proof of concept studies for 4D-710 were conducted in a pig model of Cystic Fibrosis and utilized a species-specific (i.e., pig-specific) vector rather than the primate-specific 4D-A101 vector, which is the vector for Cystic Fibrosis product candidate 4D-710.</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Lysosomal Storage Diseases</w:t>
      </w:r>
    </w:p>
    <w:p>
      <w:pPr>
        <w:spacing w:after="0" w:line="122" w:lineRule="exact"/>
        <w:rPr>
          <w:sz w:val="20"/>
          <w:szCs w:val="20"/>
          <w:color w:val="auto"/>
        </w:rPr>
      </w:pPr>
    </w:p>
    <w:p>
      <w:pPr>
        <w:ind w:left="380" w:firstLine="533"/>
        <w:spacing w:after="0" w:line="237" w:lineRule="auto"/>
        <w:rPr>
          <w:sz w:val="20"/>
          <w:szCs w:val="20"/>
          <w:color w:val="auto"/>
        </w:rPr>
      </w:pPr>
      <w:r>
        <w:rPr>
          <w:rFonts w:ascii="Arial" w:cs="Arial" w:eastAsia="Arial" w:hAnsi="Arial"/>
          <w:sz w:val="18"/>
          <w:szCs w:val="18"/>
          <w:color w:val="auto"/>
        </w:rPr>
        <w:t>Our lead product candidate in lysosomal storage diseases, 4D-310, is wholly-owned and under development for the treatment of Fabry disease, a progressive and fatal condition with cardiac complications cited as the leading cause of death. Classic Fabry disease is known to affect at least 5,000 males in the United States. However, we estimate the incidence rate may be higher as recent newborn screening suggests the total number of individuals with Fabry-related genetic mutations in the United States, as well as France, Germany, Italy, Spain and the United Kingdom (the EU-5) could fall between 50,000 and 70,000. Moreover, a recent multicenter study estimated that 57% of patients seen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12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561276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100"/>
        <w:spacing w:after="0" w:line="234" w:lineRule="auto"/>
        <w:rPr>
          <w:sz w:val="20"/>
          <w:szCs w:val="20"/>
          <w:color w:val="auto"/>
        </w:rPr>
      </w:pPr>
      <w:r>
        <w:rPr>
          <w:rFonts w:ascii="Arial" w:cs="Arial" w:eastAsia="Arial" w:hAnsi="Arial"/>
          <w:sz w:val="18"/>
          <w:szCs w:val="18"/>
          <w:color w:val="auto"/>
        </w:rPr>
        <w:t>in the clinic are of the classic phenotype. Thus, we estimate the total addressable male Fabry patient population in the United States to be approximately 10,000 individuals, and including the EU-5, we estimate the total addressable male population to be approximately 18,800 individuals. 4D-310 uses a proprietary vector designed for efficient, low dose intravenous delivery to cardiac and other relevant tissues and to have minimal toxicities, and potential resistance to pre-existing antibodies in the patient population. The approved enzyme replacement therapies (ERT) reportedly do not adequately address Fabry cardiomyopathy, a leading cause of death in this disease. In 2019, we initiated IND-enabling pharmacology and Good Laboratory Practices (GLP) toxicology and biodistribution studies with 4D-310, and in April 2019, we held a pre-IND meeting with the U.S. Food and Drug Administration (FDA). 4D-310 Phase 1/2 clinical trial initiation is planned for the second half of 2020. We expect initial human safety and biomarker data by</w:t>
      </w:r>
    </w:p>
    <w:p>
      <w:pPr>
        <w:spacing w:after="0" w:line="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t>
      </w:r>
    </w:p>
    <w:p>
      <w:pPr>
        <w:spacing w:after="0" w:line="30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Lung Diseases</w:t>
      </w:r>
    </w:p>
    <w:p>
      <w:pPr>
        <w:spacing w:after="0" w:line="122" w:lineRule="exact"/>
        <w:rPr>
          <w:sz w:val="20"/>
          <w:szCs w:val="20"/>
          <w:color w:val="auto"/>
        </w:rPr>
      </w:pPr>
    </w:p>
    <w:p>
      <w:pPr>
        <w:ind w:left="380" w:right="80" w:firstLine="533"/>
        <w:spacing w:after="0" w:line="236" w:lineRule="auto"/>
        <w:rPr>
          <w:sz w:val="20"/>
          <w:szCs w:val="20"/>
          <w:color w:val="auto"/>
        </w:rPr>
      </w:pPr>
      <w:r>
        <w:rPr>
          <w:rFonts w:ascii="Arial" w:cs="Arial" w:eastAsia="Arial" w:hAnsi="Arial"/>
          <w:sz w:val="18"/>
          <w:szCs w:val="18"/>
          <w:color w:val="auto"/>
        </w:rPr>
        <w:t>Our lead product candidate in the lung therapeutic area, 4D-710, is wholly-owned and under development for the aerosol treatment of Cystic Fibrosis lung disease. Cystic Fibrosis is the most fatal inherited disease, affecting more than 70,000 patients worldwide. Cystic Fibrosis causes impaired lung function, inflammation and bronchiectasis and is commonly associated with repeat and persistent lung infections due to the inability to clear thickened mucus from the lung, often resulting in frequent exacerbations, hospitalizations and eventual end stage respiratory failure. We produced 4D-710 using a proprietary vector designed for efficient aerosol delivery to the lung airway, with enhanced penetration through mucus, efficient airway cell transduction and transgene expression, and resistance to pre-existing antibodies in the patient population. While several products have been approved for Cystic Fibrosis, they fall short of restoring normal lung function in most patients, and these chronic therapies require daily dosing for the patient’s lifetime. Additionally, approximately 10% of patients remain without a corrective treatment option. We expect to initiate IND-enabling study activities with 4D-710 in the first half of 2020.</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Muscular Dystrophies</w:t>
      </w:r>
    </w:p>
    <w:p>
      <w:pPr>
        <w:spacing w:after="0" w:line="122" w:lineRule="exact"/>
        <w:rPr>
          <w:sz w:val="20"/>
          <w:szCs w:val="20"/>
          <w:color w:val="auto"/>
        </w:rPr>
      </w:pPr>
    </w:p>
    <w:p>
      <w:pPr>
        <w:ind w:left="380" w:firstLine="533"/>
        <w:spacing w:after="0" w:line="236" w:lineRule="auto"/>
        <w:rPr>
          <w:sz w:val="20"/>
          <w:szCs w:val="20"/>
          <w:color w:val="auto"/>
        </w:rPr>
      </w:pPr>
      <w:r>
        <w:rPr>
          <w:rFonts w:ascii="Arial" w:cs="Arial" w:eastAsia="Arial" w:hAnsi="Arial"/>
          <w:sz w:val="18"/>
          <w:szCs w:val="18"/>
          <w:color w:val="auto"/>
        </w:rPr>
        <w:t>We are currently in the lead optimization phase for our wholly-owned research candidates for the treatment of certain muscular dystrophies, including DMD. DMD, a progressive and fatal muscular-wasting disease, is one of the most prevalent rare genetic diseases, with an estimated prevalence between 10,000 to 15,000 cases in the United States. Our product candidates are engineered from proprietary vectors designed for efficient, low dose intravenous delivery to cardiac and skeletal muscle tissues with minimal toxicities, and potential resistance to pre-existing antibodies in the human patient population. Several companies are developing gene therapies for DMD using conventional AAVs. While early clinical data in some programs have been encouraging, AAV gene therapies using conventional AAV vectors have been subject to inflammation-related toxicity issues and manufacturing challenges due to the relatively high doses required. In addition to requiring high doses, patients have been excluded from clinical trials due to pre-existing antibodies to the conventional vector used. We expect to complete lead optimization in 2020.</w:t>
      </w:r>
    </w:p>
    <w:p>
      <w:pPr>
        <w:spacing w:after="0" w:line="29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Ophthalmological Diseases</w:t>
      </w:r>
    </w:p>
    <w:p>
      <w:pPr>
        <w:spacing w:after="0" w:line="122" w:lineRule="exact"/>
        <w:rPr>
          <w:sz w:val="20"/>
          <w:szCs w:val="20"/>
          <w:color w:val="auto"/>
        </w:rPr>
      </w:pPr>
    </w:p>
    <w:p>
      <w:pPr>
        <w:ind w:left="380" w:right="20" w:firstLine="533"/>
        <w:spacing w:after="0" w:line="239" w:lineRule="auto"/>
        <w:rPr>
          <w:sz w:val="20"/>
          <w:szCs w:val="20"/>
          <w:color w:val="auto"/>
        </w:rPr>
      </w:pPr>
      <w:r>
        <w:rPr>
          <w:rFonts w:ascii="Arial" w:cs="Arial" w:eastAsia="Arial" w:hAnsi="Arial"/>
          <w:sz w:val="18"/>
          <w:szCs w:val="18"/>
          <w:color w:val="auto"/>
        </w:rPr>
        <w:t>We have two ophthalmology product candidates that utilize our proprietary intravitreal vector for rare monogenic blinding diseases: 4D-125 in development for the treatment of XLRP and 4D-110 in development for the treatment of Choroideremia. Our proprietary vector for these ophthalmological diseases is designed for intravitreal injection, potentially leading to transgene expression across the surface area of the retina, and major cell layers of the retina. We have a broad partnership in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213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592137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80"/>
        <w:spacing w:after="0" w:line="248" w:lineRule="auto"/>
        <w:rPr>
          <w:sz w:val="20"/>
          <w:szCs w:val="20"/>
          <w:color w:val="auto"/>
        </w:rPr>
      </w:pPr>
      <w:r>
        <w:rPr>
          <w:rFonts w:ascii="Arial" w:cs="Arial" w:eastAsia="Arial" w:hAnsi="Arial"/>
          <w:sz w:val="17"/>
          <w:szCs w:val="17"/>
          <w:color w:val="auto"/>
        </w:rPr>
        <w:t>ophthalmology with Roche, excluding DNA-directed RNA interference (ddRNAi) delivery. The partnership includes an option for Roche to license 4D-125 in XLRP, as well as other ophthalmology product candidates we may declare, prior to pivotal trial initiation. 4D-125 is expected to enter clinical trials in mid-2020. In addition, Roche currently holds a license to 4D-110 in Choroideremia. We expect to initiate 4D-110 clinical trials in the second half of 2020. We expect initial human safety and biomarker data for 4D-125 by</w:t>
      </w:r>
    </w:p>
    <w:p>
      <w:pPr>
        <w:spacing w:after="0" w:line="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jc w:val="both"/>
        <w:ind w:left="380" w:firstLine="533"/>
        <w:spacing w:after="0"/>
        <w:rPr>
          <w:sz w:val="20"/>
          <w:szCs w:val="20"/>
          <w:color w:val="auto"/>
        </w:rPr>
      </w:pPr>
      <w:r>
        <w:rPr>
          <w:rFonts w:ascii="Arial" w:cs="Arial" w:eastAsia="Arial" w:hAnsi="Arial"/>
          <w:sz w:val="18"/>
          <w:szCs w:val="18"/>
          <w:color w:val="auto"/>
        </w:rPr>
        <w:t>We are currently in lead optimization for multiple product candidates that utilize our proprietary intravitreal vector, the same as for 4D-125 and 4D-110 described above, for the treatment of Wet AMD, each of which is engineered to express a different protein to neutralize vascular endothelial growth factor (VEGF). We expect to complete lead optimization in the first half of 2020.</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Manufacturing</w:t>
      </w:r>
    </w:p>
    <w:p>
      <w:pPr>
        <w:spacing w:after="0" w:line="126" w:lineRule="exact"/>
        <w:rPr>
          <w:sz w:val="20"/>
          <w:szCs w:val="20"/>
          <w:color w:val="auto"/>
        </w:rPr>
      </w:pPr>
    </w:p>
    <w:p>
      <w:pPr>
        <w:ind w:left="380" w:right="40" w:firstLine="533"/>
        <w:spacing w:after="0" w:line="238" w:lineRule="auto"/>
        <w:rPr>
          <w:sz w:val="20"/>
          <w:szCs w:val="20"/>
          <w:color w:val="auto"/>
        </w:rPr>
      </w:pPr>
      <w:r>
        <w:rPr>
          <w:rFonts w:ascii="Arial" w:cs="Arial" w:eastAsia="Arial" w:hAnsi="Arial"/>
          <w:sz w:val="18"/>
          <w:szCs w:val="18"/>
          <w:color w:val="auto"/>
        </w:rPr>
        <w:t>Our team has extensive experience with the manufacturing and analytical testing of numerous unique AAV capsids. To date, our team has internally manufactured approximately 50 unique AAV vector capsids, including both proprietary evolved 4DMT capsid variants and naturally-occurring capsids. Our team has manufactured over 100 total lots of AAV vectors. This total includes 9 lots of material for GLP toxicology and biodistribution studies. We initiated our first in-house manufacturing run for clinical trial material for use in patients, according to current Good Manufacturing Practices (cGMP), in 2019.</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Team</w:t>
      </w:r>
    </w:p>
    <w:p>
      <w:pPr>
        <w:spacing w:after="0" w:line="126" w:lineRule="exact"/>
        <w:rPr>
          <w:sz w:val="20"/>
          <w:szCs w:val="20"/>
          <w:color w:val="auto"/>
        </w:rPr>
      </w:pPr>
    </w:p>
    <w:p>
      <w:pPr>
        <w:ind w:left="380" w:firstLine="533"/>
        <w:spacing w:after="0" w:line="236" w:lineRule="auto"/>
        <w:rPr>
          <w:sz w:val="20"/>
          <w:szCs w:val="20"/>
          <w:color w:val="auto"/>
        </w:rPr>
      </w:pPr>
      <w:r>
        <w:rPr>
          <w:rFonts w:ascii="Arial" w:cs="Arial" w:eastAsia="Arial" w:hAnsi="Arial"/>
          <w:sz w:val="18"/>
          <w:szCs w:val="18"/>
          <w:color w:val="auto"/>
        </w:rPr>
        <w:t>We have an experienced team of biotherapeutics developers, innovative gene therapy scientists and clinicians to execute our product design and development strategy. Led by our Chief Executive Officer and co-founder, David Kirn, M.D., our team has more than 100 years of combined experience in the field of viral vector gene therapy, including leadership of over 30 clinical trials from Phase 1 through Phase 3. Our Chief Technical Officer and Head of Regulatory and Quality, Fred Kamal, Ph.D., has over 20 years of industry experience in product manufacturing and quality, including most recently with AveXis where he was a key contributor to the development and writing of the quality and manufacturing sections of the biologics license application (BLA) for the AAV product Zolgensma. Our Chief Scientific Advisor and co-founder, David Schaffer, Ph.D., pioneered the application of directed evolution to the capsid of AAV vectors over 15 years ago.</w:t>
      </w:r>
    </w:p>
    <w:p>
      <w:pPr>
        <w:spacing w:after="0" w:line="29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Investors</w:t>
      </w:r>
    </w:p>
    <w:p>
      <w:pPr>
        <w:spacing w:after="0" w:line="126" w:lineRule="exact"/>
        <w:rPr>
          <w:sz w:val="20"/>
          <w:szCs w:val="20"/>
          <w:color w:val="auto"/>
        </w:rPr>
      </w:pPr>
    </w:p>
    <w:p>
      <w:pPr>
        <w:jc w:val="both"/>
        <w:ind w:left="380" w:right="100" w:firstLine="533"/>
        <w:spacing w:after="0"/>
        <w:rPr>
          <w:sz w:val="20"/>
          <w:szCs w:val="20"/>
          <w:color w:val="auto"/>
        </w:rPr>
      </w:pPr>
      <w:r>
        <w:rPr>
          <w:rFonts w:ascii="Arial" w:cs="Arial" w:eastAsia="Arial" w:hAnsi="Arial"/>
          <w:sz w:val="18"/>
          <w:szCs w:val="18"/>
          <w:color w:val="auto"/>
        </w:rPr>
        <w:t>We have raised $108.6 million from the sale and issuance of our preferred stock to leading investors including Viking Global Investors, Janus Henderson Investors, The Biotechnology Value Fund, Arrowmark Partners, Pfizer Ventures, Mirae Asset Financial Group, Perceptive Advisors, Ridgeback Capital Investments, Pappas Capital and Chiesi Ventures.</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Strategy</w:t>
      </w:r>
    </w:p>
    <w:p>
      <w:pPr>
        <w:spacing w:after="0" w:line="126" w:lineRule="exact"/>
        <w:rPr>
          <w:sz w:val="20"/>
          <w:szCs w:val="20"/>
          <w:color w:val="auto"/>
        </w:rPr>
      </w:pPr>
    </w:p>
    <w:p>
      <w:pPr>
        <w:ind w:left="380" w:right="500" w:firstLine="533"/>
        <w:spacing w:after="0" w:line="246" w:lineRule="auto"/>
        <w:rPr>
          <w:sz w:val="20"/>
          <w:szCs w:val="20"/>
          <w:color w:val="auto"/>
        </w:rPr>
      </w:pPr>
      <w:r>
        <w:rPr>
          <w:rFonts w:ascii="Arial" w:cs="Arial" w:eastAsia="Arial" w:hAnsi="Arial"/>
          <w:sz w:val="18"/>
          <w:szCs w:val="18"/>
          <w:color w:val="auto"/>
        </w:rPr>
        <w:t>To achieve our goal of unlocking the full potential of gene therapy for many patient populations, we strive to achieve the following:</w:t>
      </w:r>
    </w:p>
    <w:p>
      <w:pPr>
        <w:spacing w:after="0" w:line="102" w:lineRule="exact"/>
        <w:rPr>
          <w:sz w:val="20"/>
          <w:szCs w:val="20"/>
          <w:color w:val="auto"/>
        </w:rPr>
      </w:pPr>
    </w:p>
    <w:p>
      <w:pPr>
        <w:ind w:left="1100" w:hanging="187"/>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transformative precision gene therapies using the power of directed evolution and our “disease first” approach.</w:t>
      </w:r>
    </w:p>
    <w:p>
      <w:pPr>
        <w:spacing w:after="0" w:line="117" w:lineRule="exact"/>
        <w:rPr>
          <w:rFonts w:ascii="Arial" w:cs="Arial" w:eastAsia="Arial" w:hAnsi="Arial"/>
          <w:sz w:val="18"/>
          <w:szCs w:val="18"/>
          <w:color w:val="auto"/>
        </w:rPr>
      </w:pPr>
    </w:p>
    <w:p>
      <w:pPr>
        <w:ind w:left="1100" w:right="60" w:hanging="18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 develop and commercialize a diverse portfolio of product candidates in a broad range of therapeutic areas for both rare and large market diseases.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240" w:top="459" w:right="7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03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560387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00" w:hanging="187"/>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expand our cGMP manufacturing capabilities.</w:t>
      </w:r>
    </w:p>
    <w:p>
      <w:pPr>
        <w:spacing w:after="0" w:line="117" w:lineRule="exact"/>
        <w:rPr>
          <w:rFonts w:ascii="Arial" w:cs="Arial" w:eastAsia="Arial" w:hAnsi="Arial"/>
          <w:sz w:val="18"/>
          <w:szCs w:val="18"/>
          <w:color w:val="auto"/>
        </w:rPr>
      </w:pPr>
    </w:p>
    <w:p>
      <w:pPr>
        <w:ind w:left="1100" w:right="560" w:hanging="187"/>
        <w:spacing w:after="0" w:line="246"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Protect, defend and expand our intellectual property portfolio of proprietary AAV vectors discovered through directed evolution or Therapeutic Vector Evolution.</w:t>
      </w:r>
    </w:p>
    <w:p>
      <w:pPr>
        <w:spacing w:after="0" w:line="102" w:lineRule="exact"/>
        <w:rPr>
          <w:rFonts w:ascii="Arial" w:cs="Arial" w:eastAsia="Arial" w:hAnsi="Arial"/>
          <w:sz w:val="18"/>
          <w:szCs w:val="18"/>
          <w:color w:val="auto"/>
        </w:rPr>
      </w:pPr>
    </w:p>
    <w:p>
      <w:pPr>
        <w:ind w:left="1100" w:right="520" w:hanging="187"/>
        <w:spacing w:after="0" w:line="246"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Selectively partner with leading pharmaceutical companies to harness the full potential of our platform while retaining product rights in key markets, and work closely with patient advocacy groups to inform our programs.</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6" w:lineRule="exact"/>
        <w:rPr>
          <w:sz w:val="20"/>
          <w:szCs w:val="20"/>
          <w:color w:val="auto"/>
        </w:rPr>
      </w:pPr>
    </w:p>
    <w:p>
      <w:pPr>
        <w:ind w:left="380" w:right="160" w:firstLine="533"/>
        <w:spacing w:after="0"/>
        <w:rPr>
          <w:sz w:val="20"/>
          <w:szCs w:val="20"/>
          <w:color w:val="auto"/>
        </w:rPr>
      </w:pPr>
      <w:r>
        <w:rPr>
          <w:rFonts w:ascii="Arial" w:cs="Arial" w:eastAsia="Arial" w:hAnsi="Arial"/>
          <w:sz w:val="18"/>
          <w:szCs w:val="18"/>
          <w:color w:val="auto"/>
        </w:rPr>
        <w:t>Our ability to implement our business strategy is subject to numerous risks that you should be aware of before making an investment decision. These risks are described more fully in the section titled “Risk Factors,” immediately following this prospectus summary. These risks include the following, among others:</w:t>
      </w:r>
    </w:p>
    <w:p>
      <w:pPr>
        <w:spacing w:after="0" w:line="108" w:lineRule="exact"/>
        <w:rPr>
          <w:sz w:val="20"/>
          <w:szCs w:val="20"/>
          <w:color w:val="auto"/>
        </w:rPr>
      </w:pPr>
    </w:p>
    <w:p>
      <w:pPr>
        <w:ind w:left="1100" w:hanging="187"/>
        <w:spacing w:after="0" w:line="246"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in the early stages of drug development, and we have a very limited operating history and no products approved for commercial sale, which may make it difficult to evaluate our current business and predict our future success and viability.</w:t>
      </w:r>
    </w:p>
    <w:p>
      <w:pPr>
        <w:spacing w:after="0" w:line="102" w:lineRule="exact"/>
        <w:rPr>
          <w:rFonts w:ascii="Arial" w:cs="Arial" w:eastAsia="Arial" w:hAnsi="Arial"/>
          <w:sz w:val="18"/>
          <w:szCs w:val="18"/>
          <w:color w:val="auto"/>
        </w:rPr>
      </w:pPr>
    </w:p>
    <w:p>
      <w:pPr>
        <w:ind w:left="1100" w:right="380" w:hanging="187"/>
        <w:spacing w:after="0" w:line="246"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incurred significant net losses since inception and we expect to continue to incur significant net losses for the foreseeable future.</w:t>
      </w:r>
    </w:p>
    <w:p>
      <w:pPr>
        <w:spacing w:after="0" w:line="102" w:lineRule="exact"/>
        <w:rPr>
          <w:rFonts w:ascii="Arial" w:cs="Arial" w:eastAsia="Arial" w:hAnsi="Arial"/>
          <w:sz w:val="18"/>
          <w:szCs w:val="18"/>
          <w:color w:val="auto"/>
        </w:rPr>
      </w:pPr>
    </w:p>
    <w:p>
      <w:pPr>
        <w:ind w:left="1100" w:right="40" w:hanging="187"/>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capital to finance our operations. If we fail or are unable to raise such capital when needed, or on acceptable terms, we may be forced to delay, reduce and/or eliminate one or more of our research and drug development programs, future commercialization efforts or other operations.</w:t>
      </w:r>
    </w:p>
    <w:p>
      <w:pPr>
        <w:spacing w:after="0" w:line="108" w:lineRule="exact"/>
        <w:rPr>
          <w:rFonts w:ascii="Arial" w:cs="Arial" w:eastAsia="Arial" w:hAnsi="Arial"/>
          <w:sz w:val="18"/>
          <w:szCs w:val="18"/>
          <w:color w:val="auto"/>
        </w:rPr>
      </w:pPr>
    </w:p>
    <w:p>
      <w:pPr>
        <w:ind w:left="1100" w:right="80" w:hanging="187"/>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of our product candidates are based on a novel AAV gene therapy technology with which there is limited regulatory and no clinical experience to date, which makes it difficult to predict the time and cost of product candidate development and subsequently obtaining regulatory approval.</w:t>
      </w:r>
    </w:p>
    <w:p>
      <w:pPr>
        <w:spacing w:after="0" w:line="108" w:lineRule="exact"/>
        <w:rPr>
          <w:rFonts w:ascii="Arial" w:cs="Arial" w:eastAsia="Arial" w:hAnsi="Arial"/>
          <w:sz w:val="18"/>
          <w:szCs w:val="18"/>
          <w:color w:val="auto"/>
        </w:rPr>
      </w:pPr>
    </w:p>
    <w:p>
      <w:pPr>
        <w:ind w:left="1100" w:right="80" w:hanging="187"/>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could experience production problems that result in delays in our development or commercialization programs, limit the supply of our products or otherwise seriously harm our business.</w:t>
      </w:r>
    </w:p>
    <w:p>
      <w:pPr>
        <w:spacing w:after="0" w:line="108" w:lineRule="exact"/>
        <w:rPr>
          <w:rFonts w:ascii="Arial" w:cs="Arial" w:eastAsia="Arial" w:hAnsi="Arial"/>
          <w:sz w:val="18"/>
          <w:szCs w:val="18"/>
          <w:color w:val="auto"/>
        </w:rPr>
      </w:pPr>
    </w:p>
    <w:p>
      <w:pPr>
        <w:ind w:left="1100" w:right="420" w:hanging="187"/>
        <w:spacing w:after="0" w:line="246"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public perception or regulatory scrutiny of gene therapy technology may negatively impact the developmental progress or commercial success of products that we develop alone or with collaborators.</w:t>
      </w:r>
    </w:p>
    <w:p>
      <w:pPr>
        <w:spacing w:after="0" w:line="102" w:lineRule="exact"/>
        <w:rPr>
          <w:rFonts w:ascii="Arial" w:cs="Arial" w:eastAsia="Arial" w:hAnsi="Arial"/>
          <w:sz w:val="18"/>
          <w:szCs w:val="18"/>
          <w:color w:val="auto"/>
        </w:rPr>
      </w:pPr>
    </w:p>
    <w:p>
      <w:pPr>
        <w:ind w:left="1100" w:right="200" w:hanging="187"/>
        <w:spacing w:after="0" w:line="246"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clinical trials may fail to demonstrate substantial evidence of the safety and efficacy of our product candidates, which would prevent, delay or limit the scope of regulatory approval and commercialization.</w:t>
      </w:r>
    </w:p>
    <w:p>
      <w:pPr>
        <w:spacing w:after="0" w:line="102" w:lineRule="exact"/>
        <w:rPr>
          <w:rFonts w:ascii="Arial" w:cs="Arial" w:eastAsia="Arial" w:hAnsi="Arial"/>
          <w:sz w:val="18"/>
          <w:szCs w:val="18"/>
          <w:color w:val="auto"/>
        </w:rPr>
      </w:pPr>
    </w:p>
    <w:p>
      <w:pPr>
        <w:ind w:left="1100" w:right="60" w:hanging="187"/>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regulatory approval processes of the FDA, EMA and comparable foreign regulatory authorities are lengthy, expensive, time consuming, and inherently unpredictable. If we are ultimately unable to obtain regulatory approval for our product candidates, we will be unable to generate product revenue and our business will be substantially harmed.</w:t>
      </w:r>
    </w:p>
    <w:p>
      <w:pPr>
        <w:spacing w:after="0" w:line="108" w:lineRule="exact"/>
        <w:rPr>
          <w:rFonts w:ascii="Arial" w:cs="Arial" w:eastAsia="Arial" w:hAnsi="Arial"/>
          <w:sz w:val="18"/>
          <w:szCs w:val="18"/>
          <w:color w:val="auto"/>
        </w:rPr>
      </w:pPr>
    </w:p>
    <w:p>
      <w:pPr>
        <w:ind w:left="1100" w:right="120" w:hanging="187"/>
        <w:spacing w:after="0" w:line="246"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employees, independent contractors, consultants, research or commercial partners or collaborators and vendors may engage in misconduct or other improper activities, including noncompliance with regulatory standards and requirements.</w:t>
      </w:r>
    </w:p>
    <w:p>
      <w:pPr>
        <w:spacing w:after="0" w:line="102" w:lineRule="exact"/>
        <w:rPr>
          <w:rFonts w:ascii="Arial" w:cs="Arial" w:eastAsia="Arial" w:hAnsi="Arial"/>
          <w:sz w:val="18"/>
          <w:szCs w:val="18"/>
          <w:color w:val="auto"/>
        </w:rPr>
      </w:pPr>
    </w:p>
    <w:p>
      <w:pPr>
        <w:ind w:left="1100" w:hanging="187"/>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240" w:top="459" w:right="7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75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547560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00" w:right="100" w:hanging="187"/>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rights to develop and commercialize our product candidates are subject in part to the terms and conditions of licenses granted to us by others, and the patent protection, prosecution and enforcement for some of our product candidates may be dependent on our licensors.</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ind w:left="380" w:firstLine="533"/>
        <w:spacing w:after="0" w:line="237" w:lineRule="auto"/>
        <w:rPr>
          <w:sz w:val="20"/>
          <w:szCs w:val="20"/>
          <w:color w:val="auto"/>
        </w:rPr>
      </w:pPr>
      <w:r>
        <w:rPr>
          <w:rFonts w:ascii="Arial" w:cs="Arial" w:eastAsia="Arial" w:hAnsi="Arial"/>
          <w:sz w:val="18"/>
          <w:szCs w:val="18"/>
          <w:color w:val="auto"/>
        </w:rPr>
        <w:t>We were formed on September 12, 2013 as a Delaware limited liability corporation under the name 4D Molecular Therapeutics, LLC. On March 11, 2015, 4D Molecular Therapeutics, Inc. was incorporated as a Delaware corporation. On March 20, 2015, 4D Molecular Therapeutics, LLC merged with 4D Molecular Therapeutics, Inc. with 4D Molecular Therapeutics, Inc. being the surviving entity. Our principal executive offices are located at 5858 Horton Street #455, Emeryville, California 94608, and our telephone number is (510) 505-2680. Our website address is www.4dmoleculartherapeutics.com. The information on, or that can be accessed through, our website is not part of this prospectus. We have included our website address as an inactive textual reference only.</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(the JOBS Act). We will</w:t>
      </w:r>
    </w:p>
    <w:p>
      <w:pPr>
        <w:ind w:left="380"/>
        <w:spacing w:after="0" w:line="234" w:lineRule="auto"/>
        <w:rPr>
          <w:sz w:val="20"/>
          <w:szCs w:val="20"/>
          <w:color w:val="auto"/>
        </w:rPr>
      </w:pPr>
      <w:r>
        <w:rPr>
          <w:rFonts w:ascii="Arial" w:cs="Arial" w:eastAsia="Arial" w:hAnsi="Arial"/>
          <w:sz w:val="18"/>
          <w:szCs w:val="18"/>
          <w:color w:val="auto"/>
        </w:rPr>
        <w:t>remain an emerging growth company until the earlier of (i) the last day of the year following the fifth anniversary of the completion of</w:t>
      </w:r>
    </w:p>
    <w:p>
      <w:pPr>
        <w:ind w:left="380"/>
        <w:spacing w:after="0" w:line="235" w:lineRule="auto"/>
        <w:rPr>
          <w:sz w:val="20"/>
          <w:szCs w:val="20"/>
          <w:color w:val="auto"/>
        </w:rPr>
      </w:pPr>
      <w:r>
        <w:rPr>
          <w:rFonts w:ascii="Arial" w:cs="Arial" w:eastAsia="Arial" w:hAnsi="Arial"/>
          <w:sz w:val="18"/>
          <w:szCs w:val="18"/>
          <w:color w:val="auto"/>
        </w:rPr>
        <w:t>this offering, (ii) the last day of the year in which we have total annual gross revenue of at least $1.07 billion, (iii) the last day of the</w:t>
      </w:r>
    </w:p>
    <w:p>
      <w:pPr>
        <w:ind w:left="380"/>
        <w:spacing w:after="0" w:line="235" w:lineRule="auto"/>
        <w:rPr>
          <w:sz w:val="20"/>
          <w:szCs w:val="20"/>
          <w:color w:val="auto"/>
        </w:rPr>
      </w:pPr>
      <w:r>
        <w:rPr>
          <w:rFonts w:ascii="Arial" w:cs="Arial" w:eastAsia="Arial" w:hAnsi="Arial"/>
          <w:sz w:val="18"/>
          <w:szCs w:val="18"/>
          <w:color w:val="auto"/>
        </w:rPr>
        <w:t>year in which we are deemed to be a “large accelerated filer” as defined in Rule 12b-2 under the Securities Exchange Act of 1934, as</w:t>
      </w:r>
    </w:p>
    <w:p>
      <w:pPr>
        <w:ind w:left="380"/>
        <w:spacing w:after="0" w:line="235" w:lineRule="auto"/>
        <w:rPr>
          <w:sz w:val="20"/>
          <w:szCs w:val="20"/>
          <w:color w:val="auto"/>
        </w:rPr>
      </w:pPr>
      <w:r>
        <w:rPr>
          <w:rFonts w:ascii="Arial" w:cs="Arial" w:eastAsia="Arial" w:hAnsi="Arial"/>
          <w:sz w:val="18"/>
          <w:szCs w:val="18"/>
          <w:color w:val="auto"/>
        </w:rPr>
        <w:t>amended (the Exchange Act), which would occur if the market value of our common stock held by non-affiliates exceeded $700.0</w:t>
      </w:r>
    </w:p>
    <w:p>
      <w:pPr>
        <w:ind w:left="380"/>
        <w:spacing w:after="0" w:line="235" w:lineRule="auto"/>
        <w:rPr>
          <w:sz w:val="20"/>
          <w:szCs w:val="20"/>
          <w:color w:val="auto"/>
        </w:rPr>
      </w:pPr>
      <w:r>
        <w:rPr>
          <w:rFonts w:ascii="Arial" w:cs="Arial" w:eastAsia="Arial" w:hAnsi="Arial"/>
          <w:sz w:val="18"/>
          <w:szCs w:val="18"/>
          <w:color w:val="auto"/>
        </w:rPr>
        <w:t>million as of the last business day of the second fiscal quarter of such year, or (iv) the date on which we have issued more than</w:t>
      </w:r>
    </w:p>
    <w:p>
      <w:pPr>
        <w:ind w:left="380"/>
        <w:spacing w:after="0" w:line="235" w:lineRule="auto"/>
        <w:rPr>
          <w:sz w:val="20"/>
          <w:szCs w:val="20"/>
          <w:color w:val="auto"/>
        </w:rPr>
      </w:pPr>
      <w:r>
        <w:rPr>
          <w:rFonts w:ascii="Arial" w:cs="Arial" w:eastAsia="Arial" w:hAnsi="Arial"/>
          <w:sz w:val="18"/>
          <w:szCs w:val="18"/>
          <w:color w:val="auto"/>
        </w:rPr>
        <w:t>$1.0 billion in non-convertible debt securities during the prior three-year period. An emerging growth company may take advantage of</w:t>
      </w:r>
    </w:p>
    <w:p>
      <w:pPr>
        <w:ind w:left="380"/>
        <w:spacing w:after="0" w:line="235" w:lineRule="auto"/>
        <w:rPr>
          <w:sz w:val="20"/>
          <w:szCs w:val="20"/>
          <w:color w:val="auto"/>
        </w:rPr>
      </w:pPr>
      <w:r>
        <w:rPr>
          <w:rFonts w:ascii="Arial" w:cs="Arial" w:eastAsia="Arial" w:hAnsi="Arial"/>
          <w:sz w:val="18"/>
          <w:szCs w:val="18"/>
          <w:color w:val="auto"/>
        </w:rPr>
        <w:t>specified reduced reporting requirements and is relieved of certain other significant requirements that are otherwise generally</w:t>
      </w:r>
    </w:p>
    <w:p>
      <w:pPr>
        <w:ind w:left="380"/>
        <w:spacing w:after="0"/>
        <w:rPr>
          <w:sz w:val="20"/>
          <w:szCs w:val="20"/>
          <w:color w:val="auto"/>
        </w:rPr>
      </w:pPr>
      <w:r>
        <w:rPr>
          <w:rFonts w:ascii="Arial" w:cs="Arial" w:eastAsia="Arial" w:hAnsi="Arial"/>
          <w:sz w:val="18"/>
          <w:szCs w:val="18"/>
          <w:color w:val="auto"/>
        </w:rPr>
        <w:t>applicable to public companies. As an emerging growth company:</w:t>
      </w:r>
    </w:p>
    <w:p>
      <w:pPr>
        <w:spacing w:after="0" w:line="117" w:lineRule="exact"/>
        <w:rPr>
          <w:sz w:val="20"/>
          <w:szCs w:val="20"/>
          <w:color w:val="auto"/>
        </w:rPr>
      </w:pPr>
    </w:p>
    <w:p>
      <w:pPr>
        <w:ind w:left="1100" w:right="20" w:hanging="187"/>
        <w:spacing w:after="0" w:line="246"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present only two years of audited financial statements, plus unaudited financial statements for any interim period, and related management’s discussion and analysis of financial condition and results of operations;</w:t>
      </w:r>
    </w:p>
    <w:p>
      <w:pPr>
        <w:spacing w:after="0" w:line="102" w:lineRule="exact"/>
        <w:rPr>
          <w:rFonts w:ascii="Arial" w:cs="Arial" w:eastAsia="Arial" w:hAnsi="Arial"/>
          <w:sz w:val="18"/>
          <w:szCs w:val="18"/>
          <w:color w:val="auto"/>
        </w:rPr>
      </w:pPr>
    </w:p>
    <w:p>
      <w:pPr>
        <w:ind w:left="1100" w:right="120" w:hanging="187"/>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obtain an attestation and report from our auditors on the assessment of our internal control over financial reporting pursuant to the Sarbanes-Oxley Act of 2002 (the Sarbanes-Oxley Act);</w:t>
      </w:r>
    </w:p>
    <w:p>
      <w:pPr>
        <w:spacing w:after="0" w:line="108" w:lineRule="exact"/>
        <w:rPr>
          <w:rFonts w:ascii="Arial" w:cs="Arial" w:eastAsia="Arial" w:hAnsi="Arial"/>
          <w:sz w:val="18"/>
          <w:szCs w:val="18"/>
          <w:color w:val="auto"/>
        </w:rPr>
      </w:pPr>
    </w:p>
    <w:p>
      <w:pPr>
        <w:ind w:left="1100" w:hanging="187"/>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w:t>
      </w:r>
    </w:p>
    <w:p>
      <w:pPr>
        <w:spacing w:after="0" w:line="117" w:lineRule="exact"/>
        <w:rPr>
          <w:rFonts w:ascii="Arial" w:cs="Arial" w:eastAsia="Arial" w:hAnsi="Arial"/>
          <w:sz w:val="18"/>
          <w:szCs w:val="18"/>
          <w:color w:val="auto"/>
        </w:rPr>
      </w:pPr>
    </w:p>
    <w:p>
      <w:pPr>
        <w:ind w:left="1100" w:right="240" w:hanging="187"/>
        <w:spacing w:after="0" w:line="246"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not require stockholder non-binding advisory votes on executive compensation or golden parachute arrangements; and</w:t>
      </w:r>
    </w:p>
    <w:p>
      <w:pPr>
        <w:spacing w:after="0" w:line="102" w:lineRule="exact"/>
        <w:rPr>
          <w:rFonts w:ascii="Arial" w:cs="Arial" w:eastAsia="Arial" w:hAnsi="Arial"/>
          <w:sz w:val="18"/>
          <w:szCs w:val="18"/>
          <w:color w:val="auto"/>
        </w:rPr>
      </w:pPr>
    </w:p>
    <w:p>
      <w:pPr>
        <w:ind w:left="1100" w:right="480" w:hanging="187"/>
        <w:spacing w:after="0" w:line="246"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take advantage of extended transition periods to comply with new or revised accounting standards, delaying the adoption of these accounting standards until they would apply to private companies.</w:t>
      </w:r>
    </w:p>
    <w:p>
      <w:pPr>
        <w:spacing w:after="0" w:line="197" w:lineRule="exact"/>
        <w:rPr>
          <w:sz w:val="20"/>
          <w:szCs w:val="20"/>
          <w:color w:val="auto"/>
        </w:rPr>
      </w:pPr>
    </w:p>
    <w:p>
      <w:pPr>
        <w:ind w:left="380" w:right="120" w:firstLine="533"/>
        <w:spacing w:after="0" w:line="246" w:lineRule="auto"/>
        <w:rPr>
          <w:sz w:val="20"/>
          <w:szCs w:val="20"/>
          <w:color w:val="auto"/>
        </w:rPr>
      </w:pPr>
      <w:r>
        <w:rPr>
          <w:rFonts w:ascii="Arial" w:cs="Arial" w:eastAsia="Arial" w:hAnsi="Arial"/>
          <w:sz w:val="18"/>
          <w:szCs w:val="18"/>
          <w:color w:val="auto"/>
        </w:rPr>
        <w:t>As a result, the information in this prospectus and that we provide to our investors in the future may be different than what you might receive from other public reporting companies.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240" w:top="459" w:right="6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89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56896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020"/>
          </w:cols>
          <w:pgMar w:left="240" w:top="459" w:right="639" w:bottom="1440" w:gutter="0" w:footer="0" w:header="0"/>
        </w:sect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Common stock offered by us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jc w:val="center"/>
        <w:ind w:right="3920"/>
        <w:spacing w:after="0"/>
        <w:rPr>
          <w:sz w:val="20"/>
          <w:szCs w:val="20"/>
          <w:color w:val="auto"/>
        </w:rPr>
      </w:pPr>
      <w:r>
        <w:rPr>
          <w:rFonts w:ascii="Arial" w:cs="Arial" w:eastAsia="Arial" w:hAnsi="Arial"/>
          <w:sz w:val="17"/>
          <w:szCs w:val="17"/>
          <w:color w:val="auto"/>
        </w:rPr>
        <w:t>shares.</w:t>
      </w:r>
    </w:p>
    <w:p>
      <w:pPr>
        <w:spacing w:after="0" w:line="101" w:lineRule="exact"/>
        <w:rPr>
          <w:sz w:val="20"/>
          <w:szCs w:val="20"/>
          <w:color w:val="auto"/>
        </w:rPr>
      </w:pPr>
    </w:p>
    <w:p>
      <w:pPr>
        <w:sectPr>
          <w:pgSz w:w="11900" w:h="16838" w:orient="portrait"/>
          <w:cols w:equalWidth="0" w:num="2">
            <w:col w:w="5800" w:space="720"/>
            <w:col w:w="4500"/>
          </w:cols>
          <w:pgMar w:left="240" w:top="459" w:right="639" w:bottom="1440" w:gutter="0" w:footer="0" w:header="0"/>
          <w:type w:val="continuous"/>
        </w:sectPr>
      </w:pPr>
    </w:p>
    <w:p>
      <w:pPr>
        <w:ind w:left="380"/>
        <w:spacing w:after="0"/>
        <w:rPr>
          <w:sz w:val="20"/>
          <w:szCs w:val="20"/>
          <w:color w:val="auto"/>
        </w:rPr>
      </w:pPr>
      <w:r>
        <w:rPr>
          <w:rFonts w:ascii="Arial" w:cs="Arial" w:eastAsia="Arial" w:hAnsi="Arial"/>
          <w:sz w:val="18"/>
          <w:szCs w:val="18"/>
          <w:color w:val="auto"/>
        </w:rPr>
        <w:t>Underwriters’ over-allotment option</w:t>
      </w:r>
    </w:p>
    <w:p>
      <w:pPr>
        <w:spacing w:after="0" w:line="20" w:lineRule="exact"/>
        <w:rPr>
          <w:sz w:val="20"/>
          <w:szCs w:val="20"/>
          <w:color w:val="auto"/>
        </w:rPr>
      </w:pPr>
      <w:r>
        <w:rPr>
          <w:sz w:val="20"/>
          <w:szCs w:val="20"/>
          <w:color w:val="auto"/>
        </w:rPr>
        <w:br w:type="column"/>
      </w:r>
    </w:p>
    <w:p>
      <w:pPr>
        <w:ind w:right="460"/>
        <w:spacing w:after="0"/>
        <w:rPr>
          <w:sz w:val="20"/>
          <w:szCs w:val="20"/>
          <w:color w:val="auto"/>
        </w:rPr>
      </w:pPr>
      <w:r>
        <w:rPr>
          <w:rFonts w:ascii="Arial" w:cs="Arial" w:eastAsia="Arial" w:hAnsi="Arial"/>
          <w:sz w:val="18"/>
          <w:szCs w:val="18"/>
          <w:color w:val="auto"/>
        </w:rPr>
        <w:t>We have granted the underwriters a 30-day over-allotment option to purchase up to additional shares of our common stock.</w:t>
      </w:r>
    </w:p>
    <w:p>
      <w:pPr>
        <w:spacing w:after="0" w:line="63" w:lineRule="exact"/>
        <w:rPr>
          <w:sz w:val="20"/>
          <w:szCs w:val="20"/>
          <w:color w:val="auto"/>
        </w:rPr>
      </w:pPr>
    </w:p>
    <w:p>
      <w:pPr>
        <w:sectPr>
          <w:pgSz w:w="11900" w:h="16838" w:orient="portrait"/>
          <w:cols w:equalWidth="0" w:num="2">
            <w:col w:w="5200" w:space="720"/>
            <w:col w:w="5100"/>
          </w:cols>
          <w:pgMar w:left="240" w:top="459" w:right="639" w:bottom="1440" w:gutter="0" w:footer="0" w:header="0"/>
          <w:type w:val="continuous"/>
        </w:sectPr>
      </w:pPr>
    </w:p>
    <w:tbl>
      <w:tblPr>
        <w:tblLayout w:type="fixed"/>
        <w:tblInd w:w="380" w:type="dxa"/>
        <w:tblCellMar>
          <w:top w:w="0" w:type="dxa"/>
          <w:left w:w="0" w:type="dxa"/>
          <w:bottom w:w="0" w:type="dxa"/>
          <w:right w:w="0" w:type="dxa"/>
        </w:tblCellMar>
      </w:tblPr>
      <w:tr>
        <w:trPr>
          <w:trHeight w:val="207"/>
        </w:trPr>
        <w:tc>
          <w:tcPr>
            <w:tcW w:w="5260" w:type="dxa"/>
            <w:vAlign w:val="bottom"/>
          </w:tcPr>
          <w:p>
            <w:pPr>
              <w:spacing w:after="0"/>
              <w:rPr>
                <w:sz w:val="20"/>
                <w:szCs w:val="20"/>
                <w:color w:val="auto"/>
              </w:rPr>
            </w:pPr>
            <w:r>
              <w:rPr>
                <w:rFonts w:ascii="Arial" w:cs="Arial" w:eastAsia="Arial" w:hAnsi="Arial"/>
                <w:sz w:val="18"/>
                <w:szCs w:val="18"/>
                <w:color w:val="auto"/>
              </w:rPr>
              <w:t>Common stock to be immediately outstanding after the offering</w:t>
            </w:r>
          </w:p>
        </w:tc>
        <w:tc>
          <w:tcPr>
            <w:tcW w:w="1840" w:type="dxa"/>
            <w:vAlign w:val="bottom"/>
          </w:tcPr>
          <w:p>
            <w:pPr>
              <w:ind w:left="880"/>
              <w:spacing w:after="0"/>
              <w:rPr>
                <w:sz w:val="20"/>
                <w:szCs w:val="20"/>
                <w:color w:val="auto"/>
              </w:rPr>
            </w:pPr>
            <w:r>
              <w:rPr>
                <w:rFonts w:ascii="Arial" w:cs="Arial" w:eastAsia="Arial" w:hAnsi="Arial"/>
                <w:sz w:val="18"/>
                <w:szCs w:val="18"/>
                <w:color w:val="auto"/>
              </w:rPr>
              <w:t>shares (or</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shares if the underwriters exercise</w:t>
            </w:r>
          </w:p>
        </w:tc>
      </w:tr>
      <w:tr>
        <w:trPr>
          <w:trHeight w:val="217"/>
        </w:trPr>
        <w:tc>
          <w:tcPr>
            <w:tcW w:w="5260" w:type="dxa"/>
            <w:vAlign w:val="bottom"/>
          </w:tcPr>
          <w:p>
            <w:pPr>
              <w:spacing w:after="0"/>
              <w:rPr>
                <w:sz w:val="18"/>
                <w:szCs w:val="18"/>
                <w:color w:val="auto"/>
              </w:rPr>
            </w:pP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their over-allotment option in full).</w:t>
            </w:r>
          </w:p>
        </w:tc>
        <w:tc>
          <w:tcPr>
            <w:tcW w:w="1260" w:type="dxa"/>
            <w:vAlign w:val="bottom"/>
          </w:tcPr>
          <w:p>
            <w:pPr>
              <w:spacing w:after="0"/>
              <w:rPr>
                <w:sz w:val="18"/>
                <w:szCs w:val="18"/>
                <w:color w:val="auto"/>
              </w:rPr>
            </w:pPr>
          </w:p>
        </w:tc>
      </w:tr>
      <w:tr>
        <w:trPr>
          <w:trHeight w:val="269"/>
        </w:trPr>
        <w:tc>
          <w:tcPr>
            <w:tcW w:w="5260" w:type="dxa"/>
            <w:vAlign w:val="bottom"/>
          </w:tcPr>
          <w:p>
            <w:pPr>
              <w:spacing w:after="0"/>
              <w:rPr>
                <w:sz w:val="20"/>
                <w:szCs w:val="20"/>
                <w:color w:val="auto"/>
              </w:rPr>
            </w:pPr>
            <w:r>
              <w:rPr>
                <w:rFonts w:ascii="Arial" w:cs="Arial" w:eastAsia="Arial" w:hAnsi="Arial"/>
                <w:sz w:val="18"/>
                <w:szCs w:val="18"/>
                <w:color w:val="auto"/>
              </w:rPr>
              <w:t>Use of proceeds</w:t>
            </w:r>
          </w:p>
        </w:tc>
        <w:tc>
          <w:tcPr>
            <w:tcW w:w="5380" w:type="dxa"/>
            <w:vAlign w:val="bottom"/>
            <w:gridSpan w:val="3"/>
          </w:tcPr>
          <w:p>
            <w:pPr>
              <w:ind w:left="280"/>
              <w:spacing w:after="0"/>
              <w:rPr>
                <w:sz w:val="20"/>
                <w:szCs w:val="20"/>
                <w:color w:val="auto"/>
              </w:rPr>
            </w:pPr>
            <w:r>
              <w:rPr>
                <w:rFonts w:ascii="Arial" w:cs="Arial" w:eastAsia="Arial" w:hAnsi="Arial"/>
                <w:sz w:val="18"/>
                <w:szCs w:val="18"/>
                <w:color w:val="auto"/>
              </w:rPr>
              <w:t>We estimate that the net proceeds from this offering will be</w:t>
            </w:r>
          </w:p>
        </w:tc>
      </w:tr>
      <w:tr>
        <w:trPr>
          <w:trHeight w:val="203"/>
        </w:trPr>
        <w:tc>
          <w:tcPr>
            <w:tcW w:w="5260" w:type="dxa"/>
            <w:vAlign w:val="bottom"/>
          </w:tcPr>
          <w:p>
            <w:pPr>
              <w:spacing w:after="0"/>
              <w:rPr>
                <w:sz w:val="17"/>
                <w:szCs w:val="17"/>
                <w:color w:val="auto"/>
              </w:rPr>
            </w:pPr>
          </w:p>
        </w:tc>
        <w:tc>
          <w:tcPr>
            <w:tcW w:w="1840" w:type="dxa"/>
            <w:vAlign w:val="bottom"/>
          </w:tcPr>
          <w:p>
            <w:pPr>
              <w:ind w:left="280"/>
              <w:spacing w:after="0" w:line="202" w:lineRule="exact"/>
              <w:rPr>
                <w:sz w:val="20"/>
                <w:szCs w:val="20"/>
                <w:color w:val="auto"/>
              </w:rPr>
            </w:pPr>
            <w:r>
              <w:rPr>
                <w:rFonts w:ascii="Arial" w:cs="Arial" w:eastAsia="Arial" w:hAnsi="Arial"/>
                <w:sz w:val="18"/>
                <w:szCs w:val="18"/>
                <w:color w:val="auto"/>
              </w:rPr>
              <w:t>approximately $</w:t>
            </w:r>
          </w:p>
        </w:tc>
        <w:tc>
          <w:tcPr>
            <w:tcW w:w="2280" w:type="dxa"/>
            <w:vAlign w:val="bottom"/>
          </w:tcPr>
          <w:p>
            <w:pPr>
              <w:ind w:left="160"/>
              <w:spacing w:after="0" w:line="202" w:lineRule="exact"/>
              <w:rPr>
                <w:sz w:val="20"/>
                <w:szCs w:val="20"/>
                <w:color w:val="auto"/>
              </w:rPr>
            </w:pPr>
            <w:r>
              <w:rPr>
                <w:rFonts w:ascii="Arial" w:cs="Arial" w:eastAsia="Arial" w:hAnsi="Arial"/>
                <w:sz w:val="18"/>
                <w:szCs w:val="18"/>
                <w:color w:val="auto"/>
              </w:rPr>
              <w:t>million, or approximately $</w:t>
            </w:r>
          </w:p>
        </w:tc>
        <w:tc>
          <w:tcPr>
            <w:tcW w:w="1260" w:type="dxa"/>
            <w:vAlign w:val="bottom"/>
          </w:tcPr>
          <w:p>
            <w:pPr>
              <w:ind w:left="420"/>
              <w:spacing w:after="0" w:line="202" w:lineRule="exact"/>
              <w:rPr>
                <w:sz w:val="20"/>
                <w:szCs w:val="20"/>
                <w:color w:val="auto"/>
              </w:rPr>
            </w:pPr>
            <w:r>
              <w:rPr>
                <w:rFonts w:ascii="Arial" w:cs="Arial" w:eastAsia="Arial" w:hAnsi="Arial"/>
                <w:sz w:val="18"/>
                <w:szCs w:val="18"/>
                <w:color w:val="auto"/>
              </w:rPr>
              <w:t>million if</w:t>
            </w:r>
          </w:p>
        </w:tc>
      </w:tr>
      <w:tr>
        <w:trPr>
          <w:trHeight w:val="203"/>
        </w:trPr>
        <w:tc>
          <w:tcPr>
            <w:tcW w:w="5260" w:type="dxa"/>
            <w:vAlign w:val="bottom"/>
          </w:tcPr>
          <w:p>
            <w:pPr>
              <w:spacing w:after="0"/>
              <w:rPr>
                <w:sz w:val="17"/>
                <w:szCs w:val="17"/>
                <w:color w:val="auto"/>
              </w:rPr>
            </w:pPr>
          </w:p>
        </w:tc>
        <w:tc>
          <w:tcPr>
            <w:tcW w:w="53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the underwriters exercise their over-allotment option in full,</w:t>
            </w:r>
          </w:p>
        </w:tc>
      </w:tr>
      <w:tr>
        <w:trPr>
          <w:trHeight w:val="203"/>
        </w:trPr>
        <w:tc>
          <w:tcPr>
            <w:tcW w:w="5260" w:type="dxa"/>
            <w:vAlign w:val="bottom"/>
          </w:tcPr>
          <w:p>
            <w:pPr>
              <w:spacing w:after="0"/>
              <w:rPr>
                <w:sz w:val="17"/>
                <w:szCs w:val="17"/>
                <w:color w:val="auto"/>
              </w:rPr>
            </w:pPr>
          </w:p>
        </w:tc>
        <w:tc>
          <w:tcPr>
            <w:tcW w:w="41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assuming an initial public offering price of $</w:t>
            </w:r>
          </w:p>
        </w:tc>
        <w:tc>
          <w:tcPr>
            <w:tcW w:w="1260" w:type="dxa"/>
            <w:vAlign w:val="bottom"/>
          </w:tcPr>
          <w:p>
            <w:pPr>
              <w:ind w:left="40"/>
              <w:spacing w:after="0" w:line="202" w:lineRule="exact"/>
              <w:rPr>
                <w:sz w:val="20"/>
                <w:szCs w:val="20"/>
                <w:color w:val="auto"/>
              </w:rPr>
            </w:pPr>
            <w:r>
              <w:rPr>
                <w:rFonts w:ascii="Arial" w:cs="Arial" w:eastAsia="Arial" w:hAnsi="Arial"/>
                <w:sz w:val="18"/>
                <w:szCs w:val="18"/>
                <w:color w:val="auto"/>
              </w:rPr>
              <w:t>per share, the</w:t>
            </w:r>
          </w:p>
        </w:tc>
      </w:tr>
      <w:tr>
        <w:trPr>
          <w:trHeight w:val="203"/>
        </w:trPr>
        <w:tc>
          <w:tcPr>
            <w:tcW w:w="5260" w:type="dxa"/>
            <w:vAlign w:val="bottom"/>
          </w:tcPr>
          <w:p>
            <w:pPr>
              <w:spacing w:after="0"/>
              <w:rPr>
                <w:sz w:val="17"/>
                <w:szCs w:val="17"/>
                <w:color w:val="auto"/>
              </w:rPr>
            </w:pPr>
          </w:p>
        </w:tc>
        <w:tc>
          <w:tcPr>
            <w:tcW w:w="53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midpoint of the estimated price range set forth on the cover of</w:t>
            </w:r>
          </w:p>
        </w:tc>
      </w:tr>
      <w:tr>
        <w:trPr>
          <w:trHeight w:val="203"/>
        </w:trPr>
        <w:tc>
          <w:tcPr>
            <w:tcW w:w="5260" w:type="dxa"/>
            <w:vAlign w:val="bottom"/>
          </w:tcPr>
          <w:p>
            <w:pPr>
              <w:spacing w:after="0"/>
              <w:rPr>
                <w:sz w:val="17"/>
                <w:szCs w:val="17"/>
                <w:color w:val="auto"/>
              </w:rPr>
            </w:pPr>
          </w:p>
        </w:tc>
        <w:tc>
          <w:tcPr>
            <w:tcW w:w="53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this prospectus, after deducting the estimated underwriting</w:t>
            </w:r>
          </w:p>
        </w:tc>
      </w:tr>
      <w:tr>
        <w:trPr>
          <w:trHeight w:val="203"/>
        </w:trPr>
        <w:tc>
          <w:tcPr>
            <w:tcW w:w="5260" w:type="dxa"/>
            <w:vAlign w:val="bottom"/>
          </w:tcPr>
          <w:p>
            <w:pPr>
              <w:spacing w:after="0"/>
              <w:rPr>
                <w:sz w:val="17"/>
                <w:szCs w:val="17"/>
                <w:color w:val="auto"/>
              </w:rPr>
            </w:pPr>
          </w:p>
        </w:tc>
        <w:tc>
          <w:tcPr>
            <w:tcW w:w="53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discounts and commissions and estimated offering expenses</w:t>
            </w:r>
          </w:p>
        </w:tc>
      </w:tr>
      <w:tr>
        <w:trPr>
          <w:trHeight w:val="217"/>
        </w:trPr>
        <w:tc>
          <w:tcPr>
            <w:tcW w:w="5260" w:type="dxa"/>
            <w:vAlign w:val="bottom"/>
          </w:tcPr>
          <w:p>
            <w:pPr>
              <w:spacing w:after="0"/>
              <w:rPr>
                <w:sz w:val="18"/>
                <w:szCs w:val="18"/>
                <w:color w:val="auto"/>
              </w:rPr>
            </w:pPr>
          </w:p>
        </w:tc>
        <w:tc>
          <w:tcPr>
            <w:tcW w:w="1840" w:type="dxa"/>
            <w:vAlign w:val="bottom"/>
          </w:tcPr>
          <w:p>
            <w:pPr>
              <w:ind w:left="280"/>
              <w:spacing w:after="0"/>
              <w:rPr>
                <w:sz w:val="20"/>
                <w:szCs w:val="20"/>
                <w:color w:val="auto"/>
              </w:rPr>
            </w:pPr>
            <w:r>
              <w:rPr>
                <w:rFonts w:ascii="Arial" w:cs="Arial" w:eastAsia="Arial" w:hAnsi="Arial"/>
                <w:sz w:val="18"/>
                <w:szCs w:val="18"/>
                <w:color w:val="auto"/>
              </w:rPr>
              <w:t>payable by us.</w:t>
            </w:r>
          </w:p>
        </w:tc>
        <w:tc>
          <w:tcPr>
            <w:tcW w:w="2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9"/>
        </w:trPr>
        <w:tc>
          <w:tcPr>
            <w:tcW w:w="5260" w:type="dxa"/>
            <w:vAlign w:val="bottom"/>
          </w:tcPr>
          <w:p>
            <w:pPr>
              <w:spacing w:after="0"/>
              <w:rPr>
                <w:sz w:val="23"/>
                <w:szCs w:val="23"/>
                <w:color w:val="auto"/>
              </w:rPr>
            </w:pPr>
          </w:p>
        </w:tc>
        <w:tc>
          <w:tcPr>
            <w:tcW w:w="5380" w:type="dxa"/>
            <w:vAlign w:val="bottom"/>
            <w:gridSpan w:val="3"/>
          </w:tcPr>
          <w:p>
            <w:pPr>
              <w:ind w:left="280"/>
              <w:spacing w:after="0"/>
              <w:rPr>
                <w:sz w:val="20"/>
                <w:szCs w:val="20"/>
                <w:color w:val="auto"/>
              </w:rPr>
            </w:pPr>
            <w:r>
              <w:rPr>
                <w:rFonts w:ascii="Arial" w:cs="Arial" w:eastAsia="Arial" w:hAnsi="Arial"/>
                <w:sz w:val="18"/>
                <w:szCs w:val="18"/>
                <w:color w:val="auto"/>
                <w:w w:val="99"/>
              </w:rPr>
              <w:t>We currently expect to use the net proceeds from this offering to</w:t>
            </w:r>
          </w:p>
        </w:tc>
      </w:tr>
      <w:tr>
        <w:trPr>
          <w:trHeight w:val="203"/>
        </w:trPr>
        <w:tc>
          <w:tcPr>
            <w:tcW w:w="5260" w:type="dxa"/>
            <w:vAlign w:val="bottom"/>
          </w:tcPr>
          <w:p>
            <w:pPr>
              <w:spacing w:after="0"/>
              <w:rPr>
                <w:sz w:val="17"/>
                <w:szCs w:val="17"/>
                <w:color w:val="auto"/>
              </w:rPr>
            </w:pPr>
          </w:p>
        </w:tc>
        <w:tc>
          <w:tcPr>
            <w:tcW w:w="53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fund the ongoing and planned preclinical and clinical</w:t>
            </w:r>
          </w:p>
        </w:tc>
      </w:tr>
      <w:tr>
        <w:trPr>
          <w:trHeight w:val="203"/>
        </w:trPr>
        <w:tc>
          <w:tcPr>
            <w:tcW w:w="5260" w:type="dxa"/>
            <w:vAlign w:val="bottom"/>
          </w:tcPr>
          <w:p>
            <w:pPr>
              <w:spacing w:after="0"/>
              <w:rPr>
                <w:sz w:val="17"/>
                <w:szCs w:val="17"/>
                <w:color w:val="auto"/>
              </w:rPr>
            </w:pPr>
          </w:p>
        </w:tc>
        <w:tc>
          <w:tcPr>
            <w:tcW w:w="5380" w:type="dxa"/>
            <w:vAlign w:val="bottom"/>
            <w:gridSpan w:val="3"/>
          </w:tcPr>
          <w:p>
            <w:pPr>
              <w:ind w:left="280"/>
              <w:spacing w:after="0" w:line="202" w:lineRule="exact"/>
              <w:rPr>
                <w:sz w:val="20"/>
                <w:szCs w:val="20"/>
                <w:color w:val="auto"/>
              </w:rPr>
            </w:pPr>
            <w:r>
              <w:rPr>
                <w:rFonts w:ascii="Arial" w:cs="Arial" w:eastAsia="Arial" w:hAnsi="Arial"/>
                <w:sz w:val="18"/>
                <w:szCs w:val="18"/>
                <w:color w:val="auto"/>
                <w:w w:val="99"/>
              </w:rPr>
              <w:t>development of our product candidates, further the development</w:t>
            </w:r>
          </w:p>
        </w:tc>
      </w:tr>
      <w:tr>
        <w:trPr>
          <w:trHeight w:val="203"/>
        </w:trPr>
        <w:tc>
          <w:tcPr>
            <w:tcW w:w="5260" w:type="dxa"/>
            <w:vAlign w:val="bottom"/>
          </w:tcPr>
          <w:p>
            <w:pPr>
              <w:spacing w:after="0"/>
              <w:rPr>
                <w:sz w:val="17"/>
                <w:szCs w:val="17"/>
                <w:color w:val="auto"/>
              </w:rPr>
            </w:pPr>
          </w:p>
        </w:tc>
        <w:tc>
          <w:tcPr>
            <w:tcW w:w="53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and expansion of our pipeline, the continued expansion of our</w:t>
            </w:r>
          </w:p>
        </w:tc>
      </w:tr>
      <w:tr>
        <w:trPr>
          <w:trHeight w:val="203"/>
        </w:trPr>
        <w:tc>
          <w:tcPr>
            <w:tcW w:w="5260" w:type="dxa"/>
            <w:vAlign w:val="bottom"/>
          </w:tcPr>
          <w:p>
            <w:pPr>
              <w:spacing w:after="0"/>
              <w:rPr>
                <w:sz w:val="17"/>
                <w:szCs w:val="17"/>
                <w:color w:val="auto"/>
              </w:rPr>
            </w:pPr>
          </w:p>
        </w:tc>
        <w:tc>
          <w:tcPr>
            <w:tcW w:w="53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manufacturing and research and development capabilities and</w:t>
            </w:r>
          </w:p>
        </w:tc>
      </w:tr>
      <w:tr>
        <w:trPr>
          <w:trHeight w:val="203"/>
        </w:trPr>
        <w:tc>
          <w:tcPr>
            <w:tcW w:w="5260" w:type="dxa"/>
            <w:vAlign w:val="bottom"/>
          </w:tcPr>
          <w:p>
            <w:pPr>
              <w:spacing w:after="0"/>
              <w:rPr>
                <w:sz w:val="17"/>
                <w:szCs w:val="17"/>
                <w:color w:val="auto"/>
              </w:rPr>
            </w:pPr>
          </w:p>
        </w:tc>
        <w:tc>
          <w:tcPr>
            <w:tcW w:w="53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the remainder for working capital and general corporate</w:t>
            </w:r>
          </w:p>
        </w:tc>
      </w:tr>
      <w:tr>
        <w:trPr>
          <w:trHeight w:val="203"/>
        </w:trPr>
        <w:tc>
          <w:tcPr>
            <w:tcW w:w="5260" w:type="dxa"/>
            <w:vAlign w:val="bottom"/>
          </w:tcPr>
          <w:p>
            <w:pPr>
              <w:spacing w:after="0"/>
              <w:rPr>
                <w:sz w:val="17"/>
                <w:szCs w:val="17"/>
                <w:color w:val="auto"/>
              </w:rPr>
            </w:pPr>
          </w:p>
        </w:tc>
        <w:tc>
          <w:tcPr>
            <w:tcW w:w="53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purposes. See the section titled “Use of Proceeds” for a more</w:t>
            </w:r>
          </w:p>
        </w:tc>
      </w:tr>
      <w:tr>
        <w:trPr>
          <w:trHeight w:val="203"/>
        </w:trPr>
        <w:tc>
          <w:tcPr>
            <w:tcW w:w="5260" w:type="dxa"/>
            <w:vAlign w:val="bottom"/>
          </w:tcPr>
          <w:p>
            <w:pPr>
              <w:spacing w:after="0"/>
              <w:rPr>
                <w:sz w:val="17"/>
                <w:szCs w:val="17"/>
                <w:color w:val="auto"/>
              </w:rPr>
            </w:pPr>
          </w:p>
        </w:tc>
        <w:tc>
          <w:tcPr>
            <w:tcW w:w="53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complete description of the intended use of proceeds from this</w:t>
            </w:r>
          </w:p>
        </w:tc>
      </w:tr>
      <w:tr>
        <w:trPr>
          <w:trHeight w:val="217"/>
        </w:trPr>
        <w:tc>
          <w:tcPr>
            <w:tcW w:w="5260" w:type="dxa"/>
            <w:vAlign w:val="bottom"/>
          </w:tcPr>
          <w:p>
            <w:pPr>
              <w:spacing w:after="0"/>
              <w:rPr>
                <w:sz w:val="18"/>
                <w:szCs w:val="18"/>
                <w:color w:val="auto"/>
              </w:rPr>
            </w:pPr>
          </w:p>
        </w:tc>
        <w:tc>
          <w:tcPr>
            <w:tcW w:w="1840" w:type="dxa"/>
            <w:vAlign w:val="bottom"/>
          </w:tcPr>
          <w:p>
            <w:pPr>
              <w:ind w:left="280"/>
              <w:spacing w:after="0"/>
              <w:rPr>
                <w:sz w:val="20"/>
                <w:szCs w:val="20"/>
                <w:color w:val="auto"/>
              </w:rPr>
            </w:pPr>
            <w:r>
              <w:rPr>
                <w:rFonts w:ascii="Arial" w:cs="Arial" w:eastAsia="Arial" w:hAnsi="Arial"/>
                <w:sz w:val="18"/>
                <w:szCs w:val="18"/>
                <w:color w:val="auto"/>
              </w:rPr>
              <w:t>offering.</w:t>
            </w:r>
          </w:p>
        </w:tc>
        <w:tc>
          <w:tcPr>
            <w:tcW w:w="2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9"/>
        </w:trPr>
        <w:tc>
          <w:tcPr>
            <w:tcW w:w="5260" w:type="dxa"/>
            <w:vAlign w:val="bottom"/>
          </w:tcPr>
          <w:p>
            <w:pPr>
              <w:spacing w:after="0"/>
              <w:rPr>
                <w:sz w:val="20"/>
                <w:szCs w:val="20"/>
                <w:color w:val="auto"/>
              </w:rPr>
            </w:pPr>
            <w:r>
              <w:rPr>
                <w:rFonts w:ascii="Arial" w:cs="Arial" w:eastAsia="Arial" w:hAnsi="Arial"/>
                <w:sz w:val="18"/>
                <w:szCs w:val="18"/>
                <w:color w:val="auto"/>
              </w:rPr>
              <w:t>Risk factors</w:t>
            </w:r>
          </w:p>
        </w:tc>
        <w:tc>
          <w:tcPr>
            <w:tcW w:w="5380" w:type="dxa"/>
            <w:vAlign w:val="bottom"/>
            <w:gridSpan w:val="3"/>
          </w:tcPr>
          <w:p>
            <w:pPr>
              <w:ind w:left="280"/>
              <w:spacing w:after="0"/>
              <w:rPr>
                <w:sz w:val="20"/>
                <w:szCs w:val="20"/>
                <w:color w:val="auto"/>
              </w:rPr>
            </w:pPr>
            <w:r>
              <w:rPr>
                <w:rFonts w:ascii="Arial" w:cs="Arial" w:eastAsia="Arial" w:hAnsi="Arial"/>
                <w:sz w:val="18"/>
                <w:szCs w:val="18"/>
                <w:color w:val="auto"/>
              </w:rPr>
              <w:t>See the section titled “Risk Factors” and other information</w:t>
            </w:r>
          </w:p>
        </w:tc>
      </w:tr>
      <w:tr>
        <w:trPr>
          <w:trHeight w:val="203"/>
        </w:trPr>
        <w:tc>
          <w:tcPr>
            <w:tcW w:w="5260" w:type="dxa"/>
            <w:vAlign w:val="bottom"/>
          </w:tcPr>
          <w:p>
            <w:pPr>
              <w:spacing w:after="0"/>
              <w:rPr>
                <w:sz w:val="17"/>
                <w:szCs w:val="17"/>
                <w:color w:val="auto"/>
              </w:rPr>
            </w:pPr>
          </w:p>
        </w:tc>
        <w:tc>
          <w:tcPr>
            <w:tcW w:w="53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included in this prospectus for a discussion of factors that you</w:t>
            </w:r>
          </w:p>
        </w:tc>
      </w:tr>
      <w:tr>
        <w:trPr>
          <w:trHeight w:val="203"/>
        </w:trPr>
        <w:tc>
          <w:tcPr>
            <w:tcW w:w="5260" w:type="dxa"/>
            <w:vAlign w:val="bottom"/>
          </w:tcPr>
          <w:p>
            <w:pPr>
              <w:spacing w:after="0"/>
              <w:rPr>
                <w:sz w:val="17"/>
                <w:szCs w:val="17"/>
                <w:color w:val="auto"/>
              </w:rPr>
            </w:pPr>
          </w:p>
        </w:tc>
        <w:tc>
          <w:tcPr>
            <w:tcW w:w="53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should consider carefully before deciding to invest in our</w:t>
            </w:r>
          </w:p>
        </w:tc>
      </w:tr>
      <w:tr>
        <w:trPr>
          <w:trHeight w:val="217"/>
        </w:trPr>
        <w:tc>
          <w:tcPr>
            <w:tcW w:w="5260" w:type="dxa"/>
            <w:vAlign w:val="bottom"/>
          </w:tcPr>
          <w:p>
            <w:pPr>
              <w:spacing w:after="0"/>
              <w:rPr>
                <w:sz w:val="18"/>
                <w:szCs w:val="18"/>
                <w:color w:val="auto"/>
              </w:rPr>
            </w:pPr>
          </w:p>
        </w:tc>
        <w:tc>
          <w:tcPr>
            <w:tcW w:w="1840" w:type="dxa"/>
            <w:vAlign w:val="bottom"/>
          </w:tcPr>
          <w:p>
            <w:pPr>
              <w:ind w:left="280"/>
              <w:spacing w:after="0"/>
              <w:rPr>
                <w:sz w:val="20"/>
                <w:szCs w:val="20"/>
                <w:color w:val="auto"/>
              </w:rPr>
            </w:pPr>
            <w:r>
              <w:rPr>
                <w:rFonts w:ascii="Arial" w:cs="Arial" w:eastAsia="Arial" w:hAnsi="Arial"/>
                <w:sz w:val="18"/>
                <w:szCs w:val="18"/>
                <w:color w:val="auto"/>
              </w:rPr>
              <w:t>common stock.</w:t>
            </w:r>
          </w:p>
        </w:tc>
        <w:tc>
          <w:tcPr>
            <w:tcW w:w="2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84"/>
        </w:trPr>
        <w:tc>
          <w:tcPr>
            <w:tcW w:w="5260" w:type="dxa"/>
            <w:vAlign w:val="bottom"/>
          </w:tcPr>
          <w:p>
            <w:pPr>
              <w:spacing w:after="0"/>
              <w:rPr>
                <w:sz w:val="20"/>
                <w:szCs w:val="20"/>
                <w:color w:val="auto"/>
              </w:rPr>
            </w:pPr>
            <w:r>
              <w:rPr>
                <w:rFonts w:ascii="Arial" w:cs="Arial" w:eastAsia="Arial" w:hAnsi="Arial"/>
                <w:sz w:val="18"/>
                <w:szCs w:val="18"/>
                <w:color w:val="auto"/>
              </w:rPr>
              <w:t>Proposed Nasdaq Global Market trading symbol</w:t>
            </w:r>
          </w:p>
        </w:tc>
        <w:tc>
          <w:tcPr>
            <w:tcW w:w="1840" w:type="dxa"/>
            <w:vAlign w:val="bottom"/>
          </w:tcPr>
          <w:p>
            <w:pPr>
              <w:ind w:left="280"/>
              <w:spacing w:after="0"/>
              <w:rPr>
                <w:sz w:val="20"/>
                <w:szCs w:val="20"/>
                <w:color w:val="auto"/>
              </w:rPr>
            </w:pPr>
            <w:r>
              <w:rPr>
                <w:rFonts w:ascii="Arial" w:cs="Arial" w:eastAsia="Arial" w:hAnsi="Arial"/>
                <w:sz w:val="18"/>
                <w:szCs w:val="18"/>
                <w:color w:val="auto"/>
              </w:rPr>
              <w:t>“DDDD.”</w:t>
            </w: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15" w:lineRule="exact"/>
        <w:rPr>
          <w:sz w:val="20"/>
          <w:szCs w:val="20"/>
          <w:color w:val="auto"/>
        </w:rPr>
      </w:pPr>
    </w:p>
    <w:p>
      <w:pPr>
        <w:ind w:left="380" w:right="40" w:firstLine="533"/>
        <w:spacing w:after="0"/>
        <w:rPr>
          <w:sz w:val="20"/>
          <w:szCs w:val="20"/>
          <w:color w:val="auto"/>
        </w:rPr>
      </w:pPr>
      <w:r>
        <w:rPr>
          <w:rFonts w:ascii="Arial" w:cs="Arial" w:eastAsia="Arial" w:hAnsi="Arial"/>
          <w:sz w:val="18"/>
          <w:szCs w:val="18"/>
          <w:color w:val="auto"/>
        </w:rPr>
        <w:t>The number of shares of our common stock to be outstanding after this offering is based on 12,516,975 shares of our common stock (including our redeemable convertible preferred stock on an as-converted basis) outstanding as of June 30, 2019, and excludes:</w:t>
      </w:r>
    </w:p>
    <w:p>
      <w:pPr>
        <w:spacing w:after="0" w:line="108" w:lineRule="exact"/>
        <w:rPr>
          <w:sz w:val="20"/>
          <w:szCs w:val="20"/>
          <w:color w:val="auto"/>
        </w:rPr>
      </w:pPr>
    </w:p>
    <w:p>
      <w:pPr>
        <w:ind w:left="1100" w:right="340" w:hanging="187"/>
        <w:spacing w:after="0" w:line="246"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2,192,230 shares of our common stock issuable upon the exercise of stock options to purchase common stock that were outstanding as of June 30, 2019, with a weighted-average exercise price of $6.10 per share;</w:t>
      </w:r>
    </w:p>
    <w:p>
      <w:pPr>
        <w:spacing w:after="0" w:line="102" w:lineRule="exact"/>
        <w:rPr>
          <w:rFonts w:ascii="Arial" w:cs="Arial" w:eastAsia="Arial" w:hAnsi="Arial"/>
          <w:sz w:val="18"/>
          <w:szCs w:val="18"/>
          <w:color w:val="auto"/>
        </w:rPr>
      </w:pPr>
    </w:p>
    <w:p>
      <w:pPr>
        <w:ind w:left="1100" w:right="380" w:hanging="187"/>
        <w:spacing w:after="0" w:line="246"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68,669 shares of our common stock issuable upon the exercise of outstanding warrants with weighted-average exercise price of $1.85 per share;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803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2145" cy="380301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00" w:right="60" w:hanging="187"/>
        <w:spacing w:after="0" w:line="246"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399,886 shares of our common stock reserved for issuance pursuant to future awards under our 2015 Equity Incentive Plan (the Plan) and associated amendments as of June 30, 2019;</w:t>
      </w:r>
    </w:p>
    <w:p>
      <w:pPr>
        <w:spacing w:after="0" w:line="102" w:lineRule="exact"/>
        <w:rPr>
          <w:rFonts w:ascii="Arial" w:cs="Arial" w:eastAsia="Arial" w:hAnsi="Arial"/>
          <w:sz w:val="18"/>
          <w:szCs w:val="18"/>
          <w:color w:val="auto"/>
        </w:rPr>
      </w:pPr>
    </w:p>
    <w:p>
      <w:pPr>
        <w:ind w:left="1100" w:hanging="187"/>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of our common stock reserved for issuance pursuant to future awards under our 2019 Equity Incentive Award Plan (the 2019 Plan), as well as any automatic increases in the number of shares of our common stock reserved for future issuance under this plan, which will become effective immediately prior to the completion of this offering; and</w:t>
      </w:r>
    </w:p>
    <w:p>
      <w:pPr>
        <w:spacing w:after="0" w:line="108" w:lineRule="exact"/>
        <w:rPr>
          <w:rFonts w:ascii="Arial" w:cs="Arial" w:eastAsia="Arial" w:hAnsi="Arial"/>
          <w:sz w:val="18"/>
          <w:szCs w:val="18"/>
          <w:color w:val="auto"/>
        </w:rPr>
      </w:pPr>
    </w:p>
    <w:p>
      <w:pPr>
        <w:ind w:left="1100" w:right="200" w:hanging="187"/>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of our common stock reserved for issuance pursuant to future awards under our 2019 Employee Stock Purchase Plan (the ESPP), as well as any automatic increases in the number of shares of our common stock reserved for future issuance under this plan, which will become effective immediately prior to the completion of this offering.</w:t>
      </w:r>
    </w:p>
    <w:p>
      <w:pPr>
        <w:spacing w:after="0" w:line="2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addition, unless we specifically state otherwise, all information in this prospectus reflects and assumes the following:</w:t>
      </w:r>
    </w:p>
    <w:p>
      <w:pPr>
        <w:spacing w:after="0" w:line="117" w:lineRule="exact"/>
        <w:rPr>
          <w:sz w:val="20"/>
          <w:szCs w:val="20"/>
          <w:color w:val="auto"/>
        </w:rPr>
      </w:pPr>
    </w:p>
    <w:p>
      <w:pPr>
        <w:ind w:left="1100" w:right="120" w:hanging="179"/>
        <w:spacing w:after="0" w:line="246" w:lineRule="auto"/>
        <w:tabs>
          <w:tab w:leader="none" w:pos="1080" w:val="left"/>
        </w:tabs>
        <w:rPr>
          <w:sz w:val="20"/>
          <w:szCs w:val="20"/>
          <w:color w:val="auto"/>
        </w:rPr>
      </w:pPr>
      <w:r>
        <w:rPr>
          <w:rFonts w:ascii="Arial" w:cs="Arial" w:eastAsia="Arial" w:hAnsi="Arial"/>
          <w:sz w:val="18"/>
          <w:szCs w:val="18"/>
          <w:color w:val="auto"/>
        </w:rPr>
        <w:t>•</w:t>
        <w:tab/>
        <w:t>a -for- forward stock split of our capital stock to be effected prior to the effectiveness of the registration statement of which this prospectus is a part;</w:t>
      </w:r>
    </w:p>
    <w:p>
      <w:pPr>
        <w:spacing w:after="0" w:line="102" w:lineRule="exact"/>
        <w:rPr>
          <w:sz w:val="20"/>
          <w:szCs w:val="20"/>
          <w:color w:val="auto"/>
        </w:rPr>
      </w:pPr>
    </w:p>
    <w:p>
      <w:pPr>
        <w:ind w:left="1100" w:right="180" w:hanging="187"/>
        <w:spacing w:after="0" w:line="246"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conversion of 7,375,631 shares of our outstanding redeemable convertible preferred stock as of June 30, 2019 into an equivalent number of shares of our common stock immediately prior to the completion of this offering;</w:t>
      </w:r>
    </w:p>
    <w:p>
      <w:pPr>
        <w:spacing w:after="0" w:line="102" w:lineRule="exact"/>
        <w:rPr>
          <w:rFonts w:ascii="Arial" w:cs="Arial" w:eastAsia="Arial" w:hAnsi="Arial"/>
          <w:sz w:val="18"/>
          <w:szCs w:val="18"/>
          <w:color w:val="auto"/>
        </w:rPr>
      </w:pPr>
    </w:p>
    <w:p>
      <w:pPr>
        <w:ind w:left="1100" w:right="380" w:hanging="187"/>
        <w:spacing w:after="0" w:line="246"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adoption of our amended and restated bylaws, each of which will occur immediately prior to the completion of this offering;</w:t>
      </w:r>
    </w:p>
    <w:p>
      <w:pPr>
        <w:spacing w:after="0" w:line="102" w:lineRule="exact"/>
        <w:rPr>
          <w:rFonts w:ascii="Arial" w:cs="Arial" w:eastAsia="Arial" w:hAnsi="Arial"/>
          <w:sz w:val="18"/>
          <w:szCs w:val="18"/>
          <w:color w:val="auto"/>
        </w:rPr>
      </w:pPr>
    </w:p>
    <w:p>
      <w:pPr>
        <w:ind w:left="1100" w:hanging="187"/>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of outstanding stock options or warrants described above; and</w:t>
      </w:r>
    </w:p>
    <w:p>
      <w:pPr>
        <w:spacing w:after="0" w:line="117" w:lineRule="exact"/>
        <w:rPr>
          <w:rFonts w:ascii="Arial" w:cs="Arial" w:eastAsia="Arial" w:hAnsi="Arial"/>
          <w:sz w:val="18"/>
          <w:szCs w:val="18"/>
          <w:color w:val="auto"/>
        </w:rPr>
      </w:pPr>
    </w:p>
    <w:p>
      <w:pPr>
        <w:ind w:left="1100" w:hanging="187"/>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of the underwriters’ over-allotment option.</w:t>
      </w:r>
    </w:p>
    <w:p>
      <w:pPr>
        <w:spacing w:after="0" w:line="212" w:lineRule="exact"/>
        <w:rPr>
          <w:sz w:val="20"/>
          <w:szCs w:val="20"/>
          <w:color w:val="auto"/>
        </w:rPr>
      </w:pPr>
    </w:p>
    <w:p>
      <w:pPr>
        <w:ind w:left="380" w:right="240" w:firstLine="533"/>
        <w:spacing w:after="0" w:line="239" w:lineRule="auto"/>
        <w:rPr>
          <w:sz w:val="20"/>
          <w:szCs w:val="20"/>
          <w:color w:val="auto"/>
        </w:rPr>
      </w:pPr>
      <w:r>
        <w:rPr>
          <w:rFonts w:ascii="Arial" w:cs="Arial" w:eastAsia="Arial" w:hAnsi="Arial"/>
          <w:sz w:val="18"/>
          <w:szCs w:val="18"/>
          <w:color w:val="auto"/>
        </w:rPr>
        <w:t>Unless otherwise specified and unless the context otherwise requires, we refer to our Series A, Series A-1 and Series B redeemable convertible preferred stock collectively as, redeemable convertible preferred stock in this prospectus, as well as for financial reporting purposes and in the financial tables included elsewhere in this prospectus, as more fully explained in Note 10 to our financial statements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240" w:top="459" w:right="6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967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2145" cy="19678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Summary Financial Data</w:t>
      </w:r>
    </w:p>
    <w:p>
      <w:pPr>
        <w:spacing w:after="0" w:line="234" w:lineRule="exact"/>
        <w:rPr>
          <w:sz w:val="20"/>
          <w:szCs w:val="20"/>
          <w:color w:val="auto"/>
        </w:rPr>
      </w:pPr>
    </w:p>
    <w:p>
      <w:pPr>
        <w:ind w:left="380" w:firstLine="533"/>
        <w:spacing w:after="0" w:line="236" w:lineRule="auto"/>
        <w:rPr>
          <w:sz w:val="20"/>
          <w:szCs w:val="20"/>
          <w:color w:val="auto"/>
        </w:rPr>
      </w:pPr>
      <w:r>
        <w:rPr>
          <w:rFonts w:ascii="Arial" w:cs="Arial" w:eastAsia="Arial" w:hAnsi="Arial"/>
          <w:sz w:val="18"/>
          <w:szCs w:val="18"/>
          <w:color w:val="auto"/>
        </w:rPr>
        <w:t>The following tables summarize our financial data for the periods and as of the dates indicated. We derived the summary statements of operations and comprehensive loss data for the years ended December 31, 2017 and 2018 and the summary balance sheet data as of December 31, 2018 from our audited financial statements included elsewhere in this prospectus. We derived the summary statements of operations and comprehensive loss data for the six months ended June 30, 2018 and 2019 and the summary balance sheet data as of June 30, 2019 from our unaudited interim financial statements that are included elsewhere in this prospectus. Our unaudited interim financial statements are prepared in accordance with U.S. generally accepted accounting principles (GAAP) on the same basis as our audited financial statements and include, in the opinion of management, all adjustments, consisting of normal recurring adjustments, that are necessary for the fair statement of the financial information set forth in those financial statements. Our historical results are not necessarily indicative of the results that may be expected in the future and our historical results for the six months ended June 30, 2019 are not necessarily indicative of the results that may be expected for the remainder of 2019.</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24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7720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2145" cy="477202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20" w:firstLine="533"/>
        <w:spacing w:after="0"/>
        <w:rPr>
          <w:sz w:val="20"/>
          <w:szCs w:val="20"/>
          <w:color w:val="auto"/>
        </w:rPr>
      </w:pPr>
      <w:r>
        <w:rPr>
          <w:rFonts w:ascii="Arial" w:cs="Arial" w:eastAsia="Arial" w:hAnsi="Arial"/>
          <w:sz w:val="18"/>
          <w:szCs w:val="18"/>
          <w:color w:val="auto"/>
        </w:rPr>
        <w:t>You should read this data together with our financial statements and related notes included elsewhere in this prospectus and the information under the sections titled “Selected Financial Data” and “Management’s Discussion and Analysis of Financial Condition and Results of Operations.”</w:t>
      </w:r>
    </w:p>
    <w:p>
      <w:pPr>
        <w:spacing w:after="0" w:line="218"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7"/>
          </w:tcPr>
          <w:p>
            <w:pPr>
              <w:jc w:val="right"/>
              <w:ind w:right="100"/>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380"/>
              <w:spacing w:after="0" w:line="202" w:lineRule="exact"/>
              <w:rPr>
                <w:sz w:val="20"/>
                <w:szCs w:val="20"/>
                <w:color w:val="auto"/>
              </w:rPr>
            </w:pPr>
            <w:r>
              <w:rPr>
                <w:rFonts w:ascii="Arial" w:cs="Arial" w:eastAsia="Arial" w:hAnsi="Arial"/>
                <w:sz w:val="18"/>
                <w:szCs w:val="18"/>
                <w:color w:val="auto"/>
              </w:rPr>
              <w:t>Collaboration and research revenue, related parties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3,176</w:t>
            </w:r>
          </w:p>
        </w:tc>
        <w:tc>
          <w:tcPr>
            <w:tcW w:w="8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5,143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143</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Collaboration and research revenue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2,614</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8,987</w:t>
            </w:r>
          </w:p>
        </w:tc>
        <w:tc>
          <w:tcPr>
            <w:tcW w:w="120" w:type="dxa"/>
            <w:vAlign w:val="bottom"/>
            <w:shd w:val="clear" w:color="auto" w:fill="CCEEFF"/>
          </w:tcPr>
          <w:p>
            <w:pPr>
              <w:spacing w:after="0"/>
              <w:rPr>
                <w:sz w:val="17"/>
                <w:szCs w:val="17"/>
                <w:color w:val="auto"/>
              </w:rPr>
            </w:pPr>
          </w:p>
        </w:tc>
        <w:tc>
          <w:tcPr>
            <w:tcW w:w="1360" w:type="dxa"/>
            <w:vAlign w:val="bottom"/>
            <w:tcBorders>
              <w:right w:val="single" w:sz="8" w:color="CCEEFF"/>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4,926</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4,390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Pr>
          <w:p>
            <w:pPr>
              <w:ind w:left="740"/>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5,790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14,130</w:t>
            </w: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5,069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38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13,573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18,362</w:t>
            </w:r>
          </w:p>
        </w:tc>
        <w:tc>
          <w:tcPr>
            <w:tcW w:w="120" w:type="dxa"/>
            <w:vAlign w:val="bottom"/>
          </w:tcPr>
          <w:p>
            <w:pPr>
              <w:spacing w:after="0"/>
              <w:rPr>
                <w:sz w:val="17"/>
                <w:szCs w:val="17"/>
                <w:color w:val="auto"/>
              </w:rPr>
            </w:pPr>
          </w:p>
        </w:tc>
        <w:tc>
          <w:tcPr>
            <w:tcW w:w="13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8,208</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16,985</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3,489</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6,167</w:t>
            </w:r>
          </w:p>
        </w:tc>
        <w:tc>
          <w:tcPr>
            <w:tcW w:w="120" w:type="dxa"/>
            <w:vAlign w:val="bottom"/>
            <w:shd w:val="clear" w:color="auto" w:fill="CCEEFF"/>
          </w:tcPr>
          <w:p>
            <w:pPr>
              <w:spacing w:after="0"/>
              <w:rPr>
                <w:sz w:val="17"/>
                <w:szCs w:val="17"/>
                <w:color w:val="auto"/>
              </w:rPr>
            </w:pPr>
          </w:p>
        </w:tc>
        <w:tc>
          <w:tcPr>
            <w:tcW w:w="1360" w:type="dxa"/>
            <w:vAlign w:val="bottom"/>
            <w:tcBorders>
              <w:right w:val="single" w:sz="8" w:color="CCEEFF"/>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2,198</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4,884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Pr>
          <w:p>
            <w:pPr>
              <w:ind w:left="74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17,062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24,529</w:t>
            </w: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10,406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21,869</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(11,272)</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(10,399)</w:t>
            </w:r>
          </w:p>
        </w:tc>
        <w:tc>
          <w:tcPr>
            <w:tcW w:w="120" w:type="dxa"/>
            <w:vAlign w:val="bottom"/>
            <w:shd w:val="clear" w:color="auto" w:fill="CCEEFF"/>
          </w:tcPr>
          <w:p>
            <w:pPr>
              <w:spacing w:after="0"/>
              <w:rPr>
                <w:sz w:val="17"/>
                <w:szCs w:val="17"/>
                <w:color w:val="auto"/>
              </w:rPr>
            </w:pPr>
          </w:p>
        </w:tc>
        <w:tc>
          <w:tcPr>
            <w:tcW w:w="1360" w:type="dxa"/>
            <w:vAlign w:val="bottom"/>
            <w:tcBorders>
              <w:right w:val="single" w:sz="8" w:color="CCEEFF"/>
            </w:tcBorders>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(5,337)</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(17,453)</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7"/>
                <w:szCs w:val="17"/>
                <w:color w:val="auto"/>
              </w:rPr>
            </w:pPr>
          </w:p>
        </w:tc>
        <w:tc>
          <w:tcPr>
            <w:tcW w:w="1360" w:type="dxa"/>
            <w:vAlign w:val="bottom"/>
            <w:tcBorders>
              <w:right w:val="single" w:sz="8" w:color="CCEEFF"/>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3"/>
        </w:trPr>
        <w:tc>
          <w:tcPr>
            <w:tcW w:w="5240" w:type="dxa"/>
            <w:vAlign w:val="bottom"/>
          </w:tcPr>
          <w:p>
            <w:pPr>
              <w:ind w:left="380"/>
              <w:spacing w:after="0" w:line="202" w:lineRule="exact"/>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3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17"/>
                <w:szCs w:val="17"/>
                <w:color w:val="auto"/>
              </w:rPr>
            </w:pPr>
          </w:p>
        </w:tc>
        <w:tc>
          <w:tcPr>
            <w:tcW w:w="1360" w:type="dxa"/>
            <w:vAlign w:val="bottom"/>
            <w:tcBorders>
              <w:right w:val="single" w:sz="8" w:color="CCEEFF"/>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(11,223)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(9,551)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(5,186)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(16,516)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24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color w:val="auto"/>
              </w:rPr>
              <w:t>Net loss per share attributable to common stockholders,</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7"/>
                <w:szCs w:val="17"/>
                <w:color w:val="auto"/>
              </w:rPr>
            </w:pPr>
          </w:p>
        </w:tc>
        <w:tc>
          <w:tcPr>
            <w:tcW w:w="136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0"/>
              <w:spacing w:after="0"/>
              <w:rPr>
                <w:sz w:val="20"/>
                <w:szCs w:val="20"/>
                <w:color w:val="auto"/>
              </w:rPr>
            </w:pPr>
            <w:r>
              <w:rPr>
                <w:rFonts w:ascii="Arial" w:cs="Arial" w:eastAsia="Arial" w:hAnsi="Arial"/>
                <w:sz w:val="18"/>
                <w:szCs w:val="18"/>
                <w:color w:val="auto"/>
              </w:rPr>
              <w:t>Weighted-average shares outstanding used in computing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40" w:type="dxa"/>
            <w:vAlign w:val="bottom"/>
          </w:tcPr>
          <w:p>
            <w:pPr>
              <w:ind w:left="200"/>
              <w:spacing w:after="0" w:line="200" w:lineRule="exact"/>
              <w:rPr>
                <w:sz w:val="20"/>
                <w:szCs w:val="20"/>
                <w:color w:val="auto"/>
              </w:rPr>
            </w:pPr>
            <w:r>
              <w:rPr>
                <w:rFonts w:ascii="Arial" w:cs="Arial" w:eastAsia="Arial" w:hAnsi="Arial"/>
                <w:sz w:val="18"/>
                <w:szCs w:val="18"/>
                <w:color w:val="auto"/>
              </w:rPr>
              <w:t>net loss per share attributable to common stockholders,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tcPr>
          <w:p>
            <w:pPr>
              <w:ind w:left="20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4,953,419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5,049,203</w:t>
            </w:r>
          </w:p>
        </w:tc>
        <w:tc>
          <w:tcPr>
            <w:tcW w:w="120" w:type="dxa"/>
            <w:vAlign w:val="bottom"/>
          </w:tcPr>
          <w:p>
            <w:pPr>
              <w:spacing w:after="0"/>
              <w:rPr>
                <w:sz w:val="17"/>
                <w:szCs w:val="17"/>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5,021,003</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5,132,714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Pro forma net loss per share, basic and diluted</w:t>
      </w:r>
      <w:r>
        <w:rPr>
          <w:rFonts w:ascii="Arial" w:cs="Arial" w:eastAsia="Arial" w:hAnsi="Arial"/>
          <w:sz w:val="15"/>
          <w:szCs w:val="15"/>
          <w:color w:val="auto"/>
        </w:rPr>
        <w:t>(1)</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Weighted-average shares outstanding used in computing</w:t>
      </w:r>
    </w:p>
    <w:p>
      <w:pPr>
        <w:ind w:left="580"/>
        <w:spacing w:after="0"/>
        <w:rPr>
          <w:sz w:val="20"/>
          <w:szCs w:val="20"/>
          <w:color w:val="auto"/>
        </w:rPr>
      </w:pPr>
      <w:r>
        <w:rPr>
          <w:rFonts w:ascii="Arial" w:cs="Arial" w:eastAsia="Arial" w:hAnsi="Arial"/>
          <w:sz w:val="18"/>
          <w:szCs w:val="18"/>
          <w:color w:val="auto"/>
        </w:rPr>
        <w:t>pro forma net loss per share, basic and diluted</w:t>
      </w:r>
      <w:r>
        <w:rPr>
          <w:rFonts w:ascii="Arial" w:cs="Arial" w:eastAsia="Arial" w:hAnsi="Arial"/>
          <w:sz w:val="15"/>
          <w:szCs w:val="15"/>
          <w:color w:val="auto"/>
        </w:rPr>
        <w:t>(1)</w:t>
      </w:r>
    </w:p>
    <w:p>
      <w:pPr>
        <w:spacing w:after="0" w:line="244" w:lineRule="exact"/>
        <w:rPr>
          <w:sz w:val="20"/>
          <w:szCs w:val="20"/>
          <w:color w:val="auto"/>
        </w:rPr>
      </w:pPr>
    </w:p>
    <w:p>
      <w:pPr>
        <w:ind w:left="800" w:right="100" w:hanging="414"/>
        <w:spacing w:after="0" w:line="250" w:lineRule="auto"/>
        <w:tabs>
          <w:tab w:leader="none" w:pos="8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See Notes 2 and 14 to our financial statements included elsewhere in this prospectus for an explanation of the calculations of our basic and diluted net loss per share attributable to common stockholders, pro forma net loss per share, and the weighted-average number of shares of our common stock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24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7947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2145" cy="379476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jc w:val="center"/>
              <w:ind w:right="6"/>
              <w:spacing w:after="0"/>
              <w:rPr>
                <w:sz w:val="20"/>
                <w:szCs w:val="20"/>
                <w:color w:val="auto"/>
              </w:rPr>
            </w:pPr>
            <w:r>
              <w:rPr>
                <w:rFonts w:ascii="Arial" w:cs="Arial" w:eastAsia="Arial" w:hAnsi="Arial"/>
                <w:sz w:val="14"/>
                <w:szCs w:val="14"/>
                <w:b w:val="1"/>
                <w:bCs w:val="1"/>
                <w:color w:val="auto"/>
              </w:rPr>
              <w:t>As of</w:t>
            </w: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5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2019</w:t>
            </w:r>
          </w:p>
        </w:tc>
        <w:tc>
          <w:tcPr>
            <w:tcW w:w="1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39"/>
        </w:trPr>
        <w:tc>
          <w:tcPr>
            <w:tcW w:w="5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00" w:type="dxa"/>
            <w:vAlign w:val="bottom"/>
          </w:tcPr>
          <w:p>
            <w:pPr>
              <w:ind w:left="540"/>
              <w:spacing w:after="0" w:line="139" w:lineRule="exact"/>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2"/>
                <w:szCs w:val="12"/>
                <w:color w:val="auto"/>
              </w:rPr>
            </w:pPr>
          </w:p>
        </w:tc>
      </w:tr>
      <w:tr>
        <w:trPr>
          <w:trHeight w:val="179"/>
        </w:trPr>
        <w:tc>
          <w:tcPr>
            <w:tcW w:w="5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ind w:right="633"/>
              <w:spacing w:after="0"/>
              <w:rPr>
                <w:sz w:val="20"/>
                <w:szCs w:val="20"/>
                <w:color w:val="auto"/>
              </w:rPr>
            </w:pPr>
            <w:r>
              <w:rPr>
                <w:rFonts w:ascii="Arial" w:cs="Arial" w:eastAsia="Arial" w:hAnsi="Arial"/>
                <w:sz w:val="14"/>
                <w:szCs w:val="14"/>
                <w:b w:val="1"/>
                <w:bCs w:val="1"/>
                <w:color w:val="auto"/>
              </w:rPr>
              <w:t>Actual</w:t>
            </w:r>
          </w:p>
        </w:tc>
        <w:tc>
          <w:tcPr>
            <w:tcW w:w="1560" w:type="dxa"/>
            <w:vAlign w:val="bottom"/>
          </w:tcPr>
          <w:p>
            <w:pPr>
              <w:jc w:val="right"/>
              <w:ind w:right="226"/>
              <w:spacing w:after="0" w:line="179" w:lineRule="exact"/>
              <w:rPr>
                <w:sz w:val="20"/>
                <w:szCs w:val="20"/>
                <w:color w:val="auto"/>
              </w:rPr>
            </w:pPr>
            <w:r>
              <w:rPr>
                <w:rFonts w:ascii="Arial" w:cs="Arial" w:eastAsia="Arial" w:hAnsi="Arial"/>
                <w:sz w:val="12"/>
                <w:szCs w:val="12"/>
                <w:b w:val="1"/>
                <w:bCs w:val="1"/>
                <w:color w:val="auto"/>
              </w:rPr>
              <w:t>Pro Forma</w:t>
            </w:r>
            <w:r>
              <w:rPr>
                <w:rFonts w:ascii="Arial" w:cs="Arial" w:eastAsia="Arial" w:hAnsi="Arial"/>
                <w:sz w:val="20"/>
                <w:szCs w:val="20"/>
                <w:b w:val="1"/>
                <w:bCs w:val="1"/>
                <w:color w:val="auto"/>
                <w:vertAlign w:val="superscript"/>
              </w:rPr>
              <w:t>(1)</w:t>
            </w:r>
          </w:p>
        </w:tc>
        <w:tc>
          <w:tcPr>
            <w:tcW w:w="1540" w:type="dxa"/>
            <w:vAlign w:val="bottom"/>
            <w:gridSpan w:val="2"/>
          </w:tcPr>
          <w:p>
            <w:pPr>
              <w:ind w:left="320"/>
              <w:spacing w:after="0" w:line="17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(2)(3)</w:t>
            </w:r>
          </w:p>
        </w:tc>
      </w:tr>
      <w:tr>
        <w:trPr>
          <w:trHeight w:val="156"/>
        </w:trPr>
        <w:tc>
          <w:tcPr>
            <w:tcW w:w="59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center"/>
              <w:ind w:right="6"/>
              <w:spacing w:after="0" w:line="155" w:lineRule="exact"/>
              <w:rPr>
                <w:sz w:val="20"/>
                <w:szCs w:val="20"/>
                <w:color w:val="auto"/>
              </w:rPr>
            </w:pPr>
            <w:r>
              <w:rPr>
                <w:rFonts w:ascii="Arial" w:cs="Arial" w:eastAsia="Arial" w:hAnsi="Arial"/>
                <w:sz w:val="14"/>
                <w:szCs w:val="14"/>
                <w:b w:val="1"/>
                <w:bCs w:val="1"/>
                <w:color w:val="auto"/>
              </w:rPr>
              <w:t>(in thousands)</w:t>
            </w:r>
          </w:p>
        </w:tc>
        <w:tc>
          <w:tcPr>
            <w:tcW w:w="15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5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Balance Sheet Data:</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96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72,869</w:t>
            </w:r>
          </w:p>
        </w:tc>
        <w:tc>
          <w:tcPr>
            <w:tcW w:w="1560" w:type="dxa"/>
            <w:vAlign w:val="bottom"/>
          </w:tcPr>
          <w:p>
            <w:pPr>
              <w:jc w:val="right"/>
              <w:ind w:right="1146"/>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5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(4)</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66,842</w:t>
            </w:r>
          </w:p>
        </w:tc>
        <w:tc>
          <w:tcPr>
            <w:tcW w:w="15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960" w:type="dxa"/>
            <w:vAlign w:val="bottom"/>
          </w:tcPr>
          <w:p>
            <w:pPr>
              <w:ind w:left="20"/>
              <w:spacing w:after="0" w:line="202" w:lineRule="exact"/>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7"/>
                <w:szCs w:val="17"/>
                <w:color w:val="auto"/>
              </w:rPr>
            </w:pPr>
          </w:p>
        </w:tc>
        <w:tc>
          <w:tcPr>
            <w:tcW w:w="132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80,500</w:t>
            </w: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Redeemable convertible preferred stock</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102,980</w:t>
            </w:r>
          </w:p>
        </w:tc>
        <w:tc>
          <w:tcPr>
            <w:tcW w:w="15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960" w:type="dxa"/>
            <w:vAlign w:val="bottom"/>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7"/>
                <w:szCs w:val="17"/>
                <w:color w:val="auto"/>
              </w:rPr>
            </w:pPr>
          </w:p>
        </w:tc>
        <w:tc>
          <w:tcPr>
            <w:tcW w:w="13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(46,235)</w:t>
            </w: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stockholders’ (deficit) equity</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(42,304)</w:t>
            </w:r>
          </w:p>
        </w:tc>
        <w:tc>
          <w:tcPr>
            <w:tcW w:w="15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bl>
    <w:p>
      <w:pPr>
        <w:spacing w:after="0" w:line="194" w:lineRule="exact"/>
        <w:rPr>
          <w:sz w:val="20"/>
          <w:szCs w:val="20"/>
          <w:color w:val="auto"/>
        </w:rPr>
      </w:pPr>
    </w:p>
    <w:p>
      <w:pPr>
        <w:ind w:left="800" w:right="260" w:hanging="414"/>
        <w:spacing w:after="0" w:line="241" w:lineRule="auto"/>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pro forma column in the balance sheet data table above gives effect to (i) the conversion of 7,375,631 shares of our outstanding redeemable convertible preferred stock as of June 30, 2019 into an equivalent number of shares of our common stock immediately prior to the completion of this offering; and (ii) the filing and effectiveness of our amended and restated certificate of incorporation, which will occur, in each case, immediately prior to the completion of this offering.</w:t>
      </w:r>
    </w:p>
    <w:p>
      <w:pPr>
        <w:spacing w:after="0" w:line="1" w:lineRule="exact"/>
        <w:rPr>
          <w:rFonts w:ascii="Arial" w:cs="Arial" w:eastAsia="Arial" w:hAnsi="Arial"/>
          <w:sz w:val="14"/>
          <w:szCs w:val="14"/>
          <w:color w:val="auto"/>
        </w:rPr>
      </w:pPr>
    </w:p>
    <w:p>
      <w:pPr>
        <w:ind w:left="800" w:hanging="414"/>
        <w:spacing w:after="0"/>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pro forma as adjusted column in the balance sheet data table above gives effect to (i) the pro forma adjustments set forth in footnote (i) above and (ii) the</w:t>
      </w:r>
    </w:p>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7380" w:type="dxa"/>
            <w:vAlign w:val="bottom"/>
            <w:gridSpan w:val="3"/>
          </w:tcPr>
          <w:p>
            <w:pPr>
              <w:ind w:left="120"/>
              <w:spacing w:after="0"/>
              <w:rPr>
                <w:sz w:val="20"/>
                <w:szCs w:val="20"/>
                <w:color w:val="auto"/>
              </w:rPr>
            </w:pPr>
            <w:r>
              <w:rPr>
                <w:rFonts w:ascii="Arial" w:cs="Arial" w:eastAsia="Arial" w:hAnsi="Arial"/>
                <w:sz w:val="14"/>
                <w:szCs w:val="14"/>
                <w:color w:val="auto"/>
              </w:rPr>
              <w:t>sale and issuance of shares of our common stock in this offering, assuming an initial public offering price of $</w:t>
            </w:r>
          </w:p>
        </w:tc>
        <w:tc>
          <w:tcPr>
            <w:tcW w:w="2940" w:type="dxa"/>
            <w:vAlign w:val="bottom"/>
          </w:tcPr>
          <w:p>
            <w:pPr>
              <w:ind w:left="340"/>
              <w:spacing w:after="0"/>
              <w:rPr>
                <w:sz w:val="20"/>
                <w:szCs w:val="20"/>
                <w:color w:val="auto"/>
              </w:rPr>
            </w:pPr>
            <w:r>
              <w:rPr>
                <w:rFonts w:ascii="Arial" w:cs="Arial" w:eastAsia="Arial" w:hAnsi="Arial"/>
                <w:sz w:val="14"/>
                <w:szCs w:val="14"/>
                <w:color w:val="auto"/>
              </w:rPr>
              <w:t>per share, the midpoint of the estimated</w:t>
            </w:r>
          </w:p>
        </w:tc>
      </w:tr>
      <w:tr>
        <w:trPr>
          <w:trHeight w:val="162"/>
        </w:trPr>
        <w:tc>
          <w:tcPr>
            <w:tcW w:w="300" w:type="dxa"/>
            <w:vAlign w:val="bottom"/>
          </w:tcPr>
          <w:p>
            <w:pPr>
              <w:spacing w:after="0"/>
              <w:rPr>
                <w:sz w:val="14"/>
                <w:szCs w:val="14"/>
                <w:color w:val="auto"/>
              </w:rPr>
            </w:pPr>
          </w:p>
        </w:tc>
        <w:tc>
          <w:tcPr>
            <w:tcW w:w="10320" w:type="dxa"/>
            <w:vAlign w:val="bottom"/>
            <w:gridSpan w:val="4"/>
          </w:tcPr>
          <w:p>
            <w:pPr>
              <w:ind w:left="120"/>
              <w:spacing w:after="0"/>
              <w:rPr>
                <w:sz w:val="20"/>
                <w:szCs w:val="20"/>
                <w:color w:val="auto"/>
              </w:rPr>
            </w:pPr>
            <w:r>
              <w:rPr>
                <w:rFonts w:ascii="Arial" w:cs="Arial" w:eastAsia="Arial" w:hAnsi="Arial"/>
                <w:sz w:val="14"/>
                <w:szCs w:val="14"/>
                <w:color w:val="auto"/>
              </w:rPr>
              <w:t>price range set forth on the cover of this prospectus, after deducting the estimated underwriting discounts and commissions and estimated offering expenses</w:t>
            </w:r>
          </w:p>
        </w:tc>
      </w:tr>
      <w:tr>
        <w:trPr>
          <w:trHeight w:val="162"/>
        </w:trPr>
        <w:tc>
          <w:tcPr>
            <w:tcW w:w="300" w:type="dxa"/>
            <w:vAlign w:val="bottom"/>
          </w:tcPr>
          <w:p>
            <w:pPr>
              <w:spacing w:after="0"/>
              <w:rPr>
                <w:sz w:val="14"/>
                <w:szCs w:val="14"/>
                <w:color w:val="auto"/>
              </w:rPr>
            </w:pPr>
          </w:p>
        </w:tc>
        <w:tc>
          <w:tcPr>
            <w:tcW w:w="2560" w:type="dxa"/>
            <w:vAlign w:val="bottom"/>
          </w:tcPr>
          <w:p>
            <w:pPr>
              <w:ind w:left="120"/>
              <w:spacing w:after="0"/>
              <w:rPr>
                <w:sz w:val="20"/>
                <w:szCs w:val="20"/>
                <w:color w:val="auto"/>
              </w:rPr>
            </w:pPr>
            <w:r>
              <w:rPr>
                <w:rFonts w:ascii="Arial" w:cs="Arial" w:eastAsia="Arial" w:hAnsi="Arial"/>
                <w:sz w:val="14"/>
                <w:szCs w:val="14"/>
                <w:color w:val="auto"/>
              </w:rPr>
              <w:t>payable by us.</w:t>
            </w:r>
          </w:p>
        </w:tc>
        <w:tc>
          <w:tcPr>
            <w:tcW w:w="29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162"/>
        </w:trPr>
        <w:tc>
          <w:tcPr>
            <w:tcW w:w="300" w:type="dxa"/>
            <w:vAlign w:val="bottom"/>
          </w:tcPr>
          <w:p>
            <w:pPr>
              <w:jc w:val="right"/>
              <w:ind w:right="48"/>
              <w:spacing w:after="0"/>
              <w:rPr>
                <w:sz w:val="20"/>
                <w:szCs w:val="20"/>
                <w:color w:val="auto"/>
              </w:rPr>
            </w:pPr>
            <w:r>
              <w:rPr>
                <w:rFonts w:ascii="Arial" w:cs="Arial" w:eastAsia="Arial" w:hAnsi="Arial"/>
                <w:sz w:val="14"/>
                <w:szCs w:val="14"/>
                <w:color w:val="auto"/>
                <w:w w:val="93"/>
              </w:rPr>
              <w:t>(3)</w:t>
            </w:r>
          </w:p>
        </w:tc>
        <w:tc>
          <w:tcPr>
            <w:tcW w:w="5520" w:type="dxa"/>
            <w:vAlign w:val="bottom"/>
            <w:gridSpan w:val="2"/>
          </w:tcPr>
          <w:p>
            <w:pPr>
              <w:ind w:left="120"/>
              <w:spacing w:after="0"/>
              <w:rPr>
                <w:sz w:val="20"/>
                <w:szCs w:val="20"/>
                <w:color w:val="auto"/>
              </w:rPr>
            </w:pPr>
            <w:r>
              <w:rPr>
                <w:rFonts w:ascii="Arial" w:cs="Arial" w:eastAsia="Arial" w:hAnsi="Arial"/>
                <w:sz w:val="14"/>
                <w:szCs w:val="14"/>
                <w:color w:val="auto"/>
              </w:rPr>
              <w:t>Each $1.00 increase or decrease in the assumed initial public offering price of $</w:t>
            </w:r>
          </w:p>
        </w:tc>
        <w:tc>
          <w:tcPr>
            <w:tcW w:w="4800" w:type="dxa"/>
            <w:vAlign w:val="bottom"/>
            <w:gridSpan w:val="2"/>
          </w:tcPr>
          <w:p>
            <w:pPr>
              <w:ind w:left="340"/>
              <w:spacing w:after="0"/>
              <w:rPr>
                <w:sz w:val="20"/>
                <w:szCs w:val="20"/>
                <w:color w:val="auto"/>
              </w:rPr>
            </w:pPr>
            <w:r>
              <w:rPr>
                <w:rFonts w:ascii="Arial" w:cs="Arial" w:eastAsia="Arial" w:hAnsi="Arial"/>
                <w:sz w:val="14"/>
                <w:szCs w:val="14"/>
                <w:color w:val="auto"/>
              </w:rPr>
              <w:t>per share, the midpoint of the estimated price range set forth on the</w:t>
            </w:r>
          </w:p>
        </w:tc>
      </w:tr>
      <w:tr>
        <w:trPr>
          <w:trHeight w:val="162"/>
        </w:trPr>
        <w:tc>
          <w:tcPr>
            <w:tcW w:w="300" w:type="dxa"/>
            <w:vAlign w:val="bottom"/>
          </w:tcPr>
          <w:p>
            <w:pPr>
              <w:spacing w:after="0"/>
              <w:rPr>
                <w:sz w:val="14"/>
                <w:szCs w:val="14"/>
                <w:color w:val="auto"/>
              </w:rPr>
            </w:pPr>
          </w:p>
        </w:tc>
        <w:tc>
          <w:tcPr>
            <w:tcW w:w="10320" w:type="dxa"/>
            <w:vAlign w:val="bottom"/>
            <w:gridSpan w:val="4"/>
          </w:tcPr>
          <w:p>
            <w:pPr>
              <w:ind w:left="120"/>
              <w:spacing w:after="0"/>
              <w:rPr>
                <w:sz w:val="20"/>
                <w:szCs w:val="20"/>
                <w:color w:val="auto"/>
              </w:rPr>
            </w:pPr>
            <w:r>
              <w:rPr>
                <w:rFonts w:ascii="Arial" w:cs="Arial" w:eastAsia="Arial" w:hAnsi="Arial"/>
                <w:sz w:val="14"/>
                <w:szCs w:val="14"/>
                <w:color w:val="auto"/>
              </w:rPr>
              <w:t>cover of this prospectus, would increase or decrease, as applicable, each of the amount of our cash and cash equivalents, working capital, total assets and total</w:t>
            </w:r>
          </w:p>
        </w:tc>
      </w:tr>
      <w:tr>
        <w:trPr>
          <w:trHeight w:val="162"/>
        </w:trPr>
        <w:tc>
          <w:tcPr>
            <w:tcW w:w="300" w:type="dxa"/>
            <w:vAlign w:val="bottom"/>
          </w:tcPr>
          <w:p>
            <w:pPr>
              <w:spacing w:after="0"/>
              <w:rPr>
                <w:sz w:val="14"/>
                <w:szCs w:val="14"/>
                <w:color w:val="auto"/>
              </w:rPr>
            </w:pPr>
          </w:p>
        </w:tc>
        <w:tc>
          <w:tcPr>
            <w:tcW w:w="2560" w:type="dxa"/>
            <w:vAlign w:val="bottom"/>
          </w:tcPr>
          <w:p>
            <w:pPr>
              <w:ind w:left="120"/>
              <w:spacing w:after="0"/>
              <w:rPr>
                <w:sz w:val="20"/>
                <w:szCs w:val="20"/>
                <w:color w:val="auto"/>
              </w:rPr>
            </w:pPr>
            <w:r>
              <w:rPr>
                <w:rFonts w:ascii="Arial" w:cs="Arial" w:eastAsia="Arial" w:hAnsi="Arial"/>
                <w:sz w:val="14"/>
                <w:szCs w:val="14"/>
                <w:color w:val="auto"/>
              </w:rPr>
              <w:t>stockholders’ (deficit) equity by $</w:t>
            </w:r>
          </w:p>
        </w:tc>
        <w:tc>
          <w:tcPr>
            <w:tcW w:w="7760" w:type="dxa"/>
            <w:vAlign w:val="bottom"/>
            <w:gridSpan w:val="3"/>
          </w:tcPr>
          <w:p>
            <w:pPr>
              <w:ind w:left="340"/>
              <w:spacing w:after="0"/>
              <w:rPr>
                <w:sz w:val="20"/>
                <w:szCs w:val="20"/>
                <w:color w:val="auto"/>
              </w:rPr>
            </w:pPr>
            <w:r>
              <w:rPr>
                <w:rFonts w:ascii="Arial" w:cs="Arial" w:eastAsia="Arial" w:hAnsi="Arial"/>
                <w:sz w:val="14"/>
                <w:szCs w:val="14"/>
                <w:color w:val="auto"/>
              </w:rPr>
              <w:t>million, assuming the number of shares offered by us, as set forth on the cover page of this prospectus, remains the</w:t>
            </w:r>
          </w:p>
        </w:tc>
      </w:tr>
      <w:tr>
        <w:trPr>
          <w:trHeight w:val="162"/>
        </w:trPr>
        <w:tc>
          <w:tcPr>
            <w:tcW w:w="300" w:type="dxa"/>
            <w:vAlign w:val="bottom"/>
          </w:tcPr>
          <w:p>
            <w:pPr>
              <w:spacing w:after="0"/>
              <w:rPr>
                <w:sz w:val="14"/>
                <w:szCs w:val="14"/>
                <w:color w:val="auto"/>
              </w:rPr>
            </w:pPr>
          </w:p>
        </w:tc>
        <w:tc>
          <w:tcPr>
            <w:tcW w:w="10320" w:type="dxa"/>
            <w:vAlign w:val="bottom"/>
            <w:gridSpan w:val="4"/>
          </w:tcPr>
          <w:p>
            <w:pPr>
              <w:ind w:left="120"/>
              <w:spacing w:after="0"/>
              <w:rPr>
                <w:sz w:val="20"/>
                <w:szCs w:val="20"/>
                <w:color w:val="auto"/>
              </w:rPr>
            </w:pPr>
            <w:r>
              <w:rPr>
                <w:rFonts w:ascii="Arial" w:cs="Arial" w:eastAsia="Arial" w:hAnsi="Arial"/>
                <w:sz w:val="14"/>
                <w:szCs w:val="14"/>
                <w:color w:val="auto"/>
              </w:rPr>
              <w:t>same, and after deducting the estimated underwriting discount and commissions and estimated offering expenses payable by us. We may also increase or</w:t>
            </w:r>
          </w:p>
        </w:tc>
      </w:tr>
      <w:tr>
        <w:trPr>
          <w:trHeight w:val="162"/>
        </w:trPr>
        <w:tc>
          <w:tcPr>
            <w:tcW w:w="300" w:type="dxa"/>
            <w:vAlign w:val="bottom"/>
          </w:tcPr>
          <w:p>
            <w:pPr>
              <w:spacing w:after="0"/>
              <w:rPr>
                <w:sz w:val="14"/>
                <w:szCs w:val="14"/>
                <w:color w:val="auto"/>
              </w:rPr>
            </w:pPr>
          </w:p>
        </w:tc>
        <w:tc>
          <w:tcPr>
            <w:tcW w:w="10320" w:type="dxa"/>
            <w:vAlign w:val="bottom"/>
            <w:gridSpan w:val="4"/>
          </w:tcPr>
          <w:p>
            <w:pPr>
              <w:ind w:left="120"/>
              <w:spacing w:after="0"/>
              <w:rPr>
                <w:sz w:val="20"/>
                <w:szCs w:val="20"/>
                <w:color w:val="auto"/>
              </w:rPr>
            </w:pPr>
            <w:r>
              <w:rPr>
                <w:rFonts w:ascii="Arial" w:cs="Arial" w:eastAsia="Arial" w:hAnsi="Arial"/>
                <w:sz w:val="14"/>
                <w:szCs w:val="14"/>
                <w:color w:val="auto"/>
              </w:rPr>
              <w:t>decrease the number of shares we are offering. Each increase or decrease of 1.0 million in the number of shares we are offering would increase or decrease, as</w:t>
            </w:r>
          </w:p>
        </w:tc>
      </w:tr>
      <w:tr>
        <w:trPr>
          <w:trHeight w:val="162"/>
        </w:trPr>
        <w:tc>
          <w:tcPr>
            <w:tcW w:w="300" w:type="dxa"/>
            <w:vAlign w:val="bottom"/>
          </w:tcPr>
          <w:p>
            <w:pPr>
              <w:spacing w:after="0"/>
              <w:rPr>
                <w:sz w:val="14"/>
                <w:szCs w:val="14"/>
                <w:color w:val="auto"/>
              </w:rPr>
            </w:pPr>
          </w:p>
        </w:tc>
        <w:tc>
          <w:tcPr>
            <w:tcW w:w="10320" w:type="dxa"/>
            <w:vAlign w:val="bottom"/>
            <w:gridSpan w:val="4"/>
          </w:tcPr>
          <w:p>
            <w:pPr>
              <w:ind w:left="120"/>
              <w:spacing w:after="0"/>
              <w:rPr>
                <w:sz w:val="20"/>
                <w:szCs w:val="20"/>
                <w:color w:val="auto"/>
              </w:rPr>
            </w:pPr>
            <w:r>
              <w:rPr>
                <w:rFonts w:ascii="Arial" w:cs="Arial" w:eastAsia="Arial" w:hAnsi="Arial"/>
                <w:sz w:val="14"/>
                <w:szCs w:val="14"/>
                <w:color w:val="auto"/>
              </w:rPr>
              <w:t>applicable, each of the amount of our cash and cash equivalents, working capital, total assets and total stockholders’ (deficit) equity by approximately</w:t>
            </w:r>
          </w:p>
        </w:tc>
      </w:tr>
    </w:tbl>
    <w:p>
      <w:pPr>
        <w:ind w:left="800" w:right="60"/>
        <w:spacing w:after="0" w:line="241" w:lineRule="auto"/>
        <w:rPr>
          <w:sz w:val="20"/>
          <w:szCs w:val="20"/>
          <w:color w:val="auto"/>
        </w:rPr>
      </w:pPr>
      <w:r>
        <w:rPr>
          <w:rFonts w:ascii="Arial" w:cs="Arial" w:eastAsia="Arial" w:hAnsi="Arial"/>
          <w:sz w:val="14"/>
          <w:szCs w:val="14"/>
          <w:color w:val="auto"/>
        </w:rPr>
        <w:t>$ million, assuming the assumed initial public offering price per share, as set forth on the cover page of this prospectus, remains the same. The pro forma as adjusted information is illustrative only and we will adjust this information based on the actual initial public offering price and other terms of this offering determined at pricing.</w:t>
      </w:r>
    </w:p>
    <w:p>
      <w:pPr>
        <w:spacing w:after="0" w:line="1" w:lineRule="exact"/>
        <w:rPr>
          <w:sz w:val="20"/>
          <w:szCs w:val="20"/>
          <w:color w:val="auto"/>
        </w:rPr>
      </w:pPr>
    </w:p>
    <w:p>
      <w:pPr>
        <w:ind w:left="800" w:right="380" w:hanging="414"/>
        <w:spacing w:after="0" w:line="258" w:lineRule="auto"/>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financial statements and the related notes and the section of this prospectus titled “Management’s Discussion and Analysis of Financial Condition and Results of Operations,” before deciding whether to invest in our common stock. If any of the following risks actually occurs, our business, reputation, financial condition, results of operations, revenue and future prospects could be seriously harmed. The risks and uncertainties described below are not the only ones we face. Additional risks and uncertainties that we are unaware of, or that we currently believe are not material, may also become important factors that adversely affect our business. Unless otherwise indicated, references to our business being seriously harmed in these risk factors and elsewhere will include harm to our business, reputation, financial condition, results of operations, future prospects and stock price. In that event, the market price of our common stock could decline, and you could lose part or all of your investment.</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212" w:lineRule="exact"/>
        <w:rPr>
          <w:sz w:val="20"/>
          <w:szCs w:val="20"/>
          <w:color w:val="auto"/>
        </w:rPr>
      </w:pPr>
    </w:p>
    <w:p>
      <w:pPr>
        <w:ind w:left="200" w:right="560"/>
        <w:spacing w:after="0" w:line="302" w:lineRule="auto"/>
        <w:rPr>
          <w:sz w:val="20"/>
          <w:szCs w:val="20"/>
          <w:color w:val="auto"/>
        </w:rPr>
      </w:pPr>
      <w:r>
        <w:rPr>
          <w:rFonts w:ascii="Arial" w:cs="Arial" w:eastAsia="Arial" w:hAnsi="Arial"/>
          <w:sz w:val="17"/>
          <w:szCs w:val="17"/>
          <w:b w:val="1"/>
          <w:bCs w:val="1"/>
          <w:i w:val="1"/>
          <w:iCs w:val="1"/>
          <w:color w:val="auto"/>
        </w:rPr>
        <w:t>We are in the early stages of drug development and have a very limited operating history and no products approved for commercial sale, which may make it difficult to evaluate our current business and predict our future success and viability.</w:t>
      </w:r>
    </w:p>
    <w:p>
      <w:pPr>
        <w:spacing w:after="0" w:line="4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are a development-stage biopharmaceutical company specializing in the development of novel, precision AAV vectors, for gene therapies that are generated through our proprietary directed evolution platform. We commenced operations in September 2013, have no products approved for commercial sale and have not generated any product revenue. Drug development is a highly uncertain undertaking and involves a substantial degree of risk. We expect to begin our first clinical trial in the middle of 2020. If our product candidates are not successfully developed and approved, we may never generate any revenue. To date, we have not initiated or completed any clinical trials (including any pivotal clinical trial), obtained marketing approval for any product candidates, manufactured commercial scale quantities of any of our product candidates or arranged for a third party to do so on our behalf,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be seriously harmed.</w:t>
      </w:r>
    </w:p>
    <w:p>
      <w:pPr>
        <w:spacing w:after="0" w:line="291" w:lineRule="exact"/>
        <w:rPr>
          <w:sz w:val="20"/>
          <w:szCs w:val="20"/>
          <w:color w:val="auto"/>
        </w:rPr>
      </w:pPr>
    </w:p>
    <w:p>
      <w:pPr>
        <w:ind w:left="200" w:right="760"/>
        <w:spacing w:after="0" w:line="271" w:lineRule="auto"/>
        <w:rPr>
          <w:sz w:val="20"/>
          <w:szCs w:val="20"/>
          <w:color w:val="auto"/>
        </w:rPr>
      </w:pPr>
      <w:r>
        <w:rPr>
          <w:rFonts w:ascii="Arial" w:cs="Arial" w:eastAsia="Arial" w:hAnsi="Arial"/>
          <w:sz w:val="18"/>
          <w:szCs w:val="18"/>
          <w:b w:val="1"/>
          <w:bCs w:val="1"/>
          <w:i w:val="1"/>
          <w:iCs w:val="1"/>
          <w:color w:val="auto"/>
        </w:rPr>
        <w:t>We have incurred significant net losses since inception and we expect to continue to incur significant net losses for the foreseeable future.</w:t>
      </w:r>
    </w:p>
    <w:p>
      <w:pPr>
        <w:spacing w:after="0" w:line="68" w:lineRule="exact"/>
        <w:rPr>
          <w:sz w:val="20"/>
          <w:szCs w:val="20"/>
          <w:color w:val="auto"/>
        </w:rPr>
      </w:pPr>
    </w:p>
    <w:p>
      <w:pPr>
        <w:ind w:left="200" w:right="180" w:firstLine="551"/>
        <w:spacing w:after="0" w:line="246" w:lineRule="auto"/>
        <w:rPr>
          <w:sz w:val="20"/>
          <w:szCs w:val="20"/>
          <w:color w:val="auto"/>
        </w:rPr>
      </w:pPr>
      <w:r>
        <w:rPr>
          <w:rFonts w:ascii="Arial" w:cs="Arial" w:eastAsia="Arial" w:hAnsi="Arial"/>
          <w:sz w:val="18"/>
          <w:szCs w:val="18"/>
          <w:color w:val="auto"/>
        </w:rPr>
        <w:t>We have incurred net losses in each reporting period since our inception, including net losses of $11.2 million and $9.6 million for the years ended December 31, 2017 and 2018, respectively. As of June 30, 2019, we had an accumulated deficit of $46.2 million.</w:t>
      </w:r>
    </w:p>
    <w:p>
      <w:pPr>
        <w:spacing w:after="0" w:line="197"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We have devoted substantially all of our financial resources and efforts in research and development activities, including for our product candidates and our Therapeutic Vector Evolution platform. We do not expect to generate revenue from product sales for several years, if at all. We continue to incur significant research and development and other expenses related to our ongoing operations.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00" w:firstLine="551"/>
        <w:spacing w:after="0" w:line="246" w:lineRule="auto"/>
        <w:rPr>
          <w:sz w:val="20"/>
          <w:szCs w:val="20"/>
          <w:color w:val="auto"/>
        </w:rPr>
      </w:pPr>
      <w:r>
        <w:rPr>
          <w:rFonts w:ascii="Arial" w:cs="Arial" w:eastAsia="Arial" w:hAnsi="Arial"/>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102" w:lineRule="exact"/>
        <w:rPr>
          <w:sz w:val="20"/>
          <w:szCs w:val="20"/>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progress our current and any future product candidates through preclinical and clinical development;</w:t>
      </w:r>
    </w:p>
    <w:p>
      <w:pPr>
        <w:spacing w:after="0" w:line="117" w:lineRule="exact"/>
        <w:rPr>
          <w:rFonts w:ascii="Arial" w:cs="Arial" w:eastAsia="Arial" w:hAnsi="Arial"/>
          <w:sz w:val="18"/>
          <w:szCs w:val="18"/>
          <w:color w:val="auto"/>
        </w:rPr>
      </w:pPr>
    </w:p>
    <w:p>
      <w:pPr>
        <w:ind w:left="960" w:right="240" w:hanging="216"/>
        <w:spacing w:after="0" w:line="246"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our manufacturing facilities and work with our contract manufacturers to scale up the manufacturing processes for our product candidates;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our research and discovery activities;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the development of our Therapeutic Vector Evolution platform;</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and conduct additional preclinical, clinical or other studies for our product candidates;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or add additional contract manufacturers or suppliers;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regulatory approvals and marketing authorizations for our product candidates;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to commercialize any products for which we obtain approval;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acquire or in-license product candidates, intellectual property and technologies;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milestone, royalty or other payments due under any current or future collaboration or license agreements;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experience any delays or encounter other issues related to our operations;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meet the requirements and demands of being a public company;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defend against any product liability claims or other lawsuits related to our products.</w:t>
      </w:r>
    </w:p>
    <w:p>
      <w:pPr>
        <w:spacing w:after="0" w:line="212"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Our prior losses and expected future losses have had and will continue to have an adverse effect on our stockholders’ deficit and working capital. In any particular quarter or quarters, our operating results could be below the expectations of securities analysts or investors, which could cause our stock price to decline.</w:t>
      </w:r>
    </w:p>
    <w:p>
      <w:pPr>
        <w:spacing w:after="0" w:line="289"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capital to finance our operations. If we fail or are unable to raise such capital when needed, or on acceptable terms, we may be forced to delay, reduce and/or eliminate one or more of our research and drug development programs, future commercialization efforts or other operations.</w:t>
      </w:r>
    </w:p>
    <w:p>
      <w:pPr>
        <w:spacing w:after="0" w:line="8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Developing biopharmaceutical products, including conducting preclinical studies and clinical trials, is a very time consuming, expensive and uncertain process that takes years to complete. Our operations have required substantial amounts of cash since inception. To date, we have financed our operations primarily through the sale of equity securities, and to a lesser extent, payments pursuant to our collaboration agreements. We expect to initiate clinical trials in the middle of 2020 and have several other product candidates in preclinical development that may enter clinical development shortly thereafter. Developing our product candidates is expensive, and we expect to continue to spend substantial amounts as we fund our early-stage research projects, continue preclinical development of our product candidates and, in particular, advance our product candidates through clinical trials. Even if we are successful in developing our product candidates, obtaining regulatory approvals and launching and commercializing any product candidate will require substantial additional funding beyond the net proceeds of this offering.</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551"/>
        <w:spacing w:after="0" w:line="234" w:lineRule="auto"/>
        <w:rPr>
          <w:sz w:val="20"/>
          <w:szCs w:val="20"/>
          <w:color w:val="auto"/>
        </w:rPr>
      </w:pPr>
      <w:r>
        <w:rPr>
          <w:rFonts w:ascii="Arial" w:cs="Arial" w:eastAsia="Arial" w:hAnsi="Arial"/>
          <w:sz w:val="18"/>
          <w:szCs w:val="18"/>
          <w:color w:val="auto"/>
        </w:rPr>
        <w:t>As of June 30, 2019, we had $72.9 million in cash and cash equivalents. Based on our current operating plan, we estimate that our existing cash and cash equivalents, together with the anticipated net proceeds from this offering, will be sufficient to fund our operating</w:t>
      </w:r>
    </w:p>
    <w:p>
      <w:pPr>
        <w:spacing w:after="0" w:line="2"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expenses and capital expenditure requirements through at least the next months. Our estimate as to how long we expect our existing cash and cash equivalents to be available to fund our operations is based on assumptions that may prove inaccurate, and we could use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205" w:lineRule="exact"/>
        <w:rPr>
          <w:sz w:val="20"/>
          <w:szCs w:val="20"/>
          <w:color w:val="auto"/>
        </w:rPr>
      </w:pPr>
    </w:p>
    <w:p>
      <w:pPr>
        <w:ind w:left="200" w:right="160" w:firstLine="551"/>
        <w:spacing w:after="0" w:line="246"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w:t>
      </w:r>
    </w:p>
    <w:p>
      <w:pPr>
        <w:spacing w:after="0" w:line="102" w:lineRule="exact"/>
        <w:rPr>
          <w:sz w:val="20"/>
          <w:szCs w:val="20"/>
          <w:color w:val="auto"/>
        </w:rPr>
      </w:pPr>
    </w:p>
    <w:p>
      <w:pPr>
        <w:ind w:left="960" w:right="40" w:hanging="216"/>
        <w:spacing w:after="0" w:line="246"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 limit, reduce or terminate preclinical studies, clinical trials or other research and development activities or eliminate one or more of our development programs altogether; or</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 limit, reduce or terminate our efforts to establish manufacturing and sales and marketing capabilities or other activities that may be necessary to commercialize our product candidates, or reduce our flexibility in developing or maintaining our sales and marketing strategy.</w:t>
      </w:r>
    </w:p>
    <w:p>
      <w:pPr>
        <w:spacing w:after="0" w:line="203"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We also could be required to seek funds through arrangements with collaborators or others that may require us to relinquish rights to, or jointly own some aspects of, our product candidates or technologies that we would otherwise pursue on our own. We do not expect to realize revenue from sales of products or royalties from licensed products in the foreseeable future, if at all, and unless and until a product candidate is clinically tested, approved for commercialization and successfully marketed.</w:t>
      </w:r>
    </w:p>
    <w:p>
      <w:pPr>
        <w:spacing w:after="0" w:line="202"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We will be required to seek additional funding in the future and currently intend to do so through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208" w:lineRule="exact"/>
        <w:rPr>
          <w:sz w:val="20"/>
          <w:szCs w:val="20"/>
          <w:color w:val="auto"/>
        </w:rPr>
      </w:pPr>
    </w:p>
    <w:p>
      <w:pPr>
        <w:ind w:left="200" w:right="160" w:firstLine="551"/>
        <w:spacing w:after="0" w:line="239" w:lineRule="auto"/>
        <w:rPr>
          <w:sz w:val="20"/>
          <w:szCs w:val="20"/>
          <w:color w:val="auto"/>
        </w:rPr>
      </w:pPr>
      <w:r>
        <w:rPr>
          <w:rFonts w:ascii="Arial" w:cs="Arial" w:eastAsia="Arial" w:hAnsi="Arial"/>
          <w:sz w:val="18"/>
          <w:szCs w:val="18"/>
          <w:color w:val="auto"/>
        </w:rPr>
        <w:t>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significantly harm our business and cause the price of our common stock to decline.</w:t>
      </w:r>
    </w:p>
    <w:p>
      <w:pPr>
        <w:spacing w:after="0" w:line="288" w:lineRule="exact"/>
        <w:rPr>
          <w:sz w:val="20"/>
          <w:szCs w:val="20"/>
          <w:color w:val="auto"/>
        </w:rPr>
      </w:pPr>
    </w:p>
    <w:p>
      <w:pPr>
        <w:ind w:left="200"/>
        <w:spacing w:after="0" w:line="247"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88" w:lineRule="exact"/>
        <w:rPr>
          <w:sz w:val="20"/>
          <w:szCs w:val="20"/>
          <w:color w:val="auto"/>
        </w:rPr>
      </w:pPr>
    </w:p>
    <w:p>
      <w:pPr>
        <w:ind w:left="200" w:right="360" w:firstLine="551"/>
        <w:spacing w:after="0" w:line="246" w:lineRule="auto"/>
        <w:rPr>
          <w:sz w:val="20"/>
          <w:szCs w:val="20"/>
          <w:color w:val="auto"/>
        </w:rPr>
      </w:pPr>
      <w:r>
        <w:rPr>
          <w:rFonts w:ascii="Arial" w:cs="Arial" w:eastAsia="Arial" w:hAnsi="Arial"/>
          <w:sz w:val="18"/>
          <w:szCs w:val="18"/>
          <w:color w:val="auto"/>
        </w:rPr>
        <w:t>Due to the significant resources required for the development of our product candidates, in particular our product candidates in IND-enabling studies or those in clinical trials, we must decide</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less than optimal and could cause us to miss valuable opportunities. If we make incorrect determinations regarding the viability or market potential of any of our product candidates or misread trends in the biopharmaceutical industry, in particular for lysosomal storage diseases, lung diseases, muscular dystrophies and ophthalmological diseases, our business could be seriously harmed. As a result, we may fail to capitalize on viable commercial products or profitable market opportunities, be required to forego or delay pursuit of opportunities with other product candidates or other diseases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291"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The amount of our future losses is uncertain and our quarterly operating results may fluctuate significantly or may all below the expectations of investors or securities analysts, each of which may cause our stock price to fluctuate or decline.</w:t>
      </w:r>
    </w:p>
    <w:p>
      <w:pPr>
        <w:spacing w:after="0" w:line="68" w:lineRule="exact"/>
        <w:rPr>
          <w:sz w:val="20"/>
          <w:szCs w:val="20"/>
          <w:color w:val="auto"/>
        </w:rPr>
      </w:pPr>
    </w:p>
    <w:p>
      <w:pPr>
        <w:jc w:val="both"/>
        <w:ind w:left="200" w:right="120" w:firstLine="551"/>
        <w:spacing w:after="0"/>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108" w:lineRule="exact"/>
        <w:rPr>
          <w:sz w:val="20"/>
          <w:szCs w:val="20"/>
          <w:color w:val="auto"/>
        </w:rPr>
      </w:pPr>
    </w:p>
    <w:p>
      <w:pPr>
        <w:ind w:left="960" w:right="100" w:hanging="216"/>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success or failure of preclinical studies and clinical trials for our product candidates or competing product candidates, or any other change in the competitive landscape of our industry, including consolidation among our competitors or collaboration partners;</w:t>
      </w:r>
    </w:p>
    <w:p>
      <w:pPr>
        <w:spacing w:after="0" w:line="108" w:lineRule="exact"/>
        <w:rPr>
          <w:rFonts w:ascii="Arial" w:cs="Arial" w:eastAsia="Arial" w:hAnsi="Arial"/>
          <w:sz w:val="18"/>
          <w:szCs w:val="18"/>
          <w:color w:val="auto"/>
        </w:rPr>
      </w:pPr>
    </w:p>
    <w:p>
      <w:pPr>
        <w:ind w:left="960" w:right="280" w:hanging="216"/>
        <w:spacing w:after="0" w:line="246"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and commercialization activities, which may change from time to time;</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receipt of approvals from regulatory authorities in the United States and internationally;</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status of enrollment and safety and efficacy readouts for our clinical trials;</w:t>
      </w:r>
    </w:p>
    <w:p>
      <w:pPr>
        <w:spacing w:after="0" w:line="117" w:lineRule="exact"/>
        <w:rPr>
          <w:rFonts w:ascii="Arial" w:cs="Arial" w:eastAsia="Arial" w:hAnsi="Arial"/>
          <w:sz w:val="18"/>
          <w:szCs w:val="18"/>
          <w:color w:val="auto"/>
        </w:rPr>
      </w:pPr>
    </w:p>
    <w:p>
      <w:pPr>
        <w:ind w:left="960" w:right="40" w:hanging="216"/>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manufacturing, as well as building out our supply chain, which may vary depending on the quantity of production, the cost of continuing to establish and scale up our internal manufacturing capabilities, and the terms of any agreements we enter into with third-party suppliers;</w:t>
      </w:r>
    </w:p>
    <w:p>
      <w:pPr>
        <w:spacing w:after="0" w:line="108" w:lineRule="exact"/>
        <w:rPr>
          <w:rFonts w:ascii="Arial" w:cs="Arial" w:eastAsia="Arial" w:hAnsi="Arial"/>
          <w:sz w:val="18"/>
          <w:szCs w:val="18"/>
          <w:color w:val="auto"/>
        </w:rPr>
      </w:pPr>
    </w:p>
    <w:p>
      <w:pPr>
        <w:ind w:left="960" w:right="200" w:hanging="216"/>
        <w:spacing w:after="0" w:line="246"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and amount of any option, milestone, royalty or other payments due under any current or future collaboration or license agreement;</w:t>
      </w:r>
    </w:p>
    <w:p>
      <w:pPr>
        <w:spacing w:after="0" w:line="102" w:lineRule="exact"/>
        <w:rPr>
          <w:rFonts w:ascii="Arial" w:cs="Arial" w:eastAsia="Arial" w:hAnsi="Arial"/>
          <w:sz w:val="18"/>
          <w:szCs w:val="18"/>
          <w:color w:val="auto"/>
        </w:rPr>
      </w:pPr>
    </w:p>
    <w:p>
      <w:pPr>
        <w:ind w:left="960" w:right="560" w:hanging="216"/>
        <w:spacing w:after="0" w:line="246"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gene therapy product candidates and potential future drugs that compete with our products, if approved;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demand for our gene therapy products, if approved, which may vary significantly over time;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12" w:lineRule="exact"/>
        <w:rPr>
          <w:sz w:val="20"/>
          <w:szCs w:val="20"/>
          <w:color w:val="auto"/>
        </w:rPr>
      </w:pPr>
    </w:p>
    <w:p>
      <w:pPr>
        <w:ind w:left="200" w:right="140" w:firstLine="551"/>
        <w:spacing w:after="0" w:line="246"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24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period basis may not be meaningful. Investors should not rely on our past results as an indication of our future performance.</w:t>
      </w:r>
    </w:p>
    <w:p>
      <w:pPr>
        <w:spacing w:after="0" w:line="212"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Research, Discovery, Development and Commercialization of Our Product Candidates</w:t>
      </w:r>
    </w:p>
    <w:p>
      <w:pPr>
        <w:spacing w:after="0" w:line="212" w:lineRule="exact"/>
        <w:rPr>
          <w:sz w:val="20"/>
          <w:szCs w:val="20"/>
          <w:color w:val="auto"/>
        </w:rPr>
      </w:pPr>
    </w:p>
    <w:p>
      <w:pPr>
        <w:ind w:left="200" w:right="220"/>
        <w:spacing w:after="0" w:line="253" w:lineRule="auto"/>
        <w:rPr>
          <w:sz w:val="20"/>
          <w:szCs w:val="20"/>
          <w:color w:val="auto"/>
        </w:rPr>
      </w:pPr>
      <w:r>
        <w:rPr>
          <w:rFonts w:ascii="Arial" w:cs="Arial" w:eastAsia="Arial" w:hAnsi="Arial"/>
          <w:sz w:val="18"/>
          <w:szCs w:val="18"/>
          <w:b w:val="1"/>
          <w:bCs w:val="1"/>
          <w:i w:val="1"/>
          <w:iCs w:val="1"/>
          <w:color w:val="auto"/>
        </w:rPr>
        <w:t>All of our product candidates are based on a novel AAV gene therapy technology with which there is limited regulatory and no clinical experience to date, which makes it difficult to predict the time and cost of product candidate development and subsequently obtaining regulatory approval.</w:t>
      </w:r>
    </w:p>
    <w:p>
      <w:pPr>
        <w:spacing w:after="0" w:line="83" w:lineRule="exact"/>
        <w:rPr>
          <w:sz w:val="20"/>
          <w:szCs w:val="20"/>
          <w:color w:val="auto"/>
        </w:rPr>
      </w:pPr>
    </w:p>
    <w:p>
      <w:pPr>
        <w:ind w:left="200" w:right="160" w:firstLine="551"/>
        <w:spacing w:after="0" w:line="236" w:lineRule="auto"/>
        <w:rPr>
          <w:sz w:val="20"/>
          <w:szCs w:val="20"/>
          <w:color w:val="auto"/>
        </w:rPr>
      </w:pPr>
      <w:r>
        <w:rPr>
          <w:rFonts w:ascii="Arial" w:cs="Arial" w:eastAsia="Arial" w:hAnsi="Arial"/>
          <w:sz w:val="18"/>
          <w:szCs w:val="18"/>
          <w:color w:val="auto"/>
        </w:rPr>
        <w:t>All of our product candidates are based on gene therapy technology and our future success depends on the successful development of this novel therapeutic approach. We cannot assure you that any development problems we or other gene therapy companies experience in the future related to gene therapy technology will not cause significant delays or unanticipated costs in the development of our product candidates, or that such development problems can be solved. In addition, the clinical study requirements of the U.S. Food and Drug Administration (FDA) and other regulatory agencies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ours can be more expensive and take longer than for other, better known or extensively studied therapeutic modalities. Further, as we are developing novel treatments for diseases in which there is limited clinical experience with new endpoints and methodologies, there is heightened risk that the FDA, European Medicines Agency (EMA) or comparable foreign regulatory bodies may not consider the clinical trial endpoints to provide clinically meaningful results, and the resulting clinical data and results may be more difficult to analyze. To date, few gene therapy products have been approved by the FDA or comparable foreign regulatory authorities, which makes it difficult to determine how long it will take or how much it will cost to obtain regulatory approvals for our product candidates in the United States, the European Union or other jurisdictions. Further, approvals by one regulatory agency may not be indicative of what other regulatory agencies may require for approval.</w:t>
      </w:r>
    </w:p>
    <w:p>
      <w:pPr>
        <w:spacing w:after="0" w:line="203"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Regulatory requirements governing gene therapy products have evolved and may continue to change in the future. For example, the FDA established the Office of Tissues and Advanced Therapies within its Center for Biologics Evaluation and Research (CBER) to consolidate the review of gene therapy and related products, and the Cellular, Tissue and Gene Therapies Advisory Committee to advise CBER on its review. These and other regulatory review agencies, committees and advisory groups and the requirements and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w:t>
      </w:r>
    </w:p>
    <w:p>
      <w:pPr>
        <w:spacing w:after="0" w:line="203" w:lineRule="exact"/>
        <w:rPr>
          <w:sz w:val="20"/>
          <w:szCs w:val="20"/>
          <w:color w:val="auto"/>
        </w:rPr>
      </w:pPr>
    </w:p>
    <w:p>
      <w:pPr>
        <w:ind w:left="200" w:right="380" w:firstLine="551"/>
        <w:spacing w:after="0"/>
        <w:rPr>
          <w:sz w:val="20"/>
          <w:szCs w:val="20"/>
          <w:color w:val="auto"/>
        </w:rPr>
      </w:pPr>
      <w:r>
        <w:rPr>
          <w:rFonts w:ascii="Arial" w:cs="Arial" w:eastAsia="Arial" w:hAnsi="Arial"/>
          <w:sz w:val="18"/>
          <w:szCs w:val="18"/>
          <w:color w:val="auto"/>
        </w:rPr>
        <w:t>Under the National Institutes of Health (NIH) Guidelines for Research Involving Recombinant DNA Molecules (NIH Guidelines), supervision of human gene transfer trials, including evaluation and assessment by an Institutional Biosafety Committee (IBC) a local institutional committee that reviews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and oversees research utilizing recombinant or synthetic nucleic acid molecules at that institution, is required. The IBC assesses the safety of the research and identifies any potential risk to the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203" w:lineRule="exact"/>
        <w:rPr>
          <w:sz w:val="20"/>
          <w:szCs w:val="20"/>
          <w:color w:val="auto"/>
        </w:rPr>
      </w:pPr>
    </w:p>
    <w:p>
      <w:pPr>
        <w:jc w:val="both"/>
        <w:ind w:left="200" w:right="100" w:firstLine="551"/>
        <w:spacing w:after="0"/>
        <w:rPr>
          <w:sz w:val="20"/>
          <w:szCs w:val="20"/>
          <w:color w:val="auto"/>
        </w:rPr>
      </w:pPr>
      <w:r>
        <w:rPr>
          <w:rFonts w:ascii="Arial" w:cs="Arial" w:eastAsia="Arial" w:hAnsi="Arial"/>
          <w:sz w:val="18"/>
          <w:szCs w:val="18"/>
          <w:color w:val="auto"/>
        </w:rPr>
        <w:t>We are subject to significant regulatory oversight by the FDA, and in addition to the government regulators, the applicable IBC and Institutional Review Board (IRB), of each institution at which we or our collaborators conduct clinical trials of our product candidates, or a central IRB if appropriate, would need to review and approve the proposed clinical trial.</w:t>
      </w:r>
    </w:p>
    <w:p>
      <w:pPr>
        <w:spacing w:after="0" w:line="203" w:lineRule="exact"/>
        <w:rPr>
          <w:sz w:val="20"/>
          <w:szCs w:val="20"/>
          <w:color w:val="auto"/>
        </w:rPr>
      </w:pPr>
    </w:p>
    <w:p>
      <w:pPr>
        <w:ind w:left="200" w:right="280" w:firstLine="551"/>
        <w:spacing w:after="0" w:line="275" w:lineRule="auto"/>
        <w:rPr>
          <w:sz w:val="20"/>
          <w:szCs w:val="20"/>
          <w:color w:val="auto"/>
        </w:rPr>
      </w:pPr>
      <w:r>
        <w:rPr>
          <w:rFonts w:ascii="Arial" w:cs="Arial" w:eastAsia="Arial" w:hAnsi="Arial"/>
          <w:sz w:val="17"/>
          <w:szCs w:val="17"/>
          <w:color w:val="auto"/>
        </w:rPr>
        <w:t>Similarly, the EMA governs the development of gene therapies in the European Union and may issue new guidelines concerning the development and marketing authorization for gene therapy products and require that we comply with these new guidelines.</w:t>
      </w:r>
    </w:p>
    <w:p>
      <w:pPr>
        <w:spacing w:after="0" w:line="173"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Changes in applicable regulatory guidelines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w:t>
      </w:r>
    </w:p>
    <w:p>
      <w:pPr>
        <w:spacing w:after="0" w:line="203"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As we advance our product candidates, we will be required to consult with these regulatory and advisory groups and comply with applicable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91" w:lineRule="exact"/>
        <w:rPr>
          <w:sz w:val="20"/>
          <w:szCs w:val="20"/>
          <w:color w:val="auto"/>
        </w:rPr>
      </w:pPr>
    </w:p>
    <w:p>
      <w:pPr>
        <w:ind w:left="200" w:right="20"/>
        <w:spacing w:after="0" w:line="271" w:lineRule="auto"/>
        <w:rPr>
          <w:sz w:val="20"/>
          <w:szCs w:val="20"/>
          <w:color w:val="auto"/>
        </w:rPr>
      </w:pPr>
      <w:r>
        <w:rPr>
          <w:rFonts w:ascii="Arial" w:cs="Arial" w:eastAsia="Arial" w:hAnsi="Arial"/>
          <w:sz w:val="18"/>
          <w:szCs w:val="18"/>
          <w:b w:val="1"/>
          <w:bCs w:val="1"/>
          <w:i w:val="1"/>
          <w:iCs w:val="1"/>
          <w:color w:val="auto"/>
        </w:rPr>
        <w:t>Adverse public perception or regulatory scrutiny of gene therapy technology may negatively impact the developmental progress or commercial success of products that we develop alone or with collaborators.</w:t>
      </w:r>
    </w:p>
    <w:p>
      <w:pPr>
        <w:spacing w:after="0" w:line="68" w:lineRule="exact"/>
        <w:rPr>
          <w:sz w:val="20"/>
          <w:szCs w:val="20"/>
          <w:color w:val="auto"/>
        </w:rPr>
      </w:pPr>
    </w:p>
    <w:p>
      <w:pPr>
        <w:jc w:val="both"/>
        <w:ind w:left="200" w:firstLine="551"/>
        <w:spacing w:after="0" w:line="239" w:lineRule="auto"/>
        <w:rPr>
          <w:sz w:val="20"/>
          <w:szCs w:val="20"/>
          <w:color w:val="auto"/>
        </w:rPr>
      </w:pPr>
      <w:r>
        <w:rPr>
          <w:rFonts w:ascii="Arial" w:cs="Arial" w:eastAsia="Arial" w:hAnsi="Arial"/>
          <w:sz w:val="18"/>
          <w:szCs w:val="18"/>
          <w:color w:val="auto"/>
        </w:rPr>
        <w:t>The developmental and commercial success of our current product candidates, or any that we develop alone or with collaborators in the future, will depend in part on public acceptance of the use of gene therapy technology, including the use of AAVs, for the prevention or treatment of human diseases. Adverse public perception of gene therapies may negatively impact our ability to raise capital or enter into strategic agreements for the development of product candidates.</w:t>
      </w:r>
    </w:p>
    <w:p>
      <w:pPr>
        <w:spacing w:after="0" w:line="202"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Gene therapy remains a novel technology. The commercial success of our gene therapy products, if successfully developed and approved, may be adversely affected by claims that gene therapy is unsafe, unethical or immoral. This may lead to unfavorable public perception and the inability of any of our product candidates to gain the acceptance of the public or the medical community. Unfavorable public perceptions may also adversely impact our or our collaborators’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spacing w:after="0" w:line="203" w:lineRule="exact"/>
        <w:rPr>
          <w:sz w:val="20"/>
          <w:szCs w:val="20"/>
          <w:color w:val="auto"/>
        </w:rPr>
      </w:pPr>
    </w:p>
    <w:p>
      <w:pPr>
        <w:ind w:left="200" w:right="440" w:firstLine="551"/>
        <w:spacing w:after="0" w:line="246" w:lineRule="auto"/>
        <w:rPr>
          <w:sz w:val="20"/>
          <w:szCs w:val="20"/>
          <w:color w:val="auto"/>
        </w:rPr>
      </w:pPr>
      <w:r>
        <w:rPr>
          <w:rFonts w:ascii="Arial" w:cs="Arial" w:eastAsia="Arial" w:hAnsi="Arial"/>
          <w:sz w:val="18"/>
          <w:szCs w:val="18"/>
          <w:color w:val="auto"/>
        </w:rPr>
        <w:t>Publicity of any adverse events in, or unfavorable results of, preclinical studies or clinical trials for any current or future product candidates, or with respect to the studies or trials of our competitors or of</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academic researchers utilizing similar technologies, even if not ultimately attributable to our technology or product candidates, could negatively influence public opinion. Negative public perception about the use of AAV technology in human therapeutics, whether related to our technology or a competitor’s technology, could result in increased governmental regulation, delays in the development and commercialization of product candidates or decreased demand for the resulting products, any of which may have a negative impact on our business and financial condition.</w:t>
      </w:r>
    </w:p>
    <w:p>
      <w:pPr>
        <w:spacing w:after="0" w:line="289" w:lineRule="exact"/>
        <w:rPr>
          <w:sz w:val="20"/>
          <w:szCs w:val="20"/>
          <w:color w:val="auto"/>
        </w:rPr>
      </w:pPr>
    </w:p>
    <w:p>
      <w:pPr>
        <w:ind w:left="200" w:right="200"/>
        <w:spacing w:after="0" w:line="271"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68" w:lineRule="exact"/>
        <w:rPr>
          <w:sz w:val="20"/>
          <w:szCs w:val="20"/>
          <w:color w:val="auto"/>
        </w:rPr>
      </w:pPr>
    </w:p>
    <w:p>
      <w:pPr>
        <w:ind w:left="200" w:right="200" w:firstLine="551"/>
        <w:spacing w:after="0"/>
        <w:rPr>
          <w:sz w:val="20"/>
          <w:szCs w:val="20"/>
          <w:color w:val="auto"/>
        </w:rPr>
      </w:pPr>
      <w:r>
        <w:rPr>
          <w:rFonts w:ascii="Arial" w:cs="Arial" w:eastAsia="Arial" w:hAnsi="Arial"/>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w:t>
      </w:r>
    </w:p>
    <w:p>
      <w:pPr>
        <w:spacing w:after="0" w:line="203"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w:t>
      </w:r>
    </w:p>
    <w:p>
      <w:pPr>
        <w:spacing w:after="0" w:line="203"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If any serious adverse events occur, clinical trials or commercial distribution of any product candidates or products we develop alone or with collaborators could be suspended or terminated, and our business could be seriously harmed. Treatment-related side effects could also affect patient recruitment and the ability of enrolled patients to complete the trial or result in potential liability claims. Regulatory authorities could order us or our collaborators to cease further development of, deny approval of, or require us to cease selling any product candidates or products for any or all targeted indications. If we or our collaborators elect, or are required, to delay, suspend or terminate any clinical trial or commercialization efforts, the commercial prospects of such product candidates or products may be harmed, and our ability to generate product revenues from them or other product candidates that we develop may be delayed or eliminated. 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12" w:lineRule="exact"/>
        <w:rPr>
          <w:sz w:val="20"/>
          <w:szCs w:val="20"/>
          <w:color w:val="auto"/>
        </w:rPr>
      </w:pPr>
    </w:p>
    <w:p>
      <w:pPr>
        <w:ind w:left="960" w:right="80" w:hanging="216"/>
        <w:spacing w:after="0" w:line="246"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approvals of such product, or seek an injunction against its manufacture or distribution;</w:t>
      </w:r>
    </w:p>
    <w:p>
      <w:pPr>
        <w:spacing w:after="0" w:line="102" w:lineRule="exact"/>
        <w:rPr>
          <w:rFonts w:ascii="Arial" w:cs="Arial" w:eastAsia="Arial" w:hAnsi="Arial"/>
          <w:sz w:val="18"/>
          <w:szCs w:val="18"/>
          <w:color w:val="auto"/>
        </w:rPr>
      </w:pPr>
    </w:p>
    <w:p>
      <w:pPr>
        <w:ind w:left="960" w:right="260" w:hanging="2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108" w:lineRule="exact"/>
        <w:rPr>
          <w:rFonts w:ascii="Arial" w:cs="Arial" w:eastAsia="Arial" w:hAnsi="Arial"/>
          <w:sz w:val="18"/>
          <w:szCs w:val="18"/>
          <w:color w:val="auto"/>
        </w:rPr>
      </w:pPr>
    </w:p>
    <w:p>
      <w:pPr>
        <w:ind w:left="960" w:hanging="2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17" w:lineRule="exact"/>
        <w:rPr>
          <w:rFonts w:ascii="Arial" w:cs="Arial" w:eastAsia="Arial" w:hAnsi="Arial"/>
          <w:sz w:val="18"/>
          <w:szCs w:val="18"/>
          <w:color w:val="auto"/>
        </w:rPr>
      </w:pPr>
    </w:p>
    <w:p>
      <w:pPr>
        <w:ind w:left="960" w:right="400" w:hanging="2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create a Risk Evaluation and Mitigation Strategy (REMS), which could include a medication guide outlining the risks of such side effects for distribution to patients, a communication plan for healthcare providers and/or other elements to assure safe use;</w:t>
      </w:r>
    </w:p>
    <w:p>
      <w:pPr>
        <w:spacing w:after="0" w:line="108" w:lineRule="exact"/>
        <w:rPr>
          <w:rFonts w:ascii="Arial" w:cs="Arial" w:eastAsia="Arial" w:hAnsi="Arial"/>
          <w:sz w:val="18"/>
          <w:szCs w:val="18"/>
          <w:color w:val="auto"/>
        </w:rPr>
      </w:pPr>
    </w:p>
    <w:p>
      <w:pPr>
        <w:ind w:left="960" w:hanging="2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criminal penalties;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left="200" w:right="540" w:firstLine="551"/>
        <w:spacing w:after="0" w:line="246"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seriously harm our business.</w:t>
      </w:r>
    </w:p>
    <w:p>
      <w:pPr>
        <w:spacing w:after="0" w:line="283" w:lineRule="exact"/>
        <w:rPr>
          <w:sz w:val="20"/>
          <w:szCs w:val="20"/>
          <w:color w:val="auto"/>
        </w:rPr>
      </w:pPr>
    </w:p>
    <w:p>
      <w:pPr>
        <w:jc w:val="both"/>
        <w:ind w:left="200" w:right="220"/>
        <w:spacing w:after="0" w:line="253" w:lineRule="auto"/>
        <w:rPr>
          <w:sz w:val="20"/>
          <w:szCs w:val="20"/>
          <w:color w:val="auto"/>
        </w:rPr>
      </w:pPr>
      <w:r>
        <w:rPr>
          <w:rFonts w:ascii="Arial" w:cs="Arial" w:eastAsia="Arial" w:hAnsi="Arial"/>
          <w:sz w:val="18"/>
          <w:szCs w:val="18"/>
          <w:b w:val="1"/>
          <w:bCs w:val="1"/>
          <w:i w:val="1"/>
          <w:iCs w:val="1"/>
          <w:color w:val="auto"/>
        </w:rPr>
        <w:t>Drug development is a highly uncertain undertaking and involves a substantial degree of risk. We have no products approved for commercial sale, and we have never generated any revenue from product sales, and we may never generate revenue or be profitable.</w:t>
      </w:r>
    </w:p>
    <w:p>
      <w:pPr>
        <w:spacing w:after="0" w:line="83" w:lineRule="exact"/>
        <w:rPr>
          <w:sz w:val="20"/>
          <w:szCs w:val="20"/>
          <w:color w:val="auto"/>
        </w:rPr>
      </w:pPr>
    </w:p>
    <w:p>
      <w:pPr>
        <w:ind w:left="200" w:right="60" w:firstLine="551"/>
        <w:spacing w:after="0"/>
        <w:rPr>
          <w:sz w:val="20"/>
          <w:szCs w:val="20"/>
          <w:color w:val="auto"/>
        </w:rPr>
      </w:pPr>
      <w:r>
        <w:rPr>
          <w:rFonts w:ascii="Arial" w:cs="Arial" w:eastAsia="Arial" w:hAnsi="Arial"/>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which will not occur for several years if ever.</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ability to generate revenue and achieve profitability depends significantly on many factors, including:</w:t>
      </w:r>
    </w:p>
    <w:p>
      <w:pPr>
        <w:spacing w:after="0" w:line="117" w:lineRule="exact"/>
        <w:rPr>
          <w:sz w:val="20"/>
          <w:szCs w:val="20"/>
          <w:color w:val="auto"/>
        </w:rPr>
      </w:pPr>
    </w:p>
    <w:p>
      <w:pPr>
        <w:ind w:left="960" w:hanging="2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successfully completing research and preclinical and clinical development of our product candidates;</w:t>
      </w:r>
    </w:p>
    <w:p>
      <w:pPr>
        <w:spacing w:after="0" w:line="117" w:lineRule="exact"/>
        <w:rPr>
          <w:rFonts w:ascii="Arial" w:cs="Arial" w:eastAsia="Arial" w:hAnsi="Arial"/>
          <w:sz w:val="18"/>
          <w:szCs w:val="18"/>
          <w:color w:val="auto"/>
        </w:rPr>
      </w:pPr>
    </w:p>
    <w:p>
      <w:pPr>
        <w:ind w:left="960" w:right="180" w:hanging="216"/>
        <w:spacing w:after="0" w:line="246"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successfully complete clinical development and clinical trials;</w:t>
      </w:r>
    </w:p>
    <w:p>
      <w:pPr>
        <w:spacing w:after="0" w:line="102" w:lineRule="exact"/>
        <w:rPr>
          <w:rFonts w:ascii="Arial" w:cs="Arial" w:eastAsia="Arial" w:hAnsi="Arial"/>
          <w:sz w:val="18"/>
          <w:szCs w:val="18"/>
          <w:color w:val="auto"/>
        </w:rPr>
      </w:pPr>
    </w:p>
    <w:p>
      <w:pPr>
        <w:ind w:left="960" w:right="560" w:hanging="2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108" w:lineRule="exact"/>
        <w:rPr>
          <w:rFonts w:ascii="Arial" w:cs="Arial" w:eastAsia="Arial" w:hAnsi="Arial"/>
          <w:sz w:val="18"/>
          <w:szCs w:val="18"/>
          <w:color w:val="auto"/>
        </w:rPr>
      </w:pPr>
    </w:p>
    <w:p>
      <w:pPr>
        <w:ind w:left="960" w:hanging="2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7" w:lineRule="exact"/>
        <w:rPr>
          <w:rFonts w:ascii="Arial" w:cs="Arial" w:eastAsia="Arial" w:hAnsi="Arial"/>
          <w:sz w:val="18"/>
          <w:szCs w:val="18"/>
          <w:color w:val="auto"/>
        </w:rPr>
      </w:pPr>
    </w:p>
    <w:p>
      <w:pPr>
        <w:ind w:left="960" w:right="120" w:hanging="216"/>
        <w:spacing w:after="0" w:line="246"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approved products, if any;</w:t>
      </w:r>
    </w:p>
    <w:p>
      <w:pPr>
        <w:spacing w:after="0" w:line="102" w:lineRule="exact"/>
        <w:rPr>
          <w:rFonts w:ascii="Arial" w:cs="Arial" w:eastAsia="Arial" w:hAnsi="Arial"/>
          <w:sz w:val="18"/>
          <w:szCs w:val="18"/>
          <w:color w:val="auto"/>
        </w:rPr>
      </w:pPr>
    </w:p>
    <w:p>
      <w:pPr>
        <w:ind w:left="960" w:right="140" w:hanging="216"/>
        <w:spacing w:after="0" w:line="246"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launching and successfully commercializing product candidates for which we obtain marketing approval, either by collaborating with a partner or, if launched independently, by establishing a sales, marketing and distribution infrastructure;</w:t>
      </w:r>
    </w:p>
    <w:p>
      <w:pPr>
        <w:spacing w:after="0" w:line="102" w:lineRule="exact"/>
        <w:rPr>
          <w:rFonts w:ascii="Arial" w:cs="Arial" w:eastAsia="Arial" w:hAnsi="Arial"/>
          <w:sz w:val="18"/>
          <w:szCs w:val="18"/>
          <w:color w:val="auto"/>
        </w:rPr>
      </w:pPr>
    </w:p>
    <w:p>
      <w:pPr>
        <w:ind w:left="960" w:hanging="216"/>
        <w:spacing w:after="0" w:line="246"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an adequate price for our product candidates, both in the United States and in foreign countries where our products are commercialized;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adequate reimbursement for our product candidates or procedures using our product candidates from payors;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convenience and durability of our treatment or dosing regimen;</w:t>
      </w:r>
    </w:p>
    <w:p>
      <w:pPr>
        <w:spacing w:after="0" w:line="117" w:lineRule="exact"/>
        <w:rPr>
          <w:rFonts w:ascii="Arial" w:cs="Arial" w:eastAsia="Arial" w:hAnsi="Arial"/>
          <w:sz w:val="18"/>
          <w:szCs w:val="18"/>
          <w:color w:val="auto"/>
        </w:rPr>
      </w:pPr>
    </w:p>
    <w:p>
      <w:pPr>
        <w:ind w:left="960" w:right="20" w:hanging="216"/>
        <w:spacing w:after="0" w:line="246"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by physicians, payors and patients of the benefits, safety and efficacy of our product candidate or any future product candidates, if approved, including relative to alternative and competing treatments;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 demand for any of our product candidates that may be approved;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80" w:hanging="216"/>
        <w:spacing w:after="0" w:line="246"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protecting, expanding and enforcing our portfolio of intellectual property rights, including patents, trade secrets and know-how; and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1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205"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Even if we are able to generate revenue from the sale of any approved products, we may not become profitable, and we will need to obtain additional funding through one or more equity or debt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the reasonably accepted population for treatment is narrowed by competition, physician choice or treatment guidelines or the price and available third party reimbursement are lower than anticipated, we may not generate significant revenue from sales of such products, even if approved. Even if we do achieve profitability, we may not be able to sustain or increase profitability on a quarterly or annual basis.</w:t>
      </w:r>
    </w:p>
    <w:p>
      <w:pPr>
        <w:spacing w:after="0" w:line="207" w:lineRule="exact"/>
        <w:rPr>
          <w:sz w:val="20"/>
          <w:szCs w:val="20"/>
          <w:color w:val="auto"/>
        </w:rPr>
      </w:pPr>
    </w:p>
    <w:p>
      <w:pPr>
        <w:ind w:left="200" w:right="100" w:firstLine="551"/>
        <w:spacing w:after="0"/>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seriously harm our business.</w:t>
      </w:r>
    </w:p>
    <w:p>
      <w:pPr>
        <w:spacing w:after="0" w:line="289" w:lineRule="exact"/>
        <w:rPr>
          <w:sz w:val="20"/>
          <w:szCs w:val="20"/>
          <w:color w:val="auto"/>
        </w:rPr>
      </w:pPr>
    </w:p>
    <w:p>
      <w:pPr>
        <w:ind w:left="200" w:right="260"/>
        <w:spacing w:after="0" w:line="271"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68"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Clinical testing is expensive, time consuming, and subject to uncertainty. To date, neither we nor our collaborators have initiated any clinical trials for any product candidates. We cannot guarantee that any clinical trials will be initiated or conducted as planned or completed on schedule, if at all. For example, recently a manufacturing batch of our product candidate 4D-110 produced at a CMO failed to meet the specifications required for use in our planned clinical trial due to an issue identified with one of the plasmids used in the manufacturing process. As a result, we delayed the initiation of our planned first-in-human trial of 4D-110 until the second half of 2020, so that we could produce the clinical-grade material required for the trial using our in-house manufacturing facility. We also cannot be sure that submission of an IND or a clinical trial application (CTA) will result in the FDA or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94" w:lineRule="exact"/>
        <w:rPr>
          <w:sz w:val="20"/>
          <w:szCs w:val="20"/>
          <w:color w:val="auto"/>
        </w:rPr>
      </w:pPr>
    </w:p>
    <w:p>
      <w:pPr>
        <w:ind w:left="960" w:right="380" w:hanging="216"/>
        <w:spacing w:after="0" w:line="26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or continuation of clinical trials;</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6"/>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or implementation of the clinical trials;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or failure in obtaining regulatory authorization to commence a trial;</w:t>
      </w:r>
    </w:p>
    <w:p>
      <w:pPr>
        <w:spacing w:after="0" w:line="117" w:lineRule="exact"/>
        <w:rPr>
          <w:rFonts w:ascii="Arial" w:cs="Arial" w:eastAsia="Arial" w:hAnsi="Arial"/>
          <w:sz w:val="18"/>
          <w:szCs w:val="18"/>
          <w:color w:val="auto"/>
        </w:rPr>
      </w:pPr>
    </w:p>
    <w:p>
      <w:pPr>
        <w:ind w:left="960" w:right="280" w:hanging="216"/>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contract research organizations (CROs) and clinical trial sites, the terms of which can be subject to extensive negotiation and may vary significantly among different CROs and clinical trial sites;</w:t>
      </w:r>
    </w:p>
    <w:p>
      <w:pPr>
        <w:spacing w:after="0" w:line="108" w:lineRule="exact"/>
        <w:rPr>
          <w:rFonts w:ascii="Arial" w:cs="Arial" w:eastAsia="Arial" w:hAnsi="Arial"/>
          <w:sz w:val="18"/>
          <w:szCs w:val="18"/>
          <w:color w:val="auto"/>
        </w:rPr>
      </w:pPr>
    </w:p>
    <w:p>
      <w:pPr>
        <w:ind w:left="960" w:hanging="216"/>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trial site;</w:t>
      </w:r>
    </w:p>
    <w:p>
      <w:pPr>
        <w:spacing w:after="0" w:line="117" w:lineRule="exact"/>
        <w:rPr>
          <w:rFonts w:ascii="Arial" w:cs="Arial" w:eastAsia="Arial" w:hAnsi="Arial"/>
          <w:sz w:val="18"/>
          <w:szCs w:val="18"/>
          <w:color w:val="auto"/>
        </w:rPr>
      </w:pPr>
    </w:p>
    <w:p>
      <w:pPr>
        <w:ind w:left="960" w:hanging="216"/>
        <w:spacing w:after="0" w:line="246"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102" w:lineRule="exact"/>
        <w:rPr>
          <w:rFonts w:ascii="Arial" w:cs="Arial" w:eastAsia="Arial" w:hAnsi="Arial"/>
          <w:sz w:val="18"/>
          <w:szCs w:val="18"/>
          <w:color w:val="auto"/>
        </w:rPr>
      </w:pPr>
    </w:p>
    <w:p>
      <w:pPr>
        <w:ind w:left="960" w:right="180" w:hanging="216"/>
        <w:spacing w:after="0" w:line="246"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102" w:lineRule="exact"/>
        <w:rPr>
          <w:rFonts w:ascii="Arial" w:cs="Arial" w:eastAsia="Arial" w:hAnsi="Arial"/>
          <w:sz w:val="18"/>
          <w:szCs w:val="18"/>
          <w:color w:val="auto"/>
        </w:rPr>
      </w:pPr>
    </w:p>
    <w:p>
      <w:pPr>
        <w:ind w:left="960" w:right="80" w:hanging="216"/>
        <w:spacing w:after="0" w:line="239"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agencies for a number of reasons, including after review of an IND or amendment, CTA or amendment, or equivalent foreign application or amendment; as a result of a new safety finding that presents unreasonable risk to clinical trial participants; or a negative finding from an inspection of our clinical trial operations or study sites;</w:t>
      </w:r>
    </w:p>
    <w:p>
      <w:pPr>
        <w:spacing w:after="0" w:line="107" w:lineRule="exact"/>
        <w:rPr>
          <w:rFonts w:ascii="Arial" w:cs="Arial" w:eastAsia="Arial" w:hAnsi="Arial"/>
          <w:sz w:val="18"/>
          <w:szCs w:val="18"/>
          <w:color w:val="auto"/>
        </w:rPr>
      </w:pPr>
    </w:p>
    <w:p>
      <w:pPr>
        <w:ind w:left="960" w:right="100" w:hanging="216"/>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w:t>
      </w:r>
    </w:p>
    <w:p>
      <w:pPr>
        <w:spacing w:after="0" w:line="108" w:lineRule="exact"/>
        <w:rPr>
          <w:rFonts w:ascii="Arial" w:cs="Arial" w:eastAsia="Arial" w:hAnsi="Arial"/>
          <w:sz w:val="18"/>
          <w:szCs w:val="18"/>
          <w:color w:val="auto"/>
        </w:rPr>
      </w:pPr>
    </w:p>
    <w:p>
      <w:pPr>
        <w:ind w:left="960" w:hanging="216"/>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caused by patients withdrawing from clinical trials or failing to return for post-treatment follow-up;</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protocols;</w:t>
      </w:r>
    </w:p>
    <w:p>
      <w:pPr>
        <w:spacing w:after="0" w:line="117" w:lineRule="exact"/>
        <w:rPr>
          <w:rFonts w:ascii="Arial" w:cs="Arial" w:eastAsia="Arial" w:hAnsi="Arial"/>
          <w:sz w:val="18"/>
          <w:szCs w:val="18"/>
          <w:color w:val="auto"/>
        </w:rPr>
      </w:pPr>
    </w:p>
    <w:p>
      <w:pPr>
        <w:ind w:left="960" w:right="120" w:hanging="216"/>
        <w:spacing w:after="0" w:line="246"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perform in accordance with the FDA’s or any other regulatory authority’s good clinical practice requirements (GCPs) or applicable regulatory guidelines in other countries;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17" w:lineRule="exact"/>
        <w:rPr>
          <w:rFonts w:ascii="Arial" w:cs="Arial" w:eastAsia="Arial" w:hAnsi="Arial"/>
          <w:sz w:val="18"/>
          <w:szCs w:val="18"/>
          <w:color w:val="auto"/>
        </w:rPr>
      </w:pPr>
    </w:p>
    <w:p>
      <w:pPr>
        <w:ind w:left="960" w:right="40" w:hanging="216"/>
        <w:spacing w:after="0" w:line="246"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102" w:lineRule="exact"/>
        <w:rPr>
          <w:rFonts w:ascii="Arial" w:cs="Arial" w:eastAsia="Arial" w:hAnsi="Arial"/>
          <w:sz w:val="18"/>
          <w:szCs w:val="18"/>
          <w:color w:val="auto"/>
        </w:rPr>
      </w:pPr>
    </w:p>
    <w:p>
      <w:pPr>
        <w:ind w:left="960" w:right="120" w:hanging="216"/>
        <w:spacing w:after="0" w:line="246"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a contract manufacturing organization (CMO) or by us, and delays or failure by our CMOs or us to make any necessary changes to such manufacturing process; and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 parties being unwilling or unable to satisfy their contractual obligations to us.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Patient enrollment, a significant factor in the timing of clinical trials, is affected by many factors including the severity and difficulty of diagnosing the disease under investigation, size of the patient population and process for identifying subjects, eligibility and exclusion criteria for the trial in question, design of the trial protocol, availability and efficacy of approved therapies or other clinical trials for the disease or condition under investigation, perceived risks and benefits of the product candidate under trial or testing, availability of genetic testing for potential patients, efforts to facilitate timely enrollment in clinical trials, patient referral practices of physicians, ability to obtain and maintain subject consent, the risk that enrolled subjects will drop out before completion of the trial, the ability to monitor patients adequately during and after treatment, and the proximity and availability of clinical trial sites for prospective patients. Furthermore, we rely on CROs and clinical trial sites to ensure the proper and timely conduct of our clinical trials, and while we have agreements governing their committed activities, we have limited influence over their actual performance.</w:t>
      </w:r>
    </w:p>
    <w:p>
      <w:pPr>
        <w:spacing w:after="0" w:line="207"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seriously harm our business.</w:t>
      </w:r>
    </w:p>
    <w:p>
      <w:pPr>
        <w:spacing w:after="0" w:line="203"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We could also encounter delays if a clinical trial is suspended or terminated by us, by the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203"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Delays in the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288" w:lineRule="exact"/>
        <w:rPr>
          <w:sz w:val="20"/>
          <w:szCs w:val="20"/>
          <w:color w:val="auto"/>
        </w:rPr>
      </w:pPr>
    </w:p>
    <w:p>
      <w:pPr>
        <w:jc w:val="both"/>
        <w:ind w:left="200" w:right="280"/>
        <w:spacing w:after="0" w:line="253" w:lineRule="auto"/>
        <w:rPr>
          <w:sz w:val="20"/>
          <w:szCs w:val="20"/>
          <w:color w:val="auto"/>
        </w:rPr>
      </w:pPr>
      <w:r>
        <w:rPr>
          <w:rFonts w:ascii="Arial" w:cs="Arial" w:eastAsia="Arial" w:hAnsi="Arial"/>
          <w:sz w:val="18"/>
          <w:szCs w:val="18"/>
          <w:b w:val="1"/>
          <w:bCs w:val="1"/>
          <w:i w:val="1"/>
          <w:iCs w:val="1"/>
          <w:color w:val="auto"/>
        </w:rPr>
        <w:t>The limited number of patients who have the diseases for which our product candidates are being studied may make it more difficult for us to enroll or complete clinical studies, or may result in findings in our clinical studies that do not reach levels of statistical significance sufficient for marketing approval.</w:t>
      </w:r>
    </w:p>
    <w:p>
      <w:pPr>
        <w:spacing w:after="0" w:line="83"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Each of the conditions for which we plan to evaluate our current product candidates is a rare genetic disease. Accordingly, there are limited patient pools from which to draw for clinical studies. In addition to the rarity of these diseases,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study. We or our collaborators may not be able to initiate or continue clinical trials on a timely basis or at all for any of our product candidates if we or our collaborators are unable to locate and enroll a sufficient number of eligible patients to participate in the trials as required by applicable regulations or as needed to provide appropriate statistical power for a given trial. Similarly, because most of the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studies from reaching statistical significance or otherwise meeting their specified endpoints, which could require us to conduct additional clinical studies, or delay or prevent our product candidates from receiving regulatory approval, which would seriously harm our business.</w:t>
      </w:r>
    </w:p>
    <w:p>
      <w:pPr>
        <w:spacing w:after="0" w:line="289" w:lineRule="exact"/>
        <w:rPr>
          <w:sz w:val="20"/>
          <w:szCs w:val="20"/>
          <w:color w:val="auto"/>
        </w:rPr>
      </w:pPr>
    </w:p>
    <w:p>
      <w:pPr>
        <w:ind w:left="200" w:right="360"/>
        <w:spacing w:after="0" w:line="271" w:lineRule="auto"/>
        <w:rPr>
          <w:sz w:val="20"/>
          <w:szCs w:val="20"/>
          <w:color w:val="auto"/>
        </w:rPr>
      </w:pPr>
      <w:r>
        <w:rPr>
          <w:rFonts w:ascii="Arial" w:cs="Arial" w:eastAsia="Arial" w:hAnsi="Arial"/>
          <w:sz w:val="18"/>
          <w:szCs w:val="18"/>
          <w:b w:val="1"/>
          <w:bCs w:val="1"/>
          <w:i w:val="1"/>
          <w:iCs w:val="1"/>
          <w:color w:val="auto"/>
        </w:rPr>
        <w:t>Research and development of biopharmaceutical products is inherently risky. We cannot give any assurance that any of our product candidates will receive regulatory approval, which is necessary before they can be commercialized.</w:t>
      </w:r>
    </w:p>
    <w:p>
      <w:pPr>
        <w:spacing w:after="0" w:line="68" w:lineRule="exact"/>
        <w:rPr>
          <w:sz w:val="20"/>
          <w:szCs w:val="20"/>
          <w:color w:val="auto"/>
        </w:rPr>
      </w:pPr>
    </w:p>
    <w:p>
      <w:pPr>
        <w:jc w:val="both"/>
        <w:ind w:left="200" w:right="120" w:firstLine="551"/>
        <w:spacing w:after="0"/>
        <w:rPr>
          <w:sz w:val="20"/>
          <w:szCs w:val="20"/>
          <w:color w:val="auto"/>
        </w:rPr>
      </w:pPr>
      <w:r>
        <w:rPr>
          <w:rFonts w:ascii="Arial" w:cs="Arial" w:eastAsia="Arial" w:hAnsi="Arial"/>
          <w:sz w:val="18"/>
          <w:szCs w:val="18"/>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108" w:lineRule="exact"/>
        <w:rPr>
          <w:sz w:val="20"/>
          <w:szCs w:val="20"/>
          <w:color w:val="auto"/>
        </w:rPr>
      </w:pPr>
    </w:p>
    <w:p>
      <w:pPr>
        <w:ind w:left="960" w:hanging="216"/>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product candidates may not successfully complete preclinical studies or clinical trials;</w:t>
      </w:r>
    </w:p>
    <w:p>
      <w:pPr>
        <w:spacing w:after="0" w:line="117" w:lineRule="exact"/>
        <w:rPr>
          <w:rFonts w:ascii="Arial" w:cs="Arial" w:eastAsia="Arial" w:hAnsi="Arial"/>
          <w:sz w:val="18"/>
          <w:szCs w:val="18"/>
          <w:color w:val="auto"/>
        </w:rPr>
      </w:pPr>
    </w:p>
    <w:p>
      <w:pPr>
        <w:ind w:left="960" w:right="100" w:hanging="216"/>
        <w:spacing w:after="0" w:line="246"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does not meet applicable regulatory criteria;</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competitors may develop therapeutics that render our product candidates obsolete or less attractive;</w:t>
      </w:r>
    </w:p>
    <w:p>
      <w:pPr>
        <w:spacing w:after="0" w:line="117" w:lineRule="exact"/>
        <w:rPr>
          <w:rFonts w:ascii="Arial" w:cs="Arial" w:eastAsia="Arial" w:hAnsi="Arial"/>
          <w:sz w:val="18"/>
          <w:szCs w:val="18"/>
          <w:color w:val="auto"/>
        </w:rPr>
      </w:pPr>
    </w:p>
    <w:p>
      <w:pPr>
        <w:ind w:left="960" w:hanging="216"/>
        <w:spacing w:after="0" w:line="246"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competitors may develop platform technologies that render our Therapeutic Vector Evolution platform technology obsolete or less attractive;</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product candidates and Therapeutic Vector Evolution platform technology that we develop may not be sufficiently covered by intellectual property for which we hold exclusive rights or may be covered by third party patents or other intellectual property or exclusive rights;</w:t>
      </w:r>
    </w:p>
    <w:p>
      <w:pPr>
        <w:spacing w:after="0" w:line="108" w:lineRule="exact"/>
        <w:rPr>
          <w:rFonts w:ascii="Arial" w:cs="Arial" w:eastAsia="Arial" w:hAnsi="Arial"/>
          <w:sz w:val="18"/>
          <w:szCs w:val="18"/>
          <w:color w:val="auto"/>
        </w:rPr>
      </w:pPr>
    </w:p>
    <w:p>
      <w:pPr>
        <w:ind w:left="960" w:right="640" w:hanging="216"/>
        <w:spacing w:after="0" w:line="246"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 or commercially attractive;</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17" w:lineRule="exact"/>
        <w:rPr>
          <w:rFonts w:ascii="Arial" w:cs="Arial" w:eastAsia="Arial" w:hAnsi="Arial"/>
          <w:sz w:val="18"/>
          <w:szCs w:val="18"/>
          <w:color w:val="auto"/>
        </w:rPr>
      </w:pPr>
    </w:p>
    <w:p>
      <w:pPr>
        <w:ind w:left="960" w:right="900" w:hanging="216"/>
        <w:spacing w:after="0" w:line="246"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 product candidate obtains regulatory approval, we may be unable to establish sales and marketing capabilities, or successfully market such approved product candidate; and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12"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If any of these events occur, we or our collaborators may be forced to abandon our development efforts for a product candidate or candidates, which would seriously harm our business. Failure of a product candidate may occur at any stage of preclinical or clinical development, and, because our product candidates and our Therapeutic Vector Evolution platform technology are in an early stage of development, there is a relatively higher risk of failure and we may never succeed in developing marketable products or generating product revenue.</w:t>
      </w:r>
    </w:p>
    <w:p>
      <w:pPr>
        <w:spacing w:after="0" w:line="203"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We may not be successful in our efforts to further develop our Therapeutic Vector Evolution platform technology and current product candidates.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the early stages of development and will require</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205"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If any of our product candidates successfully completes clinical trials, we generally plan to seek regulatory approval to market our product candidates in the United States, the European Union,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collaboration partners to conduct the required activities to support an application for regulatory approval, and to seek approval, for one or more of our product candidates. We cannot be sure that our collaborators or collaboration partners will conduct these activities successfully or do so within the timeframe we desire. Even if we (or our collaborators or collaboration partners) are successful in obtaining approval in one jurisdiction, we cannot ensure that we will obtain approval in any other jurisdictions. Failure to obtain approval for our product candidates in multiple jurisdictions, will seriously harm our business.</w:t>
      </w:r>
    </w:p>
    <w:p>
      <w:pPr>
        <w:spacing w:after="0" w:line="205" w:lineRule="exact"/>
        <w:rPr>
          <w:sz w:val="20"/>
          <w:szCs w:val="20"/>
          <w:color w:val="auto"/>
        </w:rPr>
      </w:pPr>
    </w:p>
    <w:p>
      <w:pPr>
        <w:ind w:left="200" w:right="120" w:firstLine="551"/>
        <w:spacing w:after="0" w:line="236" w:lineRule="auto"/>
        <w:rPr>
          <w:sz w:val="20"/>
          <w:szCs w:val="20"/>
          <w:color w:val="auto"/>
        </w:rPr>
      </w:pPr>
      <w:r>
        <w:rPr>
          <w:rFonts w:ascii="Arial" w:cs="Arial" w:eastAsia="Arial" w:hAnsi="Arial"/>
          <w:sz w:val="18"/>
          <w:szCs w:val="18"/>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Any approval we may obtain could be for indications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approval. In addition, regulatory authorities may withdraw their approval of a product or impose restrictions on its distribution, such as in the form of a REMS. The failure to obtain timely regulatory approval of product candidates, any product marketing limitations or a product withdrawal would seriously harm our business.</w:t>
      </w:r>
    </w:p>
    <w:p>
      <w:pPr>
        <w:spacing w:after="0" w:line="208" w:lineRule="exact"/>
        <w:rPr>
          <w:sz w:val="20"/>
          <w:szCs w:val="20"/>
          <w:color w:val="auto"/>
        </w:rPr>
      </w:pPr>
    </w:p>
    <w:p>
      <w:pPr>
        <w:ind w:left="200" w:right="260" w:firstLine="551"/>
        <w:spacing w:after="0" w:line="239" w:lineRule="auto"/>
        <w:rPr>
          <w:sz w:val="20"/>
          <w:szCs w:val="20"/>
          <w:color w:val="auto"/>
        </w:rPr>
      </w:pPr>
      <w:r>
        <w:rPr>
          <w:rFonts w:ascii="Arial" w:cs="Arial" w:eastAsia="Arial" w:hAnsi="Arial"/>
          <w:sz w:val="18"/>
          <w:szCs w:val="18"/>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288" w:lineRule="exact"/>
        <w:rPr>
          <w:sz w:val="20"/>
          <w:szCs w:val="20"/>
          <w:color w:val="auto"/>
        </w:rPr>
      </w:pPr>
    </w:p>
    <w:p>
      <w:pPr>
        <w:ind w:left="200" w:right="20"/>
        <w:spacing w:after="0" w:line="271" w:lineRule="auto"/>
        <w:rPr>
          <w:sz w:val="20"/>
          <w:szCs w:val="20"/>
          <w:color w:val="auto"/>
        </w:rPr>
      </w:pPr>
      <w:r>
        <w:rPr>
          <w:rFonts w:ascii="Arial" w:cs="Arial" w:eastAsia="Arial" w:hAnsi="Arial"/>
          <w:sz w:val="18"/>
          <w:szCs w:val="18"/>
          <w:b w:val="1"/>
          <w:bCs w:val="1"/>
          <w:i w:val="1"/>
          <w:iCs w:val="1"/>
          <w:color w:val="auto"/>
        </w:rPr>
        <w:t>Our clinical trials may fail to demonstrate substantial evidence of the safety and efficacy of our product candidates, which would prevent, delay or limit the scope of regulatory approval and commercialization.</w:t>
      </w:r>
    </w:p>
    <w:p>
      <w:pPr>
        <w:spacing w:after="0" w:line="68" w:lineRule="exact"/>
        <w:rPr>
          <w:sz w:val="20"/>
          <w:szCs w:val="20"/>
          <w:color w:val="auto"/>
        </w:rPr>
      </w:pPr>
    </w:p>
    <w:p>
      <w:pPr>
        <w:ind w:left="200" w:right="240" w:firstLine="551"/>
        <w:spacing w:after="0"/>
        <w:rPr>
          <w:sz w:val="20"/>
          <w:szCs w:val="20"/>
          <w:color w:val="auto"/>
        </w:rPr>
      </w:pPr>
      <w:r>
        <w:rPr>
          <w:rFonts w:ascii="Arial" w:cs="Arial" w:eastAsia="Arial" w:hAnsi="Arial"/>
          <w:sz w:val="18"/>
          <w:szCs w:val="18"/>
          <w:color w:val="auto"/>
        </w:rPr>
        <w:t>Before obtaining regulatory approvals for the commercial sale of any of our product candidates, we or our collaborators must demonstrate through lengthy, complex and expensive preclinical studies and clinical trials that our product candidates are both safe and effective for use in each target indication. Further, because our product candidates are subject to regulation as biological drug</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97" w:lineRule="exact"/>
        <w:rPr>
          <w:sz w:val="20"/>
          <w:szCs w:val="20"/>
          <w:color w:val="auto"/>
        </w:rPr>
      </w:pPr>
    </w:p>
    <w:p>
      <w:pPr>
        <w:ind w:left="200" w:firstLine="551"/>
        <w:spacing w:after="0" w:line="251"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96"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We have limited experience in designing clinical trials and may be unable to design and execute a clinical trial to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seriously harm our business.</w:t>
      </w:r>
    </w:p>
    <w:p>
      <w:pPr>
        <w:spacing w:after="0" w:line="20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In addition, even if such clinical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91" w:lineRule="exact"/>
        <w:rPr>
          <w:sz w:val="20"/>
          <w:szCs w:val="20"/>
          <w:color w:val="auto"/>
        </w:rPr>
      </w:pPr>
    </w:p>
    <w:p>
      <w:pPr>
        <w:jc w:val="both"/>
        <w:ind w:left="200"/>
        <w:spacing w:after="0" w:line="271" w:lineRule="auto"/>
        <w:rPr>
          <w:sz w:val="20"/>
          <w:szCs w:val="20"/>
          <w:color w:val="auto"/>
        </w:rPr>
      </w:pPr>
      <w:r>
        <w:rPr>
          <w:rFonts w:ascii="Arial" w:cs="Arial" w:eastAsia="Arial" w:hAnsi="Arial"/>
          <w:sz w:val="18"/>
          <w:szCs w:val="18"/>
          <w:b w:val="1"/>
          <w:bCs w:val="1"/>
          <w:i w:val="1"/>
          <w:iCs w:val="1"/>
          <w:color w:val="auto"/>
        </w:rPr>
        <w:t>Interim “top-line” and preliminary data from studies or trials that we announce or publish from time to time may change as more data become available and are subject to audit and verification procedures that could result in material changes in the final data.</w:t>
      </w:r>
    </w:p>
    <w:p>
      <w:pPr>
        <w:spacing w:after="0" w:line="68"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From time to time, we may publish interim “top-line” or preliminary data from preclinical studies or clinical trials. Interim data are subject to the risk that one or more of the outcomes may materially change as more data become available.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Additionally,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seriously harm our business.</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If the top-line data that we report differ from final results, or if others, including regulatory authorities, disagree with the conclusions reached, our ability to obtain approval for, and commercialize, product candidates may be harmed, which could seriously harm our business.</w:t>
      </w:r>
    </w:p>
    <w:p>
      <w:pPr>
        <w:spacing w:after="0" w:line="294" w:lineRule="exact"/>
        <w:rPr>
          <w:sz w:val="20"/>
          <w:szCs w:val="20"/>
          <w:color w:val="auto"/>
        </w:rPr>
      </w:pPr>
    </w:p>
    <w:p>
      <w:pPr>
        <w:ind w:left="200" w:right="180"/>
        <w:spacing w:after="0" w:line="253" w:lineRule="auto"/>
        <w:rPr>
          <w:sz w:val="20"/>
          <w:szCs w:val="20"/>
          <w:color w:val="auto"/>
        </w:rPr>
      </w:pPr>
      <w:r>
        <w:rPr>
          <w:rFonts w:ascii="Arial" w:cs="Arial" w:eastAsia="Arial" w:hAnsi="Arial"/>
          <w:sz w:val="18"/>
          <w:szCs w:val="18"/>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8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One of our strategies is to identify and pursue clinical development of additional product candidates through our Therapeutic Vector Evolution platform technology. Our Therapeutic Vector Evolution platform technology may not produce a pipeline of viable product candidates, or our competitors may develop platform technologies that render our Therapeutic Vector Evolution platform technology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and obtaining regulatory approval and commercializing additional product candidates will require substantial additional funding beyond the net proceeds of this offering and is prone to the risks of failure inherent in drug development. If we are unable to successfully identify, acquire, develop and commercialize additional product candidates, our commercial opportunity may be limited.</w:t>
      </w:r>
    </w:p>
    <w:p>
      <w:pPr>
        <w:spacing w:after="0" w:line="294" w:lineRule="exact"/>
        <w:rPr>
          <w:sz w:val="20"/>
          <w:szCs w:val="20"/>
          <w:color w:val="auto"/>
        </w:rPr>
      </w:pPr>
    </w:p>
    <w:p>
      <w:pPr>
        <w:ind w:left="200" w:right="400"/>
        <w:spacing w:after="0" w:line="27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68"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 major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3"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There are a number of large pharmaceutical and biotechnology companies that are currently pursuing the development of products for the treatment of the indications for which we have product candidates, including Fabry disease, Cystic Fibrosis, XLRP and Choroideremia. Certain of our competitors have commercially approved products for the treatment of the diseases that we are pursuing or may pursue in the future, including Roche, Sanofi, Takeda and Vertex. These drugs are well established therapies and are widely accepted by physicians, patients and third-party payors, which may make it difficult to convince these parties to switch to our product candidates. Companies that we are aware are developing therapeutics in the lysosomal storage diseases, lung diseases, muscular dystrophies and ophthalmological diseases areas include large companies with significant financial resources, such as Allergan, Novartis, Pfizer, Regeneron, Roche, Sanofi, Takeda and Vertex, and biopharmaceutical companies such as Avrobio, Freeline, Sangamo and Sarepta. In addition to competition from other companies targeting lysosomal storage, lung, muscular dystrophy and</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line="246" w:lineRule="auto"/>
        <w:rPr>
          <w:sz w:val="20"/>
          <w:szCs w:val="20"/>
          <w:color w:val="auto"/>
        </w:rPr>
      </w:pPr>
      <w:r>
        <w:rPr>
          <w:rFonts w:ascii="Arial" w:cs="Arial" w:eastAsia="Arial" w:hAnsi="Arial"/>
          <w:sz w:val="18"/>
          <w:szCs w:val="18"/>
          <w:color w:val="auto"/>
        </w:rPr>
        <w:t>ophthalmologic indications, any products we may develop may also face competition from other types of therapies, such as gene-editing therapies and drug delivery devices.</w:t>
      </w:r>
    </w:p>
    <w:p>
      <w:pPr>
        <w:spacing w:after="0" w:line="19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lysosomal storage, lung, muscular dystrophy and ophthalmologic indications, which could give such products significant regulatory and market timing advantages over any of our product candidates. Our competitors also may obtain FDA, EMA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w:t>
      </w:r>
    </w:p>
    <w:p>
      <w:pPr>
        <w:spacing w:after="0" w:line="288"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83"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203"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117" w:lineRule="exact"/>
        <w:rPr>
          <w:sz w:val="20"/>
          <w:szCs w:val="20"/>
          <w:color w:val="auto"/>
        </w:rPr>
      </w:pPr>
    </w:p>
    <w:p>
      <w:pPr>
        <w:ind w:left="960" w:right="80" w:hanging="216"/>
        <w:spacing w:after="0" w:line="246"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compliance, customer service, medical affairs and other support personnel;</w:t>
      </w:r>
    </w:p>
    <w:p>
      <w:pPr>
        <w:spacing w:after="0" w:line="102" w:lineRule="exact"/>
        <w:rPr>
          <w:rFonts w:ascii="Arial" w:cs="Arial" w:eastAsia="Arial" w:hAnsi="Arial"/>
          <w:sz w:val="18"/>
          <w:szCs w:val="18"/>
          <w:color w:val="auto"/>
        </w:rPr>
      </w:pPr>
    </w:p>
    <w:p>
      <w:pPr>
        <w:ind w:left="960" w:right="400" w:hanging="216"/>
        <w:spacing w:after="0" w:line="246"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approved products;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760" w:hanging="216"/>
        <w:spacing w:after="0" w:line="246"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of reimbursement professionals to negotiate arrangements for formulary access, reimbursement, and other acceptance by payors;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17" w:lineRule="exact"/>
        <w:rPr>
          <w:rFonts w:ascii="Arial" w:cs="Arial" w:eastAsia="Arial" w:hAnsi="Arial"/>
          <w:sz w:val="18"/>
          <w:szCs w:val="18"/>
          <w:color w:val="auto"/>
        </w:rPr>
      </w:pPr>
    </w:p>
    <w:p>
      <w:pPr>
        <w:ind w:left="960" w:hanging="216"/>
        <w:spacing w:after="0" w:line="246"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21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289" w:lineRule="exact"/>
        <w:rPr>
          <w:sz w:val="20"/>
          <w:szCs w:val="20"/>
          <w:color w:val="auto"/>
        </w:rPr>
      </w:pPr>
    </w:p>
    <w:p>
      <w:pPr>
        <w:ind w:left="200"/>
        <w:spacing w:after="0" w:line="302" w:lineRule="auto"/>
        <w:rPr>
          <w:sz w:val="20"/>
          <w:szCs w:val="20"/>
          <w:color w:val="auto"/>
        </w:rPr>
      </w:pPr>
      <w:r>
        <w:rPr>
          <w:rFonts w:ascii="Arial" w:cs="Arial" w:eastAsia="Arial" w:hAnsi="Arial"/>
          <w:sz w:val="17"/>
          <w:szCs w:val="17"/>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43" w:lineRule="exact"/>
        <w:rPr>
          <w:sz w:val="20"/>
          <w:szCs w:val="20"/>
          <w:color w:val="auto"/>
        </w:rPr>
      </w:pPr>
    </w:p>
    <w:p>
      <w:pPr>
        <w:ind w:left="200" w:right="220" w:firstLine="551"/>
        <w:spacing w:after="0" w:line="238" w:lineRule="auto"/>
        <w:rPr>
          <w:sz w:val="20"/>
          <w:szCs w:val="20"/>
          <w:color w:val="auto"/>
        </w:rPr>
      </w:pPr>
      <w:r>
        <w:rPr>
          <w:rFonts w:ascii="Arial" w:cs="Arial" w:eastAsia="Arial" w:hAnsi="Arial"/>
          <w:sz w:val="18"/>
          <w:szCs w:val="18"/>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108" w:lineRule="exact"/>
        <w:rPr>
          <w:sz w:val="20"/>
          <w:szCs w:val="20"/>
          <w:color w:val="auto"/>
        </w:rPr>
      </w:pPr>
    </w:p>
    <w:p>
      <w:pPr>
        <w:ind w:left="960" w:right="480" w:hanging="216"/>
        <w:spacing w:after="0" w:line="246"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pivotal clinical trials and published in peer-reviewed journals;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and perceived advantages compared to alternative treatments;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offer appropriate patient access programs, such as co-pay assistance;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sufficient third-party coverage or reimbursement;</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physicians recommend our products to their patients;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convenience and ease of dosing and administration compared to alternative treatments;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FDA, EMA or other regulatory agencies;</w:t>
      </w:r>
    </w:p>
    <w:p>
      <w:pPr>
        <w:spacing w:after="0" w:line="117" w:lineRule="exact"/>
        <w:rPr>
          <w:rFonts w:ascii="Arial" w:cs="Arial" w:eastAsia="Arial" w:hAnsi="Arial"/>
          <w:sz w:val="18"/>
          <w:szCs w:val="18"/>
          <w:color w:val="auto"/>
        </w:rPr>
      </w:pPr>
    </w:p>
    <w:p>
      <w:pPr>
        <w:ind w:left="960" w:right="280" w:hanging="216"/>
        <w:spacing w:after="0" w:line="246"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or other comparable foreign regulatory authorities, including any limitations, contraindications or warnings contained in a product’s approved labeling;</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60"/>
          </w:cols>
          <w:pgMar w:left="24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6"/>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12" w:lineRule="exact"/>
        <w:rPr>
          <w:sz w:val="20"/>
          <w:szCs w:val="20"/>
          <w:color w:val="auto"/>
        </w:rPr>
      </w:pPr>
    </w:p>
    <w:p>
      <w:pPr>
        <w:ind w:left="200" w:right="280" w:firstLine="551"/>
        <w:spacing w:after="0" w:line="246" w:lineRule="auto"/>
        <w:rPr>
          <w:sz w:val="20"/>
          <w:szCs w:val="20"/>
          <w:color w:val="auto"/>
        </w:rPr>
      </w:pPr>
      <w:r>
        <w:rPr>
          <w:rFonts w:ascii="Arial" w:cs="Arial" w:eastAsia="Arial" w:hAnsi="Arial"/>
          <w:sz w:val="18"/>
          <w:szCs w:val="18"/>
          <w:color w:val="auto"/>
        </w:rPr>
        <w:t>If any product candidates we develop do not achieve an adequate level of acceptance, we may not generate significant product revenue, and we may not become profitable.</w:t>
      </w:r>
    </w:p>
    <w:p>
      <w:pPr>
        <w:spacing w:after="0" w:line="283" w:lineRule="exact"/>
        <w:rPr>
          <w:sz w:val="20"/>
          <w:szCs w:val="20"/>
          <w:color w:val="auto"/>
        </w:rPr>
      </w:pPr>
    </w:p>
    <w:p>
      <w:pPr>
        <w:ind w:left="200" w:right="1200"/>
        <w:spacing w:after="0" w:line="27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cease commercialization of our product candidates. Even successful defense would require significant financial and management resources. Regardless of the merits or eventual outcome, liability claims may result in:</w:t>
      </w:r>
    </w:p>
    <w:p>
      <w:pPr>
        <w:spacing w:after="0" w:line="114" w:lineRule="exact"/>
        <w:rPr>
          <w:sz w:val="20"/>
          <w:szCs w:val="20"/>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or interrupted demand for our products;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12"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60"/>
          </w:cols>
          <w:pgMar w:left="24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Manufacturing</w:t>
      </w:r>
    </w:p>
    <w:p>
      <w:pPr>
        <w:spacing w:after="0" w:line="212" w:lineRule="exact"/>
        <w:rPr>
          <w:sz w:val="20"/>
          <w:szCs w:val="20"/>
          <w:color w:val="auto"/>
        </w:rPr>
      </w:pPr>
    </w:p>
    <w:p>
      <w:pPr>
        <w:jc w:val="both"/>
        <w:ind w:left="200" w:right="160"/>
        <w:spacing w:after="0" w:line="302" w:lineRule="auto"/>
        <w:rPr>
          <w:sz w:val="20"/>
          <w:szCs w:val="20"/>
          <w:color w:val="auto"/>
        </w:rPr>
      </w:pPr>
      <w:r>
        <w:rPr>
          <w:rFonts w:ascii="Arial" w:cs="Arial" w:eastAsia="Arial" w:hAnsi="Arial"/>
          <w:sz w:val="17"/>
          <w:szCs w:val="17"/>
          <w:b w:val="1"/>
          <w:bCs w:val="1"/>
          <w:i w:val="1"/>
          <w:iCs w:val="1"/>
          <w:color w:val="auto"/>
        </w:rPr>
        <w:t>Gene therapies are novel, complex and difficult to manufacture. We could experience production problems that result in delays in our development or commercialization programs, limit the supply of our products or otherwise seriously harm our business.</w:t>
      </w:r>
    </w:p>
    <w:p>
      <w:pPr>
        <w:spacing w:after="0" w:line="4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currently have a development, manufacturing and testing agreement and cooperation agreement with Paragon and Wuxi, to manufacture supplies of our product candidates in the future. Our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which could delay or prevent the initiation of clinical trials or receipt of regulatory approvals. We may encounter problems achieving adequate quantities and quality of clinical-grade materials that meet FDA, or other comparable applicable foreign standards or specifications with consistent and acceptable production yields and costs. For example, recently a manufacturing batch of our product candidate 4D-110 produced at a CMO failed to meet the specifications required for use in our planned clinical trial due to an issue identified with one of the plasmids used in the manufacturing process. As a result, we delayed the initiation of our planned first-in-human trial of 4D-110 until the second half of 2020, so that we could produce the clinical-grade material required for the trial using our in-house manufacturing facility.</w:t>
      </w:r>
    </w:p>
    <w:p>
      <w:pPr>
        <w:spacing w:after="0" w:line="203" w:lineRule="exact"/>
        <w:rPr>
          <w:sz w:val="20"/>
          <w:szCs w:val="20"/>
          <w:color w:val="auto"/>
        </w:rPr>
      </w:pPr>
    </w:p>
    <w:p>
      <w:pPr>
        <w:ind w:left="200" w:right="180" w:firstLine="551"/>
        <w:spacing w:after="0" w:line="237" w:lineRule="auto"/>
        <w:rPr>
          <w:sz w:val="20"/>
          <w:szCs w:val="20"/>
          <w:color w:val="auto"/>
        </w:rPr>
      </w:pPr>
      <w:r>
        <w:rPr>
          <w:rFonts w:ascii="Arial" w:cs="Arial" w:eastAsia="Arial" w:hAnsi="Arial"/>
          <w:sz w:val="18"/>
          <w:szCs w:val="18"/>
          <w:color w:val="auto"/>
        </w:rPr>
        <w:t>In addition, FDA and other comparable foreign regulatory authorities may require us to submit samples of any lot of any approved product together with the protocols showing the results of applicable tests at any time. Under some circumstances, the FDA or other comparable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seriously harm our business.</w:t>
      </w:r>
    </w:p>
    <w:p>
      <w:pPr>
        <w:spacing w:after="0" w:line="205" w:lineRule="exact"/>
        <w:rPr>
          <w:sz w:val="20"/>
          <w:szCs w:val="20"/>
          <w:color w:val="auto"/>
        </w:rPr>
      </w:pPr>
    </w:p>
    <w:p>
      <w:pPr>
        <w:ind w:left="200" w:right="200" w:firstLine="551"/>
        <w:spacing w:after="0"/>
        <w:rPr>
          <w:sz w:val="20"/>
          <w:szCs w:val="20"/>
          <w:color w:val="auto"/>
        </w:rPr>
      </w:pPr>
      <w:r>
        <w:rPr>
          <w:rFonts w:ascii="Arial" w:cs="Arial" w:eastAsia="Arial" w:hAnsi="Arial"/>
          <w:sz w:val="18"/>
          <w:szCs w:val="18"/>
          <w:color w:val="auto"/>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203"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Any problems in our manufacturing process or the facilities with which we contract could make us a less attractive collaborator for potential partners, including larger pharmaceutical companies, which could limit our access to additional attractive development programs. Problems in third-party manufacturing process or facilities also could restrict our ability to meet market demand for our products. Additionally, should our agreements with Paragon or WuXi or agreements with other parties with whom we have manufacturing agreements be terminated for any reason, there are a limited number of manufacturers who would be suitable replacements, and it would take a significant amount of time to transition the manufacturing to a replacement.</w:t>
      </w:r>
    </w:p>
    <w:p>
      <w:pPr>
        <w:spacing w:after="0" w:line="291" w:lineRule="exact"/>
        <w:rPr>
          <w:sz w:val="20"/>
          <w:szCs w:val="20"/>
          <w:color w:val="auto"/>
        </w:rPr>
      </w:pPr>
    </w:p>
    <w:p>
      <w:pPr>
        <w:ind w:left="200" w:right="40"/>
        <w:spacing w:after="0" w:line="271" w:lineRule="auto"/>
        <w:rPr>
          <w:sz w:val="20"/>
          <w:szCs w:val="20"/>
          <w:color w:val="auto"/>
        </w:rPr>
      </w:pPr>
      <w:r>
        <w:rPr>
          <w:rFonts w:ascii="Arial" w:cs="Arial" w:eastAsia="Arial" w:hAnsi="Arial"/>
          <w:sz w:val="18"/>
          <w:szCs w:val="18"/>
          <w:b w:val="1"/>
          <w:bCs w:val="1"/>
          <w:i w:val="1"/>
          <w:iCs w:val="1"/>
          <w:color w:val="auto"/>
        </w:rPr>
        <w:t>Delays in obtaining regulatory approval of our manufacturing process or disruptions in our manufacturing process may delay or disrupt our commercialization efforts.</w:t>
      </w:r>
    </w:p>
    <w:p>
      <w:pPr>
        <w:spacing w:after="0" w:line="68" w:lineRule="exact"/>
        <w:rPr>
          <w:sz w:val="20"/>
          <w:szCs w:val="20"/>
          <w:color w:val="auto"/>
        </w:rPr>
      </w:pPr>
    </w:p>
    <w:p>
      <w:pPr>
        <w:ind w:left="200" w:right="640" w:firstLine="551"/>
        <w:spacing w:after="0" w:line="246" w:lineRule="auto"/>
        <w:rPr>
          <w:sz w:val="20"/>
          <w:szCs w:val="20"/>
          <w:color w:val="auto"/>
        </w:rPr>
      </w:pPr>
      <w:r>
        <w:rPr>
          <w:rFonts w:ascii="Arial" w:cs="Arial" w:eastAsia="Arial" w:hAnsi="Arial"/>
          <w:sz w:val="18"/>
          <w:szCs w:val="18"/>
          <w:color w:val="auto"/>
        </w:rPr>
        <w:t>Before we can begin to commercially manufacture our product candidates in third-party or our own facilities, we must obtain regulatory approval from the FDA to market our product using the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manufacturing process and facility we proposed in our marketing application. In addition, we must pass a pre-approval inspection of our manufacturing facility by the FDA before any of our product candidates can obtain marketing approval, if ever. In order to obtain approval of a BLA for our product candidates, we will need to ensure that all of our manufacturing processes, methods and equipment are compliant with current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293" w:lineRule="exact"/>
        <w:rPr>
          <w:sz w:val="20"/>
          <w:szCs w:val="20"/>
          <w:color w:val="auto"/>
        </w:rPr>
      </w:pPr>
    </w:p>
    <w:p>
      <w:pPr>
        <w:ind w:left="200" w:right="120"/>
        <w:spacing w:after="0" w:line="302" w:lineRule="auto"/>
        <w:rPr>
          <w:sz w:val="20"/>
          <w:szCs w:val="20"/>
          <w:color w:val="auto"/>
        </w:rPr>
      </w:pPr>
      <w:r>
        <w:rPr>
          <w:rFonts w:ascii="Arial" w:cs="Arial" w:eastAsia="Arial" w:hAnsi="Arial"/>
          <w:sz w:val="17"/>
          <w:szCs w:val="17"/>
          <w:b w:val="1"/>
          <w:bCs w:val="1"/>
          <w:i w:val="1"/>
          <w:iCs w:val="1"/>
          <w:color w:val="auto"/>
        </w:rPr>
        <w:t>Delays in developing our manufacturing capabilities or failure to achieve operating efficiencies from it may require us to devote additional resources and management time to manufacturing operations and may delay our product development timelines.</w:t>
      </w:r>
    </w:p>
    <w:p>
      <w:pPr>
        <w:spacing w:after="0" w:line="4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have a small operational manufacturing facility that we are using to manufacture clinical trial material. In addition, we have leased approximately 17,000 square feet of space for our second manufacturing facility in Emeryville, California, at which we plan to devote manufacturing activities for our clinical studies. We may face delays in the production of clinical supply at our manufacturing facility. and cannot guarantee when our facility will be able to produce sufficient quantities of product candidates needed to initiate our planned clinical studies. Any delays in developing our internal manufacturing capabilities may disrupt or delay the supply of our product candidates if we have not maintained a sufficient back-up supply of such product candidates through third-party manufacturers. Moreover, changing manufacturing facilities during the clinical development process may also require that we or our collaborators conduct additional studies, make notifications to regulatory authorities, make additional filings to regulatory authorities, and obtain regulatory authority approval for the new facilities, which may be delayed or which we may never receive. We will further need to comply with the FDA’s and applicable foreign regulatory authorities’ cGMP requirements for the production of product candidates for clinical trials and, if approved, commercial supply, and will be subject to FDA and comparable foreign regulatory authority inspection. These requirements include the qualification and validation of our manufacturing equipment and processes. We may not be able to develop or acquire the internal expertise and resources necessary for compliance with these requirements.</w:t>
      </w:r>
    </w:p>
    <w:p>
      <w:pPr>
        <w:spacing w:after="0" w:line="204"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In order to develop internal manufacturing expertise, we may be forced to devote greater resources and management time than anticipated, particularly in areas relating to operations, quality, regulatory, facilities and information technology. We also may encounter problems hiring and retaining the experienced scientific, quality control and manufacturing personnel needed to operate our manufacturing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 or result in difficulties in maintaining compliance with applicable regulatory requirements. Any such problems could result in the delay, prevention or impairment of clinical development and commercialization of our product candidates and would seriously harm our business.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400"/>
        <w:spacing w:after="0" w:line="271"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product manufacturing for certain of our product candidates, and these third parties may not perform satisfactorily.</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Although we are in process of expanding internal manufacturing capabilities, we currently rely, and expect to continue to rely, on third parties for the production of some of our preclinical study and planned clinical trial materials and, therefore, we can control only certain aspects of their activities. The facilities used by us and our contract manufacturers to manufacture certain of our product candidates must be reviewed by the FDA pursuant to inspections that will be conducted after we submit our BLA to the FDA. We do not control the manufacturing process of, and are completely dependent on, our contract manufacturing partners for compliance with the cGMPs for manufacture of our products. If we or our contract manufacturers cannot successfully manufacture material that conforms to our specifications and the strict regulatory requirements of the FDA or others, we will not be able to obtain and/or maintain regulatory approval for our products as manufactured at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205" w:lineRule="exact"/>
        <w:rPr>
          <w:sz w:val="20"/>
          <w:szCs w:val="20"/>
          <w:color w:val="auto"/>
        </w:rPr>
      </w:pPr>
    </w:p>
    <w:p>
      <w:pPr>
        <w:jc w:val="both"/>
        <w:ind w:left="200" w:right="240" w:firstLine="551"/>
        <w:spacing w:after="0"/>
        <w:rPr>
          <w:sz w:val="20"/>
          <w:szCs w:val="20"/>
          <w:color w:val="auto"/>
        </w:rPr>
      </w:pPr>
      <w:r>
        <w:rPr>
          <w:rFonts w:ascii="Arial" w:cs="Arial" w:eastAsia="Arial" w:hAnsi="Arial"/>
          <w:sz w:val="18"/>
          <w:szCs w:val="18"/>
          <w:color w:val="auto"/>
        </w:rPr>
        <w:t>In addition, we rely on additional third parties to manufacture plasmids used in the manufacture of our product candidates and to perform quality testing, and reliance on these third parties entails risks to which we would not be subject if we manufactured the product candidates ourselves, including:</w:t>
      </w:r>
    </w:p>
    <w:p>
      <w:pPr>
        <w:spacing w:after="0" w:line="108" w:lineRule="exact"/>
        <w:rPr>
          <w:sz w:val="20"/>
          <w:szCs w:val="20"/>
          <w:color w:val="auto"/>
        </w:rPr>
      </w:pPr>
    </w:p>
    <w:p>
      <w:pPr>
        <w:ind w:left="960" w:hanging="216"/>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control for certain aspects of manufacturing activities;</w:t>
      </w:r>
    </w:p>
    <w:p>
      <w:pPr>
        <w:spacing w:after="0" w:line="117" w:lineRule="exact"/>
        <w:rPr>
          <w:rFonts w:ascii="Arial" w:cs="Arial" w:eastAsia="Arial" w:hAnsi="Arial"/>
          <w:sz w:val="18"/>
          <w:szCs w:val="18"/>
          <w:color w:val="auto"/>
        </w:rPr>
      </w:pPr>
    </w:p>
    <w:p>
      <w:pPr>
        <w:ind w:left="960" w:right="260" w:hanging="216"/>
        <w:spacing w:after="0" w:line="246"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termination or nonrenewal of manufacturing and service agreements with third parties in a manner or at a time that is costly or damaging to us; and</w:t>
      </w:r>
    </w:p>
    <w:p>
      <w:pPr>
        <w:spacing w:after="0" w:line="102" w:lineRule="exact"/>
        <w:rPr>
          <w:rFonts w:ascii="Arial" w:cs="Arial" w:eastAsia="Arial" w:hAnsi="Arial"/>
          <w:sz w:val="18"/>
          <w:szCs w:val="18"/>
          <w:color w:val="auto"/>
        </w:rPr>
      </w:pPr>
    </w:p>
    <w:p>
      <w:pPr>
        <w:ind w:left="960" w:right="620" w:hanging="216"/>
        <w:spacing w:after="0" w:line="246"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and service providers caused by conditions unrelated to our business or operations, including the bankruptcy of the manufacturer or service provider.</w:t>
      </w:r>
    </w:p>
    <w:p>
      <w:pPr>
        <w:spacing w:after="0" w:line="197"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future product candidates. Some of these events could be the basis for FDA or European Union Member State regulatory authority action, including injunction, recall, seizure or total or partial suspension of product manufacture.</w:t>
      </w:r>
    </w:p>
    <w:p>
      <w:pPr>
        <w:spacing w:after="0" w:line="289" w:lineRule="exact"/>
        <w:rPr>
          <w:sz w:val="20"/>
          <w:szCs w:val="20"/>
          <w:color w:val="auto"/>
        </w:rPr>
      </w:pPr>
    </w:p>
    <w:p>
      <w:pPr>
        <w:ind w:left="200" w:right="120"/>
        <w:spacing w:after="0" w:line="302" w:lineRule="auto"/>
        <w:rPr>
          <w:sz w:val="20"/>
          <w:szCs w:val="20"/>
          <w:color w:val="auto"/>
        </w:rPr>
      </w:pPr>
      <w:r>
        <w:rPr>
          <w:rFonts w:ascii="Arial" w:cs="Arial" w:eastAsia="Arial" w:hAnsi="Arial"/>
          <w:sz w:val="17"/>
          <w:szCs w:val="17"/>
          <w:b w:val="1"/>
          <w:bCs w:val="1"/>
          <w:i w:val="1"/>
          <w:iCs w:val="1"/>
          <w:color w:val="auto"/>
        </w:rPr>
        <w:t>Any contamination in our manufacturing process, shortages of raw materials or failure of any of our key suppliers to deliver necessary components could result in delays in our research studies, preclinical, clinical development or marketing schedules.</w:t>
      </w:r>
    </w:p>
    <w:p>
      <w:pPr>
        <w:spacing w:after="0" w:line="43" w:lineRule="exact"/>
        <w:rPr>
          <w:sz w:val="20"/>
          <w:szCs w:val="20"/>
          <w:color w:val="auto"/>
        </w:rPr>
      </w:pPr>
    </w:p>
    <w:p>
      <w:pPr>
        <w:ind w:left="200" w:right="320" w:firstLine="551"/>
        <w:spacing w:after="0"/>
        <w:rPr>
          <w:sz w:val="20"/>
          <w:szCs w:val="20"/>
          <w:color w:val="auto"/>
        </w:rPr>
      </w:pPr>
      <w:r>
        <w:rPr>
          <w:rFonts w:ascii="Arial" w:cs="Arial" w:eastAsia="Arial" w:hAnsi="Arial"/>
          <w:sz w:val="18"/>
          <w:szCs w:val="18"/>
          <w:color w:val="auto"/>
        </w:rPr>
        <w:t>Given the nature of biologics manufacturing, there is a risk of contamination during manufacturing. Any contamination could materially harm our ability to produce product candidates on schedule and could harm our results of operations and cause reputational damage.</w:t>
      </w:r>
    </w:p>
    <w:p>
      <w:pPr>
        <w:spacing w:after="0" w:line="203" w:lineRule="exact"/>
        <w:rPr>
          <w:sz w:val="20"/>
          <w:szCs w:val="20"/>
          <w:color w:val="auto"/>
        </w:rPr>
      </w:pPr>
    </w:p>
    <w:p>
      <w:pPr>
        <w:jc w:val="both"/>
        <w:ind w:left="200" w:right="120" w:firstLine="551"/>
        <w:spacing w:after="0" w:line="239" w:lineRule="auto"/>
        <w:rPr>
          <w:sz w:val="20"/>
          <w:szCs w:val="20"/>
          <w:color w:val="auto"/>
        </w:rPr>
      </w:pPr>
      <w:r>
        <w:rPr>
          <w:rFonts w:ascii="Arial" w:cs="Arial" w:eastAsia="Arial" w:hAnsi="Arial"/>
          <w:sz w:val="18"/>
          <w:szCs w:val="18"/>
          <w:color w:val="auto"/>
        </w:rPr>
        <w:t>Some of the raw materials required in our manufacturing process, such as plasmids,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seriously harm our business.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40"/>
        <w:spacing w:after="0" w:line="271" w:lineRule="auto"/>
        <w:rPr>
          <w:sz w:val="20"/>
          <w:szCs w:val="20"/>
          <w:color w:val="auto"/>
        </w:rPr>
      </w:pPr>
      <w:r>
        <w:rPr>
          <w:rFonts w:ascii="Arial" w:cs="Arial" w:eastAsia="Arial" w:hAnsi="Arial"/>
          <w:sz w:val="18"/>
          <w:szCs w:val="18"/>
          <w:b w:val="1"/>
          <w:bCs w:val="1"/>
          <w:i w:val="1"/>
          <w:iCs w:val="1"/>
          <w:color w:val="auto"/>
        </w:rPr>
        <w:t>We depend on third-party suppliers for key raw materials used in our manufacturing processes, and the loss of these third-party suppliers or their inability to supply us with adequate raw materials could harm our business.</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rely on third-party suppliers for the raw materials required for the production of our product candidates.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interruption in supply of raw materials could materially harm our ability to manufacture our product candidates until a new source of supply, if any, could be identified and qualified. We may be unable to find a sufficient alternative supplier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212" w:lineRule="exact"/>
        <w:rPr>
          <w:sz w:val="20"/>
          <w:szCs w:val="20"/>
          <w:color w:val="auto"/>
        </w:rPr>
      </w:pPr>
    </w:p>
    <w:p>
      <w:pPr>
        <w:jc w:val="both"/>
        <w:ind w:left="200" w:right="14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EMA and comparable foreign regulatory authorities are lengthy, expensive, time consuming, and inherently unpredictable. If we are ultimately unable to obtain regulatory approval for our product candidates, we will be unable to generate product revenue and our business will be seriously harmed.</w:t>
      </w:r>
    </w:p>
    <w:p>
      <w:pPr>
        <w:spacing w:after="0" w:line="83"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We and any collaborators are not permitted to commercialize, market, promote or sell any product candidate in the United States without obtaining marketing approval from the FDA. Foreign regulatory authorities impose similar requirements. 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We and any collaborators must complete additional preclinical or nonclinical studies and clinical trials to demonstrate the safety and efficacy of our product candidates in humans to the satisfaction of the regulatory authorities before we will be able to obtain these approvals, and it is possible that none of our existing product candidates or any product candidates we may seek to develop in the future will ever obtain regulatory approval.</w:t>
      </w:r>
    </w:p>
    <w:p>
      <w:pPr>
        <w:spacing w:after="0" w:line="205" w:lineRule="exact"/>
        <w:rPr>
          <w:sz w:val="20"/>
          <w:szCs w:val="20"/>
          <w:color w:val="auto"/>
        </w:rPr>
      </w:pPr>
    </w:p>
    <w:p>
      <w:pPr>
        <w:ind w:left="200" w:right="240" w:firstLine="551"/>
        <w:spacing w:after="0" w:line="246" w:lineRule="auto"/>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02" w:lineRule="exact"/>
        <w:rPr>
          <w:sz w:val="20"/>
          <w:szCs w:val="20"/>
          <w:color w:val="auto"/>
        </w:rPr>
      </w:pPr>
    </w:p>
    <w:p>
      <w:pPr>
        <w:ind w:left="960" w:right="540" w:hanging="216"/>
        <w:spacing w:after="0" w:line="246"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implementation or results of our or our collaborators’ clinical trials;</w:t>
      </w:r>
    </w:p>
    <w:p>
      <w:pPr>
        <w:spacing w:after="0" w:line="102" w:lineRule="exact"/>
        <w:rPr>
          <w:rFonts w:ascii="Arial" w:cs="Arial" w:eastAsia="Arial" w:hAnsi="Arial"/>
          <w:sz w:val="18"/>
          <w:szCs w:val="18"/>
          <w:color w:val="auto"/>
        </w:rPr>
      </w:pPr>
    </w:p>
    <w:p>
      <w:pPr>
        <w:jc w:val="both"/>
        <w:ind w:left="960" w:right="80" w:hanging="216"/>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108" w:lineRule="exact"/>
        <w:rPr>
          <w:rFonts w:ascii="Arial" w:cs="Arial" w:eastAsia="Arial" w:hAnsi="Arial"/>
          <w:sz w:val="18"/>
          <w:szCs w:val="18"/>
          <w:color w:val="auto"/>
        </w:rPr>
      </w:pPr>
    </w:p>
    <w:p>
      <w:pPr>
        <w:ind w:left="960" w:right="140" w:hanging="216"/>
        <w:spacing w:after="0" w:line="246"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280" w:hanging="216"/>
        <w:spacing w:after="0" w:line="246"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to the FDA, or comparable foreign regulatory authorities that a product candidate’s clinical and other benefits outweigh its safety risks;</w:t>
      </w:r>
    </w:p>
    <w:p>
      <w:pPr>
        <w:spacing w:after="0" w:line="102" w:lineRule="exact"/>
        <w:rPr>
          <w:rFonts w:ascii="Arial" w:cs="Arial" w:eastAsia="Arial" w:hAnsi="Arial"/>
          <w:sz w:val="18"/>
          <w:szCs w:val="18"/>
          <w:color w:val="auto"/>
        </w:rPr>
      </w:pPr>
    </w:p>
    <w:p>
      <w:pPr>
        <w:ind w:left="960" w:right="480" w:hanging="216"/>
        <w:spacing w:after="0" w:line="246"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or our collaborators’ interpretation of data from preclinical studies or clinical trials;</w:t>
      </w:r>
    </w:p>
    <w:p>
      <w:pPr>
        <w:spacing w:after="0" w:line="102" w:lineRule="exact"/>
        <w:rPr>
          <w:rFonts w:ascii="Arial" w:cs="Arial" w:eastAsia="Arial" w:hAnsi="Arial"/>
          <w:sz w:val="18"/>
          <w:szCs w:val="18"/>
          <w:color w:val="auto"/>
        </w:rPr>
      </w:pPr>
    </w:p>
    <w:p>
      <w:pPr>
        <w:ind w:left="960" w:right="120" w:hanging="216"/>
        <w:spacing w:after="0" w:line="246"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regulatory approval in the United States or elsewhere;</w:t>
      </w:r>
    </w:p>
    <w:p>
      <w:pPr>
        <w:spacing w:after="0" w:line="102" w:lineRule="exact"/>
        <w:rPr>
          <w:rFonts w:ascii="Arial" w:cs="Arial" w:eastAsia="Arial" w:hAnsi="Arial"/>
          <w:sz w:val="18"/>
          <w:szCs w:val="18"/>
          <w:color w:val="auto"/>
        </w:rPr>
      </w:pPr>
    </w:p>
    <w:p>
      <w:pPr>
        <w:ind w:left="960" w:right="420" w:hanging="216"/>
        <w:spacing w:after="0" w:line="246"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with which we contract for clinical and commercial supplies; and</w:t>
      </w:r>
    </w:p>
    <w:p>
      <w:pPr>
        <w:spacing w:after="0" w:line="102" w:lineRule="exact"/>
        <w:rPr>
          <w:rFonts w:ascii="Arial" w:cs="Arial" w:eastAsia="Arial" w:hAnsi="Arial"/>
          <w:sz w:val="18"/>
          <w:szCs w:val="18"/>
          <w:color w:val="auto"/>
        </w:rPr>
      </w:pPr>
    </w:p>
    <w:p>
      <w:pPr>
        <w:ind w:left="960" w:hanging="216"/>
        <w:spacing w:after="0" w:line="246"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or our collaborators’ clinical data insufficient for approval.</w:t>
      </w:r>
    </w:p>
    <w:p>
      <w:pPr>
        <w:spacing w:after="0" w:line="197" w:lineRule="exact"/>
        <w:rPr>
          <w:sz w:val="20"/>
          <w:szCs w:val="20"/>
          <w:color w:val="auto"/>
        </w:rPr>
      </w:pPr>
    </w:p>
    <w:p>
      <w:pPr>
        <w:ind w:left="200" w:right="620" w:firstLine="551"/>
        <w:spacing w:after="0" w:line="246"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seriously harm our business.</w:t>
      </w:r>
    </w:p>
    <w:p>
      <w:pPr>
        <w:spacing w:after="0" w:line="197" w:lineRule="exact"/>
        <w:rPr>
          <w:sz w:val="20"/>
          <w:szCs w:val="20"/>
          <w:color w:val="auto"/>
        </w:rPr>
      </w:pPr>
    </w:p>
    <w:p>
      <w:pPr>
        <w:ind w:left="200" w:right="280" w:firstLine="551"/>
        <w:spacing w:after="0" w:line="237" w:lineRule="auto"/>
        <w:rPr>
          <w:sz w:val="20"/>
          <w:szCs w:val="20"/>
          <w:color w:val="auto"/>
        </w:rPr>
      </w:pPr>
      <w:r>
        <w:rPr>
          <w:rFonts w:ascii="Arial" w:cs="Arial" w:eastAsia="Arial" w:hAnsi="Arial"/>
          <w:sz w:val="18"/>
          <w:szCs w:val="18"/>
          <w:color w:val="auto"/>
        </w:rPr>
        <w:t>In addition, even if we or our collaborators were to obtain approval, regulatory authorities may approve any of our product candidates for fewer or more limited indications than we request, may impose significant limitations in the form of narrow indications, warnings, or a REMS. Regulatory authorities may not approve the price we or our collaborators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291" w:lineRule="exact"/>
        <w:rPr>
          <w:sz w:val="20"/>
          <w:szCs w:val="20"/>
          <w:color w:val="auto"/>
        </w:rPr>
      </w:pPr>
    </w:p>
    <w:p>
      <w:pPr>
        <w:ind w:left="200" w:right="900"/>
        <w:spacing w:after="0" w:line="271" w:lineRule="auto"/>
        <w:rPr>
          <w:sz w:val="20"/>
          <w:szCs w:val="20"/>
          <w:color w:val="auto"/>
        </w:rPr>
      </w:pPr>
      <w:r>
        <w:rPr>
          <w:rFonts w:ascii="Arial" w:cs="Arial" w:eastAsia="Arial" w:hAnsi="Arial"/>
          <w:sz w:val="18"/>
          <w:szCs w:val="18"/>
          <w:b w:val="1"/>
          <w:bCs w:val="1"/>
          <w:i w:val="1"/>
          <w:iCs w:val="1"/>
          <w:color w:val="auto"/>
        </w:rPr>
        <w:t>Even if we or our collaborators obtain regulatory approval for a product candidate, our products will remain subject to regulatory scrutiny.</w:t>
      </w:r>
    </w:p>
    <w:p>
      <w:pPr>
        <w:spacing w:after="0" w:line="68" w:lineRule="exact"/>
        <w:rPr>
          <w:sz w:val="20"/>
          <w:szCs w:val="20"/>
          <w:color w:val="auto"/>
        </w:rPr>
      </w:pPr>
    </w:p>
    <w:p>
      <w:pPr>
        <w:jc w:val="both"/>
        <w:ind w:left="200" w:right="500" w:firstLine="551"/>
        <w:spacing w:after="0" w:line="239" w:lineRule="auto"/>
        <w:rPr>
          <w:sz w:val="20"/>
          <w:szCs w:val="20"/>
          <w:color w:val="auto"/>
        </w:rPr>
      </w:pPr>
      <w:r>
        <w:rPr>
          <w:rFonts w:ascii="Arial" w:cs="Arial" w:eastAsia="Arial" w:hAnsi="Arial"/>
          <w:sz w:val="18"/>
          <w:szCs w:val="18"/>
          <w:color w:val="auto"/>
        </w:rPr>
        <w:t>If one of our product candidates is approved, it will be subject to ongoing regulatory requirements for manufacturing, labeling, packaging, storage, advertising, promotion, sampling, record-keeping, conduct of post-marketing studies, and submission of safety, efficacy, and other post- market information, including both federal and state requirements in the United States and requirements of comparable foreign regulatory authorities.</w:t>
      </w:r>
    </w:p>
    <w:p>
      <w:pPr>
        <w:spacing w:after="0" w:line="202"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approved marketing application. Accordingly, we and others with whom we work must continue to expend time, money and effort in all areas of regulatory compliance, including manufacturing, production, and quality control.</w:t>
      </w:r>
    </w:p>
    <w:p>
      <w:pPr>
        <w:spacing w:after="0" w:line="203"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We will have to comply with requirements concerning advertising and promotion for our products. Promotional communications with respect to prescription drugs and biologics are subject to a variety of legal and regulatory restrictions and must be consistent with the information in the product’s approved label. As such, we may not promote our products “off-label” for indications or uses for which they do not have approval, though we may share truthful and not misleading information that is otherwise</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consistent with our product’s FDA approved labeling. The holder of an approved application must submit new or supplemental applications and obtain approval for certain changes to the approved product, product labeling, or manufacturing process. We could also be asked to conduct post-marketing clinical studies to verify the safety and efficacy of our products in general or in specific patient subsets. An unsuccessful post-marketing study or failure to complete such a study could result in the withdrawal of marketing approval or label restrictions.</w:t>
      </w:r>
    </w:p>
    <w:p>
      <w:pPr>
        <w:spacing w:after="0" w:line="203"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108" w:lineRule="exact"/>
        <w:rPr>
          <w:sz w:val="20"/>
          <w:szCs w:val="20"/>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suspend any of our clinical studies;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12" w:lineRule="exact"/>
        <w:rPr>
          <w:sz w:val="20"/>
          <w:szCs w:val="20"/>
          <w:color w:val="auto"/>
        </w:rPr>
      </w:pPr>
    </w:p>
    <w:p>
      <w:pPr>
        <w:ind w:left="200" w:right="300" w:firstLine="551"/>
        <w:spacing w:after="0" w:line="23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adversely affect our ability to commercialize and generate revenue from our products. If regulatory sanctions are applied or if regulatory approval is withdrawn, our business will be seriously harmed.</w:t>
      </w:r>
    </w:p>
    <w:p>
      <w:pPr>
        <w:spacing w:after="0" w:line="202"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Moreover,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1" w:lineRule="exact"/>
        <w:rPr>
          <w:sz w:val="20"/>
          <w:szCs w:val="20"/>
          <w:color w:val="auto"/>
        </w:rPr>
      </w:pPr>
    </w:p>
    <w:p>
      <w:pPr>
        <w:jc w:val="both"/>
        <w:ind w:left="200" w:right="180"/>
        <w:spacing w:after="0" w:line="253" w:lineRule="auto"/>
        <w:rPr>
          <w:sz w:val="20"/>
          <w:szCs w:val="20"/>
          <w:color w:val="auto"/>
        </w:rPr>
      </w:pPr>
      <w:r>
        <w:rPr>
          <w:rFonts w:ascii="Arial" w:cs="Arial" w:eastAsia="Arial" w:hAnsi="Arial"/>
          <w:sz w:val="18"/>
          <w:szCs w:val="18"/>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83" w:lineRule="exact"/>
        <w:rPr>
          <w:sz w:val="20"/>
          <w:szCs w:val="20"/>
          <w:color w:val="auto"/>
        </w:rPr>
      </w:pPr>
    </w:p>
    <w:p>
      <w:pPr>
        <w:ind w:left="200" w:right="320" w:firstLine="551"/>
        <w:spacing w:after="0" w:line="238"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203" w:lineRule="exact"/>
        <w:rPr>
          <w:sz w:val="20"/>
          <w:szCs w:val="20"/>
          <w:color w:val="auto"/>
        </w:rPr>
      </w:pPr>
    </w:p>
    <w:p>
      <w:pPr>
        <w:ind w:left="200" w:right="20" w:firstLine="551"/>
        <w:spacing w:after="0" w:line="246" w:lineRule="auto"/>
        <w:rPr>
          <w:sz w:val="20"/>
          <w:szCs w:val="20"/>
          <w:color w:val="auto"/>
        </w:rPr>
      </w:pPr>
      <w:r>
        <w:rPr>
          <w:rFonts w:ascii="Arial" w:cs="Arial" w:eastAsia="Arial" w:hAnsi="Arial"/>
          <w:sz w:val="18"/>
          <w:szCs w:val="18"/>
          <w:color w:val="auto"/>
        </w:rPr>
        <w:t>Disruptions at the FDA and other agencies may also increase the time necessary for new drugs to be reviewed and/or approved by necessary government agencies, which would seriously harm our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seriously harm our business.</w:t>
      </w:r>
    </w:p>
    <w:p>
      <w:pPr>
        <w:spacing w:after="0" w:line="288" w:lineRule="exact"/>
        <w:rPr>
          <w:sz w:val="20"/>
          <w:szCs w:val="20"/>
          <w:color w:val="auto"/>
        </w:rPr>
      </w:pPr>
    </w:p>
    <w:p>
      <w:pPr>
        <w:ind w:left="200" w:right="100"/>
        <w:spacing w:after="0" w:line="275" w:lineRule="auto"/>
        <w:rPr>
          <w:sz w:val="20"/>
          <w:szCs w:val="20"/>
          <w:color w:val="auto"/>
        </w:rPr>
      </w:pPr>
      <w:r>
        <w:rPr>
          <w:rFonts w:ascii="Arial" w:cs="Arial" w:eastAsia="Arial" w:hAnsi="Arial"/>
          <w:sz w:val="17"/>
          <w:szCs w:val="17"/>
          <w:b w:val="1"/>
          <w:bCs w:val="1"/>
          <w:i w:val="1"/>
          <w:iCs w:val="1"/>
          <w:color w:val="auto"/>
        </w:rPr>
        <w:t>We have received orphan drug designation for 4D-110 for the treatment of Choroideremia, and we may seek orphan drug designation for certain future product candidates, but we may be unable to obtain such designations or to maintain the benefits associated with orphan drug designation, including market exclusivity, which may cause our revenue, if any, to be reduced.</w:t>
      </w:r>
    </w:p>
    <w:p>
      <w:pPr>
        <w:spacing w:after="0" w:line="6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have received orphan drug designation in the United States for 4D-110 for the treatment of choroideremia. Although we may seek orphan product designation for some or all of our other product candidates, we may never receive such designations. Under the Orphan Drug Act, the FDA may designate a drug or biologic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Orphan drug designation must be requested before submitting a BLA. In the European Union, the EMA’s Committee for Orphan Medicinal Products (COMP), grants orphan drug designation to promote the development of products that are intended for the diagnosis, prevention, or treatment of a life-threatening or chronically debilitating condition affecting not more than five in 10,000 persons in the European Union. Additionally, designation is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204" w:lineRule="exact"/>
        <w:rPr>
          <w:sz w:val="20"/>
          <w:szCs w:val="20"/>
          <w:color w:val="auto"/>
        </w:rPr>
      </w:pPr>
    </w:p>
    <w:p>
      <w:pPr>
        <w:ind w:left="200" w:right="60" w:firstLine="551"/>
        <w:spacing w:after="0"/>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w:t>
      </w:r>
    </w:p>
    <w:p>
      <w:pPr>
        <w:spacing w:after="0" w:line="203"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for the orphan patient population. Exclusive marketing rights in the United States may also be unavailable if we or our collaborators seek approval for an indication broader than the orphan designated indication and may be lost if the FDA later determines that the request for designation was materially defective. In the European Union,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207" w:lineRule="exact"/>
        <w:rPr>
          <w:sz w:val="20"/>
          <w:szCs w:val="20"/>
          <w:color w:val="auto"/>
        </w:rPr>
      </w:pPr>
    </w:p>
    <w:p>
      <w:pPr>
        <w:ind w:left="200" w:right="60" w:firstLine="551"/>
        <w:spacing w:after="0"/>
        <w:rPr>
          <w:sz w:val="20"/>
          <w:szCs w:val="20"/>
          <w:color w:val="auto"/>
        </w:rPr>
      </w:pPr>
      <w:r>
        <w:rPr>
          <w:rFonts w:ascii="Arial" w:cs="Arial" w:eastAsia="Arial" w:hAnsi="Arial"/>
          <w:sz w:val="18"/>
          <w:szCs w:val="18"/>
          <w:color w:val="auto"/>
        </w:rPr>
        <w:t>Even if we obtain orphan drug designation, we may not be the first to obtain marketing approval for any particular orphan indication due to the uncertainties associated with developing pharmaceutical products. Further, even if we obtain orphan drug exclusivity for a product candidate, that exclusivity may not effectively protect the product from competition because different drugs with different active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moieties can be approved for the same condition. Even after an orphan drug is approved, the FDA can subsequently approve the same drug with the same active moiety for the same condition if the FDA concludes that the later drug is clinically superior in that it is safer, more effective, or makes a major contribution to patient care. Orphan drug designation neither shortens the development time or regulatory review time of a drug or biologic nor gives the drug or biologic any advantage in the regulatory review or approval process.</w:t>
      </w:r>
    </w:p>
    <w:p>
      <w:pPr>
        <w:spacing w:after="0" w:line="288" w:lineRule="exact"/>
        <w:rPr>
          <w:sz w:val="20"/>
          <w:szCs w:val="20"/>
          <w:color w:val="auto"/>
        </w:rPr>
      </w:pPr>
    </w:p>
    <w:p>
      <w:pPr>
        <w:ind w:left="200" w:right="220"/>
        <w:spacing w:after="0" w:line="253" w:lineRule="auto"/>
        <w:rPr>
          <w:sz w:val="20"/>
          <w:szCs w:val="20"/>
          <w:color w:val="auto"/>
        </w:rPr>
      </w:pPr>
      <w:r>
        <w:rPr>
          <w:rFonts w:ascii="Arial" w:cs="Arial" w:eastAsia="Arial" w:hAnsi="Arial"/>
          <w:sz w:val="18"/>
          <w:szCs w:val="18"/>
          <w:b w:val="1"/>
          <w:bCs w:val="1"/>
          <w:i w:val="1"/>
          <w:iCs w:val="1"/>
          <w:color w:val="auto"/>
        </w:rPr>
        <w:t>If the product candidates that we or our collaborators may develop receive regulatory approval in the United States or another jurisdiction, they may never receive approval in other jurisdictions, which would limit market opportunities for such product candidate and seriously harm our business.</w:t>
      </w:r>
    </w:p>
    <w:p>
      <w:pPr>
        <w:spacing w:after="0" w:line="83"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Approval of a product candidate in the United States by the FDA or by the requisite regulatory agencies in any other jurisdiction does not ensure approval of such product candidate by regulatory authorities in other countries or jurisdictions. The approval process varies among countries and may limit our or our collaborators’ ability to develop, manufacture, promote and sell product candidates internationally. Failure to obtain marketing approval in international jurisdictions would prevent the product candidates from being marketed outside of the jurisdictions in which regulatory approvals have been received. In order to market and sell product candidates in the European Union and many other jurisdictions, we and our collaborators must obtain separate marketing approvals and comply with numerous and varying regulatory requirements. The approval procedure varies among countries and may involve additional preclinical studies or clinical trials both before and after approval. In many countries, any product candidate for human use must be approved for reimbursement before it can be approved for sale in that country. In some cases, the intended price for such product is also subject to approval. Further, while regulatory approval of a product candidate in one country does not ensure approval in any other country, a failure or delay in obtaining regulatory approval in one country may have a negative effect on the regulatory approval process in others. If we or our collaborators fail to comply with the regulatory requirements in international markets or to obtain all required marketing approvals, the target market for a particular potential product will be reduced, which would limit our ability to realize the full market potential for the product and seriously harm our business.</w:t>
      </w:r>
    </w:p>
    <w:p>
      <w:pPr>
        <w:spacing w:after="0" w:line="289" w:lineRule="exact"/>
        <w:rPr>
          <w:sz w:val="20"/>
          <w:szCs w:val="20"/>
          <w:color w:val="auto"/>
        </w:rPr>
      </w:pPr>
    </w:p>
    <w:p>
      <w:pPr>
        <w:ind w:left="200" w:right="720"/>
        <w:spacing w:after="0" w:line="271"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obtain marketing approval of and commercialize our product candidates and may affect the prices we may set</w:t>
      </w:r>
      <w:r>
        <w:rPr>
          <w:rFonts w:ascii="Arial" w:cs="Arial" w:eastAsia="Arial" w:hAnsi="Arial"/>
          <w:sz w:val="18"/>
          <w:szCs w:val="18"/>
          <w:color w:val="auto"/>
        </w:rPr>
        <w:t>.</w:t>
      </w:r>
    </w:p>
    <w:p>
      <w:pPr>
        <w:spacing w:after="0" w:line="68"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In the United States, the European Union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(collectively the ACA) was enacted, which substantially changed the way healthcare is financed by both governmental and private payors. Among the provisions of the ACA, those of greatest importance to the pharmaceutical and biotechnology industries include the following:</w:t>
      </w:r>
    </w:p>
    <w:p>
      <w:pPr>
        <w:spacing w:after="0" w:line="109" w:lineRule="exact"/>
        <w:rPr>
          <w:sz w:val="20"/>
          <w:szCs w:val="20"/>
          <w:color w:val="auto"/>
        </w:rPr>
      </w:pPr>
    </w:p>
    <w:p>
      <w:pPr>
        <w:ind w:left="960" w:hanging="216"/>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108" w:lineRule="exact"/>
        <w:rPr>
          <w:rFonts w:ascii="Arial" w:cs="Arial" w:eastAsia="Arial" w:hAnsi="Arial"/>
          <w:sz w:val="18"/>
          <w:szCs w:val="18"/>
          <w:color w:val="auto"/>
        </w:rPr>
      </w:pPr>
    </w:p>
    <w:p>
      <w:pPr>
        <w:ind w:left="960" w:right="40" w:hanging="216"/>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700" w:hanging="216"/>
        <w:spacing w:after="0" w:line="246"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to the minimum Medicaid rebates owed by manufacturers under the Medicaid Drug Rebate Program and an extension the rebate program to individuals enrolled in Medicaid managed care organizations;</w:t>
      </w:r>
    </w:p>
    <w:p>
      <w:pPr>
        <w:spacing w:after="0" w:line="102" w:lineRule="exact"/>
        <w:rPr>
          <w:rFonts w:ascii="Arial" w:cs="Arial" w:eastAsia="Arial" w:hAnsi="Arial"/>
          <w:sz w:val="18"/>
          <w:szCs w:val="18"/>
          <w:color w:val="auto"/>
        </w:rPr>
      </w:pPr>
    </w:p>
    <w:p>
      <w:pPr>
        <w:ind w:left="960" w:right="40" w:hanging="216"/>
        <w:spacing w:after="0" w:line="246"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02" w:lineRule="exact"/>
        <w:rPr>
          <w:rFonts w:ascii="Arial" w:cs="Arial" w:eastAsia="Arial" w:hAnsi="Arial"/>
          <w:sz w:val="18"/>
          <w:szCs w:val="18"/>
          <w:color w:val="auto"/>
        </w:rPr>
      </w:pPr>
    </w:p>
    <w:p>
      <w:pPr>
        <w:ind w:left="960" w:right="380" w:hanging="216"/>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08" w:lineRule="exact"/>
        <w:rPr>
          <w:rFonts w:ascii="Arial" w:cs="Arial" w:eastAsia="Arial" w:hAnsi="Arial"/>
          <w:sz w:val="18"/>
          <w:szCs w:val="18"/>
          <w:color w:val="auto"/>
        </w:rPr>
      </w:pPr>
    </w:p>
    <w:p>
      <w:pPr>
        <w:ind w:left="960" w:hanging="216"/>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17" w:lineRule="exact"/>
        <w:rPr>
          <w:rFonts w:ascii="Arial" w:cs="Arial" w:eastAsia="Arial" w:hAnsi="Arial"/>
          <w:sz w:val="18"/>
          <w:szCs w:val="18"/>
          <w:color w:val="auto"/>
        </w:rPr>
      </w:pPr>
    </w:p>
    <w:p>
      <w:pPr>
        <w:ind w:left="960" w:right="800" w:hanging="216"/>
        <w:spacing w:after="0" w:line="246"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102" w:lineRule="exact"/>
        <w:rPr>
          <w:rFonts w:ascii="Arial" w:cs="Arial" w:eastAsia="Arial" w:hAnsi="Arial"/>
          <w:sz w:val="18"/>
          <w:szCs w:val="18"/>
          <w:color w:val="auto"/>
        </w:rPr>
      </w:pPr>
    </w:p>
    <w:p>
      <w:pPr>
        <w:ind w:left="960" w:right="20" w:hanging="216"/>
        <w:spacing w:after="0" w:line="275" w:lineRule="auto"/>
        <w:tabs>
          <w:tab w:leader="none" w:pos="9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establishment of a Center for Medicare Innovation at the Centers for Medicare &amp; Medicaid Services (CMS) to test innovative payment and service delivery models to lower Medicare and Medicaid spending, potentially including prescription drug spending.</w:t>
      </w:r>
    </w:p>
    <w:p>
      <w:pPr>
        <w:spacing w:after="0" w:line="17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Since its enactment, there have been judicial, U.S. Congressional and executive branch challenges to certain aspects of the ACA, and we expect there will be additional challenges and amendments to the ACA in the future. For example, the Tax Cuts and Jobs Act of 2017 was enacted, which includes a provision repealing, effective January 1, 2019,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(Texas District Court Judge) ruled that the individual mandate is a critical and inseverable feature of the ACA, and therefore, because it was repealed as part of the Tax Act, the remaining provisions of the ACA are invalid as well. While the Texas District Court Judge, as well as the Trump Administration and CMS, have stated that the ruling will have no immediate effect, it is unclear how this decision, subsequent appeals, and other efforts to repeal and replace the ACA will impact the ACA and our business.</w:t>
      </w:r>
    </w:p>
    <w:p>
      <w:pPr>
        <w:spacing w:after="0" w:line="207"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Since the enactment of the Tax Cuts and Jobs Act of 2017, there have been additional amendments to certain provisions of the ACA, and we expect the current Trump administration and Congress will likely continue to seek to modify, repeal, or otherwise invalidate all, or certain provisions of, the ACA. It is uncertain the extent to which any such changes may harm our business.</w:t>
      </w:r>
    </w:p>
    <w:p>
      <w:pPr>
        <w:spacing w:after="0" w:line="20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2027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p>
    <w:p>
      <w:pPr>
        <w:spacing w:after="0" w:line="208" w:lineRule="exact"/>
        <w:rPr>
          <w:sz w:val="20"/>
          <w:szCs w:val="20"/>
          <w:color w:val="auto"/>
        </w:rPr>
      </w:pPr>
    </w:p>
    <w:p>
      <w:pPr>
        <w:ind w:left="200" w:right="120" w:firstLine="551"/>
        <w:spacing w:after="0"/>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The Trump administration’s budget proposals for fiscal years 2019 and 2020 contains further drug price control measures that could be enacted during the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Further, the Trump administration released a “Blueprint”, or plan, to lower drug prices and reduce out of pocket costs of prescription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The Department of Health and Human Services (HHS) has started soliciting feedback on some of these measures and, at the same time, is implementing others under its existing authority. While some measures will require additional authorization to become effective, Congress and the Trump administration have each indicated that it will continue to seek new legislative and/or administrative measures to control drug costs.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202"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seriously harm our business.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 Furthermore, there has been increased interest by third party payors and governmental authorities in reference pricing systems and publication of discounts and list prices. Prescription drugs and biological products that are in violation of these requirements will be included on a public list. These reforms could reduce the ultimate demand for our product candidates or put pressure on our product pricing.</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 the European Union, similar political, economic and regulatory developments may affect our ability to profitably commercialize our product candidates, if approved.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European Union, reimbursement and healthcare payment</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systems vary significantly by country, and many countries have instituted price ceilings on specific products and therapies.</w:t>
      </w:r>
    </w:p>
    <w:p>
      <w:pPr>
        <w:spacing w:after="0" w:line="212" w:lineRule="exact"/>
        <w:rPr>
          <w:sz w:val="20"/>
          <w:szCs w:val="20"/>
          <w:color w:val="auto"/>
        </w:rPr>
      </w:pPr>
    </w:p>
    <w:p>
      <w:pPr>
        <w:ind w:left="200" w:right="180" w:firstLine="551"/>
        <w:spacing w:after="0" w:line="238"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or judicial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89"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due to unfavorable pricing regulations and/or third-party coverage and reimbursement policies, we may not be able to offer such products at competitive prices which would seriously harm our business.</w:t>
      </w:r>
    </w:p>
    <w:p>
      <w:pPr>
        <w:spacing w:after="0" w:line="83"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The regulations that govern marketing approvals, pricing and reimbursement for new drugs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208" w:lineRule="exact"/>
        <w:rPr>
          <w:sz w:val="20"/>
          <w:szCs w:val="20"/>
          <w:color w:val="auto"/>
        </w:rPr>
      </w:pPr>
    </w:p>
    <w:p>
      <w:pPr>
        <w:ind w:left="200" w:right="180" w:firstLine="551"/>
        <w:spacing w:after="0" w:line="236" w:lineRule="auto"/>
        <w:rPr>
          <w:sz w:val="20"/>
          <w:szCs w:val="20"/>
          <w:color w:val="auto"/>
        </w:rPr>
      </w:pPr>
      <w:r>
        <w:rPr>
          <w:rFonts w:ascii="Arial" w:cs="Arial" w:eastAsia="Arial" w:hAnsi="Arial"/>
          <w:sz w:val="18"/>
          <w:szCs w:val="18"/>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A primary trend in the U.S. healthcare industry and elsewhere is cost containment. Government authorities and other third-party payors have attempted to control costs by limiting coverage and the amount of reimbursement for particular medications. Government authorities currently impose mandatory discounts for certain patient groups, such as Medicare, Medicaid and Veterans Affairs (VA), hospitals, and may seek to increase such discounts at any time. Future regulation may negatively impact the price of our products, if approved. Increasingly, other third-party payors are requiring that drug companies provide them with predetermined discounts from list prices and are challenging the prices charged for medical products. For gene therapy and other products administered under the supervision of a physician, obtaining coverage and adequate reimbursement may be particularly difficult because of the higher prices often associated with such drugs. We cannot be sure that reimbursement will be available for any product candidate that we commercialize and, if reimbursement is available, that the level of reimbursement will be sufficient.</w:t>
      </w:r>
    </w:p>
    <w:p>
      <w:pPr>
        <w:spacing w:after="0" w:line="204"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clinical support for the use of our products to each payor separately, with no assurance that coverage and adequate reimbursement will be applied consistently or obtained in the first instance.</w:t>
      </w:r>
    </w:p>
    <w:p>
      <w:pPr>
        <w:spacing w:after="0" w:line="197"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seriously harm our business.</w:t>
      </w:r>
    </w:p>
    <w:p>
      <w:pPr>
        <w:spacing w:after="0" w:line="292" w:lineRule="exact"/>
        <w:rPr>
          <w:sz w:val="20"/>
          <w:szCs w:val="20"/>
          <w:color w:val="auto"/>
        </w:rPr>
      </w:pPr>
    </w:p>
    <w:p>
      <w:pPr>
        <w:ind w:left="200" w:right="800"/>
        <w:spacing w:after="0" w:line="271" w:lineRule="auto"/>
        <w:rPr>
          <w:sz w:val="20"/>
          <w:szCs w:val="20"/>
          <w:color w:val="auto"/>
        </w:rPr>
      </w:pPr>
      <w:r>
        <w:rPr>
          <w:rFonts w:ascii="Arial" w:cs="Arial" w:eastAsia="Arial" w:hAnsi="Arial"/>
          <w:sz w:val="18"/>
          <w:szCs w:val="18"/>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68"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291" w:lineRule="exact"/>
        <w:rPr>
          <w:sz w:val="20"/>
          <w:szCs w:val="20"/>
          <w:color w:val="auto"/>
        </w:rPr>
      </w:pPr>
    </w:p>
    <w:p>
      <w:pPr>
        <w:ind w:left="200" w:right="120"/>
        <w:spacing w:after="0" w:line="271"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68"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product candidates receiving regulatory approval, we expect to establish a sales organization with technical expertise and supporting distribution capabilities to commercialize each such product candidate, which will be expensive and time-consuming. We have no prior experience in the marketing, sale and distribution of pharmaceutical products, and there are significant risks involved in building and</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294" w:lineRule="exact"/>
        <w:rPr>
          <w:sz w:val="20"/>
          <w:szCs w:val="20"/>
          <w:color w:val="auto"/>
        </w:rPr>
      </w:pPr>
    </w:p>
    <w:p>
      <w:pPr>
        <w:ind w:left="200" w:right="120"/>
        <w:spacing w:after="0" w:line="253"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83"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107" w:lineRule="exact"/>
        <w:rPr>
          <w:sz w:val="20"/>
          <w:szCs w:val="20"/>
          <w:color w:val="auto"/>
        </w:rPr>
      </w:pPr>
    </w:p>
    <w:p>
      <w:pPr>
        <w:ind w:left="960" w:hanging="216"/>
        <w:spacing w:after="0" w:line="23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any U.S. federal healthcare program, such as Medicare and Medicaid. A person or entity does not need to have actual knowledge of the statute or specific intent to violate it in order to have committed a violation;</w:t>
      </w:r>
    </w:p>
    <w:p>
      <w:pPr>
        <w:spacing w:after="0" w:line="110" w:lineRule="exact"/>
        <w:rPr>
          <w:rFonts w:ascii="Arial" w:cs="Arial" w:eastAsia="Arial" w:hAnsi="Arial"/>
          <w:sz w:val="18"/>
          <w:szCs w:val="18"/>
          <w:color w:val="auto"/>
        </w:rPr>
      </w:pPr>
    </w:p>
    <w:p>
      <w:pPr>
        <w:ind w:left="960" w:right="80" w:hanging="216"/>
        <w:spacing w:after="0" w:line="236"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U.S. federal civil and criminal false claims and civil monetary penalties laws, including the civil federal False Claims Act, which can be enforced through civil whistleblower or qui tam actions, which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Pharmaceutical manufacturers can cause false claims to be presented to the U.S. federal government by engaging in impermissible marketing practices, such as the off-label promotion of a product for an indication for which it has not received FDA approval. In addition, the government may assert that a claim including items and services resulting from a violation of the U.S. federal Anti-Kickback Statute constitutes a false or fraudulent claim for purposes of the civil False Claims Act;</w:t>
      </w:r>
    </w:p>
    <w:p>
      <w:pPr>
        <w:spacing w:after="0" w:line="111" w:lineRule="exact"/>
        <w:rPr>
          <w:rFonts w:ascii="Arial" w:cs="Arial" w:eastAsia="Arial" w:hAnsi="Arial"/>
          <w:sz w:val="18"/>
          <w:szCs w:val="18"/>
          <w:color w:val="auto"/>
        </w:rPr>
      </w:pPr>
    </w:p>
    <w:p>
      <w:pPr>
        <w:ind w:left="960" w:right="20" w:hanging="216"/>
        <w:spacing w:after="0" w:line="23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20" w:hanging="216"/>
        <w:spacing w:after="0" w:line="23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(HITECH), and its implementing regulations, which also imposes certain obligations, including mandatory contractual terms, with respect to safeguarding the privacy and security of individually identifiable health information of covered entities subject to the rule, such as health plans, healthcare clearinghouses and certain healthcare providers as well as their business associates, independent contractors of a covered entity that perform certain services involving the use or disclosure of individually identifiable health information on their behalf;</w:t>
      </w:r>
    </w:p>
    <w:p>
      <w:pPr>
        <w:spacing w:after="0" w:line="110" w:lineRule="exact"/>
        <w:rPr>
          <w:rFonts w:ascii="Arial" w:cs="Arial" w:eastAsia="Arial" w:hAnsi="Arial"/>
          <w:sz w:val="18"/>
          <w:szCs w:val="18"/>
          <w:color w:val="auto"/>
        </w:rPr>
      </w:pPr>
    </w:p>
    <w:p>
      <w:pPr>
        <w:ind w:left="960" w:hanging="216"/>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17" w:lineRule="exact"/>
        <w:rPr>
          <w:rFonts w:ascii="Arial" w:cs="Arial" w:eastAsia="Arial" w:hAnsi="Arial"/>
          <w:sz w:val="18"/>
          <w:szCs w:val="18"/>
          <w:color w:val="auto"/>
        </w:rPr>
      </w:pPr>
    </w:p>
    <w:p>
      <w:pPr>
        <w:ind w:left="960" w:right="60" w:hanging="216"/>
        <w:spacing w:after="0" w:line="246"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102" w:lineRule="exact"/>
        <w:rPr>
          <w:rFonts w:ascii="Arial" w:cs="Arial" w:eastAsia="Arial" w:hAnsi="Arial"/>
          <w:sz w:val="18"/>
          <w:szCs w:val="18"/>
          <w:color w:val="auto"/>
        </w:rPr>
      </w:pPr>
    </w:p>
    <w:p>
      <w:pPr>
        <w:ind w:left="960" w:hanging="216"/>
        <w:spacing w:after="0" w:line="238"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U.S. Physician Payments Sunshine Act and its implementing regulations, which requires certain manufacturers of drugs, devices, biologics and medical supplies that are reimbursable under Medicare, Medicaid, or the Children’s Health Insurance Program, with specific exceptions, to report annually to CMS information related to certain payments and other transfers of value to physicians and teaching hospitals, as well as ownership and investment interests held by physicians and their immediate family members;</w:t>
      </w:r>
    </w:p>
    <w:p>
      <w:pPr>
        <w:spacing w:after="0" w:line="108" w:lineRule="exact"/>
        <w:rPr>
          <w:rFonts w:ascii="Arial" w:cs="Arial" w:eastAsia="Arial" w:hAnsi="Arial"/>
          <w:sz w:val="18"/>
          <w:szCs w:val="18"/>
          <w:color w:val="auto"/>
        </w:rPr>
      </w:pPr>
    </w:p>
    <w:p>
      <w:pPr>
        <w:ind w:left="960" w:hanging="216"/>
        <w:spacing w:after="0" w:line="236"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and</w:t>
      </w:r>
    </w:p>
    <w:p>
      <w:pPr>
        <w:spacing w:after="0" w:line="111" w:lineRule="exact"/>
        <w:rPr>
          <w:rFonts w:ascii="Arial" w:cs="Arial" w:eastAsia="Arial" w:hAnsi="Arial"/>
          <w:sz w:val="18"/>
          <w:szCs w:val="18"/>
          <w:color w:val="auto"/>
        </w:rPr>
      </w:pPr>
    </w:p>
    <w:p>
      <w:pPr>
        <w:ind w:left="960" w:right="20" w:hanging="216"/>
        <w:spacing w:after="0" w:line="238"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similar healthcare laws and data protection laws in the European Union and other jurisdictions, including reporting requirements detailing interactions with and payments to healthcare providers and laws governing the privacy and security of certain protected information, such as the General Data Protection Regulation (GDPR), which imposes obligations and restrictions on the collection and use of personal data relating to individuals located in the European Economic Area (the EEA) and the United Kingdom (including health data).</w:t>
      </w:r>
    </w:p>
    <w:p>
      <w:pPr>
        <w:spacing w:after="0" w:line="203"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We may also be subject to additional federal laws, such as 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 federal consumer protection and unfair competition laws, which broadly regulate marketplace activities and activities that potentially harm consumers.</w:t>
      </w:r>
    </w:p>
    <w:p>
      <w:pPr>
        <w:spacing w:after="0" w:line="205" w:lineRule="exact"/>
        <w:rPr>
          <w:sz w:val="20"/>
          <w:szCs w:val="20"/>
          <w:color w:val="auto"/>
        </w:rPr>
      </w:pPr>
    </w:p>
    <w:p>
      <w:pPr>
        <w:ind w:left="200" w:right="220" w:firstLine="551"/>
        <w:spacing w:after="0" w:line="246"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24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92" w:lineRule="exact"/>
        <w:rPr>
          <w:sz w:val="20"/>
          <w:szCs w:val="20"/>
          <w:color w:val="auto"/>
        </w:rPr>
      </w:pPr>
    </w:p>
    <w:p>
      <w:pPr>
        <w:jc w:val="both"/>
        <w:ind w:left="200" w:right="540"/>
        <w:spacing w:after="0" w:line="271" w:lineRule="auto"/>
        <w:rPr>
          <w:sz w:val="20"/>
          <w:szCs w:val="20"/>
          <w:color w:val="auto"/>
        </w:rPr>
      </w:pPr>
      <w:r>
        <w:rPr>
          <w:rFonts w:ascii="Arial" w:cs="Arial" w:eastAsia="Arial" w:hAnsi="Arial"/>
          <w:sz w:val="18"/>
          <w:szCs w:val="18"/>
          <w:b w:val="1"/>
          <w:bCs w:val="1"/>
          <w:i w:val="1"/>
          <w:iCs w:val="1"/>
          <w:color w:val="auto"/>
        </w:rPr>
        <w:t>Our employees, independent contractors, consultants, research or commercial partners or collaborators and vendors may engage in misconduct or other improper activities, including noncompliance with regulatory standards and requirements.</w:t>
      </w:r>
    </w:p>
    <w:p>
      <w:pPr>
        <w:spacing w:after="0" w:line="68" w:lineRule="exact"/>
        <w:rPr>
          <w:sz w:val="20"/>
          <w:szCs w:val="20"/>
          <w:color w:val="auto"/>
        </w:rPr>
      </w:pPr>
    </w:p>
    <w:p>
      <w:pPr>
        <w:ind w:left="200" w:right="40" w:firstLine="551"/>
        <w:spacing w:after="0" w:line="235" w:lineRule="auto"/>
        <w:rPr>
          <w:sz w:val="20"/>
          <w:szCs w:val="20"/>
          <w:color w:val="auto"/>
        </w:rPr>
      </w:pPr>
      <w:r>
        <w:rPr>
          <w:rFonts w:ascii="Arial" w:cs="Arial" w:eastAsia="Arial" w:hAnsi="Arial"/>
          <w:sz w:val="18"/>
          <w:szCs w:val="18"/>
          <w:color w:val="auto"/>
        </w:rPr>
        <w:t>We are exposed to the risk of fraud, misconduct or other illegal activity by our employees, independent contractors, consultants, research or commercial partners or other collaborators, including the foundations we work with,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300" w:lineRule="exact"/>
        <w:rPr>
          <w:sz w:val="20"/>
          <w:szCs w:val="20"/>
          <w:color w:val="auto"/>
        </w:rPr>
      </w:pPr>
    </w:p>
    <w:p>
      <w:pPr>
        <w:ind w:left="200" w:right="440"/>
        <w:spacing w:after="0" w:line="271" w:lineRule="auto"/>
        <w:rPr>
          <w:sz w:val="20"/>
          <w:szCs w:val="20"/>
          <w:color w:val="auto"/>
        </w:rPr>
      </w:pPr>
      <w:r>
        <w:rPr>
          <w:rFonts w:ascii="Arial" w:cs="Arial" w:eastAsia="Arial" w:hAnsi="Arial"/>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seriously harm our business.</w:t>
      </w:r>
    </w:p>
    <w:p>
      <w:pPr>
        <w:spacing w:after="0" w:line="68" w:lineRule="exact"/>
        <w:rPr>
          <w:sz w:val="20"/>
          <w:szCs w:val="20"/>
          <w:color w:val="auto"/>
        </w:rPr>
      </w:pPr>
    </w:p>
    <w:p>
      <w:pPr>
        <w:ind w:left="200" w:right="500" w:firstLine="551"/>
        <w:spacing w:after="0" w:line="246"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20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research programs involve the use of hazardous materials and chemicals, which are currently only handled by third parties.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294" w:lineRule="exact"/>
        <w:rPr>
          <w:sz w:val="20"/>
          <w:szCs w:val="20"/>
          <w:color w:val="auto"/>
        </w:rPr>
      </w:pPr>
    </w:p>
    <w:p>
      <w:pPr>
        <w:ind w:left="200" w:right="320"/>
        <w:spacing w:after="0" w:line="271" w:lineRule="auto"/>
        <w:rPr>
          <w:sz w:val="20"/>
          <w:szCs w:val="20"/>
          <w:color w:val="auto"/>
        </w:rPr>
      </w:pPr>
      <w:r>
        <w:rPr>
          <w:rFonts w:ascii="Arial" w:cs="Arial" w:eastAsia="Arial" w:hAnsi="Arial"/>
          <w:sz w:val="18"/>
          <w:szCs w:val="18"/>
          <w:b w:val="1"/>
          <w:bCs w:val="1"/>
          <w:i w:val="1"/>
          <w:iCs w:val="1"/>
          <w:color w:val="auto"/>
        </w:rPr>
        <w:t>Compliance with governmental regulations regarding the treatment of animals used in research could increase our operating costs, which would adversely affect the commercialization of our products.</w:t>
      </w:r>
    </w:p>
    <w:p>
      <w:pPr>
        <w:spacing w:after="0" w:line="68"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The Animal Welfare Act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60"/>
        <w:spacing w:after="0" w:line="246" w:lineRule="auto"/>
        <w:rPr>
          <w:sz w:val="20"/>
          <w:szCs w:val="20"/>
          <w:color w:val="auto"/>
        </w:rPr>
      </w:pPr>
      <w:r>
        <w:rPr>
          <w:rFonts w:ascii="Arial" w:cs="Arial" w:eastAsia="Arial" w:hAnsi="Arial"/>
          <w:sz w:val="18"/>
          <w:szCs w:val="18"/>
          <w:color w:val="auto"/>
        </w:rPr>
        <w:t>our contractors fail to comply with regulations concerning the treatment of animals used in research, we may be subject to fines and penalties and adverse publicity, and our operations could be adversely affected.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12"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83" w:lineRule="exact"/>
        <w:rPr>
          <w:sz w:val="20"/>
          <w:szCs w:val="20"/>
          <w:color w:val="auto"/>
        </w:rPr>
      </w:pPr>
    </w:p>
    <w:p>
      <w:pPr>
        <w:ind w:left="200" w:right="220" w:firstLine="551"/>
        <w:spacing w:after="0" w:line="239"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clinical data assessments and analysis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20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203"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202" w:lineRule="exact"/>
        <w:rPr>
          <w:sz w:val="20"/>
          <w:szCs w:val="20"/>
          <w:color w:val="auto"/>
        </w:rPr>
      </w:pPr>
    </w:p>
    <w:p>
      <w:pPr>
        <w:ind w:left="200" w:right="140" w:firstLine="551"/>
        <w:spacing w:after="0"/>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product candidates, producing additional losses and depriving us of potential product revenue.</w:t>
      </w:r>
    </w:p>
    <w:p>
      <w:pPr>
        <w:spacing w:after="0" w:line="289" w:lineRule="exact"/>
        <w:rPr>
          <w:sz w:val="20"/>
          <w:szCs w:val="20"/>
          <w:color w:val="auto"/>
        </w:rPr>
      </w:pPr>
    </w:p>
    <w:p>
      <w:pPr>
        <w:ind w:left="200" w:right="140"/>
        <w:spacing w:after="0" w:line="271"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8"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w:t>
      </w:r>
    </w:p>
    <w:p>
      <w:pPr>
        <w:spacing w:after="0" w:line="1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240" w:top="459" w:right="5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Given that our proprietary position is based, in part, on our know-how and trade secrets, a competitor’s independent discovery of our trade secrets or other unauthorized use or disclosure would impair our competitive position and may seriously harm our business.</w:t>
      </w:r>
    </w:p>
    <w:p>
      <w:pPr>
        <w:spacing w:after="0" w:line="283" w:lineRule="exact"/>
        <w:rPr>
          <w:sz w:val="20"/>
          <w:szCs w:val="20"/>
          <w:color w:val="auto"/>
        </w:rPr>
      </w:pPr>
    </w:p>
    <w:p>
      <w:pPr>
        <w:ind w:left="200" w:right="420"/>
        <w:spacing w:after="0" w:line="253" w:lineRule="auto"/>
        <w:rPr>
          <w:sz w:val="20"/>
          <w:szCs w:val="20"/>
          <w:color w:val="auto"/>
        </w:rPr>
      </w:pPr>
      <w:r>
        <w:rPr>
          <w:rFonts w:ascii="Arial" w:cs="Arial" w:eastAsia="Arial" w:hAnsi="Arial"/>
          <w:sz w:val="18"/>
          <w:szCs w:val="18"/>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8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have sought, and may in the future seek third-party collaborators for the research, development and commercialization of certain of the product candidates we may develop. Our likely collaborators for any other collaboration arrangements include large and mid-size pharmaceutical companies, regional, national and international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Collaborations involving our product candidates we may develop, pose the following risks to us:</w:t>
      </w:r>
    </w:p>
    <w:p>
      <w:pPr>
        <w:spacing w:after="0" w:line="117" w:lineRule="exact"/>
        <w:rPr>
          <w:sz w:val="20"/>
          <w:szCs w:val="20"/>
          <w:color w:val="auto"/>
        </w:rPr>
      </w:pPr>
    </w:p>
    <w:p>
      <w:pPr>
        <w:ind w:left="960" w:right="880" w:hanging="216"/>
        <w:spacing w:after="0" w:line="246"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generally have significant discretion in determining the efforts and resources that they will apply to these collaborations;</w:t>
      </w:r>
    </w:p>
    <w:p>
      <w:pPr>
        <w:spacing w:after="0" w:line="102" w:lineRule="exact"/>
        <w:rPr>
          <w:rFonts w:ascii="Arial" w:cs="Arial" w:eastAsia="Arial" w:hAnsi="Arial"/>
          <w:sz w:val="18"/>
          <w:szCs w:val="18"/>
          <w:color w:val="auto"/>
        </w:rPr>
      </w:pPr>
    </w:p>
    <w:p>
      <w:pPr>
        <w:ind w:left="960" w:right="180" w:hanging="216"/>
        <w:spacing w:after="0" w:line="239"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107" w:lineRule="exact"/>
        <w:rPr>
          <w:rFonts w:ascii="Arial" w:cs="Arial" w:eastAsia="Arial" w:hAnsi="Arial"/>
          <w:sz w:val="18"/>
          <w:szCs w:val="18"/>
          <w:color w:val="auto"/>
        </w:rPr>
      </w:pPr>
    </w:p>
    <w:p>
      <w:pPr>
        <w:ind w:left="960" w:right="380" w:hanging="216"/>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108" w:lineRule="exact"/>
        <w:rPr>
          <w:rFonts w:ascii="Arial" w:cs="Arial" w:eastAsia="Arial" w:hAnsi="Arial"/>
          <w:sz w:val="18"/>
          <w:szCs w:val="18"/>
          <w:color w:val="auto"/>
        </w:rPr>
      </w:pPr>
    </w:p>
    <w:p>
      <w:pPr>
        <w:ind w:left="960" w:hanging="216"/>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17" w:lineRule="exact"/>
        <w:rPr>
          <w:rFonts w:ascii="Arial" w:cs="Arial" w:eastAsia="Arial" w:hAnsi="Arial"/>
          <w:sz w:val="18"/>
          <w:szCs w:val="18"/>
          <w:color w:val="auto"/>
        </w:rPr>
      </w:pPr>
    </w:p>
    <w:p>
      <w:pPr>
        <w:ind w:left="960" w:right="260" w:hanging="216"/>
        <w:spacing w:after="0" w:line="246"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17" w:lineRule="exact"/>
        <w:rPr>
          <w:rFonts w:ascii="Arial" w:cs="Arial" w:eastAsia="Arial" w:hAnsi="Arial"/>
          <w:sz w:val="18"/>
          <w:szCs w:val="18"/>
          <w:color w:val="auto"/>
        </w:rPr>
      </w:pPr>
    </w:p>
    <w:p>
      <w:pPr>
        <w:ind w:left="960" w:right="80" w:hanging="216"/>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08" w:lineRule="exact"/>
        <w:rPr>
          <w:rFonts w:ascii="Arial" w:cs="Arial" w:eastAsia="Arial" w:hAnsi="Arial"/>
          <w:sz w:val="18"/>
          <w:szCs w:val="18"/>
          <w:color w:val="auto"/>
        </w:rPr>
      </w:pPr>
    </w:p>
    <w:p>
      <w:pPr>
        <w:ind w:left="960" w:right="20" w:hanging="216"/>
        <w:spacing w:after="0" w:line="239"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107" w:lineRule="exact"/>
        <w:rPr>
          <w:rFonts w:ascii="Arial" w:cs="Arial" w:eastAsia="Arial" w:hAnsi="Arial"/>
          <w:sz w:val="18"/>
          <w:szCs w:val="18"/>
          <w:color w:val="auto"/>
        </w:rPr>
      </w:pPr>
    </w:p>
    <w:p>
      <w:pPr>
        <w:ind w:left="960" w:right="460" w:hanging="216"/>
        <w:spacing w:after="0" w:line="246"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160" w:hanging="216"/>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08" w:lineRule="exact"/>
        <w:rPr>
          <w:rFonts w:ascii="Arial" w:cs="Arial" w:eastAsia="Arial" w:hAnsi="Arial"/>
          <w:sz w:val="18"/>
          <w:szCs w:val="18"/>
          <w:color w:val="auto"/>
        </w:rPr>
      </w:pPr>
    </w:p>
    <w:p>
      <w:pPr>
        <w:ind w:left="960" w:right="20" w:hanging="216"/>
        <w:spacing w:after="0" w:line="246"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102" w:lineRule="exact"/>
        <w:rPr>
          <w:rFonts w:ascii="Arial" w:cs="Arial" w:eastAsia="Arial" w:hAnsi="Arial"/>
          <w:sz w:val="18"/>
          <w:szCs w:val="18"/>
          <w:color w:val="auto"/>
        </w:rPr>
      </w:pPr>
    </w:p>
    <w:p>
      <w:pPr>
        <w:ind w:left="960" w:right="360" w:hanging="216"/>
        <w:spacing w:after="0" w:line="246"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102" w:lineRule="exact"/>
        <w:rPr>
          <w:rFonts w:ascii="Arial" w:cs="Arial" w:eastAsia="Arial" w:hAnsi="Arial"/>
          <w:sz w:val="18"/>
          <w:szCs w:val="18"/>
          <w:color w:val="auto"/>
        </w:rPr>
      </w:pPr>
    </w:p>
    <w:p>
      <w:pPr>
        <w:ind w:left="960" w:right="180" w:hanging="216"/>
        <w:spacing w:after="0" w:line="246"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may undergo a change of control and the new owners may decide to take the collaboration in a direction which is not in our best interest;</w:t>
      </w:r>
    </w:p>
    <w:p>
      <w:pPr>
        <w:spacing w:after="0" w:line="102" w:lineRule="exact"/>
        <w:rPr>
          <w:rFonts w:ascii="Arial" w:cs="Arial" w:eastAsia="Arial" w:hAnsi="Arial"/>
          <w:sz w:val="18"/>
          <w:szCs w:val="18"/>
          <w:color w:val="auto"/>
        </w:rPr>
      </w:pPr>
    </w:p>
    <w:p>
      <w:pPr>
        <w:ind w:left="960" w:right="120" w:hanging="216"/>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108" w:lineRule="exact"/>
        <w:rPr>
          <w:rFonts w:ascii="Arial" w:cs="Arial" w:eastAsia="Arial" w:hAnsi="Arial"/>
          <w:sz w:val="18"/>
          <w:szCs w:val="18"/>
          <w:color w:val="auto"/>
        </w:rPr>
      </w:pPr>
    </w:p>
    <w:p>
      <w:pPr>
        <w:ind w:left="960" w:right="180" w:hanging="216"/>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may become bankrupt, which may significantly delay our research or development programs, or may cause us to lose access to valuable technology, devices, materials, know-how or intellectual property of the collaborator relating to our products, product candidates;</w:t>
      </w:r>
    </w:p>
    <w:p>
      <w:pPr>
        <w:spacing w:after="0" w:line="108" w:lineRule="exact"/>
        <w:rPr>
          <w:rFonts w:ascii="Arial" w:cs="Arial" w:eastAsia="Arial" w:hAnsi="Arial"/>
          <w:sz w:val="18"/>
          <w:szCs w:val="18"/>
          <w:color w:val="auto"/>
        </w:rPr>
      </w:pPr>
    </w:p>
    <w:p>
      <w:pPr>
        <w:ind w:left="960" w:right="1040" w:hanging="216"/>
        <w:spacing w:after="0" w:line="246"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102" w:lineRule="exact"/>
        <w:rPr>
          <w:rFonts w:ascii="Arial" w:cs="Arial" w:eastAsia="Arial" w:hAnsi="Arial"/>
          <w:sz w:val="18"/>
          <w:szCs w:val="18"/>
          <w:color w:val="auto"/>
        </w:rPr>
      </w:pPr>
    </w:p>
    <w:p>
      <w:pPr>
        <w:ind w:left="960" w:right="180" w:hanging="216"/>
        <w:spacing w:after="0" w:line="246"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102" w:lineRule="exact"/>
        <w:rPr>
          <w:rFonts w:ascii="Arial" w:cs="Arial" w:eastAsia="Arial" w:hAnsi="Arial"/>
          <w:sz w:val="18"/>
          <w:szCs w:val="18"/>
          <w:color w:val="auto"/>
        </w:rPr>
      </w:pPr>
    </w:p>
    <w:p>
      <w:pPr>
        <w:ind w:left="960" w:right="120" w:hanging="216"/>
        <w:spacing w:after="0" w:line="246"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or our Therapeutic Vector Evolution platform technology; and</w:t>
      </w:r>
    </w:p>
    <w:p>
      <w:pPr>
        <w:spacing w:after="0" w:line="102" w:lineRule="exact"/>
        <w:rPr>
          <w:rFonts w:ascii="Arial" w:cs="Arial" w:eastAsia="Arial" w:hAnsi="Arial"/>
          <w:sz w:val="18"/>
          <w:szCs w:val="18"/>
          <w:color w:val="auto"/>
        </w:rPr>
      </w:pPr>
    </w:p>
    <w:p>
      <w:pPr>
        <w:ind w:left="960" w:right="120" w:hanging="216"/>
        <w:spacing w:after="0" w:line="246"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19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207" w:lineRule="exact"/>
        <w:rPr>
          <w:sz w:val="20"/>
          <w:szCs w:val="20"/>
          <w:color w:val="auto"/>
        </w:rPr>
      </w:pPr>
    </w:p>
    <w:p>
      <w:pPr>
        <w:ind w:left="200" w:right="160" w:firstLine="551"/>
        <w:spacing w:after="0" w:line="237" w:lineRule="auto"/>
        <w:rPr>
          <w:sz w:val="20"/>
          <w:szCs w:val="20"/>
          <w:color w:val="auto"/>
        </w:rPr>
      </w:pPr>
      <w:r>
        <w:rPr>
          <w:rFonts w:ascii="Arial" w:cs="Arial" w:eastAsia="Arial" w:hAnsi="Arial"/>
          <w:sz w:val="18"/>
          <w:szCs w:val="18"/>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issues from such applications, and then only to the extent the issued claims cover the technology. There can be no assurance that our patent applications or those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If we do not adequately protect our intellectual property and proprietary technology, competitors may be able to use our product candidates and proprietary technologies and erode or negate any competitive advantage we may have, which could seriously harm our business.</w:t>
      </w:r>
    </w:p>
    <w:p>
      <w:pPr>
        <w:spacing w:after="0" w:line="204"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We and our licensors have applied, and we intend to continue applying, for patents covering aspects of our product candidates, proprietary technologies and their uses that we deem appropriate. However, we may not be able to apply for patents on certain aspects of our current or future product candidates, proprietary technologies and their uses in a timely fashion, at a reasonable cost, in all jurisdictions, or at all, and any potential patent coverage we obtain may not be sufficient to prevent substantial competition.</w:t>
      </w:r>
    </w:p>
    <w:p>
      <w:pPr>
        <w:spacing w:after="0" w:line="202"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actual or potential future collaborators or licensors will be successful in protecting our product candidates, proprietary technologies and their uses by obtaining and defending patents. These risks and uncertainties include the following:</w:t>
      </w:r>
    </w:p>
    <w:p>
      <w:pPr>
        <w:spacing w:after="0" w:line="108" w:lineRule="exact"/>
        <w:rPr>
          <w:sz w:val="20"/>
          <w:szCs w:val="20"/>
          <w:color w:val="auto"/>
        </w:rPr>
      </w:pPr>
    </w:p>
    <w:p>
      <w:pPr>
        <w:ind w:left="960" w:right="60" w:hanging="216"/>
        <w:spacing w:after="0" w:line="239"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U.S. Patent and Trademark Office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07" w:lineRule="exact"/>
        <w:rPr>
          <w:rFonts w:ascii="Arial" w:cs="Arial" w:eastAsia="Arial" w:hAnsi="Arial"/>
          <w:sz w:val="18"/>
          <w:szCs w:val="18"/>
          <w:color w:val="auto"/>
        </w:rPr>
      </w:pPr>
    </w:p>
    <w:p>
      <w:pPr>
        <w:ind w:left="960" w:hanging="216"/>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17" w:lineRule="exact"/>
        <w:rPr>
          <w:rFonts w:ascii="Arial" w:cs="Arial" w:eastAsia="Arial" w:hAnsi="Arial"/>
          <w:sz w:val="18"/>
          <w:szCs w:val="18"/>
          <w:color w:val="auto"/>
        </w:rPr>
      </w:pPr>
    </w:p>
    <w:p>
      <w:pPr>
        <w:ind w:left="960" w:right="760" w:hanging="216"/>
        <w:spacing w:after="0" w:line="246"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circumvented, found to be unenforceable or otherwise may not provide any competitive advantage;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80" w:hanging="216"/>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108" w:lineRule="exact"/>
        <w:rPr>
          <w:rFonts w:ascii="Arial" w:cs="Arial" w:eastAsia="Arial" w:hAnsi="Arial"/>
          <w:sz w:val="18"/>
          <w:szCs w:val="18"/>
          <w:color w:val="auto"/>
        </w:rPr>
      </w:pPr>
    </w:p>
    <w:p>
      <w:pPr>
        <w:ind w:left="960" w:right="200" w:hanging="216"/>
        <w:spacing w:after="0" w:line="239"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methods or devices or by claiming subject matter that could dominate our patent position;</w:t>
      </w:r>
    </w:p>
    <w:p>
      <w:pPr>
        <w:spacing w:after="0" w:line="107" w:lineRule="exact"/>
        <w:rPr>
          <w:rFonts w:ascii="Arial" w:cs="Arial" w:eastAsia="Arial" w:hAnsi="Arial"/>
          <w:sz w:val="18"/>
          <w:szCs w:val="18"/>
          <w:color w:val="auto"/>
        </w:rPr>
      </w:pPr>
    </w:p>
    <w:p>
      <w:pPr>
        <w:ind w:left="960" w:right="160" w:hanging="216"/>
        <w:spacing w:after="0" w:line="246"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successful opposition to any patents owned by or licensed to us could deprive us of rights necessary for the practice of our technologies or the successful commercialization of any products or product candidates that we may develop;</w:t>
      </w:r>
    </w:p>
    <w:p>
      <w:pPr>
        <w:spacing w:after="0" w:line="102" w:lineRule="exact"/>
        <w:rPr>
          <w:rFonts w:ascii="Arial" w:cs="Arial" w:eastAsia="Arial" w:hAnsi="Arial"/>
          <w:sz w:val="18"/>
          <w:szCs w:val="18"/>
          <w:color w:val="auto"/>
        </w:rPr>
      </w:pPr>
    </w:p>
    <w:p>
      <w:pPr>
        <w:ind w:left="960" w:right="380" w:hanging="216"/>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because patent applications in the United States and most other countries are confidential for a period of time after filing, we cannot be certain that we or our licensors were the first to file any patent application related to our product candidates, proprietary technologies and their uses;</w:t>
      </w:r>
    </w:p>
    <w:p>
      <w:pPr>
        <w:spacing w:after="0" w:line="108" w:lineRule="exact"/>
        <w:rPr>
          <w:rFonts w:ascii="Arial" w:cs="Arial" w:eastAsia="Arial" w:hAnsi="Arial"/>
          <w:sz w:val="18"/>
          <w:szCs w:val="18"/>
          <w:color w:val="auto"/>
        </w:rPr>
      </w:pPr>
    </w:p>
    <w:p>
      <w:pPr>
        <w:ind w:left="960" w:right="120" w:hanging="216"/>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08" w:lineRule="exact"/>
        <w:rPr>
          <w:rFonts w:ascii="Arial" w:cs="Arial" w:eastAsia="Arial" w:hAnsi="Arial"/>
          <w:sz w:val="18"/>
          <w:szCs w:val="18"/>
          <w:color w:val="auto"/>
        </w:rPr>
      </w:pPr>
    </w:p>
    <w:p>
      <w:pPr>
        <w:ind w:left="960" w:right="320" w:hanging="216"/>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08" w:lineRule="exact"/>
        <w:rPr>
          <w:rFonts w:ascii="Arial" w:cs="Arial" w:eastAsia="Arial" w:hAnsi="Arial"/>
          <w:sz w:val="18"/>
          <w:szCs w:val="18"/>
          <w:color w:val="auto"/>
        </w:rPr>
      </w:pPr>
    </w:p>
    <w:p>
      <w:pPr>
        <w:ind w:left="960" w:right="520" w:hanging="216"/>
        <w:spacing w:after="0" w:line="246"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97"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The patent prosecution process is also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and other third parties, any of these parties may breach such agreements and disclose such output before a patent application is filed, thereby jeopardizing our ability to seek patent protection.</w:t>
      </w:r>
    </w:p>
    <w:p>
      <w:pPr>
        <w:spacing w:after="0" w:line="20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 xml:space="preserve">The patent position of biopharmaceutical companies generally is highly uncertain, involves complex legal and factual questions, and has been the subject of much litigation in recent years. Moreover, the issuance of a patent is not conclusive as to its inventorship, scope, validity or enforceability, and our patents, if issued, or the patent rights that we license from others, may be challenged in the courts or patent offices in the United States and abroad. Once granted, patents may remain open to opposition, interference,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nullification or derivation action in court or before patent offices or similar proceedings for a given period after allowance or grant, during which time third parties can raise objections against such initial grant. Such challenges may result in loss of exclusivity or in patent claims being narrowed, invalidated or held unenforceable, which could limit our ability to stop others from using or commercializing similar or identical products or product candidates, or limit the duration of the patent protection of our product candidates. Given the amount of time required for the development, testing and regulatory review of new product candidates, patents protecting such candidates might expire before or shortly after such</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0"/>
        <w:spacing w:after="0" w:line="246" w:lineRule="auto"/>
        <w:rPr>
          <w:sz w:val="20"/>
          <w:szCs w:val="20"/>
          <w:color w:val="auto"/>
        </w:rPr>
      </w:pPr>
      <w:r>
        <w:rPr>
          <w:rFonts w:ascii="Arial" w:cs="Arial" w:eastAsia="Arial" w:hAnsi="Arial"/>
          <w:sz w:val="18"/>
          <w:szCs w:val="18"/>
          <w:color w:val="auto"/>
        </w:rPr>
        <w:t>candidates are commercialized. As a result, our intellectual property may not provide us with sufficient rights to exclude others from commercializing products similar or identical to ours.</w:t>
      </w:r>
    </w:p>
    <w:p>
      <w:pPr>
        <w:spacing w:after="0" w:line="197" w:lineRule="exact"/>
        <w:rPr>
          <w:sz w:val="20"/>
          <w:szCs w:val="20"/>
          <w:color w:val="auto"/>
        </w:rPr>
      </w:pPr>
    </w:p>
    <w:p>
      <w:pPr>
        <w:ind w:left="200" w:right="260" w:firstLine="551"/>
        <w:spacing w:after="0" w:line="239" w:lineRule="auto"/>
        <w:rPr>
          <w:sz w:val="20"/>
          <w:szCs w:val="20"/>
          <w:color w:val="auto"/>
        </w:rPr>
      </w:pPr>
      <w:r>
        <w:rPr>
          <w:rFonts w:ascii="Arial" w:cs="Arial" w:eastAsia="Arial" w:hAnsi="Arial"/>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20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 candidates are invalidated or found unenforceable, or if a court found that valid, enforceable patents held by third parties covered one or more of our product candidates, our competitive position could be harmed or we could be required to incur significant expenses to enforce or defend our rights. If we initiate lawsuits to protect or enforce our patents, or litigate against third party claims, such proceedings would be expensive and would divert the attention of our management and technical personnel.</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17" w:lineRule="exact"/>
        <w:rPr>
          <w:sz w:val="20"/>
          <w:szCs w:val="20"/>
          <w:color w:val="auto"/>
        </w:rPr>
      </w:pPr>
    </w:p>
    <w:p>
      <w:pPr>
        <w:ind w:left="960" w:right="420" w:hanging="216"/>
        <w:spacing w:after="0" w:line="246"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or those of our licensors, will include claims having a scope sufficient to protect our product candidates;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of our pending patent applications or those of our licensors may issue as patents;</w:t>
      </w:r>
    </w:p>
    <w:p>
      <w:pPr>
        <w:spacing w:after="0" w:line="117" w:lineRule="exact"/>
        <w:rPr>
          <w:rFonts w:ascii="Arial" w:cs="Arial" w:eastAsia="Arial" w:hAnsi="Arial"/>
          <w:sz w:val="18"/>
          <w:szCs w:val="18"/>
          <w:color w:val="auto"/>
        </w:rPr>
      </w:pPr>
    </w:p>
    <w:p>
      <w:pPr>
        <w:ind w:left="960" w:right="220" w:hanging="216"/>
        <w:spacing w:after="0" w:line="246"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will not or may not be able to make, use, offer to sell, or sell products that are the same as or similar to our own but that are not covered by the claims of the patents that we own or license;</w:t>
      </w:r>
    </w:p>
    <w:p>
      <w:pPr>
        <w:spacing w:after="0" w:line="102" w:lineRule="exact"/>
        <w:rPr>
          <w:rFonts w:ascii="Arial" w:cs="Arial" w:eastAsia="Arial" w:hAnsi="Arial"/>
          <w:sz w:val="18"/>
          <w:szCs w:val="18"/>
          <w:color w:val="auto"/>
        </w:rPr>
      </w:pPr>
    </w:p>
    <w:p>
      <w:pPr>
        <w:ind w:left="960" w:right="420" w:hanging="216"/>
        <w:spacing w:after="0" w:line="246"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on a substantial scale, if approved, before the relevant patents that we own or license expire;</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the patents and pending patent applications that we own or license;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licensors were the first to file patent applications for these inventions;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the patents we own or license;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of the patents we own or license will be found to ultimately be valid and enforceable;</w:t>
      </w:r>
    </w:p>
    <w:p>
      <w:pPr>
        <w:spacing w:after="0" w:line="117" w:lineRule="exact"/>
        <w:rPr>
          <w:rFonts w:ascii="Arial" w:cs="Arial" w:eastAsia="Arial" w:hAnsi="Arial"/>
          <w:sz w:val="18"/>
          <w:szCs w:val="18"/>
          <w:color w:val="auto"/>
        </w:rPr>
      </w:pPr>
    </w:p>
    <w:p>
      <w:pPr>
        <w:ind w:left="960" w:right="140" w:hanging="216"/>
        <w:spacing w:after="0" w:line="246"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patents issued to us or our licensors will provide a basis for an exclusive market for our commercially viable products or will provide us with any competitive advantages;</w:t>
      </w:r>
    </w:p>
    <w:p>
      <w:pPr>
        <w:spacing w:after="0" w:line="102" w:lineRule="exact"/>
        <w:rPr>
          <w:rFonts w:ascii="Arial" w:cs="Arial" w:eastAsia="Arial" w:hAnsi="Arial"/>
          <w:sz w:val="18"/>
          <w:szCs w:val="18"/>
          <w:color w:val="auto"/>
        </w:rPr>
      </w:pPr>
    </w:p>
    <w:p>
      <w:pPr>
        <w:ind w:left="960" w:right="160" w:hanging="216"/>
        <w:spacing w:after="0" w:line="246"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third party may not challenge the patents we own or license and, if challenged, a court would hold that such patents are valid, enforceable and infringed;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will not have an adverse effect on our business;</w:t>
      </w:r>
    </w:p>
    <w:p>
      <w:pPr>
        <w:spacing w:after="0" w:line="117" w:lineRule="exact"/>
        <w:rPr>
          <w:rFonts w:ascii="Arial" w:cs="Arial" w:eastAsia="Arial" w:hAnsi="Arial"/>
          <w:sz w:val="18"/>
          <w:szCs w:val="18"/>
          <w:color w:val="auto"/>
        </w:rPr>
      </w:pPr>
    </w:p>
    <w:p>
      <w:pPr>
        <w:ind w:left="960" w:right="60" w:hanging="216"/>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6"/>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of others.</w:t>
      </w:r>
    </w:p>
    <w:p>
      <w:pPr>
        <w:spacing w:after="0" w:line="21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or such activities, if controlled by us, may require the input of such third parties. We may also require the cooperation of our licensors and collaborators to enforce any licensed patent rights, and such cooperation may not be provided. Therefore, these patents and patent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or expiration of licensed patents or patent applications, could seriously harm our business.</w:t>
      </w:r>
    </w:p>
    <w:p>
      <w:pPr>
        <w:spacing w:after="0" w:line="208"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Furthermore, our owned and in-licensed intellectual property rights may be subject to a reservation of rights by one or more third parties. For example, the research resulting in certain of our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business.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 candidates and business.</w:t>
      </w:r>
    </w:p>
    <w:p>
      <w:pPr>
        <w:spacing w:after="0" w:line="126"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extended based on certain delays caused by the USPTO and clinical development, this extension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and results of operations will be adversely affected.</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26" w:lineRule="exact"/>
        <w:rPr>
          <w:sz w:val="20"/>
          <w:szCs w:val="20"/>
          <w:color w:val="auto"/>
        </w:rPr>
      </w:pPr>
    </w:p>
    <w:p>
      <w:pPr>
        <w:ind w:left="200" w:right="400" w:firstLine="551"/>
        <w:spacing w:after="0" w:line="246" w:lineRule="auto"/>
        <w:rPr>
          <w:sz w:val="20"/>
          <w:szCs w:val="20"/>
          <w:color w:val="auto"/>
        </w:rPr>
      </w:pPr>
      <w:r>
        <w:rPr>
          <w:rFonts w:ascii="Arial" w:cs="Arial" w:eastAsia="Arial" w:hAnsi="Arial"/>
          <w:sz w:val="18"/>
          <w:szCs w:val="18"/>
          <w:color w:val="auto"/>
        </w:rPr>
        <w:t>We rely on the protection of our trade secrets, including unpatented know-how, technology and other proprietary information to maintain our competitive position. We have taken steps to protect our</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trade secrets and unpatented know-how, including entering into confidentiality agreements with third parties, and confidential information and inventions agreements with employees and consultants.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any of these parties may breach the agreements and disclose our proprietary information, including our trade secrets, and we may not be able to obtain adequate remedies for such breaches. 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collaborator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 candidates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spacing w:after="0" w:line="203" w:lineRule="exact"/>
        <w:rPr>
          <w:sz w:val="20"/>
          <w:szCs w:val="20"/>
          <w:color w:val="auto"/>
        </w:rPr>
      </w:pPr>
    </w:p>
    <w:p>
      <w:pPr>
        <w:ind w:left="200" w:right="60" w:firstLine="551"/>
        <w:spacing w:after="0" w:line="235" w:lineRule="auto"/>
        <w:rPr>
          <w:sz w:val="20"/>
          <w:szCs w:val="20"/>
          <w:color w:val="auto"/>
        </w:rPr>
      </w:pPr>
      <w:r>
        <w:rPr>
          <w:rFonts w:ascii="Arial" w:cs="Arial" w:eastAsia="Arial" w:hAnsi="Arial"/>
          <w:sz w:val="18"/>
          <w:szCs w:val="18"/>
          <w:color w:val="auto"/>
        </w:rPr>
        <w:t>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employees, collaborators, licensors,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have relied on, and in future expect to rely on third parties in the development, manufacture, and distribution of our product candidates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301" w:lineRule="exact"/>
        <w:rPr>
          <w:sz w:val="20"/>
          <w:szCs w:val="20"/>
          <w:color w:val="auto"/>
        </w:rPr>
      </w:pPr>
    </w:p>
    <w:p>
      <w:pPr>
        <w:ind w:left="200" w:right="360"/>
        <w:spacing w:after="0" w:line="253"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 and the patent protection, prosecution and enforcement for some of our product candidates may be dependent on our licensors.</w:t>
      </w:r>
    </w:p>
    <w:p>
      <w:pPr>
        <w:spacing w:after="0" w:line="83" w:lineRule="exact"/>
        <w:rPr>
          <w:sz w:val="20"/>
          <w:szCs w:val="20"/>
          <w:color w:val="auto"/>
        </w:rPr>
      </w:pPr>
    </w:p>
    <w:p>
      <w:pPr>
        <w:jc w:val="both"/>
        <w:ind w:left="200" w:right="400" w:firstLine="551"/>
        <w:spacing w:after="0" w:line="261" w:lineRule="auto"/>
        <w:rPr>
          <w:sz w:val="20"/>
          <w:szCs w:val="20"/>
          <w:color w:val="auto"/>
        </w:rPr>
      </w:pPr>
      <w:r>
        <w:rPr>
          <w:rFonts w:ascii="Arial" w:cs="Arial" w:eastAsia="Arial" w:hAnsi="Arial"/>
          <w:sz w:val="17"/>
          <w:szCs w:val="17"/>
          <w:color w:val="auto"/>
        </w:rPr>
        <w:t>We currently are reliant upon licenses of certain patent rights and proprietary technology from third parties that is important or necessary to the development of our technology, including technology related to our product candidates. For example, we rely on our exclusive license agreements with The Regents of the University of California (the UC Regents) for all of our rights with respect to the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intellectual property covering certain compositions of matter and methods of use of certain AAV variants related to our research candidates in lead optimization stage. These and other licenses we may enter into in the future may not provide adequate rights to use such intellectual property and technology in all relevant fields of use or in all territories in which we may wish to develop or commercialize our technology and product candidates in the future. As a result, we may not be able to develop and commercialize our technology and product candidates in fields of use and territories for which we are not granted rights pursuant to such licenses.</w:t>
      </w:r>
    </w:p>
    <w:p>
      <w:pPr>
        <w:spacing w:after="0" w:line="203"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Licenses to additional third party technology that may be required for our development programs may not be available in the future or may not be available on commercially reasonable terms, which could seriously harm our business.</w:t>
      </w:r>
    </w:p>
    <w:p>
      <w:pPr>
        <w:spacing w:after="0" w:line="197"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In some circumstances, we may not have the right to control the preparation, filing, prosecution and enforcement of patent applications, or to maintain the patents, covering technology that we license from third parties. In addition, some of our agreements with our licensors require us to obtain consent from the licensor before we can enforce patent rights, and our licensor may withhold such consent or may not provide it on a timely basis. Therefore, we cannot be certain that our licensors or collaborators will prosecute, maintain, enforce and defend such intellectual property rights in a manner consistent with the best interests of our business, including by taking reasonable measures to protect the confidentiality of know-how and trade secrets, or by paying all applicable prosecution and maintenance fees related to intellectual property registrations for any of our product candidates. We also cannot be certain that our licensors have drafted or prosecuted the patents and patent applications licensed to us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205"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current licenses, and our future licenses likely will, impose various royalty payments, milestones, and other obligations on us. If we fail to comply with any of these obligations, we may be required to pay damages and the licensor may have the right to terminate the license. Termination by the licensor would cause us to lose valuable rights, and could prevent us from developing and commercializing our product candidates and proprietary technologies.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current or future licenses terminate, or if the underlying patents fail to provide the intended exclusivity, competitors or other third parties may gain the freedom to seek regulatory approval of, and to market, products identical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289" w:lineRule="exact"/>
        <w:rPr>
          <w:sz w:val="20"/>
          <w:szCs w:val="20"/>
          <w:color w:val="auto"/>
        </w:rPr>
      </w:pPr>
    </w:p>
    <w:p>
      <w:pPr>
        <w:jc w:val="both"/>
        <w:ind w:left="200" w:right="380"/>
        <w:spacing w:after="0" w:line="253" w:lineRule="auto"/>
        <w:rPr>
          <w:sz w:val="20"/>
          <w:szCs w:val="20"/>
          <w:color w:val="auto"/>
        </w:rPr>
      </w:pPr>
      <w:r>
        <w:rPr>
          <w:rFonts w:ascii="Arial" w:cs="Arial" w:eastAsia="Arial" w:hAnsi="Arial"/>
          <w:sz w:val="18"/>
          <w:szCs w:val="18"/>
          <w:b w:val="1"/>
          <w:bCs w:val="1"/>
          <w:i w:val="1"/>
          <w:iCs w:val="1"/>
          <w:color w:val="auto"/>
        </w:rPr>
        <w:t>We may fail to comply with any of our obligations under existing or future agreements pursuant to which we license or have otherwise acquired intellectual property rights or technology, which could result in the loss of rights or technology that are material to our business.</w:t>
      </w:r>
    </w:p>
    <w:p>
      <w:pPr>
        <w:spacing w:after="0" w:line="83" w:lineRule="exact"/>
        <w:rPr>
          <w:sz w:val="20"/>
          <w:szCs w:val="20"/>
          <w:color w:val="auto"/>
        </w:rPr>
      </w:pPr>
    </w:p>
    <w:p>
      <w:pPr>
        <w:ind w:left="200" w:right="320" w:firstLine="551"/>
        <w:spacing w:after="0" w:line="246" w:lineRule="auto"/>
        <w:rPr>
          <w:sz w:val="20"/>
          <w:szCs w:val="20"/>
          <w:color w:val="auto"/>
        </w:rPr>
      </w:pPr>
      <w:r>
        <w:rPr>
          <w:rFonts w:ascii="Arial" w:cs="Arial" w:eastAsia="Arial" w:hAnsi="Arial"/>
          <w:sz w:val="18"/>
          <w:szCs w:val="18"/>
          <w:color w:val="auto"/>
        </w:rPr>
        <w:t>We are party to various agreements that we depend on to operate our business. Our rights to use currently licensed intellectual property, or intellectual property to be licensed in the future, are or will be</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80"/>
          </w:cols>
          <w:pgMar w:left="24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20"/>
        <w:spacing w:after="0"/>
        <w:rPr>
          <w:sz w:val="20"/>
          <w:szCs w:val="20"/>
          <w:color w:val="auto"/>
        </w:rPr>
      </w:pPr>
      <w:r>
        <w:rPr>
          <w:rFonts w:ascii="Arial" w:cs="Arial" w:eastAsia="Arial" w:hAnsi="Arial"/>
          <w:sz w:val="18"/>
          <w:szCs w:val="18"/>
          <w:color w:val="auto"/>
        </w:rPr>
        <w:t>subject to the continuation of and our compliance with the terms of these agreements. These agreements are complex, and certain provisions in such agreements may be susceptible to multiple interpretations which could lead to disputes, including but not limited to those regarding:</w:t>
      </w:r>
    </w:p>
    <w:p>
      <w:pPr>
        <w:spacing w:after="0" w:line="108" w:lineRule="exact"/>
        <w:rPr>
          <w:sz w:val="20"/>
          <w:szCs w:val="20"/>
          <w:color w:val="auto"/>
        </w:rPr>
      </w:pPr>
    </w:p>
    <w:p>
      <w:pPr>
        <w:ind w:left="960" w:hanging="216"/>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960" w:right="160" w:hanging="216"/>
        <w:spacing w:after="0" w:line="246"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extent to which our proprietary technology and product candidates infringe on intellectual property of the licensor that is not subject to the licensing agreement;</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960" w:right="100" w:hanging="216"/>
        <w:spacing w:after="0" w:line="246"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creation or use of intellectual property by us or our counterparties, alone or jointly;</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and duration of our payment obligations;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rights upon termination of such agreement;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and duration of exclusivity obligations of each party to the agreement.</w:t>
      </w:r>
    </w:p>
    <w:p>
      <w:pPr>
        <w:spacing w:after="0" w:line="212" w:lineRule="exact"/>
        <w:rPr>
          <w:sz w:val="20"/>
          <w:szCs w:val="20"/>
          <w:color w:val="auto"/>
        </w:rPr>
      </w:pPr>
    </w:p>
    <w:p>
      <w:pPr>
        <w:ind w:left="200" w:right="340" w:firstLine="551"/>
        <w:spacing w:after="0" w:line="239" w:lineRule="auto"/>
        <w:rPr>
          <w:sz w:val="20"/>
          <w:szCs w:val="20"/>
          <w:color w:val="auto"/>
        </w:rPr>
      </w:pPr>
      <w:r>
        <w:rPr>
          <w:rFonts w:ascii="Arial" w:cs="Arial" w:eastAsia="Arial" w:hAnsi="Arial"/>
          <w:sz w:val="18"/>
          <w:szCs w:val="18"/>
          <w:color w:val="auto"/>
        </w:rPr>
        <w:t>The resolution of any contractual interpretation dispute that may arise, if unfavorable to us, could seriously harm our business. Such resolution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w:t>
      </w:r>
    </w:p>
    <w:p>
      <w:pPr>
        <w:spacing w:after="0" w:line="202"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If disputes over intellectual property rights that we have licensed or acquired from third parties prevent or impair our ability to maintain our current license agreements on acceptable terms, we may be unable to successfully develop and commercialize the affected product candidates. If we fail to comply with our obligations under current or future license agreements, these agreements may be terminated or the scope of our rights under them may be reduced and we might be unable to develop, manufacture or market any product that is licensed under these agreements.</w:t>
      </w:r>
    </w:p>
    <w:p>
      <w:pPr>
        <w:spacing w:after="0" w:line="289" w:lineRule="exact"/>
        <w:rPr>
          <w:sz w:val="20"/>
          <w:szCs w:val="20"/>
          <w:color w:val="auto"/>
        </w:rPr>
      </w:pPr>
    </w:p>
    <w:p>
      <w:pPr>
        <w:ind w:left="200" w:right="200"/>
        <w:spacing w:after="0" w:line="271" w:lineRule="auto"/>
        <w:rPr>
          <w:sz w:val="20"/>
          <w:szCs w:val="20"/>
          <w:color w:val="auto"/>
        </w:rPr>
      </w:pPr>
      <w:r>
        <w:rPr>
          <w:rFonts w:ascii="Arial" w:cs="Arial" w:eastAsia="Arial" w:hAnsi="Arial"/>
          <w:sz w:val="18"/>
          <w:szCs w:val="18"/>
          <w:b w:val="1"/>
          <w:bCs w:val="1"/>
          <w:i w:val="1"/>
          <w:iCs w:val="1"/>
          <w:color w:val="auto"/>
        </w:rPr>
        <w:t>Litigation or other proceedings or third party claims of intellectual property infringement could require us to spend significant time and money and could prevent us from selling our products.</w:t>
      </w:r>
    </w:p>
    <w:p>
      <w:pPr>
        <w:spacing w:after="0" w:line="68"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Our commercial success depends significantly on our ability to operate without infringing the patents and other proprietary rights of third parties. However, our research, development and commercialization activities may be subject to claims that we infringe or otherwise violate patents or other intellectual property rights owned or controlled by third parties. Claims by third parties that we infringe their proprietary rights may result in liability for damages or prevent or delay our developmental and commercialization efforts. We cannot assure you that our operations do not, or will not in the future, infringe existing or future patents or other proprietary rights of third parties.</w:t>
      </w:r>
    </w:p>
    <w:p>
      <w:pPr>
        <w:spacing w:after="0" w:line="20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 xml:space="preserve">Third parties may have or obtain patents or other proprietary rights that could limit our ability to make, use, sell, offer for sale or import our product candidates and future approved products, if any, or impair our competitive position. There is a substantial amount of litigation, both within and outside the United States, involving patent and other intellectual property rights in the biotechnology and pharmaceutical industries, including patent infringement lawsuits, interferences, oppositions,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proceedings and post-grant review proceedings before the USPTO and/or corresponding foreign patent offices. Numerous third party U.S. and foreign issued patents and pending patent applications exist in the fields in which we are developing product candidates. There may be third party patents or patent applications with claims to materials, formulations, methods of manufacture or methods for treatment related to the use or manufacture of our product candidates.</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80"/>
          </w:cols>
          <w:pgMar w:left="24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or product candidates are not covered by a third 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spacing w:after="0" w:line="203" w:lineRule="exact"/>
        <w:rPr>
          <w:sz w:val="20"/>
          <w:szCs w:val="20"/>
          <w:color w:val="auto"/>
        </w:rPr>
      </w:pPr>
    </w:p>
    <w:p>
      <w:pPr>
        <w:ind w:left="200" w:firstLine="551"/>
        <w:spacing w:after="0" w:line="235" w:lineRule="auto"/>
        <w:rPr>
          <w:sz w:val="20"/>
          <w:szCs w:val="20"/>
          <w:color w:val="auto"/>
        </w:rPr>
      </w:pPr>
      <w:r>
        <w:rPr>
          <w:rFonts w:ascii="Arial" w:cs="Arial" w:eastAsia="Arial" w:hAnsi="Arial"/>
          <w:sz w:val="18"/>
          <w:szCs w:val="18"/>
          <w:color w:val="auto"/>
        </w:rPr>
        <w:t>As the biotechnology industry expands and more patents are issued, the risk increases that our product candidates may be subject to claims of infringement of the patent rights of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our product candidates or the use of our product candidates. As such, there may be applications of others now pending or recently revived patents of which we are unaware. These applications may later result in issued patents, or the revival of previously abandoned patents, that will prevent, limit or otherwise interfere with our ability to make, use or sell our product candidates. As a result, we may be unaware of third party patents that may be infringed by commercialization of our product candidates, and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 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w:t>
      </w:r>
    </w:p>
    <w:p>
      <w:pPr>
        <w:spacing w:after="0" w:line="120" w:lineRule="exact"/>
        <w:rPr>
          <w:sz w:val="20"/>
          <w:szCs w:val="20"/>
          <w:color w:val="auto"/>
        </w:rPr>
      </w:pPr>
    </w:p>
    <w:p>
      <w:pPr>
        <w:ind w:left="960" w:hanging="216"/>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 in costly litigation;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17" w:lineRule="exact"/>
        <w:rPr>
          <w:rFonts w:ascii="Arial" w:cs="Arial" w:eastAsia="Arial" w:hAnsi="Arial"/>
          <w:sz w:val="18"/>
          <w:szCs w:val="18"/>
          <w:color w:val="auto"/>
        </w:rPr>
      </w:pPr>
    </w:p>
    <w:p>
      <w:pPr>
        <w:ind w:left="960" w:right="60" w:hanging="216"/>
        <w:spacing w:after="0" w:line="246"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prevent us from commercializing our product candidates until the asserted patent expires or is held finally invalid or not infringed in a court of law;</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7" w:lineRule="exact"/>
        <w:rPr>
          <w:rFonts w:ascii="Arial" w:cs="Arial" w:eastAsia="Arial" w:hAnsi="Arial"/>
          <w:sz w:val="18"/>
          <w:szCs w:val="18"/>
          <w:color w:val="auto"/>
        </w:rPr>
      </w:pPr>
    </w:p>
    <w:p>
      <w:pPr>
        <w:ind w:left="960" w:right="260" w:hanging="216"/>
        <w:spacing w:after="0" w:line="246"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us to pay damages to the party whose intellectual property rights we may be found to be infringing, which may include treble damages if we are found to have been willfully infringing such intellectual property;</w:t>
      </w:r>
    </w:p>
    <w:p>
      <w:pPr>
        <w:spacing w:after="0" w:line="102" w:lineRule="exact"/>
        <w:rPr>
          <w:rFonts w:ascii="Arial" w:cs="Arial" w:eastAsia="Arial" w:hAnsi="Arial"/>
          <w:sz w:val="18"/>
          <w:szCs w:val="18"/>
          <w:color w:val="auto"/>
        </w:rPr>
      </w:pPr>
    </w:p>
    <w:p>
      <w:pPr>
        <w:ind w:left="960" w:right="160" w:hanging="216"/>
        <w:spacing w:after="0" w:line="246"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us to pay the attorney’s fees and costs of litigation to the party whose intellectual property rights we may be found to be infringing; and/or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40"/>
        <w:spacing w:after="0"/>
        <w:tabs>
          <w:tab w:leader="none" w:pos="940" w:val="left"/>
        </w:tabs>
        <w:rPr>
          <w:sz w:val="20"/>
          <w:szCs w:val="20"/>
          <w:color w:val="auto"/>
        </w:rPr>
      </w:pPr>
      <w:r>
        <w:rPr>
          <w:rFonts w:ascii="Arial" w:cs="Arial" w:eastAsia="Arial" w:hAnsi="Arial"/>
          <w:sz w:val="18"/>
          <w:szCs w:val="18"/>
          <w:color w:val="auto"/>
        </w:rPr>
        <w:t>•</w:t>
        <w:tab/>
        <w:t>require us to enter into royalty or licensing agreements, which may not be available on commercially reasonable terms, or at all.</w:t>
      </w:r>
    </w:p>
    <w:p>
      <w:pPr>
        <w:spacing w:after="0" w:line="212"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prospectus, others may hold proprietary rights that could prevent our product candidates or any future products from being marketed. Any patent-related legal action against us claiming damages and seeking to enjoin commercial activities relating to our product candidates or proprietary technologies could subject us to potential liability for damages, including treble damages if we were determined to willfully infringe, and require us to obtain a license to manufacture or market our product candidates or any future products. Defense of these claims, regardless of their merit, would involve substantial litigation expense and would be time-consuming and a substantial diversion of management and employee resources from our business. We cannot predict whether we would prevail in any such actions or that any license required under any of these patents would be made available on commercially acceptable terms, if at all. Even if such licenses are available, we could incur substantial costs related to royalty payments for licenses obtained from third parties, which could negatively affect our gross margins, and the rights may be non-exclusive, which could give our competitors access to the same technology or intellectual property rights licensed to us. In addition, we cannot be certain that we could redesign our product candidates or proprietary technologies to avoid infringement, if necessary, or on a cost-effective basis. Accordingly, an adverse determination in a judicial or administrative proceeding, or the failure to obtain necessary licenses, could prevent us from developing and commercializing our product candidates or any future products which could seriously harm our business. In addition, intellectual property litigation, regardless of its outcome, may cause negative publicity and could prohibit us from marketing or otherwise commercializing our product candidates and technology.</w:t>
      </w:r>
    </w:p>
    <w:p>
      <w:pPr>
        <w:spacing w:after="0" w:line="202" w:lineRule="exact"/>
        <w:rPr>
          <w:sz w:val="20"/>
          <w:szCs w:val="20"/>
          <w:color w:val="auto"/>
        </w:rPr>
      </w:pPr>
    </w:p>
    <w:p>
      <w:pPr>
        <w:ind w:left="200" w:right="240" w:firstLine="551"/>
        <w:spacing w:after="0" w:line="237" w:lineRule="auto"/>
        <w:rPr>
          <w:sz w:val="20"/>
          <w:szCs w:val="20"/>
          <w:color w:val="auto"/>
        </w:rPr>
      </w:pPr>
      <w:r>
        <w:rPr>
          <w:rFonts w:ascii="Arial" w:cs="Arial" w:eastAsia="Arial" w:hAnsi="Arial"/>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291" w:lineRule="exact"/>
        <w:rPr>
          <w:sz w:val="20"/>
          <w:szCs w:val="20"/>
          <w:color w:val="auto"/>
        </w:rPr>
      </w:pPr>
    </w:p>
    <w:p>
      <w:pPr>
        <w:ind w:left="200" w:right="60"/>
        <w:spacing w:after="0" w:line="271"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 Further, our issued patents could be found invalid or unenforceable if challenged.</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Competitors may infringe our intellectual property rights or those of our licensors. To prevent infringement or unauthorized use, we may be required to file infringement claims, which can be expensive and time-consuming. In addition, in a patent infringement proceeding, a court or administrative tribunal may decide that a patent we own or 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or non-enablement.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Similar mechanisms for challenging the validity and enforceability of a patent exist in foreign</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patent offices and may result in the revocation, cancellation, or amendment of any foreign patents we hold in the future. The outcome following legal assertions of invalidity and unenforceability is unpredictable, and prior art could render our patents or those of our licensors invalid. If a defendant were to prevail on a legal assertion of invalidity and/or unenforceability, we could lose at least part, and perhaps all, of the patent protection on an affected product candidate. Such a loss of patent protection would seriously harm our business.</w:t>
      </w:r>
    </w:p>
    <w:p>
      <w:pPr>
        <w:spacing w:after="0" w:line="202"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or equivalent actions brought in foreign jurisdictions,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seriously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07" w:lineRule="exact"/>
        <w:rPr>
          <w:sz w:val="20"/>
          <w:szCs w:val="20"/>
          <w:color w:val="auto"/>
        </w:rPr>
      </w:pPr>
    </w:p>
    <w:p>
      <w:pPr>
        <w:ind w:left="200" w:right="100" w:firstLine="551"/>
        <w:spacing w:after="0" w:line="23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8" w:lineRule="exact"/>
        <w:rPr>
          <w:sz w:val="20"/>
          <w:szCs w:val="20"/>
          <w:color w:val="auto"/>
        </w:rPr>
      </w:pPr>
    </w:p>
    <w:p>
      <w:pPr>
        <w:ind w:left="200" w:right="420"/>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product candidates through acquisitions and licenses.</w:t>
      </w:r>
    </w:p>
    <w:p>
      <w:pPr>
        <w:spacing w:after="0" w:line="68"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We currently have rights to the intellectual property, through licenses from third parties and under patents that we own, to develop our product candidates. Because our programs may require the use of proprietary rights held by third parties, the growth of our business will depend in part on our ability to acquire, license or use these proprietary rights. We may be unable to acquire or license any compositions, methods of use, processes or other third party intellectual property rights from third parties that we identify as necessary for our product candidates. The licensing and acquisition of third party intellectual property rights is a competitive area, and a number of more established companies are also pursuing strategies to license or acquire third party intellectual property rights that we may consider attractive. These established companies may have a competitive advantage over us due to</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80"/>
          </w:cols>
          <w:pgMar w:left="24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their size, cash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w:t>
      </w:r>
    </w:p>
    <w:p>
      <w:pPr>
        <w:spacing w:after="0" w:line="203"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We have collaborated with, and are currently collaborating with, U.S. academic institutions and may in the future collaborate with U.S. and foreign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205" w:lineRule="exact"/>
        <w:rPr>
          <w:sz w:val="20"/>
          <w:szCs w:val="20"/>
          <w:color w:val="auto"/>
        </w:rPr>
      </w:pPr>
    </w:p>
    <w:p>
      <w:pPr>
        <w:ind w:left="200" w:right="240" w:firstLine="551"/>
        <w:spacing w:after="0" w:line="246"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that program and our business could be seriously harmed.</w:t>
      </w:r>
    </w:p>
    <w:p>
      <w:pPr>
        <w:spacing w:after="0" w:line="283" w:lineRule="exact"/>
        <w:rPr>
          <w:sz w:val="20"/>
          <w:szCs w:val="20"/>
          <w:color w:val="auto"/>
        </w:rPr>
      </w:pPr>
    </w:p>
    <w:p>
      <w:pPr>
        <w:ind w:left="200" w:right="320"/>
        <w:spacing w:after="0" w:line="253"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our employees or consultants have wrongfully used or disclosed alleged confidential information or trade secrets of their former or concurrent employers or former or current clients.</w:t>
      </w:r>
    </w:p>
    <w:p>
      <w:pPr>
        <w:spacing w:after="0" w:line="83"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As is common in the biotechnology and biopharmaceutical industries,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or biopharmaceutical companies, including our competitors or potential competitors. Although we try to ensure that our employees and consultants do not use the proprietary information or know-how of others in their work for us, we may become subject to claims that we, our employees or a consultant inadvertently or otherwise used or disclosed trade secrets or other information proprietary to their former employers or their former or current clients. We may also be subject to claims that patents and applications we have filed to protect inventions of our employees or consultants, even those related to one or more of our product candidates, are rightfully owned by their former or concurrent employer or former or current client. Litigation may be necessary to defend against these claims. If we fail in defending any such claims, in addition to paying monetary damages, we may lose valuable intellectual property rights, which could seriously harm our business. Even if we are successful in defending against these claims, litigation could result in substantial costs and be a distraction to our management and other employees.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2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Our agreements with employees and consultants provide that any inventions conceived by an individual in the course of rendering services to us shall be our exclusive property. Although our policy is to have all such individuals complete these agreements, we may not obtain these agreements in all circumstances, and individuals with whom we have these agreements may not comply with their terms. The assignment of intellectual property may not be self-executing and despite such agreement, such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 We may also be subject to claims that former employees, consultants, or other third parties have an ownership</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interest in our patents or other intellectual property. In addition, we may face claims by third parties that our agreements with employees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seriously harm our business. Even if we are successful in defending against such claims, litigation could result in substantial costs and distraction to our management and other employees.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seriously harmed.</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Depending upon the timing, duration and specifics of FDA marketing approval of any of our product candidates, one or more of our U.S. patents may be eligible for limited patent term restoration under the Drug Price Competition and Patent Term Restoration Act of 1984, also known as the Hatch-Waxman Amendments. The Hatch-Waxman Amendments permit a patent restoration term of up to five years as compensation for patent term lost during product development and the FDA regulatory review process. The Hatch-Waxman Act allows a maximum of one patent to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of the applicable product, and our business may be seriously harmed.</w:t>
      </w:r>
    </w:p>
    <w:p>
      <w:pPr>
        <w:spacing w:after="0" w:line="290" w:lineRule="exact"/>
        <w:rPr>
          <w:sz w:val="20"/>
          <w:szCs w:val="20"/>
          <w:color w:val="auto"/>
        </w:rPr>
      </w:pPr>
    </w:p>
    <w:p>
      <w:pPr>
        <w:ind w:left="200" w:right="140"/>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whether registered in the future or unregistered now, are not adequately protected, then we may not be able to build name recognition in our markets of interest and our business may be adversely affected.</w:t>
      </w:r>
    </w:p>
    <w:p>
      <w:pPr>
        <w:spacing w:after="0" w:line="68"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Any trademarks we may register in the future or any current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the extent any are registered,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 ineffective and could result in substantial costs and diversion of resources and could seriously harm our business.</w:t>
      </w:r>
    </w:p>
    <w:p>
      <w:pPr>
        <w:spacing w:after="0" w:line="298" w:lineRule="exact"/>
        <w:rPr>
          <w:sz w:val="20"/>
          <w:szCs w:val="20"/>
          <w:color w:val="auto"/>
        </w:rPr>
      </w:pPr>
    </w:p>
    <w:p>
      <w:pPr>
        <w:ind w:left="200" w:right="20"/>
        <w:spacing w:after="0" w:line="271" w:lineRule="auto"/>
        <w:rPr>
          <w:sz w:val="20"/>
          <w:szCs w:val="20"/>
          <w:color w:val="auto"/>
        </w:rPr>
      </w:pPr>
      <w:r>
        <w:rPr>
          <w:rFonts w:ascii="Arial" w:cs="Arial" w:eastAsia="Arial" w:hAnsi="Arial"/>
          <w:sz w:val="18"/>
          <w:szCs w:val="18"/>
          <w:b w:val="1"/>
          <w:bCs w:val="1"/>
          <w:i w:val="1"/>
          <w:iCs w:val="1"/>
          <w:color w:val="auto"/>
        </w:rPr>
        <w:t>Changes in patent law in the United States or in other countries could diminish the value of patents in general, thereby impairing our ability to protect our product candidates.</w:t>
      </w:r>
    </w:p>
    <w:p>
      <w:pPr>
        <w:spacing w:after="0" w:line="68" w:lineRule="exact"/>
        <w:rPr>
          <w:sz w:val="20"/>
          <w:szCs w:val="20"/>
          <w:color w:val="auto"/>
        </w:rPr>
      </w:pPr>
    </w:p>
    <w:p>
      <w:pPr>
        <w:ind w:left="200" w:right="160" w:firstLine="551"/>
        <w:spacing w:after="0" w:line="246" w:lineRule="auto"/>
        <w:rPr>
          <w:sz w:val="20"/>
          <w:szCs w:val="20"/>
          <w:color w:val="auto"/>
        </w:rPr>
      </w:pPr>
      <w:r>
        <w:rPr>
          <w:rFonts w:ascii="Arial" w:cs="Arial" w:eastAsia="Arial" w:hAnsi="Arial"/>
          <w:sz w:val="18"/>
          <w:szCs w:val="18"/>
          <w:color w:val="auto"/>
        </w:rPr>
        <w:t>Our patent rights may be affected by developments or uncertainty in the U.S. or foreign patent statutes, patent case laws, USPTO rules and regulations or in the rules and regulations of foreign patent offices.</w:t>
      </w:r>
    </w:p>
    <w:p>
      <w:pPr>
        <w:spacing w:after="0" w:line="197" w:lineRule="exact"/>
        <w:rPr>
          <w:sz w:val="20"/>
          <w:szCs w:val="20"/>
          <w:color w:val="auto"/>
        </w:rPr>
      </w:pPr>
    </w:p>
    <w:p>
      <w:pPr>
        <w:ind w:left="200" w:firstLine="551"/>
        <w:spacing w:after="0" w:line="235" w:lineRule="auto"/>
        <w:rPr>
          <w:sz w:val="20"/>
          <w:szCs w:val="20"/>
          <w:color w:val="auto"/>
        </w:rPr>
      </w:pPr>
      <w:r>
        <w:rPr>
          <w:rFonts w:ascii="Arial" w:cs="Arial" w:eastAsia="Arial" w:hAnsi="Arial"/>
          <w:sz w:val="18"/>
          <w:szCs w:val="18"/>
          <w:color w:val="auto"/>
        </w:rPr>
        <w:t xml:space="preserve">There are a number of recent changes to the U.S. patent laws that may have a significant impact on our ability to protect our technology and enforce our intellectual property rights. For example, on September 16, 2011, the Leahy-Smith America Invents Act (Leahy-Smith Act) was signed into law. The Leahy-Smith Act includes a number of significant changes to the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opposition, derivation,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This could have a negative impact on some of our intellectual property and could increase uncertainties surrounding obtaining and enforcement or defense of our issued patents. In addition, Congress may pass patent reform legislation that is unfavorable to us. The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ability to obtain new patents or to enforce our existing patents and patents we might obtain in the future. Similarly, statutory or judicial changes to the patent laws of other countries may increase the uncertainties and costs surrounding the prosecution of patent applications and the enforcement or defense of issued patents. Complying with these laws and regulations could limit our ability to obtain new patents in the future that may be important for our business.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26" w:lineRule="exact"/>
        <w:rPr>
          <w:sz w:val="20"/>
          <w:szCs w:val="20"/>
          <w:color w:val="auto"/>
        </w:rPr>
      </w:pPr>
    </w:p>
    <w:p>
      <w:pPr>
        <w:ind w:left="200" w:right="100" w:firstLine="551"/>
        <w:spacing w:after="0" w:line="236" w:lineRule="auto"/>
        <w:rPr>
          <w:sz w:val="20"/>
          <w:szCs w:val="20"/>
          <w:color w:val="auto"/>
        </w:rPr>
      </w:pPr>
      <w:r>
        <w:rPr>
          <w:rFonts w:ascii="Arial" w:cs="Arial" w:eastAsia="Arial" w:hAnsi="Arial"/>
          <w:sz w:val="18"/>
          <w:szCs w:val="18"/>
          <w:color w:val="auto"/>
        </w:rPr>
        <w:t>Filing, prosecuting and defending all current and future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The legal systems of many foreign countries do not favor the enforcement of patents and other intellectual property protection, which could make it difficult for us to stop the infringement of our patents or marketing of competing products in violation of our proprietary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may provide limited or no benefit.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If we or any of our licensors is forced to grant a license to third parties with respect to any patents relevant to our business, our business may be seriously harmed.</w:t>
      </w:r>
    </w:p>
    <w:p>
      <w:pPr>
        <w:spacing w:after="0" w:line="292" w:lineRule="exact"/>
        <w:rPr>
          <w:sz w:val="20"/>
          <w:szCs w:val="20"/>
          <w:color w:val="auto"/>
        </w:rPr>
      </w:pPr>
    </w:p>
    <w:p>
      <w:pPr>
        <w:ind w:left="200" w:right="480"/>
        <w:spacing w:after="0" w:line="25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and if we 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26" w:lineRule="exact"/>
        <w:rPr>
          <w:sz w:val="20"/>
          <w:szCs w:val="20"/>
          <w:color w:val="auto"/>
        </w:rPr>
      </w:pPr>
    </w:p>
    <w:p>
      <w:pPr>
        <w:ind w:left="200" w:right="400" w:firstLine="551"/>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2" w:lineRule="exact"/>
        <w:rPr>
          <w:sz w:val="20"/>
          <w:szCs w:val="20"/>
          <w:color w:val="auto"/>
        </w:rPr>
      </w:pPr>
    </w:p>
    <w:p>
      <w:pPr>
        <w:ind w:left="960" w:right="500" w:hanging="216"/>
        <w:spacing w:after="0" w:line="246"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or utilize similar gene therapy technology but that are not covered by the claims of the patents that we own or have exclusively licensed;</w:t>
      </w:r>
    </w:p>
    <w:p>
      <w:pPr>
        <w:spacing w:after="0" w:line="102" w:lineRule="exact"/>
        <w:rPr>
          <w:rFonts w:ascii="Arial" w:cs="Arial" w:eastAsia="Arial" w:hAnsi="Arial"/>
          <w:sz w:val="18"/>
          <w:szCs w:val="18"/>
          <w:color w:val="auto"/>
        </w:rPr>
      </w:pPr>
    </w:p>
    <w:p>
      <w:pPr>
        <w:ind w:left="960" w:right="120" w:hanging="216"/>
        <w:spacing w:after="0" w:line="246"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licensors or future collaborators might not have been the first to make the inventions covered by the issued patents or pending patent applications that we own or have exclusively licensed;</w:t>
      </w:r>
    </w:p>
    <w:p>
      <w:pPr>
        <w:spacing w:after="0" w:line="102" w:lineRule="exact"/>
        <w:rPr>
          <w:rFonts w:ascii="Arial" w:cs="Arial" w:eastAsia="Arial" w:hAnsi="Arial"/>
          <w:sz w:val="18"/>
          <w:szCs w:val="18"/>
          <w:color w:val="auto"/>
        </w:rPr>
      </w:pPr>
    </w:p>
    <w:p>
      <w:pPr>
        <w:ind w:left="960" w:right="760" w:hanging="216"/>
        <w:spacing w:after="0" w:line="246"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licensors or future collaborators might not have been the first to file patent applications covering certain of our inventions;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180" w:hanging="216"/>
        <w:spacing w:after="0" w:line="246"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17" w:lineRule="exact"/>
        <w:rPr>
          <w:rFonts w:ascii="Arial" w:cs="Arial" w:eastAsia="Arial" w:hAnsi="Arial"/>
          <w:sz w:val="18"/>
          <w:szCs w:val="18"/>
          <w:color w:val="auto"/>
        </w:rPr>
      </w:pPr>
    </w:p>
    <w:p>
      <w:pPr>
        <w:ind w:left="960" w:right="80" w:hanging="216"/>
        <w:spacing w:after="0" w:line="246"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be held invalid or unenforceable, as a result of legal challenges by our competitors;</w:t>
      </w:r>
    </w:p>
    <w:p>
      <w:pPr>
        <w:spacing w:after="0" w:line="102" w:lineRule="exact"/>
        <w:rPr>
          <w:rFonts w:ascii="Arial" w:cs="Arial" w:eastAsia="Arial" w:hAnsi="Arial"/>
          <w:sz w:val="18"/>
          <w:szCs w:val="18"/>
          <w:color w:val="auto"/>
        </w:rPr>
      </w:pPr>
    </w:p>
    <w:p>
      <w:pPr>
        <w:ind w:left="960" w:hanging="216"/>
        <w:spacing w:after="0" w:line="246"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Should any of these events occur, they could seriously harm our business.</w:t>
      </w:r>
    </w:p>
    <w:p>
      <w:pPr>
        <w:spacing w:after="0" w:line="298" w:lineRule="exact"/>
        <w:rPr>
          <w:sz w:val="20"/>
          <w:szCs w:val="20"/>
          <w:color w:val="auto"/>
        </w:rPr>
      </w:pPr>
    </w:p>
    <w:p>
      <w:pPr>
        <w:ind w:left="200" w:right="320"/>
        <w:spacing w:after="0" w:line="271"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68" w:lineRule="exact"/>
        <w:rPr>
          <w:sz w:val="20"/>
          <w:szCs w:val="20"/>
          <w:color w:val="auto"/>
        </w:rPr>
      </w:pPr>
    </w:p>
    <w:p>
      <w:pPr>
        <w:ind w:left="200" w:right="400" w:firstLine="551"/>
        <w:spacing w:after="0" w:line="246"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102" w:lineRule="exact"/>
        <w:rPr>
          <w:sz w:val="20"/>
          <w:szCs w:val="20"/>
          <w:color w:val="auto"/>
        </w:rPr>
      </w:pPr>
    </w:p>
    <w:p>
      <w:pPr>
        <w:ind w:left="960" w:hanging="216"/>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17" w:lineRule="exact"/>
        <w:rPr>
          <w:rFonts w:ascii="Arial" w:cs="Arial" w:eastAsia="Arial" w:hAnsi="Arial"/>
          <w:sz w:val="18"/>
          <w:szCs w:val="18"/>
          <w:color w:val="auto"/>
        </w:rPr>
      </w:pPr>
    </w:p>
    <w:p>
      <w:pPr>
        <w:ind w:left="960" w:right="180" w:hanging="216"/>
        <w:spacing w:after="0" w:line="239"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07" w:lineRule="exact"/>
        <w:rPr>
          <w:rFonts w:ascii="Arial" w:cs="Arial" w:eastAsia="Arial" w:hAnsi="Arial"/>
          <w:sz w:val="18"/>
          <w:szCs w:val="18"/>
          <w:color w:val="auto"/>
        </w:rPr>
      </w:pPr>
    </w:p>
    <w:p>
      <w:pPr>
        <w:ind w:left="960" w:right="160" w:hanging="216"/>
        <w:spacing w:after="0" w:line="246"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and product candidates that compete directly or indirectly with our product candidates;</w:t>
      </w:r>
    </w:p>
    <w:p>
      <w:pPr>
        <w:spacing w:after="0" w:line="102" w:lineRule="exact"/>
        <w:rPr>
          <w:rFonts w:ascii="Arial" w:cs="Arial" w:eastAsia="Arial" w:hAnsi="Arial"/>
          <w:sz w:val="18"/>
          <w:szCs w:val="18"/>
          <w:color w:val="auto"/>
        </w:rPr>
      </w:pPr>
    </w:p>
    <w:p>
      <w:pPr>
        <w:ind w:left="960" w:right="360" w:hanging="216"/>
        <w:spacing w:after="0" w:line="246"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and product candidates may not commit sufficient resources to or otherwise not perform satisfactorily in carrying out these activities;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17" w:lineRule="exact"/>
        <w:rPr>
          <w:rFonts w:ascii="Arial" w:cs="Arial" w:eastAsia="Arial" w:hAnsi="Arial"/>
          <w:sz w:val="18"/>
          <w:szCs w:val="18"/>
          <w:color w:val="auto"/>
        </w:rPr>
      </w:pPr>
    </w:p>
    <w:p>
      <w:pPr>
        <w:ind w:left="960" w:right="60" w:hanging="216"/>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08" w:lineRule="exact"/>
        <w:rPr>
          <w:rFonts w:ascii="Arial" w:cs="Arial" w:eastAsia="Arial" w:hAnsi="Arial"/>
          <w:sz w:val="18"/>
          <w:szCs w:val="18"/>
          <w:color w:val="auto"/>
        </w:rPr>
      </w:pPr>
    </w:p>
    <w:p>
      <w:pPr>
        <w:jc w:val="both"/>
        <w:ind w:left="960" w:right="780" w:hanging="216"/>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causes the delay or termination of the research, development or commercialization of our current or future product candidates or that results in costly litigation or arbitration that diverts management attention and resources;</w:t>
      </w:r>
    </w:p>
    <w:p>
      <w:pPr>
        <w:spacing w:after="0" w:line="108" w:lineRule="exact"/>
        <w:rPr>
          <w:rFonts w:ascii="Arial" w:cs="Arial" w:eastAsia="Arial" w:hAnsi="Arial"/>
          <w:sz w:val="18"/>
          <w:szCs w:val="18"/>
          <w:color w:val="auto"/>
        </w:rPr>
      </w:pPr>
    </w:p>
    <w:p>
      <w:pPr>
        <w:ind w:left="960" w:right="60" w:hanging="216"/>
        <w:spacing w:after="0" w:line="246"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 candidates;</w:t>
      </w:r>
    </w:p>
    <w:p>
      <w:pPr>
        <w:spacing w:after="0" w:line="102" w:lineRule="exact"/>
        <w:rPr>
          <w:rFonts w:ascii="Arial" w:cs="Arial" w:eastAsia="Arial" w:hAnsi="Arial"/>
          <w:sz w:val="18"/>
          <w:szCs w:val="18"/>
          <w:color w:val="auto"/>
        </w:rPr>
      </w:pPr>
    </w:p>
    <w:p>
      <w:pPr>
        <w:ind w:left="960" w:right="280" w:hanging="216"/>
        <w:spacing w:after="0" w:line="246"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that results from our collaborating with them, and in such cases, we would not have the exclusive right to develop or commercialize such intellectual property; and</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0"/>
        <w:spacing w:after="0" w:line="246" w:lineRule="auto"/>
        <w:rPr>
          <w:sz w:val="20"/>
          <w:szCs w:val="20"/>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Operations</w:t>
      </w:r>
    </w:p>
    <w:p>
      <w:pPr>
        <w:spacing w:after="0" w:line="212" w:lineRule="exact"/>
        <w:rPr>
          <w:sz w:val="20"/>
          <w:szCs w:val="20"/>
          <w:color w:val="auto"/>
        </w:rPr>
      </w:pPr>
    </w:p>
    <w:p>
      <w:pPr>
        <w:ind w:left="200" w:right="640"/>
        <w:spacing w:after="0" w:line="271"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8"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202"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We conduct our operations at our facilities in Emeryville,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202"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To induce valuable employees to remain at our company, in addition to salary and cash incentives, we have provided restricted stock and stock option grants. The value to employees of these equity grants that vest over time may be significantly affected by movements in our stock price that are beyond our control, and may at any time be insufficient to counteract more lucrative offers from other companies. In addition, our employees are employed at-will, which means that any of our employees could leave our employment at any time, with or without notice. If we are unable to attract, incentivize and retain quality personnel on acceptable terms, or at all, it may seriously harm our business.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26" w:lineRule="exact"/>
        <w:rPr>
          <w:sz w:val="20"/>
          <w:szCs w:val="20"/>
          <w:color w:val="auto"/>
        </w:rPr>
      </w:pPr>
    </w:p>
    <w:p>
      <w:pPr>
        <w:ind w:left="200" w:right="220" w:firstLine="551"/>
        <w:spacing w:after="0"/>
        <w:rPr>
          <w:sz w:val="20"/>
          <w:szCs w:val="20"/>
          <w:color w:val="auto"/>
        </w:rPr>
      </w:pPr>
      <w:r>
        <w:rPr>
          <w:rFonts w:ascii="Arial" w:cs="Arial" w:eastAsia="Arial" w:hAnsi="Arial"/>
          <w:sz w:val="18"/>
          <w:szCs w:val="18"/>
          <w:color w:val="auto"/>
        </w:rPr>
        <w:t>As of June 30, 2019, we had 57 full-time employees. As our development plans and strategies develop, and as we transition into operating as a public company, we must add a significant number of additional managerial, operational, financial and other personnel. Future growth will impose significant added responsibilities on members of management, including:</w:t>
      </w:r>
    </w:p>
    <w:p>
      <w:pPr>
        <w:spacing w:after="0" w:line="108" w:lineRule="exact"/>
        <w:rPr>
          <w:sz w:val="20"/>
          <w:szCs w:val="20"/>
          <w:color w:val="auto"/>
        </w:rPr>
      </w:pPr>
    </w:p>
    <w:p>
      <w:pPr>
        <w:ind w:left="960" w:hanging="216"/>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identifying, recruiting, integrating, retaining and motivating additional employees;</w:t>
      </w:r>
    </w:p>
    <w:p>
      <w:pPr>
        <w:spacing w:after="0" w:line="117" w:lineRule="exact"/>
        <w:rPr>
          <w:rFonts w:ascii="Arial" w:cs="Arial" w:eastAsia="Arial" w:hAnsi="Arial"/>
          <w:sz w:val="18"/>
          <w:szCs w:val="18"/>
          <w:color w:val="auto"/>
        </w:rPr>
      </w:pPr>
    </w:p>
    <w:p>
      <w:pPr>
        <w:ind w:left="960" w:right="280" w:hanging="216"/>
        <w:spacing w:after="0" w:line="246"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expanding our operational, financial and management controls, reporting systems and procedures;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managing increasing operational and managerial complexity.</w:t>
      </w:r>
    </w:p>
    <w:p>
      <w:pPr>
        <w:spacing w:after="0" w:line="212" w:lineRule="exact"/>
        <w:rPr>
          <w:sz w:val="20"/>
          <w:szCs w:val="20"/>
          <w:color w:val="auto"/>
        </w:rPr>
      </w:pPr>
    </w:p>
    <w:p>
      <w:pPr>
        <w:ind w:left="200" w:right="100" w:firstLine="551"/>
        <w:spacing w:after="0"/>
        <w:rPr>
          <w:sz w:val="20"/>
          <w:szCs w:val="20"/>
          <w:color w:val="auto"/>
        </w:rPr>
      </w:pPr>
      <w:r>
        <w:rPr>
          <w:rFonts w:ascii="Arial" w:cs="Arial" w:eastAsia="Arial" w:hAnsi="Arial"/>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203" w:lineRule="exact"/>
        <w:rPr>
          <w:sz w:val="20"/>
          <w:szCs w:val="20"/>
          <w:color w:val="auto"/>
        </w:rPr>
      </w:pPr>
    </w:p>
    <w:p>
      <w:pPr>
        <w:ind w:left="200" w:right="520" w:firstLine="551"/>
        <w:spacing w:after="0" w:line="246"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205" w:lineRule="exact"/>
        <w:rPr>
          <w:sz w:val="20"/>
          <w:szCs w:val="20"/>
          <w:color w:val="auto"/>
        </w:rPr>
      </w:pPr>
    </w:p>
    <w:p>
      <w:pPr>
        <w:ind w:left="200" w:right="380" w:firstLine="551"/>
        <w:spacing w:after="0"/>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26"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more costly to operate. Furthermore, the most recent global financial crisis caused extreme volatility and disruptions in the capital and credit markets. A severe or prolonged economic downturn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spacing w:after="0" w:line="294" w:lineRule="exact"/>
        <w:rPr>
          <w:sz w:val="20"/>
          <w:szCs w:val="20"/>
          <w:color w:val="auto"/>
        </w:rPr>
      </w:pPr>
    </w:p>
    <w:p>
      <w:pPr>
        <w:jc w:val="both"/>
        <w:ind w:left="200" w:right="280"/>
        <w:spacing w:after="0" w:line="253"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markets in which we compete achieve the forecasted growth, our business may not grow at similar rates, or at all.</w:t>
      </w:r>
    </w:p>
    <w:p>
      <w:pPr>
        <w:spacing w:after="0" w:line="83"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color w:val="auto"/>
        </w:rPr>
        <w:t>Market opportunity estimates and growth forecasts included in this prospectus are subject to significant uncertainty and are based on assumptions and estimates which may not prove to be accurate. The estimates and forecasts included in this prospectus relating to size and expected growth of our target market may prove to be inaccurate. Even if the markets in which we compete meet the size estimates and growth forecasts included in this prospectus, our business may not grow at similar rates, or at all. Our growth is subject to many factors, including our success in implementing our business strategy, which is subject to many risks and uncertainties.</w:t>
      </w:r>
    </w:p>
    <w:p>
      <w:pPr>
        <w:spacing w:after="0" w:line="289" w:lineRule="exact"/>
        <w:rPr>
          <w:sz w:val="20"/>
          <w:szCs w:val="20"/>
          <w:color w:val="auto"/>
        </w:rPr>
      </w:pPr>
    </w:p>
    <w:p>
      <w:pPr>
        <w:ind w:left="200" w:right="560"/>
        <w:spacing w:after="0" w:line="271" w:lineRule="auto"/>
        <w:rPr>
          <w:sz w:val="20"/>
          <w:szCs w:val="20"/>
          <w:color w:val="auto"/>
        </w:rPr>
      </w:pPr>
      <w:r>
        <w:rPr>
          <w:rFonts w:ascii="Arial" w:cs="Arial" w:eastAsia="Arial" w:hAnsi="Arial"/>
          <w:sz w:val="18"/>
          <w:szCs w:val="18"/>
          <w:b w:val="1"/>
          <w:bCs w:val="1"/>
          <w:i w:val="1"/>
          <w:iCs w:val="1"/>
          <w:color w:val="auto"/>
        </w:rPr>
        <w:t>If we engage in acquisitions or strategic partnerships, this may increase our capital requirements, dilute our stockholders, cause us to incur debt or assume contingent liabilities and subject us to other risks.</w:t>
      </w:r>
    </w:p>
    <w:p>
      <w:pPr>
        <w:spacing w:after="0" w:line="68" w:lineRule="exact"/>
        <w:rPr>
          <w:sz w:val="20"/>
          <w:szCs w:val="20"/>
          <w:color w:val="auto"/>
        </w:rPr>
      </w:pPr>
    </w:p>
    <w:p>
      <w:pPr>
        <w:ind w:left="200" w:right="400" w:firstLine="551"/>
        <w:spacing w:after="0"/>
        <w:rPr>
          <w:sz w:val="20"/>
          <w:szCs w:val="20"/>
          <w:color w:val="auto"/>
        </w:rPr>
      </w:pPr>
      <w:r>
        <w:rPr>
          <w:rFonts w:ascii="Arial" w:cs="Arial" w:eastAsia="Arial" w:hAnsi="Arial"/>
          <w:sz w:val="18"/>
          <w:szCs w:val="18"/>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108" w:lineRule="exact"/>
        <w:rPr>
          <w:sz w:val="20"/>
          <w:szCs w:val="20"/>
          <w:color w:val="auto"/>
        </w:rPr>
      </w:pPr>
    </w:p>
    <w:p>
      <w:pPr>
        <w:ind w:left="960" w:hanging="216"/>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117" w:lineRule="exact"/>
        <w:rPr>
          <w:rFonts w:ascii="Arial" w:cs="Arial" w:eastAsia="Arial" w:hAnsi="Arial"/>
          <w:sz w:val="18"/>
          <w:szCs w:val="18"/>
          <w:color w:val="auto"/>
        </w:rPr>
      </w:pPr>
    </w:p>
    <w:p>
      <w:pPr>
        <w:ind w:left="5620" w:right="3440" w:hanging="4876"/>
        <w:spacing w:after="0" w:line="418" w:lineRule="auto"/>
        <w:tabs>
          <w:tab w:leader="none" w:pos="96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 66</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240" w:hanging="216"/>
        <w:spacing w:after="0" w:line="246"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102" w:lineRule="exact"/>
        <w:rPr>
          <w:rFonts w:ascii="Arial" w:cs="Arial" w:eastAsia="Arial" w:hAnsi="Arial"/>
          <w:sz w:val="18"/>
          <w:szCs w:val="18"/>
          <w:color w:val="auto"/>
        </w:rPr>
      </w:pPr>
    </w:p>
    <w:p>
      <w:pPr>
        <w:ind w:left="960" w:right="140" w:hanging="216"/>
        <w:spacing w:after="0" w:line="246"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960" w:right="560" w:hanging="216"/>
        <w:spacing w:after="0" w:line="246"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02" w:lineRule="exact"/>
        <w:rPr>
          <w:rFonts w:ascii="Arial" w:cs="Arial" w:eastAsia="Arial" w:hAnsi="Arial"/>
          <w:sz w:val="18"/>
          <w:szCs w:val="18"/>
          <w:color w:val="auto"/>
        </w:rPr>
      </w:pPr>
    </w:p>
    <w:p>
      <w:pPr>
        <w:ind w:left="960" w:right="80" w:hanging="216"/>
        <w:spacing w:after="0" w:line="246"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97" w:lineRule="exact"/>
        <w:rPr>
          <w:sz w:val="20"/>
          <w:szCs w:val="20"/>
          <w:color w:val="auto"/>
        </w:rPr>
      </w:pPr>
    </w:p>
    <w:p>
      <w:pPr>
        <w:ind w:left="200" w:right="380" w:firstLine="551"/>
        <w:spacing w:after="0" w:line="246"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283" w:lineRule="exact"/>
        <w:rPr>
          <w:sz w:val="20"/>
          <w:szCs w:val="20"/>
          <w:color w:val="auto"/>
        </w:rPr>
      </w:pPr>
    </w:p>
    <w:p>
      <w:pPr>
        <w:ind w:left="200" w:right="780"/>
        <w:spacing w:after="0" w:line="271" w:lineRule="auto"/>
        <w:rPr>
          <w:sz w:val="20"/>
          <w:szCs w:val="20"/>
          <w:color w:val="auto"/>
        </w:rPr>
      </w:pPr>
      <w:r>
        <w:rPr>
          <w:rFonts w:ascii="Arial" w:cs="Arial" w:eastAsia="Arial" w:hAnsi="Arial"/>
          <w:sz w:val="18"/>
          <w:szCs w:val="18"/>
          <w:b w:val="1"/>
          <w:bCs w:val="1"/>
          <w:i w:val="1"/>
          <w:iCs w:val="1"/>
          <w:color w:val="auto"/>
        </w:rPr>
        <w:t>Our information technology systems, or those used by our third-party research institution collaborators, CROs or other contractors or consultants, may fail or suffer security breaches and other disruptions.</w:t>
      </w:r>
    </w:p>
    <w:p>
      <w:pPr>
        <w:spacing w:after="0" w:line="68" w:lineRule="exact"/>
        <w:rPr>
          <w:sz w:val="20"/>
          <w:szCs w:val="20"/>
          <w:color w:val="auto"/>
        </w:rPr>
      </w:pPr>
    </w:p>
    <w:p>
      <w:pPr>
        <w:ind w:left="200" w:firstLine="551"/>
        <w:spacing w:after="0" w:line="250" w:lineRule="auto"/>
        <w:rPr>
          <w:sz w:val="20"/>
          <w:szCs w:val="20"/>
          <w:color w:val="auto"/>
        </w:rPr>
      </w:pPr>
      <w:r>
        <w:rPr>
          <w:rFonts w:ascii="Arial" w:cs="Arial" w:eastAsia="Arial" w:hAnsi="Arial"/>
          <w:sz w:val="17"/>
          <w:szCs w:val="17"/>
          <w:color w:val="auto"/>
        </w:rPr>
        <w:t>In September 2019, we experienced a phishing attack in which the email account of a single non-officer employee was compromised. Our security controls detected the compromise, and we were able to block the unauthorized access, but not before the attacker was able to use the account to send out additional phishing emails. We do not believe the phishing attack was a material incursion because, among other reasons, none of our data was accessed or compromised, and we have not incurred any related material remediation costs. Despite the implementation of security measures like those that detected the phishing attack, our internal information technology systems and those of our collaborators, future CROs and other contractors and consultants may be vulnerable to damage from computer viruses , natural disasters, terrorism, war, telecommunication and electrical failures, hacking, cyberattacks, phishing attacks and other social engineering schemes, denial or degradation of service attacks, unauthorized access or use,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The costs to us to investigate and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negative publicity and other harm to our business and our competitive position. 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data or other proprietary or sensitive information or other similar disruptions.</w:t>
      </w:r>
    </w:p>
    <w:p>
      <w:pPr>
        <w:spacing w:after="0" w:line="200" w:lineRule="exact"/>
        <w:rPr>
          <w:sz w:val="20"/>
          <w:szCs w:val="20"/>
          <w:color w:val="auto"/>
        </w:rPr>
      </w:pPr>
    </w:p>
    <w:p>
      <w:pPr>
        <w:spacing w:after="0" w:line="201"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For example, the loss of clinical trial data from completed, ongoing or future clinical trials could result in delays in our regulatory approval efforts and significantly increase our costs to recover or reproduce the data. If a security breach or other incident were to result in the unauthorized access to or unauthorized use, disclosure, release or other processing of clinical trial data or personal data, it may necessary to notify individuals, governmental authorities, supervisory bodies, the media, and other parties pursuant to privacy and security laws. Likewise, we rely on our third-party research institution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collaborators for research and development of our product candidates and other third parties for the manufacture of our product candidates and to conduct clinical trials, and similar events relating to their information technology systems could also seriously harm our business. Any security compromise affecting us, our partners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our competitive position could be harmed, and the further development and commercialization of our product candidates could be delayed.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 disruptions could seriously harm our business.</w:t>
      </w:r>
    </w:p>
    <w:p>
      <w:pPr>
        <w:spacing w:after="0" w:line="126"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business.</w:t>
      </w:r>
    </w:p>
    <w:p>
      <w:pPr>
        <w:spacing w:after="0" w:line="205" w:lineRule="exact"/>
        <w:rPr>
          <w:sz w:val="20"/>
          <w:szCs w:val="20"/>
          <w:color w:val="auto"/>
        </w:rPr>
      </w:pPr>
    </w:p>
    <w:p>
      <w:pPr>
        <w:ind w:left="200" w:right="260" w:firstLine="551"/>
        <w:spacing w:after="0" w:line="237" w:lineRule="auto"/>
        <w:rPr>
          <w:sz w:val="20"/>
          <w:szCs w:val="20"/>
          <w:color w:val="auto"/>
        </w:rPr>
      </w:pPr>
      <w:r>
        <w:rPr>
          <w:rFonts w:ascii="Arial" w:cs="Arial" w:eastAsia="Arial" w:hAnsi="Arial"/>
          <w:sz w:val="18"/>
          <w:szCs w:val="18"/>
          <w:color w:val="auto"/>
        </w:rPr>
        <w:t>All of our operations including our corporate headquarters are located in multiple facilities in Emeryville, California. Damage or extended periods of interruption to our corporate, development or research facilities due to fire, earthquake and other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291" w:lineRule="exact"/>
        <w:rPr>
          <w:sz w:val="20"/>
          <w:szCs w:val="20"/>
          <w:color w:val="auto"/>
        </w:rPr>
      </w:pPr>
    </w:p>
    <w:p>
      <w:pPr>
        <w:ind w:left="200" w:right="340"/>
        <w:spacing w:after="0" w:line="271"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206"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color w:val="auto"/>
        </w:rPr>
        <w:t>As our operations and business grow, we may become subject to or affected by new or additional data protection laws and regulations and face increased scrutiny or attention from regulatory authorities. In the United States, HIPAA imposes, among other things, certain standards relating to the privacy, security, transmission and breach reporting of individually identifiable health information.</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California enacted the California Consumer Privacy Act (CCPA) on June 28, 2018, which takes effect on January 1, 2020. The CCPA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In the event that we are subject to or affected by HIPAA, the CCPA or other domestic privacy and data protection laws, any liability from failure to comply with the requirements of these laws could adversely affect our financial condition. In Europe, the GDPR went into effect in May 2018 and introduces strict requirements for processing the personal data of EU data subjects.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w:t>
      </w:r>
    </w:p>
    <w:p>
      <w:pPr>
        <w:spacing w:after="0" w:line="20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26" w:lineRule="exact"/>
        <w:rPr>
          <w:sz w:val="20"/>
          <w:szCs w:val="20"/>
          <w:color w:val="auto"/>
        </w:rPr>
      </w:pPr>
    </w:p>
    <w:p>
      <w:pPr>
        <w:ind w:left="200" w:right="120" w:firstLine="551"/>
        <w:spacing w:after="0" w:line="236" w:lineRule="auto"/>
        <w:rPr>
          <w:sz w:val="20"/>
          <w:szCs w:val="20"/>
          <w:color w:val="auto"/>
        </w:rPr>
      </w:pPr>
      <w:r>
        <w:rPr>
          <w:rFonts w:ascii="Arial" w:cs="Arial" w:eastAsia="Arial" w:hAnsi="Arial"/>
          <w:sz w:val="18"/>
          <w:szCs w:val="18"/>
          <w:color w:val="auto"/>
        </w:rPr>
        <w:t>Under Sections 382 and 383 of the United States Internal Revenue Code of 1986, as amended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and other pre-change tax attributes to offset its post-change taxable income or taxes may be limited. We have experienced ownership changes in the past. We may also experience ownership changes as a result of this offering or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 We will be unable to use our NOLs if we do not attain profitability sufficient to offset our available NOLs prior to their expiration.</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seriously harm our business.</w:t>
      </w:r>
    </w:p>
    <w:p>
      <w:pPr>
        <w:spacing w:after="0" w:line="126" w:lineRule="exact"/>
        <w:rPr>
          <w:sz w:val="20"/>
          <w:szCs w:val="20"/>
          <w:color w:val="auto"/>
        </w:rPr>
      </w:pPr>
    </w:p>
    <w:p>
      <w:pPr>
        <w:ind w:left="200" w:right="300" w:firstLine="551"/>
        <w:spacing w:after="0" w:line="239"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affect the tax treatment of any of our future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12"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We do not know whether an active market will develop for our common stock or what the market price of our common stock will be, and, as a result, it may be difficult for you to sell your shares of our common stock.</w:t>
      </w:r>
    </w:p>
    <w:p>
      <w:pPr>
        <w:spacing w:after="0" w:line="68" w:lineRule="exact"/>
        <w:rPr>
          <w:sz w:val="20"/>
          <w:szCs w:val="20"/>
          <w:color w:val="auto"/>
        </w:rPr>
      </w:pPr>
    </w:p>
    <w:p>
      <w:pPr>
        <w:ind w:left="200" w:right="160" w:firstLine="551"/>
        <w:spacing w:after="0" w:line="238" w:lineRule="auto"/>
        <w:rPr>
          <w:sz w:val="20"/>
          <w:szCs w:val="20"/>
          <w:color w:val="auto"/>
        </w:rPr>
      </w:pPr>
      <w:r>
        <w:rPr>
          <w:rFonts w:ascii="Arial" w:cs="Arial" w:eastAsia="Arial" w:hAnsi="Arial"/>
          <w:sz w:val="18"/>
          <w:szCs w:val="18"/>
          <w:color w:val="auto"/>
        </w:rPr>
        <w:t>Before this offering, there was no public trading market for our common stock. If an active market for our common stock does not develop or is not sustained, it may be difficult for you to sell your shares of our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including those identified in this “Risk Factors” section, the price of our common stock may fall.</w:t>
      </w:r>
    </w:p>
    <w:p>
      <w:pPr>
        <w:spacing w:after="0" w:line="289"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 in this offering.</w:t>
      </w:r>
    </w:p>
    <w:p>
      <w:pPr>
        <w:spacing w:after="0" w:line="68"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The initial public offering price for our common stock was determined through negotiations with the underwriters. This initial public offering price may differ from the market price of our common stock after the offering. As a result, you may not be able to sell your common stock at or above the initial public offering price. Some of the factors that may cause the market price of our common stock to fluctuate include:</w:t>
      </w:r>
    </w:p>
    <w:p>
      <w:pPr>
        <w:spacing w:after="0" w:line="107" w:lineRule="exact"/>
        <w:rPr>
          <w:sz w:val="20"/>
          <w:szCs w:val="20"/>
          <w:color w:val="auto"/>
        </w:rPr>
      </w:pPr>
    </w:p>
    <w:p>
      <w:pPr>
        <w:ind w:left="960" w:hanging="216"/>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timing and results of clinical trials for our current product candidates and any future product candidates that we may develop;</w:t>
      </w:r>
    </w:p>
    <w:p>
      <w:pPr>
        <w:spacing w:after="0" w:line="128" w:lineRule="exact"/>
        <w:rPr>
          <w:rFonts w:ascii="Arial" w:cs="Arial" w:eastAsia="Arial" w:hAnsi="Arial"/>
          <w:sz w:val="17"/>
          <w:szCs w:val="17"/>
          <w:color w:val="auto"/>
        </w:rPr>
      </w:pPr>
    </w:p>
    <w:p>
      <w:pPr>
        <w:ind w:left="960" w:hanging="216"/>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failure to develop our Therapeutic Vector Evolution platform technology;</w:t>
      </w:r>
    </w:p>
    <w:p>
      <w:pPr>
        <w:spacing w:after="0" w:line="117" w:lineRule="exact"/>
        <w:rPr>
          <w:rFonts w:ascii="Arial" w:cs="Arial" w:eastAsia="Arial" w:hAnsi="Arial"/>
          <w:sz w:val="18"/>
          <w:szCs w:val="18"/>
          <w:color w:val="auto"/>
        </w:rPr>
      </w:pPr>
    </w:p>
    <w:p>
      <w:pPr>
        <w:ind w:left="960" w:right="180" w:hanging="216"/>
        <w:spacing w:after="0" w:line="246"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commencement of litigation;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level of expenses related to any of the research programs or product candidates that we may develop;</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17" w:lineRule="exact"/>
        <w:rPr>
          <w:rFonts w:ascii="Arial" w:cs="Arial" w:eastAsia="Arial" w:hAnsi="Arial"/>
          <w:sz w:val="18"/>
          <w:szCs w:val="18"/>
          <w:color w:val="auto"/>
        </w:rPr>
      </w:pPr>
    </w:p>
    <w:p>
      <w:pPr>
        <w:ind w:left="960" w:right="480" w:hanging="216"/>
        <w:spacing w:after="0" w:line="246"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60"/>
          </w:cols>
          <w:pgMar w:left="240" w:top="459"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6"/>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stock shortly following this offering.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94" w:lineRule="exact"/>
        <w:rPr>
          <w:sz w:val="20"/>
          <w:szCs w:val="20"/>
          <w:color w:val="auto"/>
        </w:rPr>
      </w:pPr>
    </w:p>
    <w:p>
      <w:pPr>
        <w:ind w:left="200" w:right="100"/>
        <w:spacing w:after="0" w:line="27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8" w:lineRule="exact"/>
        <w:rPr>
          <w:sz w:val="20"/>
          <w:szCs w:val="20"/>
          <w:color w:val="auto"/>
        </w:rPr>
      </w:pPr>
    </w:p>
    <w:p>
      <w:pPr>
        <w:ind w:left="200" w:right="20" w:firstLine="551"/>
        <w:spacing w:after="0" w:line="255"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77" w:lineRule="exact"/>
        <w:rPr>
          <w:sz w:val="20"/>
          <w:szCs w:val="20"/>
          <w:color w:val="auto"/>
        </w:rPr>
      </w:pPr>
    </w:p>
    <w:p>
      <w:pPr>
        <w:ind w:left="200" w:right="60"/>
        <w:spacing w:after="0" w:line="302" w:lineRule="auto"/>
        <w:rPr>
          <w:sz w:val="20"/>
          <w:szCs w:val="20"/>
          <w:color w:val="auto"/>
        </w:rPr>
      </w:pPr>
      <w:r>
        <w:rPr>
          <w:rFonts w:ascii="Arial" w:cs="Arial" w:eastAsia="Arial" w:hAnsi="Arial"/>
          <w:sz w:val="17"/>
          <w:szCs w:val="17"/>
          <w:b w:val="1"/>
          <w:bCs w:val="1"/>
          <w:i w:val="1"/>
          <w:iCs w:val="1"/>
          <w:color w:val="auto"/>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43" w:lineRule="exact"/>
        <w:rPr>
          <w:sz w:val="20"/>
          <w:szCs w:val="20"/>
          <w:color w:val="auto"/>
        </w:rPr>
      </w:pPr>
    </w:p>
    <w:p>
      <w:pPr>
        <w:ind w:left="200" w:firstLine="551"/>
        <w:spacing w:after="0" w:line="23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our common stock intend to sell shares, could reduce the market price of our common stock. After this offering and after giving effect to the conversion of 7,375,631 outstanding shares of our redeemable convertible preferred stock into an</w:t>
      </w:r>
    </w:p>
    <w:p>
      <w:pPr>
        <w:ind w:left="200"/>
        <w:spacing w:after="0"/>
        <w:tabs>
          <w:tab w:leader="none" w:pos="2720" w:val="left"/>
        </w:tabs>
        <w:rPr>
          <w:sz w:val="20"/>
          <w:szCs w:val="20"/>
          <w:color w:val="auto"/>
        </w:rPr>
      </w:pPr>
      <w:r>
        <w:rPr>
          <w:rFonts w:ascii="Arial" w:cs="Arial" w:eastAsia="Arial" w:hAnsi="Arial"/>
          <w:sz w:val="18"/>
          <w:szCs w:val="18"/>
          <w:color w:val="auto"/>
        </w:rPr>
        <w:t>equivalent number of</w:t>
      </w:r>
      <w:r>
        <w:rPr>
          <w:sz w:val="20"/>
          <w:szCs w:val="20"/>
          <w:color w:val="auto"/>
        </w:rPr>
        <w:tab/>
      </w:r>
      <w:r>
        <w:rPr>
          <w:rFonts w:ascii="Arial" w:cs="Arial" w:eastAsia="Arial" w:hAnsi="Arial"/>
          <w:sz w:val="17"/>
          <w:szCs w:val="17"/>
          <w:color w:val="auto"/>
        </w:rPr>
        <w:t>shares of our common stock immediately prior to the completion of this offering, we will have</w:t>
      </w:r>
    </w:p>
    <w:p>
      <w:pPr>
        <w:ind w:left="1000"/>
        <w:spacing w:after="0"/>
        <w:tabs>
          <w:tab w:leader="none" w:pos="5860" w:val="left"/>
        </w:tabs>
        <w:rPr>
          <w:sz w:val="20"/>
          <w:szCs w:val="20"/>
          <w:color w:val="auto"/>
        </w:rPr>
      </w:pPr>
      <w:r>
        <w:rPr>
          <w:rFonts w:ascii="Arial" w:cs="Arial" w:eastAsia="Arial" w:hAnsi="Arial"/>
          <w:sz w:val="18"/>
          <w:szCs w:val="18"/>
          <w:color w:val="auto"/>
        </w:rPr>
        <w:t>shares of our common stock outstanding based on</w:t>
      </w:r>
      <w:r>
        <w:rPr>
          <w:sz w:val="20"/>
          <w:szCs w:val="20"/>
          <w:color w:val="auto"/>
        </w:rPr>
        <w:tab/>
      </w:r>
      <w:r>
        <w:rPr>
          <w:rFonts w:ascii="Arial" w:cs="Arial" w:eastAsia="Arial" w:hAnsi="Arial"/>
          <w:sz w:val="17"/>
          <w:szCs w:val="17"/>
          <w:color w:val="auto"/>
        </w:rPr>
        <w:t>shares of our common stock outstanding as of June 30, 2019. Of</w:t>
      </w:r>
    </w:p>
    <w:p>
      <w:pPr>
        <w:ind w:left="200"/>
        <w:spacing w:after="0"/>
        <w:tabs>
          <w:tab w:leader="none" w:pos="2420" w:val="left"/>
        </w:tabs>
        <w:rPr>
          <w:sz w:val="20"/>
          <w:szCs w:val="20"/>
          <w:color w:val="auto"/>
        </w:rPr>
      </w:pPr>
      <w:r>
        <w:rPr>
          <w:rFonts w:ascii="Arial" w:cs="Arial" w:eastAsia="Arial" w:hAnsi="Arial"/>
          <w:sz w:val="18"/>
          <w:szCs w:val="18"/>
          <w:color w:val="auto"/>
        </w:rPr>
        <w:t>these shares, the</w:t>
      </w:r>
      <w:r>
        <w:rPr>
          <w:sz w:val="20"/>
          <w:szCs w:val="20"/>
          <w:color w:val="auto"/>
        </w:rPr>
        <w:tab/>
      </w:r>
      <w:r>
        <w:rPr>
          <w:rFonts w:ascii="Arial" w:cs="Arial" w:eastAsia="Arial" w:hAnsi="Arial"/>
          <w:sz w:val="17"/>
          <w:szCs w:val="17"/>
          <w:color w:val="auto"/>
        </w:rPr>
        <w:t>shares we are selling in this offering may be resold in the public market immediately, unless purchased by our</w:t>
      </w:r>
    </w:p>
    <w:p>
      <w:pPr>
        <w:ind w:left="200"/>
        <w:spacing w:after="0"/>
        <w:tabs>
          <w:tab w:leader="none" w:pos="2940" w:val="left"/>
          <w:tab w:leader="none" w:pos="4200" w:val="left"/>
        </w:tabs>
        <w:rPr>
          <w:sz w:val="20"/>
          <w:szCs w:val="20"/>
          <w:color w:val="auto"/>
        </w:rPr>
      </w:pPr>
      <w:r>
        <w:rPr>
          <w:rFonts w:ascii="Arial" w:cs="Arial" w:eastAsia="Arial" w:hAnsi="Arial"/>
          <w:sz w:val="18"/>
          <w:szCs w:val="18"/>
          <w:color w:val="auto"/>
        </w:rPr>
        <w:t>affiliates. The remaining</w:t>
      </w:r>
      <w:r>
        <w:rPr>
          <w:sz w:val="20"/>
          <w:szCs w:val="20"/>
          <w:color w:val="auto"/>
        </w:rPr>
        <w:tab/>
      </w:r>
      <w:r>
        <w:rPr>
          <w:rFonts w:ascii="Arial" w:cs="Arial" w:eastAsia="Arial" w:hAnsi="Arial"/>
          <w:sz w:val="18"/>
          <w:szCs w:val="18"/>
          <w:color w:val="auto"/>
        </w:rPr>
        <w:t>shares, or</w:t>
      </w:r>
      <w:r>
        <w:rPr>
          <w:sz w:val="20"/>
          <w:szCs w:val="20"/>
          <w:color w:val="auto"/>
        </w:rPr>
        <w:tab/>
      </w:r>
      <w:r>
        <w:rPr>
          <w:rFonts w:ascii="Arial" w:cs="Arial" w:eastAsia="Arial" w:hAnsi="Arial"/>
          <w:sz w:val="17"/>
          <w:szCs w:val="17"/>
          <w:color w:val="auto"/>
        </w:rPr>
        <w:t>% of our outstanding shares after this offering, are currently prohibited or otherwise</w:t>
      </w:r>
    </w:p>
    <w:p>
      <w:pPr>
        <w:ind w:left="200" w:right="100"/>
        <w:spacing w:after="0" w:line="239" w:lineRule="auto"/>
        <w:rPr>
          <w:sz w:val="20"/>
          <w:szCs w:val="20"/>
          <w:color w:val="auto"/>
        </w:rPr>
      </w:pPr>
      <w:r>
        <w:rPr>
          <w:rFonts w:ascii="Arial" w:cs="Arial" w:eastAsia="Arial" w:hAnsi="Arial"/>
          <w:sz w:val="18"/>
          <w:szCs w:val="18"/>
          <w:color w:val="auto"/>
        </w:rPr>
        <w:t>restricted under securities laws, market standoff agreements entered into by our stockholders with us, or lock-up agreements entered into by our stockholders with the underwriters. However, subject to applicable securities law restrictions and excluding shares of restricted stock that will remain unvested, prohibitions and restrictions on the sale of these shares in the public market will be lifted beginning 180 days after the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date of this prospectus. Goldman Sachs &amp; Co. LLC and Evercore Group L.L.C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(the Securities Act). See the section of this prospectus titled “Shares Eligible for Future Sale” for additional information.</w:t>
      </w:r>
    </w:p>
    <w:p>
      <w:pPr>
        <w:spacing w:after="0" w:line="201" w:lineRule="exact"/>
        <w:rPr>
          <w:sz w:val="20"/>
          <w:szCs w:val="20"/>
          <w:color w:val="auto"/>
        </w:rPr>
      </w:pPr>
    </w:p>
    <w:p>
      <w:pPr>
        <w:ind w:left="760"/>
        <w:spacing w:after="0"/>
        <w:tabs>
          <w:tab w:leader="none" w:pos="5980" w:val="left"/>
        </w:tabs>
        <w:rPr>
          <w:sz w:val="20"/>
          <w:szCs w:val="20"/>
          <w:color w:val="auto"/>
        </w:rPr>
      </w:pPr>
      <w:r>
        <w:rPr>
          <w:rFonts w:ascii="Arial" w:cs="Arial" w:eastAsia="Arial" w:hAnsi="Arial"/>
          <w:sz w:val="18"/>
          <w:szCs w:val="18"/>
          <w:color w:val="auto"/>
        </w:rPr>
        <w:t>Moreover, after this offering, holders of an aggregate of</w:t>
      </w:r>
      <w:r>
        <w:rPr>
          <w:sz w:val="20"/>
          <w:szCs w:val="20"/>
          <w:color w:val="auto"/>
        </w:rPr>
        <w:tab/>
      </w:r>
      <w:r>
        <w:rPr>
          <w:rFonts w:ascii="Arial" w:cs="Arial" w:eastAsia="Arial" w:hAnsi="Arial"/>
          <w:sz w:val="17"/>
          <w:szCs w:val="17"/>
          <w:color w:val="auto"/>
        </w:rPr>
        <w:t>shares of our common stock will have rights, subject to</w:t>
      </w:r>
    </w:p>
    <w:p>
      <w:pPr>
        <w:ind w:left="200" w:right="80"/>
        <w:spacing w:after="0" w:line="237" w:lineRule="auto"/>
        <w:rPr>
          <w:sz w:val="20"/>
          <w:szCs w:val="20"/>
          <w:color w:val="auto"/>
        </w:rPr>
      </w:pPr>
      <w:r>
        <w:rPr>
          <w:rFonts w:ascii="Arial" w:cs="Arial" w:eastAsia="Arial" w:hAnsi="Arial"/>
          <w:sz w:val="18"/>
          <w:szCs w:val="18"/>
          <w:color w:val="auto"/>
        </w:rPr>
        <w:t>conditions, to require us to file registration statements covering their shares or to include their shares in registration statements that we may file for ourselves or other stockholders. We also plan to register all shares of our common stock that we may issue under our equity compensation plans. Once we register these shares, they can be freely sold in the public market upon issuance and once vested, subject to volume limitations applicable to affiliates and the lock-up agreements described in the section of this prospectus titled “Underwriters.” If any of these additional shares are sold, or if it is perceived that they will be sold, in the public market, the market price of our common stock could decline.</w:t>
      </w:r>
    </w:p>
    <w:p>
      <w:pPr>
        <w:spacing w:after="0" w:line="291" w:lineRule="exact"/>
        <w:rPr>
          <w:sz w:val="20"/>
          <w:szCs w:val="20"/>
          <w:color w:val="auto"/>
        </w:rPr>
      </w:pPr>
    </w:p>
    <w:p>
      <w:pPr>
        <w:ind w:left="200" w:right="40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8" w:lineRule="exact"/>
        <w:rPr>
          <w:sz w:val="20"/>
          <w:szCs w:val="20"/>
          <w:color w:val="auto"/>
        </w:rPr>
      </w:pPr>
    </w:p>
    <w:p>
      <w:pPr>
        <w:ind w:left="200" w:right="120" w:firstLine="551"/>
        <w:spacing w:after="0" w:line="236" w:lineRule="auto"/>
        <w:rPr>
          <w:sz w:val="20"/>
          <w:szCs w:val="20"/>
          <w:color w:val="auto"/>
        </w:rPr>
      </w:pPr>
      <w:r>
        <w:rPr>
          <w:rFonts w:ascii="Arial" w:cs="Arial" w:eastAsia="Arial" w:hAnsi="Arial"/>
          <w:sz w:val="18"/>
          <w:szCs w:val="18"/>
          <w:color w:val="auto"/>
        </w:rPr>
        <w:t>We will seek additional capital through one or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291"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Insiders will continue to have substantial influence over us after this offering, which could limit your ability to affect the outcome of key transactions, including a change of control.</w:t>
      </w:r>
    </w:p>
    <w:p>
      <w:pPr>
        <w:spacing w:after="0" w:line="68"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After this offering, our directors, executive officers, holders of more than 5% of our outstanding stock and their respective affiliates will beneficially own shares representing approximately % of our outstanding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30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68"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year following the fifth anniversary of the consummation of this offering, (2) the last day of the year in which we have total annual gross revenue of at least $1.07 billion, (3) the last day of the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294"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b w:val="1"/>
          <w:bCs w:val="1"/>
          <w:i w:val="1"/>
          <w:iCs w:val="1"/>
          <w:color w:val="auto"/>
        </w:rPr>
        <w:t>We will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seriously harm our business.</w:t>
      </w:r>
    </w:p>
    <w:p>
      <w:pPr>
        <w:spacing w:after="0" w:line="83"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We will incur significant legal, accounting and other expenses as a public company, including costs resulting from public company reporting obligations under the Exchange Act and regulations regarding corporate governance practices. The listing requirements of The Nasdaq Global Market and the rules of the Securities and Exchange Commission (SEC) require that we satisfy certain corporate governance requirements relating to director independence, filing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After this offering, we will be subject to Section 404 of The Sarbanes-Oxley Act of 2002 (Section 404) and the related rules of the SEC, which generally require our management and independent registered public accounting firm to report on the effectiveness of our internal control over financial reporting. Beginning with the second annual report that we will be required to file with the SEC, Section 404 requires an annual management assessment of the effectiveness of our internal control over financial reporting. However, for so long as we remain an emerging growth company as defined in the JOBS Act, we intend to take advantage of certain exemptions from various reporting requirements that 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controls over financial reporting.</w:t>
      </w:r>
    </w:p>
    <w:p>
      <w:pPr>
        <w:spacing w:after="0" w:line="207"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To date, we have never conducted a review of our internal control for the purpose of providing the reports required by these rules.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will be required to file accurate and timely quarterly and annual reports with the SEC under the Exchange Act. In order to report our results of operations and financial statements on an accurate and timely basis, we will depend in part on CROs to provide timely and accurate notice of their costs to us. Any failure to report our financial results on an accurate and timely basis could result in sanctions, lawsuits, delisting of our shares from The Nasdaq Global Market or other adverse consequences that would seriously harm our business.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126" w:lineRule="exact"/>
        <w:rPr>
          <w:sz w:val="20"/>
          <w:szCs w:val="20"/>
          <w:color w:val="auto"/>
        </w:rPr>
      </w:pPr>
    </w:p>
    <w:p>
      <w:pPr>
        <w:ind w:left="200" w:right="160" w:firstLine="551"/>
        <w:spacing w:after="0" w:line="234" w:lineRule="auto"/>
        <w:rPr>
          <w:sz w:val="20"/>
          <w:szCs w:val="20"/>
          <w:color w:val="auto"/>
        </w:rPr>
      </w:pPr>
      <w:r>
        <w:rPr>
          <w:rFonts w:ascii="Arial" w:cs="Arial" w:eastAsia="Arial" w:hAnsi="Arial"/>
          <w:sz w:val="18"/>
          <w:szCs w:val="18"/>
          <w:color w:val="auto"/>
        </w:rPr>
        <w:t>The initial public offering price of our common stock is substantially higher than the pro forma net tangible book value per share of our common stock before giving effect to this offering. Accordingly, if you purchase our common stock in this offering, you will incur</w:t>
      </w:r>
    </w:p>
    <w:p>
      <w:pPr>
        <w:spacing w:after="0" w:line="2" w:lineRule="exact"/>
        <w:rPr>
          <w:sz w:val="20"/>
          <w:szCs w:val="20"/>
          <w:color w:val="auto"/>
        </w:rPr>
      </w:pPr>
    </w:p>
    <w:p>
      <w:pPr>
        <w:ind w:left="200" w:right="20"/>
        <w:spacing w:after="0" w:line="234" w:lineRule="auto"/>
        <w:rPr>
          <w:sz w:val="20"/>
          <w:szCs w:val="20"/>
          <w:color w:val="auto"/>
        </w:rPr>
      </w:pPr>
      <w:r>
        <w:rPr>
          <w:rFonts w:ascii="Arial" w:cs="Arial" w:eastAsia="Arial" w:hAnsi="Arial"/>
          <w:sz w:val="18"/>
          <w:szCs w:val="18"/>
          <w:color w:val="auto"/>
        </w:rPr>
        <w:t>immediate substantial dilution of approximately $ per share, based on an assumed initial public offering price of $ per share, the midpoint of the estimated price range set forth on the cover of this prospectus, and our pro forma net tangible book value as of June 30, 2019. In addition, following this offering, purchasers in this offering will have contributed approximately % of the total gross consideration paid by stockholders to us to purchase shares of our common stock, through June 30, 2019, but will own only approximately</w:t>
      </w:r>
    </w:p>
    <w:p>
      <w:pPr>
        <w:spacing w:after="0" w:line="3" w:lineRule="exact"/>
        <w:rPr>
          <w:sz w:val="20"/>
          <w:szCs w:val="20"/>
          <w:color w:val="auto"/>
        </w:rPr>
      </w:pPr>
    </w:p>
    <w:p>
      <w:pPr>
        <w:ind w:left="200" w:right="140" w:firstLine="204"/>
        <w:spacing w:after="0"/>
        <w:tabs>
          <w:tab w:leader="none" w:pos="61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of the shares of our common stock outstanding immediately after this offering. Furthermore, if the underwriters exercise their over-allotment option, or outstanding options and warrants are exercised, you could experience further dilution. For a further description of the dilution that you will experience immediately after this offering, see the section titled “Dilution.”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26"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We cannot specify with certainty the uses of the majority of the net proceeds we will receive from this offering. Our management will have broad discretion in the application of the net proceeds, including for any of the purposes described in the section of this prospectus titled “Use of Proceeds.” Our management may spend a portion or all of the net proceeds from this offering in ways that our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stockholders may not desire or that may not yield a favorable return. The failure by our management to apply these funds effectively could seriously harm our business. Pending their use, we may invest the net proceeds from this offering in a manner that does not produce income or that loses value.</w:t>
      </w:r>
    </w:p>
    <w:p>
      <w:pPr>
        <w:spacing w:after="0" w:line="289"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that will become effective upon the closing of this offering might discourage, delay, or prevent a change in control of our company or changes in our management and, therefore, depress the trading price of our common stock.</w:t>
      </w:r>
    </w:p>
    <w:p>
      <w:pPr>
        <w:spacing w:after="0" w:line="83"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Provisions in our certificate of incorporation and bylaws that will become effective upon the closing of this offering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will:</w:t>
      </w:r>
    </w:p>
    <w:p>
      <w:pPr>
        <w:spacing w:after="0" w:line="108" w:lineRule="exact"/>
        <w:rPr>
          <w:sz w:val="20"/>
          <w:szCs w:val="20"/>
          <w:color w:val="auto"/>
        </w:rPr>
      </w:pPr>
    </w:p>
    <w:p>
      <w:pPr>
        <w:ind w:left="960" w:right="20" w:hanging="216"/>
        <w:spacing w:after="0" w:line="246"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17" w:lineRule="exact"/>
        <w:rPr>
          <w:rFonts w:ascii="Arial" w:cs="Arial" w:eastAsia="Arial" w:hAnsi="Arial"/>
          <w:sz w:val="18"/>
          <w:szCs w:val="18"/>
          <w:color w:val="auto"/>
        </w:rPr>
      </w:pPr>
    </w:p>
    <w:p>
      <w:pPr>
        <w:ind w:left="960" w:right="400" w:hanging="216"/>
        <w:spacing w:after="0" w:line="246"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for a staggered board, which will result in only a couple directors being up for re-election in each calendar year;</w:t>
      </w:r>
    </w:p>
    <w:p>
      <w:pPr>
        <w:spacing w:after="0" w:line="117" w:lineRule="exact"/>
        <w:rPr>
          <w:rFonts w:ascii="Arial" w:cs="Arial" w:eastAsia="Arial" w:hAnsi="Arial"/>
          <w:sz w:val="18"/>
          <w:szCs w:val="18"/>
          <w:color w:val="auto"/>
        </w:rPr>
      </w:pPr>
    </w:p>
    <w:p>
      <w:pPr>
        <w:ind w:left="960" w:right="680" w:hanging="216"/>
        <w:spacing w:after="0" w:line="246"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authorize our board of directors, by a majority vote, to amend the bylaws;</w:t>
      </w:r>
    </w:p>
    <w:p>
      <w:pPr>
        <w:spacing w:after="0" w:line="117" w:lineRule="exact"/>
        <w:rPr>
          <w:rFonts w:ascii="Arial" w:cs="Arial" w:eastAsia="Arial" w:hAnsi="Arial"/>
          <w:sz w:val="18"/>
          <w:szCs w:val="18"/>
          <w:color w:val="auto"/>
        </w:rPr>
      </w:pPr>
    </w:p>
    <w:p>
      <w:pPr>
        <w:ind w:left="960" w:right="280" w:hanging="216"/>
        <w:spacing w:after="0" w:line="246"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our common stock to amend many of the provisions described above; and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limit the liability of, and provide indemnification to, our directors and officers.</w:t>
      </w:r>
    </w:p>
    <w:p>
      <w:pPr>
        <w:spacing w:after="0" w:line="212" w:lineRule="exact"/>
        <w:rPr>
          <w:sz w:val="20"/>
          <w:szCs w:val="20"/>
          <w:color w:val="auto"/>
        </w:rPr>
      </w:pPr>
    </w:p>
    <w:p>
      <w:pPr>
        <w:ind w:left="200" w:right="200" w:firstLine="551"/>
        <w:spacing w:after="0" w:line="257" w:lineRule="auto"/>
        <w:rPr>
          <w:sz w:val="20"/>
          <w:szCs w:val="20"/>
          <w:color w:val="auto"/>
        </w:rPr>
      </w:pPr>
      <w:r>
        <w:rPr>
          <w:rFonts w:ascii="Arial" w:cs="Arial" w:eastAsia="Arial" w:hAnsi="Arial"/>
          <w:sz w:val="17"/>
          <w:szCs w:val="17"/>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9" w:lineRule="exact"/>
        <w:rPr>
          <w:sz w:val="20"/>
          <w:szCs w:val="20"/>
          <w:color w:val="auto"/>
        </w:rPr>
      </w:pPr>
    </w:p>
    <w:p>
      <w:pPr>
        <w:jc w:val="both"/>
        <w:ind w:left="200" w:right="160" w:firstLine="551"/>
        <w:spacing w:after="0"/>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60"/>
          </w:cols>
          <w:pgMar w:left="240" w:top="459"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20"/>
        <w:spacing w:after="0" w:line="271"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8" w:lineRule="exact"/>
        <w:rPr>
          <w:sz w:val="20"/>
          <w:szCs w:val="20"/>
          <w:color w:val="auto"/>
        </w:rPr>
      </w:pPr>
    </w:p>
    <w:p>
      <w:pPr>
        <w:ind w:left="200" w:right="380" w:firstLine="551"/>
        <w:spacing w:after="0" w:line="246"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we will indemnify our directors and officers, in each case to the fullest extent permitted by Delaware law.</w:t>
      </w:r>
    </w:p>
    <w:p>
      <w:pPr>
        <w:spacing w:after="0" w:line="197" w:lineRule="exact"/>
        <w:rPr>
          <w:sz w:val="20"/>
          <w:szCs w:val="20"/>
          <w:color w:val="auto"/>
        </w:rPr>
      </w:pPr>
    </w:p>
    <w:p>
      <w:pPr>
        <w:jc w:val="both"/>
        <w:ind w:left="200" w:right="640" w:firstLine="551"/>
        <w:spacing w:after="0"/>
        <w:rPr>
          <w:sz w:val="20"/>
          <w:szCs w:val="20"/>
          <w:color w:val="auto"/>
        </w:rPr>
      </w:pPr>
      <w:r>
        <w:rPr>
          <w:rFonts w:ascii="Arial" w:cs="Arial" w:eastAsia="Arial" w:hAnsi="Arial"/>
          <w:sz w:val="18"/>
          <w:szCs w:val="18"/>
          <w:color w:val="auto"/>
        </w:rPr>
        <w:t>In addition, as permitted by Section 145 of the Delaware General Corporation Law, our amended and restated bylaws to be effective immediately prior to the completion of this offering and our indemnification agreements that we have entered into with our directors and officers will provide that:</w:t>
      </w:r>
    </w:p>
    <w:p>
      <w:pPr>
        <w:spacing w:after="0" w:line="108" w:lineRule="exact"/>
        <w:rPr>
          <w:sz w:val="20"/>
          <w:szCs w:val="20"/>
          <w:color w:val="auto"/>
        </w:rPr>
      </w:pPr>
    </w:p>
    <w:p>
      <w:pPr>
        <w:ind w:left="960" w:hanging="216"/>
        <w:spacing w:after="0" w:line="238"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08" w:lineRule="exact"/>
        <w:rPr>
          <w:rFonts w:ascii="Arial" w:cs="Arial" w:eastAsia="Arial" w:hAnsi="Arial"/>
          <w:sz w:val="18"/>
          <w:szCs w:val="18"/>
          <w:color w:val="auto"/>
        </w:rPr>
      </w:pPr>
    </w:p>
    <w:p>
      <w:pPr>
        <w:ind w:left="960" w:right="600" w:hanging="216"/>
        <w:spacing w:after="0" w:line="246"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02" w:lineRule="exact"/>
        <w:rPr>
          <w:rFonts w:ascii="Arial" w:cs="Arial" w:eastAsia="Arial" w:hAnsi="Arial"/>
          <w:sz w:val="18"/>
          <w:szCs w:val="18"/>
          <w:color w:val="auto"/>
        </w:rPr>
      </w:pPr>
    </w:p>
    <w:p>
      <w:pPr>
        <w:ind w:left="960" w:right="40" w:hanging="216"/>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08" w:lineRule="exact"/>
        <w:rPr>
          <w:rFonts w:ascii="Arial" w:cs="Arial" w:eastAsia="Arial" w:hAnsi="Arial"/>
          <w:sz w:val="18"/>
          <w:szCs w:val="18"/>
          <w:color w:val="auto"/>
        </w:rPr>
      </w:pPr>
    </w:p>
    <w:p>
      <w:pPr>
        <w:ind w:left="960" w:right="540" w:hanging="216"/>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08" w:lineRule="exact"/>
        <w:rPr>
          <w:rFonts w:ascii="Arial" w:cs="Arial" w:eastAsia="Arial" w:hAnsi="Arial"/>
          <w:sz w:val="18"/>
          <w:szCs w:val="18"/>
          <w:color w:val="auto"/>
        </w:rPr>
      </w:pPr>
    </w:p>
    <w:p>
      <w:pPr>
        <w:ind w:left="960" w:right="140" w:hanging="216"/>
        <w:spacing w:after="0" w:line="246"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02" w:lineRule="exact"/>
        <w:rPr>
          <w:rFonts w:ascii="Arial" w:cs="Arial" w:eastAsia="Arial" w:hAnsi="Arial"/>
          <w:sz w:val="18"/>
          <w:szCs w:val="18"/>
          <w:color w:val="auto"/>
        </w:rPr>
      </w:pPr>
    </w:p>
    <w:p>
      <w:pPr>
        <w:ind w:left="960" w:right="660" w:hanging="216"/>
        <w:spacing w:after="0" w:line="246"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283" w:lineRule="exact"/>
        <w:rPr>
          <w:sz w:val="20"/>
          <w:szCs w:val="20"/>
          <w:color w:val="auto"/>
        </w:rPr>
      </w:pPr>
    </w:p>
    <w:p>
      <w:pPr>
        <w:ind w:left="200" w:right="240"/>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and our amended and restated bylaws will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88"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Our amended and restated certificate of incorporation and our amended and restated bylaws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Securities Act or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Nothing in our amended and restated bylaws precludes stockholders that assert claims under the Securities Act or the Exchange Act from bringing such claims in state or federal court, subject to applicable law.</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If a court were to find the choice of forum provision that will be contained in our amended and restated certificate of incorporation to be inapplicable or unenforceable in an action, we may incur additional costs associated with resolving such action in other jurisdictions, which could seriously harm our business.</w:t>
      </w:r>
    </w:p>
    <w:p>
      <w:pPr>
        <w:spacing w:after="0" w:line="294" w:lineRule="exact"/>
        <w:rPr>
          <w:sz w:val="20"/>
          <w:szCs w:val="20"/>
          <w:color w:val="auto"/>
        </w:rPr>
      </w:pPr>
    </w:p>
    <w:p>
      <w:pPr>
        <w:ind w:left="200" w:right="240"/>
        <w:spacing w:after="0" w:line="271"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68"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26" w:lineRule="exact"/>
        <w:rPr>
          <w:sz w:val="20"/>
          <w:szCs w:val="20"/>
          <w:color w:val="auto"/>
        </w:rPr>
      </w:pPr>
    </w:p>
    <w:p>
      <w:pPr>
        <w:ind w:left="200" w:right="100" w:firstLine="551"/>
        <w:spacing w:after="0" w:line="239"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seriously harm our business.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This prospectus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109" w:lineRule="exact"/>
        <w:rPr>
          <w:sz w:val="20"/>
          <w:szCs w:val="20"/>
          <w:color w:val="auto"/>
        </w:rPr>
      </w:pPr>
    </w:p>
    <w:p>
      <w:pPr>
        <w:ind w:left="960" w:right="360" w:hanging="216"/>
        <w:spacing w:after="0" w:line="246"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preclinical studies and clinical trials, including our planned clinical trials for 4D-310, 4D-125 and 4D-110;</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timing of IND-enabling studies and results from such studies, including our IND-enabling studies in 4D-710;</w:t>
      </w:r>
    </w:p>
    <w:p>
      <w:pPr>
        <w:spacing w:after="0" w:line="117" w:lineRule="exact"/>
        <w:rPr>
          <w:rFonts w:ascii="Arial" w:cs="Arial" w:eastAsia="Arial" w:hAnsi="Arial"/>
          <w:sz w:val="18"/>
          <w:szCs w:val="18"/>
          <w:color w:val="auto"/>
        </w:rPr>
      </w:pPr>
    </w:p>
    <w:p>
      <w:pPr>
        <w:ind w:left="960" w:right="120" w:hanging="216"/>
        <w:spacing w:after="0" w:line="246"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timing and success of lead optimization for our product candidates in lead optimization, including our product candidates for the treatment of DMD;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translation of our preclinical results and data into future clinical trials in humans;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timing of any manufacturing runs for materials to be used in patient trials;</w:t>
      </w:r>
    </w:p>
    <w:p>
      <w:pPr>
        <w:spacing w:after="0" w:line="117" w:lineRule="exact"/>
        <w:rPr>
          <w:rFonts w:ascii="Arial" w:cs="Arial" w:eastAsia="Arial" w:hAnsi="Arial"/>
          <w:sz w:val="18"/>
          <w:szCs w:val="18"/>
          <w:color w:val="auto"/>
        </w:rPr>
      </w:pPr>
    </w:p>
    <w:p>
      <w:pPr>
        <w:ind w:left="960" w:right="620" w:hanging="216"/>
        <w:spacing w:after="0" w:line="246"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size and design of our planned clinical trials, and what regulatory authorities may require to obtain marketing approval</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960" w:right="260" w:hanging="216"/>
        <w:spacing w:after="0" w:line="246"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102" w:lineRule="exact"/>
        <w:rPr>
          <w:rFonts w:ascii="Arial" w:cs="Arial" w:eastAsia="Arial" w:hAnsi="Arial"/>
          <w:sz w:val="18"/>
          <w:szCs w:val="18"/>
          <w:color w:val="auto"/>
        </w:rPr>
      </w:pPr>
    </w:p>
    <w:p>
      <w:pPr>
        <w:ind w:left="960" w:right="920" w:hanging="216"/>
        <w:spacing w:after="0" w:line="246"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develop and commercialize our product candidates;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success of competing products or platform technologies that are or may become available;</w:t>
      </w:r>
    </w:p>
    <w:p>
      <w:pPr>
        <w:spacing w:after="0" w:line="117" w:lineRule="exact"/>
        <w:rPr>
          <w:rFonts w:ascii="Arial" w:cs="Arial" w:eastAsia="Arial" w:hAnsi="Arial"/>
          <w:sz w:val="18"/>
          <w:szCs w:val="18"/>
          <w:color w:val="auto"/>
        </w:rPr>
      </w:pPr>
    </w:p>
    <w:p>
      <w:pPr>
        <w:ind w:left="960" w:right="380" w:hanging="216"/>
        <w:spacing w:after="0" w:line="246"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17" w:lineRule="exact"/>
        <w:rPr>
          <w:rFonts w:ascii="Arial" w:cs="Arial" w:eastAsia="Arial" w:hAnsi="Arial"/>
          <w:sz w:val="18"/>
          <w:szCs w:val="18"/>
          <w:color w:val="auto"/>
        </w:rPr>
      </w:pPr>
    </w:p>
    <w:p>
      <w:pPr>
        <w:ind w:left="960" w:right="140" w:hanging="216"/>
        <w:spacing w:after="0" w:line="246"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if approved for commercial use, and our ability to serve those markets;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foreign countries;</w:t>
      </w:r>
    </w:p>
    <w:p>
      <w:pPr>
        <w:spacing w:after="0" w:line="117" w:lineRule="exact"/>
        <w:rPr>
          <w:rFonts w:ascii="Arial" w:cs="Arial" w:eastAsia="Arial" w:hAnsi="Arial"/>
          <w:sz w:val="18"/>
          <w:szCs w:val="18"/>
          <w:color w:val="auto"/>
        </w:rPr>
      </w:pPr>
    </w:p>
    <w:p>
      <w:pPr>
        <w:ind w:left="960" w:right="200" w:hanging="216"/>
        <w:spacing w:after="0" w:line="246"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 agreements, including our relationships with Roche, AstraZeneca and uniQure, and our ability to attract collaborators with development, regulatory and commercialization expertise;</w:t>
      </w:r>
    </w:p>
    <w:p>
      <w:pPr>
        <w:spacing w:after="0" w:line="102" w:lineRule="exact"/>
        <w:rPr>
          <w:rFonts w:ascii="Arial" w:cs="Arial" w:eastAsia="Arial" w:hAnsi="Arial"/>
          <w:sz w:val="18"/>
          <w:szCs w:val="18"/>
          <w:color w:val="auto"/>
        </w:rPr>
      </w:pPr>
    </w:p>
    <w:p>
      <w:pPr>
        <w:ind w:left="960" w:right="80" w:hanging="216"/>
        <w:spacing w:after="0" w:line="246"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potential claims relating to our intellectual property and third-party intellectual property;</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6"/>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medical personnel;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anticipated use of the proceeds from this offering;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section titled “Risk Factors.”</w:t>
      </w:r>
    </w:p>
    <w:p>
      <w:pPr>
        <w:spacing w:after="0" w:line="21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prospectus may turn out to be inaccurate. Factors that may cause actual results to differ materially from current expectations include, among other things, those listed under the section titled “Risk Factors” and elsewhere in this prospectus. Potential investors are urged to consider these factors carefully in evaluating the forward-looking statements. These forward-looking statements speak only as of the date of this prospectus.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 See the section titled “Where You Can Find More Information.”</w:t>
      </w:r>
    </w:p>
    <w:p>
      <w:pPr>
        <w:spacing w:after="0" w:line="1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240" w:top="459" w:right="5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INDUSTRY AND MARKET DATA</w:t>
      </w:r>
    </w:p>
    <w:p>
      <w:pPr>
        <w:spacing w:after="0" w:line="23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This prospectus contains estimates, projections and other information concerning our industry, our business, and the markets for our product candidates, including data regarding the estimated patient population and market size for our product candidates,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60"/>
          </w:cols>
          <w:pgMar w:left="240" w:top="459" w:right="49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17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20" w:type="dxa"/>
            <w:vAlign w:val="bottom"/>
          </w:tcPr>
          <w:p>
            <w:pPr>
              <w:ind w:left="600"/>
              <w:spacing w:after="0"/>
              <w:rPr>
                <w:sz w:val="20"/>
                <w:szCs w:val="20"/>
                <w:color w:val="auto"/>
              </w:rPr>
            </w:pPr>
            <w:r>
              <w:rPr>
                <w:rFonts w:ascii="Arial" w:cs="Arial" w:eastAsia="Arial" w:hAnsi="Arial"/>
                <w:sz w:val="18"/>
                <w:szCs w:val="18"/>
                <w:b w:val="1"/>
                <w:bCs w:val="1"/>
                <w:color w:val="auto"/>
              </w:rPr>
              <w:t>USE OF PROCEEDS</w:t>
            </w:r>
          </w:p>
        </w:tc>
        <w:tc>
          <w:tcPr>
            <w:tcW w:w="6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04"/>
        </w:trPr>
        <w:tc>
          <w:tcPr>
            <w:tcW w:w="6660" w:type="dxa"/>
            <w:vAlign w:val="bottom"/>
            <w:gridSpan w:val="5"/>
          </w:tcPr>
          <w:p>
            <w:pPr>
              <w:ind w:left="760"/>
              <w:spacing w:after="0"/>
              <w:rPr>
                <w:sz w:val="20"/>
                <w:szCs w:val="20"/>
                <w:color w:val="auto"/>
              </w:rPr>
            </w:pPr>
            <w:r>
              <w:rPr>
                <w:rFonts w:ascii="Arial" w:cs="Arial" w:eastAsia="Arial" w:hAnsi="Arial"/>
                <w:sz w:val="18"/>
                <w:szCs w:val="18"/>
                <w:color w:val="auto"/>
              </w:rPr>
              <w:t>We estimate that the net proceeds from the issuance and sale of</w:t>
            </w:r>
          </w:p>
        </w:tc>
        <w:tc>
          <w:tcPr>
            <w:tcW w:w="4520" w:type="dxa"/>
            <w:vAlign w:val="bottom"/>
            <w:gridSpan w:val="2"/>
          </w:tcPr>
          <w:p>
            <w:pPr>
              <w:ind w:left="80"/>
              <w:spacing w:after="0"/>
              <w:rPr>
                <w:sz w:val="20"/>
                <w:szCs w:val="20"/>
                <w:color w:val="auto"/>
              </w:rPr>
            </w:pPr>
            <w:r>
              <w:rPr>
                <w:rFonts w:ascii="Arial" w:cs="Arial" w:eastAsia="Arial" w:hAnsi="Arial"/>
                <w:sz w:val="18"/>
                <w:szCs w:val="18"/>
                <w:color w:val="auto"/>
              </w:rPr>
              <w:t>shares of our common stock in this offering will be</w:t>
            </w:r>
          </w:p>
        </w:tc>
      </w:tr>
      <w:tr>
        <w:trPr>
          <w:trHeight w:val="203"/>
        </w:trPr>
        <w:tc>
          <w:tcPr>
            <w:tcW w:w="17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approximately $</w:t>
            </w:r>
          </w:p>
        </w:tc>
        <w:tc>
          <w:tcPr>
            <w:tcW w:w="2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million, or approximately $</w:t>
            </w:r>
          </w:p>
        </w:tc>
        <w:tc>
          <w:tcPr>
            <w:tcW w:w="69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million if the underwriters exercise their over-allotment option in full, based on the</w:t>
            </w:r>
          </w:p>
        </w:tc>
      </w:tr>
      <w:tr>
        <w:trPr>
          <w:trHeight w:val="203"/>
        </w:trPr>
        <w:tc>
          <w:tcPr>
            <w:tcW w:w="35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assumed initial public offering price of $</w:t>
            </w:r>
          </w:p>
        </w:tc>
        <w:tc>
          <w:tcPr>
            <w:tcW w:w="7600" w:type="dxa"/>
            <w:vAlign w:val="bottom"/>
            <w:gridSpan w:val="4"/>
          </w:tcPr>
          <w:p>
            <w:pPr>
              <w:ind w:left="220"/>
              <w:spacing w:after="0" w:line="202" w:lineRule="exact"/>
              <w:rPr>
                <w:sz w:val="20"/>
                <w:szCs w:val="20"/>
                <w:color w:val="auto"/>
              </w:rPr>
            </w:pPr>
            <w:r>
              <w:rPr>
                <w:rFonts w:ascii="Arial" w:cs="Arial" w:eastAsia="Arial" w:hAnsi="Arial"/>
                <w:sz w:val="18"/>
                <w:szCs w:val="18"/>
                <w:color w:val="auto"/>
                <w:w w:val="99"/>
              </w:rPr>
              <w:t>per share, the midpoint of the estimated price range set forth on the cover of this prospectus,</w:t>
            </w:r>
          </w:p>
        </w:tc>
      </w:tr>
      <w:tr>
        <w:trPr>
          <w:trHeight w:val="217"/>
        </w:trPr>
        <w:tc>
          <w:tcPr>
            <w:tcW w:w="11180" w:type="dxa"/>
            <w:vAlign w:val="bottom"/>
            <w:gridSpan w:val="7"/>
          </w:tcPr>
          <w:p>
            <w:pPr>
              <w:ind w:left="200"/>
              <w:spacing w:after="0"/>
              <w:rPr>
                <w:sz w:val="20"/>
                <w:szCs w:val="20"/>
                <w:color w:val="auto"/>
              </w:rPr>
            </w:pPr>
            <w:r>
              <w:rPr>
                <w:rFonts w:ascii="Arial" w:cs="Arial" w:eastAsia="Arial" w:hAnsi="Arial"/>
                <w:sz w:val="18"/>
                <w:szCs w:val="18"/>
                <w:color w:val="auto"/>
              </w:rPr>
              <w:t>after deducting the estimated underwriting discounts and commissions and estimated offering expenses payable by us.</w:t>
            </w:r>
          </w:p>
        </w:tc>
      </w:tr>
      <w:tr>
        <w:trPr>
          <w:trHeight w:val="404"/>
        </w:trPr>
        <w:tc>
          <w:tcPr>
            <w:tcW w:w="7320" w:type="dxa"/>
            <w:vAlign w:val="bottom"/>
            <w:gridSpan w:val="6"/>
          </w:tcPr>
          <w:p>
            <w:pPr>
              <w:ind w:left="760"/>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3860" w:type="dxa"/>
            <w:vAlign w:val="bottom"/>
          </w:tcPr>
          <w:p>
            <w:pPr>
              <w:ind w:left="220"/>
              <w:spacing w:after="0"/>
              <w:rPr>
                <w:sz w:val="20"/>
                <w:szCs w:val="20"/>
                <w:color w:val="auto"/>
              </w:rPr>
            </w:pPr>
            <w:r>
              <w:rPr>
                <w:rFonts w:ascii="Arial" w:cs="Arial" w:eastAsia="Arial" w:hAnsi="Arial"/>
                <w:sz w:val="18"/>
                <w:szCs w:val="18"/>
                <w:color w:val="auto"/>
              </w:rPr>
              <w:t>per share, the midpoint of the estimated price</w:t>
            </w:r>
          </w:p>
        </w:tc>
      </w:tr>
    </w:tbl>
    <w:p>
      <w:pPr>
        <w:ind w:left="200"/>
        <w:spacing w:after="0" w:line="23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range set forth on the cover of this prospectus, would increase or decrease, as applicable, the net proceeds to us from this offering by</w:t>
      </w:r>
    </w:p>
    <w:p>
      <w:pPr>
        <w:spacing w:after="0" w:line="1" w:lineRule="exact"/>
        <w:rPr>
          <w:sz w:val="20"/>
          <w:szCs w:val="20"/>
          <w:color w:val="auto"/>
        </w:rPr>
      </w:pPr>
    </w:p>
    <w:p>
      <w:pPr>
        <w:ind w:left="200" w:right="40"/>
        <w:spacing w:after="0" w:line="248" w:lineRule="auto"/>
        <w:rPr>
          <w:sz w:val="20"/>
          <w:szCs w:val="20"/>
          <w:color w:val="auto"/>
        </w:rPr>
      </w:pPr>
      <w:r>
        <w:rPr>
          <w:rFonts w:ascii="Arial" w:cs="Arial" w:eastAsia="Arial" w:hAnsi="Arial"/>
          <w:sz w:val="17"/>
          <w:szCs w:val="17"/>
          <w:color w:val="auto"/>
        </w:rPr>
        <w:t>approximately $ million, assuming that the number of shares offered by us, as set forth on the cover of this prospectus, remains the same, and after deducting underwriting discounts and commissions. We may also increase or decrease the number of shares we are offering. Each increase or decrease of 1.0 million shares in the number of shares we are offering would increase or decrease, as applicable, the net proceeds to us from this offering, after deducting the estimated underwriting discounts and commissions and estimated</w:t>
      </w:r>
    </w:p>
    <w:p>
      <w:pPr>
        <w:spacing w:after="0" w:line="2"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offering expenses payable by us, by approximately $ million, assuming the assumed initial public offering price stays the same. We do not expect that a change in the initial price to the public or the number of shares by these amounts would have a material effect on the uses of the proceeds from this offering, although it may accelerate the time at which we will need to seek additional capital. The pro forma as adjusted information is illustrative only, and we will adjust this information based on the actual initial public offering price and other terms of this offering determined at pricing.</w:t>
      </w:r>
    </w:p>
    <w:p>
      <w:pPr>
        <w:spacing w:after="0" w:line="203" w:lineRule="exact"/>
        <w:rPr>
          <w:sz w:val="20"/>
          <w:szCs w:val="20"/>
          <w:color w:val="auto"/>
        </w:rPr>
      </w:pPr>
    </w:p>
    <w:p>
      <w:pPr>
        <w:ind w:left="200" w:right="320" w:firstLine="551"/>
        <w:spacing w:after="0"/>
        <w:rPr>
          <w:sz w:val="20"/>
          <w:szCs w:val="20"/>
          <w:color w:val="auto"/>
        </w:rPr>
      </w:pPr>
      <w:r>
        <w:rPr>
          <w:rFonts w:ascii="Arial" w:cs="Arial" w:eastAsia="Arial" w:hAnsi="Arial"/>
          <w:sz w:val="18"/>
          <w:szCs w:val="18"/>
          <w:color w:val="auto"/>
        </w:rPr>
        <w:t>The principal purposes of this offering are to obtain additional capital to support our operations, to create a public market for our common stock and to facilitate our future access to the public equity markets. We intend to use the net proceeds from this offering, together with our cash and cash equivalents, as follows:</w:t>
      </w:r>
    </w:p>
    <w:p>
      <w:pPr>
        <w:spacing w:after="0" w:line="108" w:lineRule="exact"/>
        <w:rPr>
          <w:sz w:val="20"/>
          <w:szCs w:val="20"/>
          <w:color w:val="auto"/>
        </w:rPr>
      </w:pPr>
    </w:p>
    <w:p>
      <w:pPr>
        <w:ind w:left="960" w:right="160" w:hanging="216"/>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approximately $ million to fund the ongoing and planned preclinical and clinical development of our product candidates, including the initiation of our planned Phase 1/2 clinical trial for 4D-310 and IND-enabling study activities for 4D-710, as well as the initiation of Phase 1 clinical trials for 4D-125 and 4D-110;</w:t>
      </w:r>
    </w:p>
    <w:p>
      <w:pPr>
        <w:spacing w:after="0" w:line="108" w:lineRule="exact"/>
        <w:rPr>
          <w:rFonts w:ascii="Arial" w:cs="Arial" w:eastAsia="Arial" w:hAnsi="Arial"/>
          <w:sz w:val="18"/>
          <w:szCs w:val="18"/>
          <w:color w:val="auto"/>
        </w:rPr>
      </w:pPr>
    </w:p>
    <w:p>
      <w:pPr>
        <w:jc w:val="both"/>
        <w:ind w:left="960" w:right="880" w:hanging="216"/>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approximately $ million to fund the further development and expansion of our pipeline including to complete lead optimization for our research candidates for the treatment of DMD and to complete toxicology studies for our research candidates for the treatment of Wet AMD;</w:t>
      </w:r>
    </w:p>
    <w:p>
      <w:pPr>
        <w:spacing w:after="0" w:line="108" w:lineRule="exact"/>
        <w:rPr>
          <w:rFonts w:ascii="Arial" w:cs="Arial" w:eastAsia="Arial" w:hAnsi="Arial"/>
          <w:sz w:val="18"/>
          <w:szCs w:val="18"/>
          <w:color w:val="auto"/>
        </w:rPr>
      </w:pPr>
    </w:p>
    <w:p>
      <w:pPr>
        <w:ind w:left="960" w:right="180" w:hanging="216"/>
        <w:spacing w:after="0" w:line="243"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approximately $ million to fund the continued expansion of our manufacturing and research and development capabilities; and</w:t>
      </w:r>
    </w:p>
    <w:p>
      <w:pPr>
        <w:spacing w:after="0" w:line="317" w:lineRule="exact"/>
        <w:rPr>
          <w:rFonts w:ascii="Arial" w:cs="Arial" w:eastAsia="Arial" w:hAnsi="Arial"/>
          <w:sz w:val="18"/>
          <w:szCs w:val="18"/>
          <w:color w:val="auto"/>
        </w:rPr>
      </w:pPr>
    </w:p>
    <w:p>
      <w:pPr>
        <w:ind w:left="960" w:hanging="216"/>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remaining amounts for working capital and general corporate purposes.</w:t>
      </w:r>
    </w:p>
    <w:p>
      <w:pPr>
        <w:spacing w:after="0" w:line="212" w:lineRule="exact"/>
        <w:rPr>
          <w:sz w:val="20"/>
          <w:szCs w:val="20"/>
          <w:color w:val="auto"/>
        </w:rPr>
      </w:pPr>
    </w:p>
    <w:p>
      <w:pPr>
        <w:jc w:val="both"/>
        <w:ind w:left="200" w:right="380" w:firstLine="551"/>
        <w:spacing w:after="0"/>
        <w:rPr>
          <w:sz w:val="20"/>
          <w:szCs w:val="20"/>
          <w:color w:val="auto"/>
        </w:rPr>
      </w:pPr>
      <w:r>
        <w:rPr>
          <w:rFonts w:ascii="Arial" w:cs="Arial" w:eastAsia="Arial" w:hAnsi="Arial"/>
          <w:sz w:val="18"/>
          <w:szCs w:val="18"/>
          <w:color w:val="auto"/>
        </w:rPr>
        <w:t>Based on our current operating plan, we estimate that our current cash and cash equivalents, together with the anticipated net proceeds from this offering, will be sufficient to fund our operating expenses and capital expenditure requirements through at least the next months.</w:t>
      </w:r>
    </w:p>
    <w:p>
      <w:pPr>
        <w:spacing w:after="0" w:line="203"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The amounts and timing of our actual expenditures and the extent of our research and development activities may vary significantly depending on numerous factors, including the progress of our development efforts, the status of and results from any preclinical or clinical trials we may commence in the future, our ability to take advantage of expedited programs or to obtain regulatory approval for any other product candidates we may identify and pursue, the timing and costs associated with the manufacture and supply of any other product candidates we may identify and pursue for</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46"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46" w:lineRule="auto"/>
        <w:rPr>
          <w:sz w:val="20"/>
          <w:szCs w:val="20"/>
          <w:color w:val="auto"/>
        </w:rPr>
      </w:pPr>
      <w:r>
        <w:rPr>
          <w:rFonts w:ascii="Arial" w:cs="Arial" w:eastAsia="Arial" w:hAnsi="Arial"/>
          <w:sz w:val="18"/>
          <w:szCs w:val="18"/>
          <w:color w:val="auto"/>
        </w:rPr>
        <w:t>clinical development or commercialization, and any unforeseen cash needs. As a result, our management will retain broad discretion over the allocation of the net proceeds from this offering.</w:t>
      </w:r>
    </w:p>
    <w:p>
      <w:pPr>
        <w:spacing w:after="0" w:line="197" w:lineRule="exact"/>
        <w:rPr>
          <w:sz w:val="20"/>
          <w:szCs w:val="20"/>
          <w:color w:val="auto"/>
        </w:rPr>
      </w:pPr>
    </w:p>
    <w:p>
      <w:pPr>
        <w:ind w:left="200" w:firstLine="551"/>
        <w:spacing w:after="0" w:line="275" w:lineRule="auto"/>
        <w:rPr>
          <w:sz w:val="20"/>
          <w:szCs w:val="20"/>
          <w:color w:val="auto"/>
        </w:rPr>
      </w:pPr>
      <w:r>
        <w:rPr>
          <w:rFonts w:ascii="Arial" w:cs="Arial" w:eastAsia="Arial" w:hAnsi="Arial"/>
          <w:sz w:val="17"/>
          <w:szCs w:val="17"/>
          <w:color w:val="auto"/>
        </w:rPr>
        <w:t>We may also use a portion of the remaining net proceeds and our existing cash and cash equivalents to in-license, acquire, or invest in complementary businesses, technologies, products or assets. However, we have no current commitments or obligations to do so.</w:t>
      </w:r>
    </w:p>
    <w:p>
      <w:pPr>
        <w:spacing w:after="0" w:line="173" w:lineRule="exact"/>
        <w:rPr>
          <w:sz w:val="20"/>
          <w:szCs w:val="20"/>
          <w:color w:val="auto"/>
        </w:rPr>
      </w:pPr>
    </w:p>
    <w:p>
      <w:pPr>
        <w:ind w:left="200" w:right="100" w:firstLine="551"/>
        <w:spacing w:after="0"/>
        <w:rPr>
          <w:sz w:val="20"/>
          <w:szCs w:val="20"/>
          <w:color w:val="auto"/>
        </w:rPr>
      </w:pPr>
      <w:r>
        <w:rPr>
          <w:rFonts w:ascii="Arial" w:cs="Arial" w:eastAsia="Arial" w:hAnsi="Arial"/>
          <w:sz w:val="18"/>
          <w:szCs w:val="18"/>
          <w:color w:val="auto"/>
        </w:rPr>
        <w:t>This expected use of the net proceeds from this offering represents our intentions based upon our current plans and business conditions. As of the date of this prospectus, we cannot predict with certainty all of the particular uses for the net proceeds to be received upon the completion of this offering or the amounts that we will actually spend on the uses set forth above.</w:t>
      </w:r>
    </w:p>
    <w:p>
      <w:pPr>
        <w:spacing w:after="0" w:line="203" w:lineRule="exact"/>
        <w:rPr>
          <w:sz w:val="20"/>
          <w:szCs w:val="20"/>
          <w:color w:val="auto"/>
        </w:rPr>
      </w:pPr>
    </w:p>
    <w:p>
      <w:pPr>
        <w:ind w:left="200" w:right="300" w:firstLine="551"/>
        <w:spacing w:after="0" w:line="246" w:lineRule="auto"/>
        <w:rPr>
          <w:sz w:val="20"/>
          <w:szCs w:val="20"/>
          <w:color w:val="auto"/>
        </w:rPr>
      </w:pPr>
      <w:r>
        <w:rPr>
          <w:rFonts w:ascii="Arial" w:cs="Arial" w:eastAsia="Arial" w:hAnsi="Arial"/>
          <w:sz w:val="18"/>
          <w:szCs w:val="18"/>
          <w:color w:val="auto"/>
        </w:rPr>
        <w:t>Pending their use, we intend to invest the net proceeds of this offering in a variety of capital-preservation investments, including short and intermediate-term, interest-bearing, investment-grade securities, and government securities.</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24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80"/>
          </w:cols>
          <w:pgMar w:left="24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our cash and cash equivalents and capitalization as of June 30, 2019:</w:t>
      </w:r>
    </w:p>
    <w:p>
      <w:pPr>
        <w:spacing w:after="0" w:line="117" w:lineRule="exact"/>
        <w:rPr>
          <w:sz w:val="20"/>
          <w:szCs w:val="20"/>
          <w:color w:val="auto"/>
        </w:rPr>
      </w:pPr>
    </w:p>
    <w:p>
      <w:pPr>
        <w:ind w:left="960" w:hanging="216"/>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960" w:right="60" w:hanging="216"/>
        <w:spacing w:after="0" w:line="239"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a pro forma basis to give effect to: (i) the conversion of 7,375,631 shares of our outstanding redeemable convertible preferred stock as of June 30, 2019 into an equivalent number of shares of our common stock immediately prior to the completion of this offering, and (ii) the filing and effectiveness of our amended and restated certificate of incorporation, which will occur, in each case, immediately prior to the completion of this offering; and</w:t>
      </w:r>
    </w:p>
    <w:p>
      <w:pPr>
        <w:spacing w:after="0" w:line="107" w:lineRule="exact"/>
        <w:rPr>
          <w:sz w:val="20"/>
          <w:szCs w:val="20"/>
          <w:color w:val="auto"/>
        </w:rPr>
      </w:pPr>
    </w:p>
    <w:p>
      <w:pPr>
        <w:jc w:val="both"/>
        <w:ind w:left="960" w:right="120" w:hanging="219"/>
        <w:spacing w:after="0" w:line="234" w:lineRule="auto"/>
        <w:tabs>
          <w:tab w:leader="none" w:pos="940" w:val="left"/>
        </w:tabs>
        <w:rPr>
          <w:sz w:val="20"/>
          <w:szCs w:val="20"/>
          <w:color w:val="auto"/>
        </w:rPr>
      </w:pPr>
      <w:r>
        <w:rPr>
          <w:rFonts w:ascii="Arial" w:cs="Arial" w:eastAsia="Arial" w:hAnsi="Arial"/>
          <w:sz w:val="18"/>
          <w:szCs w:val="18"/>
          <w:color w:val="auto"/>
        </w:rPr>
        <w:t>•</w:t>
        <w:tab/>
        <w:t>on a pro forma as adjusted basis to give further effect to sale and issuance of shares of our common stock in this offering, assuming an initial public offering price of $ per share, the midpoint of the estimated price range set forth on the</w:t>
      </w:r>
    </w:p>
    <w:p>
      <w:pPr>
        <w:spacing w:after="0" w:line="2" w:lineRule="exact"/>
        <w:rPr>
          <w:sz w:val="20"/>
          <w:szCs w:val="20"/>
          <w:color w:val="auto"/>
        </w:rPr>
      </w:pPr>
    </w:p>
    <w:p>
      <w:pPr>
        <w:ind w:left="960" w:right="20"/>
        <w:spacing w:after="0" w:line="246" w:lineRule="auto"/>
        <w:rPr>
          <w:sz w:val="20"/>
          <w:szCs w:val="20"/>
          <w:color w:val="auto"/>
        </w:rPr>
      </w:pPr>
      <w:r>
        <w:rPr>
          <w:rFonts w:ascii="Arial" w:cs="Arial" w:eastAsia="Arial" w:hAnsi="Arial"/>
          <w:sz w:val="18"/>
          <w:szCs w:val="18"/>
          <w:color w:val="auto"/>
        </w:rPr>
        <w:t>cover of this prospectus, after deducting the estimated underwriting discounts and commissions and estimated offering expenses payable by us.</w:t>
      </w:r>
    </w:p>
    <w:p>
      <w:pPr>
        <w:spacing w:after="0" w:line="197" w:lineRule="exact"/>
        <w:rPr>
          <w:sz w:val="20"/>
          <w:szCs w:val="20"/>
          <w:color w:val="auto"/>
        </w:rPr>
      </w:pPr>
    </w:p>
    <w:p>
      <w:pPr>
        <w:jc w:val="both"/>
        <w:ind w:left="200" w:right="40" w:firstLine="551"/>
        <w:spacing w:after="0"/>
        <w:rPr>
          <w:sz w:val="20"/>
          <w:szCs w:val="20"/>
          <w:color w:val="auto"/>
        </w:rPr>
      </w:pPr>
      <w:r>
        <w:rPr>
          <w:rFonts w:ascii="Arial" w:cs="Arial" w:eastAsia="Arial" w:hAnsi="Arial"/>
          <w:sz w:val="18"/>
          <w:szCs w:val="18"/>
          <w:color w:val="auto"/>
        </w:rPr>
        <w:t>You should read this information together with our financial statements and related notes included elsewhere in this prospectus and the information set forth in the sections titled “Selected Financial Data” and “Management’s Discussion and Analysis of Financial Condition and Results of Operations.”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As of June 30, 2019</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3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ind w:left="120"/>
              <w:spacing w:after="0" w:line="139"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r>
      <w:tr>
        <w:trPr>
          <w:trHeight w:val="179"/>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Actual</w:t>
            </w:r>
          </w:p>
        </w:tc>
        <w:tc>
          <w:tcPr>
            <w:tcW w:w="38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Pro Forma</w:t>
            </w:r>
          </w:p>
        </w:tc>
        <w:tc>
          <w:tcPr>
            <w:tcW w:w="1200" w:type="dxa"/>
            <w:vAlign w:val="bottom"/>
            <w:gridSpan w:val="3"/>
          </w:tcPr>
          <w:p>
            <w:pPr>
              <w:ind w:left="140"/>
              <w:spacing w:after="0" w:line="17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(1)</w:t>
            </w: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0" w:type="dxa"/>
            <w:vAlign w:val="bottom"/>
            <w:tcBorders>
              <w:top w:val="single" w:sz="8" w:color="auto"/>
            </w:tcBorders>
            <w:gridSpan w:val="7"/>
          </w:tcPr>
          <w:p>
            <w:pPr>
              <w:jc w:val="center"/>
              <w:ind w:right="48"/>
              <w:spacing w:after="0" w:line="143" w:lineRule="exact"/>
              <w:rPr>
                <w:sz w:val="20"/>
                <w:szCs w:val="20"/>
                <w:color w:val="auto"/>
              </w:rPr>
            </w:pPr>
            <w:r>
              <w:rPr>
                <w:rFonts w:ascii="Arial" w:cs="Arial" w:eastAsia="Arial" w:hAnsi="Arial"/>
                <w:sz w:val="14"/>
                <w:szCs w:val="14"/>
                <w:b w:val="1"/>
                <w:bCs w:val="1"/>
                <w:color w:val="auto"/>
              </w:rPr>
              <w:t>(in thousands, except share and per share</w:t>
            </w:r>
          </w:p>
        </w:tc>
        <w:tc>
          <w:tcPr>
            <w:tcW w:w="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amounts)</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72,869</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768"/>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1220" w:type="dxa"/>
            <w:vAlign w:val="bottom"/>
            <w:gridSpan w:val="2"/>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180" w:type="dxa"/>
            <w:vAlign w:val="bottom"/>
            <w:gridSpan w:val="8"/>
          </w:tcPr>
          <w:p>
            <w:pPr>
              <w:spacing w:after="0" w:line="195" w:lineRule="exact"/>
              <w:rPr>
                <w:sz w:val="20"/>
                <w:szCs w:val="20"/>
                <w:color w:val="auto"/>
              </w:rPr>
            </w:pPr>
            <w:r>
              <w:rPr>
                <w:rFonts w:ascii="Arial" w:cs="Arial" w:eastAsia="Arial" w:hAnsi="Arial"/>
                <w:sz w:val="18"/>
                <w:szCs w:val="18"/>
                <w:color w:val="auto"/>
              </w:rPr>
              <w:t>Redeemable convertible preferred stock, $0.0001 par value: 7,375,638 shares</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authorized; 7,375,631 shares issued and outstanding, actual; no shares</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gridSpan w:val="4"/>
          </w:tcPr>
          <w:p>
            <w:pPr>
              <w:ind w:left="160"/>
              <w:spacing w:after="0" w:line="203" w:lineRule="exact"/>
              <w:rPr>
                <w:sz w:val="20"/>
                <w:szCs w:val="20"/>
                <w:color w:val="auto"/>
              </w:rPr>
            </w:pPr>
            <w:r>
              <w:rPr>
                <w:rFonts w:ascii="Arial" w:cs="Arial" w:eastAsia="Arial" w:hAnsi="Arial"/>
                <w:sz w:val="18"/>
                <w:szCs w:val="18"/>
                <w:color w:val="auto"/>
              </w:rPr>
              <w:t>authorized, issued or outstanding, pro forma or pro forma as adjusted</w:t>
            </w:r>
          </w:p>
        </w:tc>
        <w:tc>
          <w:tcPr>
            <w:tcW w:w="1220" w:type="dxa"/>
            <w:vAlign w:val="bottom"/>
            <w:gridSpan w:val="3"/>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w w:val="98"/>
              </w:rPr>
              <w:t>102,980</w:t>
            </w:r>
          </w:p>
        </w:tc>
        <w:tc>
          <w:tcPr>
            <w:tcW w:w="280" w:type="dxa"/>
            <w:vAlign w:val="bottom"/>
          </w:tcPr>
          <w:p>
            <w:pPr>
              <w:spacing w:after="0"/>
              <w:rPr>
                <w:sz w:val="17"/>
                <w:szCs w:val="17"/>
                <w:color w:val="auto"/>
              </w:rPr>
            </w:pPr>
          </w:p>
        </w:tc>
        <w:tc>
          <w:tcPr>
            <w:tcW w:w="1300" w:type="dxa"/>
            <w:vAlign w:val="bottom"/>
            <w:gridSpan w:val="2"/>
          </w:tcPr>
          <w:p>
            <w:pPr>
              <w:jc w:val="right"/>
              <w:ind w:right="768"/>
              <w:spacing w:after="0" w:line="203"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14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 equity:</w:t>
            </w:r>
          </w:p>
        </w:tc>
        <w:tc>
          <w:tcPr>
            <w:tcW w:w="1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940" w:type="dxa"/>
            <w:vAlign w:val="bottom"/>
            <w:gridSpan w:val="4"/>
          </w:tcPr>
          <w:p>
            <w:pPr>
              <w:ind w:left="340"/>
              <w:spacing w:after="0" w:line="201" w:lineRule="exact"/>
              <w:rPr>
                <w:sz w:val="20"/>
                <w:szCs w:val="20"/>
                <w:color w:val="auto"/>
              </w:rPr>
            </w:pPr>
            <w:r>
              <w:rPr>
                <w:rFonts w:ascii="Arial" w:cs="Arial" w:eastAsia="Arial" w:hAnsi="Arial"/>
                <w:sz w:val="18"/>
                <w:szCs w:val="18"/>
                <w:color w:val="auto"/>
              </w:rPr>
              <w:t>Common stock, $0.0001 par value: 50,000,000 shares authorized;</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6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5,141,344 shares issued and outstanding, actual;</w:t>
            </w:r>
          </w:p>
        </w:tc>
        <w:tc>
          <w:tcPr>
            <w:tcW w:w="1080" w:type="dxa"/>
            <w:vAlign w:val="bottom"/>
          </w:tcPr>
          <w:p>
            <w:pPr>
              <w:ind w:left="440"/>
              <w:spacing w:after="0" w:line="202" w:lineRule="exact"/>
              <w:rPr>
                <w:sz w:val="20"/>
                <w:szCs w:val="20"/>
                <w:color w:val="auto"/>
              </w:rPr>
            </w:pPr>
            <w:r>
              <w:rPr>
                <w:rFonts w:ascii="Arial" w:cs="Arial" w:eastAsia="Arial" w:hAnsi="Arial"/>
                <w:sz w:val="18"/>
                <w:szCs w:val="18"/>
                <w:color w:val="auto"/>
              </w:rPr>
              <w:t>shares</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6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authorized, pro forma and pro forma as adjusted;</w:t>
            </w:r>
          </w:p>
        </w:tc>
        <w:tc>
          <w:tcPr>
            <w:tcW w:w="2300" w:type="dxa"/>
            <w:vAlign w:val="bottom"/>
            <w:gridSpan w:val="4"/>
          </w:tcPr>
          <w:p>
            <w:pPr>
              <w:jc w:val="right"/>
              <w:ind w:right="780"/>
              <w:spacing w:after="0" w:line="202" w:lineRule="exact"/>
              <w:rPr>
                <w:sz w:val="20"/>
                <w:szCs w:val="20"/>
                <w:color w:val="auto"/>
              </w:rPr>
            </w:pPr>
            <w:r>
              <w:rPr>
                <w:rFonts w:ascii="Arial" w:cs="Arial" w:eastAsia="Arial" w:hAnsi="Arial"/>
                <w:sz w:val="18"/>
                <w:szCs w:val="18"/>
                <w:color w:val="auto"/>
              </w:rPr>
              <w:t>shares issued</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6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and outstanding, pro forma;</w:t>
            </w:r>
          </w:p>
        </w:tc>
        <w:tc>
          <w:tcPr>
            <w:tcW w:w="3700" w:type="dxa"/>
            <w:vAlign w:val="bottom"/>
            <w:gridSpan w:val="5"/>
          </w:tcPr>
          <w:p>
            <w:pPr>
              <w:jc w:val="right"/>
              <w:ind w:right="780"/>
              <w:spacing w:after="0" w:line="202" w:lineRule="exact"/>
              <w:rPr>
                <w:sz w:val="20"/>
                <w:szCs w:val="20"/>
                <w:color w:val="auto"/>
              </w:rPr>
            </w:pPr>
            <w:r>
              <w:rPr>
                <w:rFonts w:ascii="Arial" w:cs="Arial" w:eastAsia="Arial" w:hAnsi="Arial"/>
                <w:sz w:val="18"/>
                <w:szCs w:val="18"/>
                <w:color w:val="auto"/>
              </w:rPr>
              <w:t>shares issued and outstanding, pro</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60" w:type="dxa"/>
            <w:vAlign w:val="bottom"/>
            <w:gridSpan w:val="2"/>
          </w:tcPr>
          <w:p>
            <w:pPr>
              <w:ind w:left="520"/>
              <w:spacing w:after="0" w:line="203" w:lineRule="exact"/>
              <w:rPr>
                <w:sz w:val="20"/>
                <w:szCs w:val="20"/>
                <w:color w:val="auto"/>
              </w:rPr>
            </w:pPr>
            <w:r>
              <w:rPr>
                <w:rFonts w:ascii="Arial" w:cs="Arial" w:eastAsia="Arial" w:hAnsi="Arial"/>
                <w:sz w:val="18"/>
                <w:szCs w:val="18"/>
                <w:color w:val="auto"/>
              </w:rPr>
              <w:t>forma as adjusted</w:t>
            </w: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Additional paid-in capital</w:t>
            </w:r>
          </w:p>
        </w:tc>
        <w:tc>
          <w:tcPr>
            <w:tcW w:w="1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3,930</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Accumulated deficit</w:t>
            </w: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(46,235)</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46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stockholders’ (deficit) equity</w:t>
            </w:r>
          </w:p>
        </w:tc>
        <w:tc>
          <w:tcPr>
            <w:tcW w:w="1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(42,304)</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2"/>
          </w:tcPr>
          <w:p>
            <w:pPr>
              <w:ind w:left="1060"/>
              <w:spacing w:after="0"/>
              <w:rPr>
                <w:sz w:val="20"/>
                <w:szCs w:val="20"/>
                <w:color w:val="auto"/>
              </w:rPr>
            </w:pPr>
            <w:r>
              <w:rPr>
                <w:rFonts w:ascii="Arial" w:cs="Arial" w:eastAsia="Arial" w:hAnsi="Arial"/>
                <w:sz w:val="18"/>
                <w:szCs w:val="18"/>
                <w:color w:val="auto"/>
              </w:rPr>
              <w:t>Total capitalization</w:t>
            </w:r>
          </w:p>
        </w:tc>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60,676</w:t>
            </w:r>
          </w:p>
        </w:tc>
        <w:tc>
          <w:tcPr>
            <w:tcW w:w="280" w:type="dxa"/>
            <w:vAlign w:val="bottom"/>
          </w:tcPr>
          <w:p>
            <w:pPr>
              <w:spacing w:after="0"/>
              <w:rPr>
                <w:sz w:val="18"/>
                <w:szCs w:val="18"/>
                <w:color w:val="auto"/>
              </w:rPr>
            </w:pPr>
          </w:p>
        </w:tc>
        <w:tc>
          <w:tcPr>
            <w:tcW w:w="130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
        </w:trPr>
        <w:tc>
          <w:tcPr>
            <w:tcW w:w="1220" w:type="dxa"/>
            <w:vAlign w:val="bottom"/>
            <w:gridSpan w:val="2"/>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740" w:type="dxa"/>
            <w:vAlign w:val="bottom"/>
            <w:gridSpan w:val="3"/>
          </w:tcPr>
          <w:p>
            <w:pPr>
              <w:spacing w:after="0"/>
              <w:rPr>
                <w:sz w:val="11"/>
                <w:szCs w:val="11"/>
                <w:color w:val="auto"/>
              </w:rPr>
            </w:pPr>
          </w:p>
        </w:tc>
        <w:tc>
          <w:tcPr>
            <w:tcW w:w="5080" w:type="dxa"/>
            <w:vAlign w:val="bottom"/>
            <w:gridSpan w:val="11"/>
          </w:tcPr>
          <w:p>
            <w:pPr>
              <w:spacing w:after="0"/>
              <w:rPr>
                <w:sz w:val="11"/>
                <w:szCs w:val="11"/>
                <w:color w:val="auto"/>
              </w:rPr>
            </w:pPr>
          </w:p>
        </w:tc>
      </w:tr>
      <w:tr>
        <w:trPr>
          <w:trHeight w:val="201"/>
        </w:trPr>
        <w:tc>
          <w:tcPr>
            <w:tcW w:w="5960" w:type="dxa"/>
            <w:vAlign w:val="bottom"/>
            <w:gridSpan w:val="5"/>
          </w:tcPr>
          <w:p>
            <w:pPr>
              <w:spacing w:after="0"/>
              <w:rPr>
                <w:sz w:val="20"/>
                <w:szCs w:val="20"/>
                <w:color w:val="auto"/>
              </w:rPr>
            </w:pPr>
            <w:r>
              <w:rPr>
                <w:rFonts w:ascii="Arial" w:cs="Arial" w:eastAsia="Arial" w:hAnsi="Arial"/>
                <w:sz w:val="14"/>
                <w:szCs w:val="14"/>
                <w:color w:val="auto"/>
              </w:rPr>
              <w:t>(1)   Each $1.00 increase or decrease in the assumed initial public offering price of $</w:t>
            </w:r>
          </w:p>
        </w:tc>
        <w:tc>
          <w:tcPr>
            <w:tcW w:w="5080" w:type="dxa"/>
            <w:vAlign w:val="bottom"/>
            <w:gridSpan w:val="11"/>
          </w:tcPr>
          <w:p>
            <w:pPr>
              <w:ind w:left="60"/>
              <w:spacing w:after="0"/>
              <w:rPr>
                <w:sz w:val="20"/>
                <w:szCs w:val="20"/>
                <w:color w:val="auto"/>
              </w:rPr>
            </w:pPr>
            <w:r>
              <w:rPr>
                <w:rFonts w:ascii="Arial" w:cs="Arial" w:eastAsia="Arial" w:hAnsi="Arial"/>
                <w:sz w:val="14"/>
                <w:szCs w:val="14"/>
                <w:color w:val="auto"/>
              </w:rPr>
              <w:t>per share, the midpoint of the estimated price range set forth on the cover of</w:t>
            </w:r>
          </w:p>
        </w:tc>
      </w:tr>
    </w:tbl>
    <w:p>
      <w:pPr>
        <w:ind w:left="640"/>
        <w:spacing w:after="0"/>
        <w:rPr>
          <w:sz w:val="20"/>
          <w:szCs w:val="20"/>
          <w:color w:val="auto"/>
        </w:rPr>
      </w:pPr>
      <w:r>
        <w:rPr>
          <w:rFonts w:ascii="Arial" w:cs="Arial" w:eastAsia="Arial" w:hAnsi="Arial"/>
          <w:sz w:val="14"/>
          <w:szCs w:val="14"/>
          <w:color w:val="auto"/>
        </w:rPr>
        <w:t>this prospectus, would increase or decrease, as applicable, each of the amount of our cash and cash equivalents, additional paid-in capital, total stockholders’ (deficit)</w:t>
      </w:r>
    </w:p>
    <w:p>
      <w:pPr>
        <w:spacing w:after="0" w:line="1" w:lineRule="exact"/>
        <w:rPr>
          <w:sz w:val="20"/>
          <w:szCs w:val="20"/>
          <w:color w:val="auto"/>
        </w:rPr>
      </w:pPr>
    </w:p>
    <w:p>
      <w:pPr>
        <w:jc w:val="both"/>
        <w:ind w:left="640" w:right="80"/>
        <w:spacing w:after="0" w:line="187" w:lineRule="auto"/>
        <w:rPr>
          <w:sz w:val="20"/>
          <w:szCs w:val="20"/>
          <w:color w:val="auto"/>
        </w:rPr>
      </w:pPr>
      <w:r>
        <w:rPr>
          <w:rFonts w:ascii="Arial" w:cs="Arial" w:eastAsia="Arial" w:hAnsi="Arial"/>
          <w:sz w:val="12"/>
          <w:szCs w:val="12"/>
          <w:color w:val="auto"/>
        </w:rPr>
        <w:t>equity and total capitalization by approximately $ , assuming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Each increase or decrease of 1.0 million in the number of shares offered by us would increase or decrease, as applicable,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40" w:right="220"/>
        <w:spacing w:after="0" w:line="250" w:lineRule="auto"/>
        <w:rPr>
          <w:sz w:val="20"/>
          <w:szCs w:val="20"/>
          <w:color w:val="auto"/>
        </w:rPr>
      </w:pPr>
      <w:r>
        <w:rPr>
          <w:rFonts w:ascii="Arial" w:cs="Arial" w:eastAsia="Arial" w:hAnsi="Arial"/>
          <w:sz w:val="14"/>
          <w:szCs w:val="14"/>
          <w:color w:val="auto"/>
        </w:rPr>
        <w:t>of the amount of our cash and cash equivalents, additional paid-in capital, total stockholders’ (deficit) equity and total capitalization by approximately $ , assuming the assumed initial public offering price of $ per share, the midpoint of the estimated price range set forth on the cover of this prospectus, remains the same, and after deducting the estimated</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40" w:right="160"/>
        <w:spacing w:after="0" w:line="258" w:lineRule="auto"/>
        <w:rPr>
          <w:sz w:val="20"/>
          <w:szCs w:val="20"/>
          <w:color w:val="auto"/>
        </w:rPr>
      </w:pPr>
      <w:r>
        <w:rPr>
          <w:rFonts w:ascii="Arial" w:cs="Arial" w:eastAsia="Arial" w:hAnsi="Arial"/>
          <w:sz w:val="14"/>
          <w:szCs w:val="14"/>
          <w:color w:val="auto"/>
        </w:rPr>
        <w:t>underwriting discounts and commissions and estimated offering expenses payable by us. The pro forma as adjusted information discussed above is illustrative only and will be adjusted based on the actual public offering price and other terms of this offering determined at pricing.</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the underwriters’ exercise their over-allotment option in full, our pro forma as adjusted cash and cash equivalents, and total</w:t>
      </w:r>
    </w:p>
    <w:p>
      <w:pPr>
        <w:ind w:left="200"/>
        <w:spacing w:after="0"/>
        <w:tabs>
          <w:tab w:leader="none" w:pos="4480" w:val="left"/>
          <w:tab w:leader="none" w:pos="6140" w:val="left"/>
        </w:tabs>
        <w:rPr>
          <w:sz w:val="20"/>
          <w:szCs w:val="20"/>
          <w:color w:val="auto"/>
        </w:rPr>
      </w:pPr>
      <w:r>
        <w:rPr>
          <w:rFonts w:ascii="Arial" w:cs="Arial" w:eastAsia="Arial" w:hAnsi="Arial"/>
          <w:sz w:val="18"/>
          <w:szCs w:val="18"/>
          <w:color w:val="auto"/>
        </w:rPr>
        <w:t>capitalization as of June 30, 2019, would be $</w:t>
      </w:r>
      <w:r>
        <w:rPr>
          <w:sz w:val="20"/>
          <w:szCs w:val="20"/>
          <w:color w:val="auto"/>
        </w:rPr>
        <w:tab/>
      </w:r>
      <w:r>
        <w:rPr>
          <w:rFonts w:ascii="Arial" w:cs="Arial" w:eastAsia="Arial" w:hAnsi="Arial"/>
          <w:sz w:val="18"/>
          <w:szCs w:val="18"/>
          <w:color w:val="auto"/>
        </w:rPr>
        <w:t>million and $</w:t>
      </w:r>
      <w:r>
        <w:rPr>
          <w:sz w:val="20"/>
          <w:szCs w:val="20"/>
          <w:color w:val="auto"/>
        </w:rPr>
        <w:tab/>
      </w:r>
      <w:r>
        <w:rPr>
          <w:rFonts w:ascii="Arial" w:cs="Arial" w:eastAsia="Arial" w:hAnsi="Arial"/>
          <w:sz w:val="17"/>
          <w:szCs w:val="17"/>
          <w:color w:val="auto"/>
        </w:rPr>
        <w:t>million, respectively.</w:t>
      </w:r>
    </w:p>
    <w:p>
      <w:pPr>
        <w:spacing w:after="0" w:line="212" w:lineRule="exact"/>
        <w:rPr>
          <w:sz w:val="20"/>
          <w:szCs w:val="20"/>
          <w:color w:val="auto"/>
        </w:rPr>
      </w:pPr>
    </w:p>
    <w:p>
      <w:pPr>
        <w:ind w:left="200" w:right="380" w:firstLine="551"/>
        <w:spacing w:after="0"/>
        <w:rPr>
          <w:sz w:val="20"/>
          <w:szCs w:val="20"/>
          <w:color w:val="auto"/>
        </w:rPr>
      </w:pPr>
      <w:r>
        <w:rPr>
          <w:rFonts w:ascii="Arial" w:cs="Arial" w:eastAsia="Arial" w:hAnsi="Arial"/>
          <w:sz w:val="18"/>
          <w:szCs w:val="18"/>
          <w:color w:val="auto"/>
        </w:rPr>
        <w:t>The number of shares of our common stock issued and outstanding, pro forma and pro forma as adjusted in the table above is based on 12,516,975 shares of our common stock (including our redeemable convertible preferred stock on an as-converted basis) outstanding as of June 30, 2019, which excludes:</w:t>
      </w:r>
    </w:p>
    <w:p>
      <w:pPr>
        <w:spacing w:after="0" w:line="108" w:lineRule="exact"/>
        <w:rPr>
          <w:sz w:val="20"/>
          <w:szCs w:val="20"/>
          <w:color w:val="auto"/>
        </w:rPr>
      </w:pPr>
    </w:p>
    <w:p>
      <w:pPr>
        <w:ind w:left="960" w:right="640" w:hanging="216"/>
        <w:spacing w:after="0" w:line="246"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2,192,230 shares of our common stock issuable upon the exercise of stock options to purchase common stock that were outstanding as of June 30, 2019, with a weighted-average exercise price of $6.10 per share;</w:t>
      </w:r>
    </w:p>
    <w:p>
      <w:pPr>
        <w:spacing w:after="0" w:line="102" w:lineRule="exact"/>
        <w:rPr>
          <w:rFonts w:ascii="Arial" w:cs="Arial" w:eastAsia="Arial" w:hAnsi="Arial"/>
          <w:sz w:val="18"/>
          <w:szCs w:val="18"/>
          <w:color w:val="auto"/>
        </w:rPr>
      </w:pPr>
    </w:p>
    <w:p>
      <w:pPr>
        <w:ind w:left="960" w:right="100" w:hanging="216"/>
        <w:spacing w:after="0" w:line="246"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68,669 shares of our common stock issuable upon the exercise of outstanding warrants with a weighted-average exercise price of $1.85 per share;</w:t>
      </w:r>
    </w:p>
    <w:p>
      <w:pPr>
        <w:spacing w:after="0" w:line="102" w:lineRule="exact"/>
        <w:rPr>
          <w:rFonts w:ascii="Arial" w:cs="Arial" w:eastAsia="Arial" w:hAnsi="Arial"/>
          <w:sz w:val="18"/>
          <w:szCs w:val="18"/>
          <w:color w:val="auto"/>
        </w:rPr>
      </w:pPr>
    </w:p>
    <w:p>
      <w:pPr>
        <w:ind w:left="960" w:right="600" w:hanging="216"/>
        <w:spacing w:after="0" w:line="246"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399,886 shares of our common stock reserved for issuance pursuant to future awards under our the Plan and associated amendments as of June 30, 2019;</w:t>
      </w:r>
    </w:p>
    <w:p>
      <w:pPr>
        <w:spacing w:after="0" w:line="102" w:lineRule="exact"/>
        <w:rPr>
          <w:rFonts w:ascii="Arial" w:cs="Arial" w:eastAsia="Arial" w:hAnsi="Arial"/>
          <w:sz w:val="18"/>
          <w:szCs w:val="18"/>
          <w:color w:val="auto"/>
        </w:rPr>
      </w:pPr>
    </w:p>
    <w:p>
      <w:pPr>
        <w:ind w:left="960" w:right="380" w:hanging="216"/>
        <w:spacing w:after="0"/>
        <w:tabs>
          <w:tab w:leader="none" w:pos="1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shares of our common stock reserved for issuance pursuant to future awards under our 2019 Plan, as well as any automatic increases in the number of shares of our common stock reserved for future issuance under this plan, which will become effective immediately prior to the completion of this offering; and</w:t>
      </w:r>
    </w:p>
    <w:p>
      <w:pPr>
        <w:spacing w:after="0" w:line="108" w:lineRule="exact"/>
        <w:rPr>
          <w:rFonts w:ascii="Arial" w:cs="Arial" w:eastAsia="Arial" w:hAnsi="Arial"/>
          <w:sz w:val="18"/>
          <w:szCs w:val="18"/>
          <w:color w:val="auto"/>
        </w:rPr>
      </w:pPr>
    </w:p>
    <w:p>
      <w:pPr>
        <w:ind w:left="960" w:hanging="216"/>
        <w:spacing w:after="0"/>
        <w:tabs>
          <w:tab w:leader="none" w:pos="1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shares of common stock reserved for issuance pursuant to future awards under our ESPP, as well as any automatic increases in the number of shares of our common stock reserved for future issuance under this plan, which will become effective immediately prior to the completion of this offering.</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80"/>
          </w:cols>
          <w:pgMar w:left="24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jc w:val="both"/>
        <w:ind w:left="200" w:right="300" w:firstLine="551"/>
        <w:spacing w:after="0"/>
        <w:rPr>
          <w:sz w:val="20"/>
          <w:szCs w:val="20"/>
          <w:color w:val="auto"/>
        </w:rPr>
      </w:pPr>
      <w:r>
        <w:rPr>
          <w:rFonts w:ascii="Arial" w:cs="Arial" w:eastAsia="Arial" w:hAnsi="Arial"/>
          <w:sz w:val="18"/>
          <w:szCs w:val="18"/>
          <w:color w:val="auto"/>
        </w:rPr>
        <w:t>If you invest in our common stock in this offering, your interest will be immediately diluted to the extent of the difference between the initial public offering price per share of our common stock in this offering and the pro forma as adjusted net tangible book value per share of our common stock immediately after the completion of this offering.</w:t>
      </w:r>
    </w:p>
    <w:p>
      <w:pPr>
        <w:spacing w:after="0" w:line="203" w:lineRule="exact"/>
        <w:rPr>
          <w:sz w:val="20"/>
          <w:szCs w:val="20"/>
          <w:color w:val="auto"/>
        </w:rPr>
      </w:pPr>
    </w:p>
    <w:p>
      <w:pPr>
        <w:ind w:left="200" w:right="200" w:firstLine="551"/>
        <w:spacing w:after="0"/>
        <w:rPr>
          <w:sz w:val="20"/>
          <w:szCs w:val="20"/>
          <w:color w:val="auto"/>
        </w:rPr>
      </w:pPr>
      <w:r>
        <w:rPr>
          <w:rFonts w:ascii="Arial" w:cs="Arial" w:eastAsia="Arial" w:hAnsi="Arial"/>
          <w:sz w:val="18"/>
          <w:szCs w:val="18"/>
          <w:color w:val="auto"/>
        </w:rPr>
        <w:t>As of June 30, 2019, our historical net tangible book value (deficit) was $(42.7) million, or $(8.30) per share of our common stock. Our historical net tangible book value (deficit) per share represents total tangible assets less total liabilities and redeemable convertible preferred stock divided by the number of shares of our common stock outstanding on June 30, 2019.</w:t>
      </w:r>
    </w:p>
    <w:p>
      <w:pPr>
        <w:spacing w:after="0" w:line="198" w:lineRule="exact"/>
        <w:rPr>
          <w:sz w:val="20"/>
          <w:szCs w:val="20"/>
          <w:color w:val="auto"/>
        </w:rPr>
      </w:pPr>
    </w:p>
    <w:p>
      <w:pPr>
        <w:ind w:left="760"/>
        <w:spacing w:after="0"/>
        <w:tabs>
          <w:tab w:leader="none" w:pos="9400" w:val="left"/>
        </w:tabs>
        <w:rPr>
          <w:sz w:val="20"/>
          <w:szCs w:val="20"/>
          <w:color w:val="auto"/>
        </w:rPr>
      </w:pPr>
      <w:r>
        <w:rPr>
          <w:rFonts w:ascii="Arial" w:cs="Arial" w:eastAsia="Arial" w:hAnsi="Arial"/>
          <w:sz w:val="18"/>
          <w:szCs w:val="18"/>
          <w:color w:val="auto"/>
        </w:rPr>
        <w:t>Our pro forma net tangible book value as of June 30, 2019, before giving effect to this offering, was $</w:t>
      </w:r>
      <w:r>
        <w:rPr>
          <w:sz w:val="20"/>
          <w:szCs w:val="20"/>
          <w:color w:val="auto"/>
        </w:rPr>
        <w:tab/>
      </w:r>
      <w:r>
        <w:rPr>
          <w:rFonts w:ascii="Arial" w:cs="Arial" w:eastAsia="Arial" w:hAnsi="Arial"/>
          <w:sz w:val="18"/>
          <w:szCs w:val="18"/>
          <w:color w:val="auto"/>
        </w:rPr>
        <w:t>million, or</w:t>
      </w:r>
    </w:p>
    <w:p>
      <w:pPr>
        <w:ind w:left="200" w:right="40" w:firstLine="4"/>
        <w:spacing w:after="0" w:line="239" w:lineRule="auto"/>
        <w:tabs>
          <w:tab w:leader="none" w:pos="95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 share of our common stock. Pro forma net tangible book value represents our historical net tangible book value (deficit), before the issuance and sale of shares in this offering, and gives effect to the conversion of 7,375,631 shares of our outstanding redeemable convertible preferred stock as of June 30, 2019 into an equivalent number of shares of our common stock immediately prior to the completion of this offering.</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pro forma as adjusted net tangible book value represents our pro forma net tangible book value, plus the effect of the sale of</w:t>
      </w:r>
    </w:p>
    <w:p>
      <w:pPr>
        <w:ind w:left="200" w:right="160" w:firstLine="850"/>
        <w:spacing w:after="0" w:line="238" w:lineRule="auto"/>
        <w:rPr>
          <w:sz w:val="20"/>
          <w:szCs w:val="20"/>
          <w:color w:val="auto"/>
        </w:rPr>
      </w:pPr>
      <w:r>
        <w:rPr>
          <w:rFonts w:ascii="Arial" w:cs="Arial" w:eastAsia="Arial" w:hAnsi="Arial"/>
          <w:sz w:val="18"/>
          <w:szCs w:val="18"/>
          <w:color w:val="auto"/>
        </w:rPr>
        <w:t>shares of our common stock in this offering at an assumed initial public offering price of $ per share, the midpoint of the price range set forth on the cover page of this prospectus, after deducting the estimated underwriting discounts and commissions and estimated offering expenses payable by us. We determine dilution per share to investors participating in this offering by subtracting pro forma as adjusted net tangible book value per share after this offering from the assumed initial public offering price per share paid by investors participating in this offering.</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260" w:type="dxa"/>
            <w:vAlign w:val="bottom"/>
          </w:tcPr>
          <w:p>
            <w:pPr>
              <w:ind w:left="540"/>
              <w:spacing w:after="0"/>
              <w:rPr>
                <w:sz w:val="20"/>
                <w:szCs w:val="20"/>
                <w:color w:val="auto"/>
              </w:rPr>
            </w:pPr>
            <w:r>
              <w:rPr>
                <w:rFonts w:ascii="Arial" w:cs="Arial" w:eastAsia="Arial" w:hAnsi="Arial"/>
                <w:sz w:val="18"/>
                <w:szCs w:val="18"/>
                <w:color w:val="auto"/>
              </w:rPr>
              <w:t>The following table illustrates this per share dilution:</w:t>
            </w:r>
          </w:p>
        </w:tc>
        <w:tc>
          <w:tcPr>
            <w:tcW w:w="1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initial public offering price per share</w:t>
            </w:r>
          </w:p>
        </w:tc>
        <w:tc>
          <w:tcPr>
            <w:tcW w:w="3700" w:type="dxa"/>
            <w:vAlign w:val="bottom"/>
            <w:gridSpan w:val="4"/>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ind w:left="340"/>
              <w:spacing w:after="0" w:line="202" w:lineRule="exact"/>
              <w:rPr>
                <w:sz w:val="20"/>
                <w:szCs w:val="20"/>
                <w:color w:val="auto"/>
              </w:rPr>
            </w:pPr>
            <w:r>
              <w:rPr>
                <w:rFonts w:ascii="Arial" w:cs="Arial" w:eastAsia="Arial" w:hAnsi="Arial"/>
                <w:sz w:val="18"/>
                <w:szCs w:val="18"/>
                <w:color w:val="auto"/>
              </w:rPr>
              <w:t>Historical net tangible book value (deficit) per share as of June 30, 2019</w:t>
            </w:r>
          </w:p>
        </w:tc>
        <w:tc>
          <w:tcPr>
            <w:tcW w:w="292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$(8.30)</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Pro forma increase in historical net tangible book value (deficit) per share</w:t>
            </w:r>
          </w:p>
        </w:tc>
        <w:tc>
          <w:tcPr>
            <w:tcW w:w="1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ind w:left="340"/>
              <w:spacing w:after="0" w:line="202" w:lineRule="exact"/>
              <w:rPr>
                <w:sz w:val="20"/>
                <w:szCs w:val="20"/>
                <w:color w:val="auto"/>
              </w:rPr>
            </w:pPr>
            <w:r>
              <w:rPr>
                <w:rFonts w:ascii="Arial" w:cs="Arial" w:eastAsia="Arial" w:hAnsi="Arial"/>
                <w:sz w:val="18"/>
                <w:szCs w:val="18"/>
                <w:color w:val="auto"/>
              </w:rPr>
              <w:t>Pro forma net tangible book value per share as of June 30, 2019</w:t>
            </w:r>
          </w:p>
        </w:tc>
        <w:tc>
          <w:tcPr>
            <w:tcW w:w="1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184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8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w:t>
            </w:r>
          </w:p>
        </w:tc>
        <w:tc>
          <w:tcPr>
            <w:tcW w:w="1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participating in this offering</w:t>
            </w:r>
          </w:p>
        </w:tc>
        <w:tc>
          <w:tcPr>
            <w:tcW w:w="2920" w:type="dxa"/>
            <w:vAlign w:val="bottom"/>
            <w:gridSpan w:val="3"/>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260" w:type="dxa"/>
            <w:vAlign w:val="bottom"/>
          </w:tcPr>
          <w:p>
            <w:pPr>
              <w:ind w:left="540"/>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3760" w:type="dxa"/>
            <w:vAlign w:val="bottom"/>
            <w:gridSpan w:val="5"/>
          </w:tcPr>
          <w:p>
            <w:pPr>
              <w:ind w:left="200"/>
              <w:spacing w:after="0"/>
              <w:rPr>
                <w:sz w:val="20"/>
                <w:szCs w:val="20"/>
                <w:color w:val="auto"/>
              </w:rPr>
            </w:pPr>
            <w:r>
              <w:rPr>
                <w:rFonts w:ascii="Arial" w:cs="Arial" w:eastAsia="Arial" w:hAnsi="Arial"/>
                <w:sz w:val="18"/>
                <w:szCs w:val="18"/>
                <w:color w:val="auto"/>
              </w:rPr>
              <w:t>per share, the midpoint of the estimated</w:t>
            </w:r>
          </w:p>
        </w:tc>
        <w:tc>
          <w:tcPr>
            <w:tcW w:w="0" w:type="dxa"/>
            <w:vAlign w:val="bottom"/>
          </w:tcPr>
          <w:p>
            <w:pPr>
              <w:spacing w:after="0"/>
              <w:rPr>
                <w:sz w:val="1"/>
                <w:szCs w:val="1"/>
                <w:color w:val="auto"/>
              </w:rPr>
            </w:pPr>
          </w:p>
        </w:tc>
      </w:tr>
    </w:tbl>
    <w:p>
      <w:pPr>
        <w:ind w:left="200"/>
        <w:spacing w:after="0" w:line="234" w:lineRule="auto"/>
        <w:rPr>
          <w:sz w:val="20"/>
          <w:szCs w:val="20"/>
          <w:color w:val="auto"/>
        </w:rPr>
      </w:pPr>
      <w:r>
        <w:rPr>
          <w:rFonts w:ascii="Arial" w:cs="Arial" w:eastAsia="Arial" w:hAnsi="Arial"/>
          <w:sz w:val="18"/>
          <w:szCs w:val="18"/>
          <w:color w:val="auto"/>
        </w:rPr>
        <w:t>price range set forth on the cover of this prospectus, would increase or decrease, as applicable, our pro forma as adjusted net tangible</w:t>
      </w:r>
    </w:p>
    <w:p>
      <w:pPr>
        <w:spacing w:after="0" w:line="200" w:lineRule="exact"/>
        <w:rPr>
          <w:sz w:val="20"/>
          <w:szCs w:val="20"/>
          <w:color w:val="auto"/>
        </w:rPr>
      </w:pPr>
    </w:p>
    <w:p>
      <w:pPr>
        <w:spacing w:after="0" w:line="204" w:lineRule="exact"/>
        <w:rPr>
          <w:sz w:val="20"/>
          <w:szCs w:val="20"/>
          <w:color w:val="auto"/>
        </w:rPr>
      </w:pPr>
    </w:p>
    <w:p>
      <w:pPr>
        <w:ind w:left="200" w:right="100"/>
        <w:spacing w:after="0" w:line="234" w:lineRule="auto"/>
        <w:rPr>
          <w:sz w:val="20"/>
          <w:szCs w:val="20"/>
          <w:color w:val="auto"/>
        </w:rPr>
      </w:pPr>
      <w:r>
        <w:rPr>
          <w:rFonts w:ascii="Arial" w:cs="Arial" w:eastAsia="Arial" w:hAnsi="Arial"/>
          <w:sz w:val="18"/>
          <w:szCs w:val="18"/>
          <w:color w:val="auto"/>
        </w:rPr>
        <w:t>book value as of June 30, 2019 after this offering by approximately $ million, or approximately $ per share, and would decrease or increase dilution to investors in this offering by approximately $ per share, assuming that the number of shares offered</w:t>
      </w:r>
    </w:p>
    <w:p>
      <w:pPr>
        <w:spacing w:after="0" w:line="2" w:lineRule="exact"/>
        <w:rPr>
          <w:sz w:val="20"/>
          <w:szCs w:val="20"/>
          <w:color w:val="auto"/>
        </w:rPr>
      </w:pPr>
    </w:p>
    <w:p>
      <w:pPr>
        <w:jc w:val="both"/>
        <w:ind w:left="200" w:right="220"/>
        <w:spacing w:after="0" w:line="234" w:lineRule="auto"/>
        <w:rPr>
          <w:sz w:val="20"/>
          <w:szCs w:val="20"/>
          <w:color w:val="auto"/>
        </w:rPr>
      </w:pPr>
      <w:r>
        <w:rPr>
          <w:rFonts w:ascii="Arial" w:cs="Arial" w:eastAsia="Arial" w:hAnsi="Arial"/>
          <w:sz w:val="18"/>
          <w:szCs w:val="18"/>
          <w:color w:val="auto"/>
        </w:rPr>
        <w:t>by us, as set forth on the cover page of this prospectus, remains the same and after deducting the estimated underwriting discounts and commissions and estimated offering expenses payable by us. We may also increase or decrease the number of shares we are offering. Each increase or decrease of 1.0 million shares in the number of shares we are offering would increase or decrease, as applicable, our</w:t>
      </w:r>
    </w:p>
    <w:p>
      <w:pPr>
        <w:ind w:left="200"/>
        <w:spacing w:after="0"/>
        <w:tabs>
          <w:tab w:leader="none" w:pos="9000" w:val="left"/>
        </w:tabs>
        <w:rPr>
          <w:sz w:val="20"/>
          <w:szCs w:val="20"/>
          <w:color w:val="auto"/>
        </w:rPr>
      </w:pPr>
      <w:r>
        <w:rPr>
          <w:rFonts w:ascii="Arial" w:cs="Arial" w:eastAsia="Arial" w:hAnsi="Arial"/>
          <w:sz w:val="18"/>
          <w:szCs w:val="18"/>
          <w:color w:val="auto"/>
        </w:rPr>
        <w:t>pro forma as adjusted net tangible book value as of June 30, 2019 after this offering by approximately $</w:t>
      </w:r>
      <w:r>
        <w:rPr>
          <w:sz w:val="20"/>
          <w:szCs w:val="20"/>
          <w:color w:val="auto"/>
        </w:rPr>
        <w:tab/>
      </w:r>
      <w:r>
        <w:rPr>
          <w:rFonts w:ascii="Arial" w:cs="Arial" w:eastAsia="Arial" w:hAnsi="Arial"/>
          <w:sz w:val="17"/>
          <w:szCs w:val="17"/>
          <w:color w:val="auto"/>
        </w:rPr>
        <w:t>million, or approximately</w:t>
      </w:r>
    </w:p>
    <w:p>
      <w:pPr>
        <w:ind w:left="900" w:hanging="69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 share, and would</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240" w:top="459"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00"/>
        <w:spacing w:after="0"/>
        <w:tabs>
          <w:tab w:leader="none" w:pos="7980" w:val="left"/>
        </w:tabs>
        <w:rPr>
          <w:sz w:val="20"/>
          <w:szCs w:val="20"/>
          <w:color w:val="auto"/>
        </w:rPr>
      </w:pPr>
      <w:r>
        <w:rPr>
          <w:rFonts w:ascii="Arial" w:cs="Arial" w:eastAsia="Arial" w:hAnsi="Arial"/>
          <w:sz w:val="18"/>
          <w:szCs w:val="18"/>
          <w:color w:val="auto"/>
        </w:rPr>
        <w:t>decrease or increase, as applicable, dilution to investors in this offering by approximately $</w:t>
      </w:r>
      <w:r>
        <w:rPr>
          <w:sz w:val="20"/>
          <w:szCs w:val="20"/>
          <w:color w:val="auto"/>
        </w:rPr>
        <w:tab/>
      </w:r>
      <w:r>
        <w:rPr>
          <w:rFonts w:ascii="Arial" w:cs="Arial" w:eastAsia="Arial" w:hAnsi="Arial"/>
          <w:sz w:val="18"/>
          <w:szCs w:val="18"/>
          <w:color w:val="auto"/>
        </w:rPr>
        <w:t>per share, assuming the assumed initial</w:t>
      </w:r>
    </w:p>
    <w:p>
      <w:pPr>
        <w:ind w:left="200" w:right="300"/>
        <w:spacing w:after="0"/>
        <w:rPr>
          <w:sz w:val="20"/>
          <w:szCs w:val="20"/>
          <w:color w:val="auto"/>
        </w:rPr>
      </w:pPr>
      <w:r>
        <w:rPr>
          <w:rFonts w:ascii="Arial" w:cs="Arial" w:eastAsia="Arial" w:hAnsi="Arial"/>
          <w:sz w:val="18"/>
          <w:szCs w:val="18"/>
          <w:color w:val="auto"/>
        </w:rPr>
        <w:t>public offering price per share remains the same, and after deducting the estimated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the underwriters fully exercise their over-allotment option, pro forma as adjusted net tangible book value after this offering would</w:t>
      </w:r>
    </w:p>
    <w:p>
      <w:pPr>
        <w:ind w:left="200" w:right="100"/>
        <w:spacing w:after="0" w:line="246" w:lineRule="auto"/>
        <w:rPr>
          <w:sz w:val="20"/>
          <w:szCs w:val="20"/>
          <w:color w:val="auto"/>
        </w:rPr>
      </w:pPr>
      <w:r>
        <w:rPr>
          <w:rFonts w:ascii="Arial" w:cs="Arial" w:eastAsia="Arial" w:hAnsi="Arial"/>
          <w:sz w:val="18"/>
          <w:szCs w:val="18"/>
          <w:color w:val="auto"/>
        </w:rPr>
        <w:t>increase to approximately $ per share, the increase in pro forma as adjusted net tangible book value per share to existing stockholders would be $ per share and the dilution to new investors purchasing shares in this offering would be $ per share.</w:t>
      </w:r>
    </w:p>
    <w:p>
      <w:pPr>
        <w:spacing w:after="0" w:line="197"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To the extent that outstanding options with an exercise price per share that is less than the pro forma as adjusted net tangible book value per share are exercised, new investors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203" w:lineRule="exact"/>
        <w:rPr>
          <w:sz w:val="20"/>
          <w:szCs w:val="20"/>
          <w:color w:val="auto"/>
        </w:rPr>
      </w:pPr>
    </w:p>
    <w:p>
      <w:pPr>
        <w:ind w:left="200" w:right="160" w:firstLine="551"/>
        <w:spacing w:after="0" w:line="234" w:lineRule="auto"/>
        <w:rPr>
          <w:sz w:val="20"/>
          <w:szCs w:val="20"/>
          <w:color w:val="auto"/>
        </w:rPr>
      </w:pPr>
      <w:r>
        <w:rPr>
          <w:rFonts w:ascii="Arial" w:cs="Arial" w:eastAsia="Arial" w:hAnsi="Arial"/>
          <w:sz w:val="18"/>
          <w:szCs w:val="18"/>
          <w:color w:val="auto"/>
        </w:rPr>
        <w:t>The following table shows, as of June 30, 2019, on a pro forma as adjusted basis, the number of shares of our common stock purchased from us, the total consideration paid to us and the average price paid per share by existing stockholders and by new investors</w:t>
      </w:r>
    </w:p>
    <w:p>
      <w:pPr>
        <w:spacing w:after="0" w:line="2"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purchasing common stock in this offering, assuming an initial public offering price of $ per share, the midpoint of the estimated price range set forth on the cover of this prospectus, before deducting the estimated underwriting discounts and commissions and estimated offering expenses payable by us (in thousands, except share and per share amounts and percentages):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60" w:type="dxa"/>
            <w:vAlign w:val="bottom"/>
            <w:gridSpan w:val="4"/>
            <w:vMerge w:val="restart"/>
          </w:tcPr>
          <w:p>
            <w:pPr>
              <w:jc w:val="right"/>
              <w:ind w:right="370"/>
              <w:spacing w:after="0"/>
              <w:rPr>
                <w:sz w:val="20"/>
                <w:szCs w:val="20"/>
                <w:color w:val="auto"/>
              </w:rPr>
            </w:pPr>
            <w:r>
              <w:rPr>
                <w:rFonts w:ascii="Arial" w:cs="Arial" w:eastAsia="Arial" w:hAnsi="Arial"/>
                <w:sz w:val="14"/>
                <w:szCs w:val="14"/>
                <w:b w:val="1"/>
                <w:bCs w:val="1"/>
                <w:color w:val="auto"/>
              </w:rPr>
              <w:t>Shares Purchased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vMerge w:val="restart"/>
          </w:tcPr>
          <w:p>
            <w:pPr>
              <w:jc w:val="right"/>
              <w:ind w:right="390"/>
              <w:spacing w:after="0"/>
              <w:rPr>
                <w:sz w:val="20"/>
                <w:szCs w:val="20"/>
                <w:color w:val="auto"/>
              </w:rPr>
            </w:pPr>
            <w:r>
              <w:rPr>
                <w:rFonts w:ascii="Arial" w:cs="Arial" w:eastAsia="Arial" w:hAnsi="Arial"/>
                <w:sz w:val="14"/>
                <w:szCs w:val="14"/>
                <w:b w:val="1"/>
                <w:bCs w:val="1"/>
                <w:color w:val="auto"/>
              </w:rPr>
              <w:t>Total Consideration</w:t>
            </w:r>
          </w:p>
        </w:tc>
        <w:tc>
          <w:tcPr>
            <w:tcW w:w="14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4"/>
                <w:szCs w:val="14"/>
                <w:b w:val="1"/>
                <w:bCs w:val="1"/>
                <w:color w:val="auto"/>
              </w:rPr>
              <w:t>Number</w:t>
            </w:r>
          </w:p>
        </w:tc>
        <w:tc>
          <w:tcPr>
            <w:tcW w:w="120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5"/>
                <w:szCs w:val="15"/>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Existing stockholders</w:t>
            </w:r>
          </w:p>
        </w:tc>
        <w:tc>
          <w:tcPr>
            <w:tcW w:w="4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87"/>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87"/>
              </w:rPr>
              <w:t>%</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04"/>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New investors participating in this offering</w:t>
            </w:r>
          </w:p>
        </w:tc>
        <w:tc>
          <w:tcPr>
            <w:tcW w:w="6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604"/>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w:t>
            </w:r>
          </w:p>
        </w:tc>
        <w:tc>
          <w:tcPr>
            <w:tcW w:w="4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100%</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020" w:type="dxa"/>
            <w:vAlign w:val="bottom"/>
            <w:gridSpan w:val="15"/>
          </w:tcPr>
          <w:p>
            <w:pPr>
              <w:ind w:left="540"/>
              <w:spacing w:after="0"/>
              <w:rPr>
                <w:sz w:val="20"/>
                <w:szCs w:val="20"/>
                <w:color w:val="auto"/>
              </w:rPr>
            </w:pPr>
            <w:r>
              <w:rPr>
                <w:rFonts w:ascii="Arial" w:cs="Arial" w:eastAsia="Arial" w:hAnsi="Arial"/>
                <w:sz w:val="18"/>
                <w:szCs w:val="18"/>
                <w:color w:val="auto"/>
              </w:rPr>
              <w:t>If the underwriters were to fully exercise their over-allotment option, the percentage of shares of our common stock held by existing</w:t>
            </w:r>
          </w:p>
        </w:tc>
        <w:tc>
          <w:tcPr>
            <w:tcW w:w="0" w:type="dxa"/>
            <w:vAlign w:val="bottom"/>
          </w:tcPr>
          <w:p>
            <w:pPr>
              <w:spacing w:after="0"/>
              <w:rPr>
                <w:sz w:val="1"/>
                <w:szCs w:val="1"/>
                <w:color w:val="auto"/>
              </w:rPr>
            </w:pPr>
          </w:p>
        </w:tc>
      </w:tr>
      <w:tr>
        <w:trPr>
          <w:trHeight w:val="217"/>
        </w:trPr>
        <w:tc>
          <w:tcPr>
            <w:tcW w:w="1720" w:type="dxa"/>
            <w:vAlign w:val="bottom"/>
            <w:gridSpan w:val="2"/>
          </w:tcPr>
          <w:p>
            <w:pPr>
              <w:spacing w:after="0"/>
              <w:rPr>
                <w:sz w:val="20"/>
                <w:szCs w:val="20"/>
                <w:color w:val="auto"/>
              </w:rPr>
            </w:pPr>
            <w:r>
              <w:rPr>
                <w:rFonts w:ascii="Arial" w:cs="Arial" w:eastAsia="Arial" w:hAnsi="Arial"/>
                <w:sz w:val="18"/>
                <w:szCs w:val="18"/>
                <w:color w:val="auto"/>
              </w:rPr>
              <w:t>investors would be</w:t>
            </w:r>
          </w:p>
        </w:tc>
        <w:tc>
          <w:tcPr>
            <w:tcW w:w="7140" w:type="dxa"/>
            <w:vAlign w:val="bottom"/>
            <w:gridSpan w:val="8"/>
          </w:tcPr>
          <w:p>
            <w:pPr>
              <w:ind w:left="20"/>
              <w:spacing w:after="0"/>
              <w:rPr>
                <w:sz w:val="20"/>
                <w:szCs w:val="20"/>
                <w:color w:val="auto"/>
              </w:rPr>
            </w:pPr>
            <w:r>
              <w:rPr>
                <w:rFonts w:ascii="Arial" w:cs="Arial" w:eastAsia="Arial" w:hAnsi="Arial"/>
                <w:sz w:val="18"/>
                <w:szCs w:val="18"/>
                <w:color w:val="auto"/>
              </w:rPr>
              <w:t>%, and the percentage of shares of our common stock held by new investors would be</w:t>
            </w:r>
          </w:p>
        </w:tc>
        <w:tc>
          <w:tcPr>
            <w:tcW w:w="340" w:type="dxa"/>
            <w:vAlign w:val="bottom"/>
          </w:tcPr>
          <w:p>
            <w:pPr>
              <w:jc w:val="right"/>
              <w:ind w:right="36"/>
              <w:spacing w:after="0"/>
              <w:rPr>
                <w:sz w:val="20"/>
                <w:szCs w:val="20"/>
                <w:color w:val="auto"/>
              </w:rPr>
            </w:pPr>
            <w:r>
              <w:rPr>
                <w:rFonts w:ascii="Arial" w:cs="Arial" w:eastAsia="Arial" w:hAnsi="Arial"/>
                <w:sz w:val="18"/>
                <w:szCs w:val="18"/>
                <w:color w:val="auto"/>
                <w:w w:val="94"/>
              </w:rPr>
              <w:t>%.</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0" w:firstLine="551"/>
        <w:spacing w:after="0"/>
        <w:rPr>
          <w:sz w:val="20"/>
          <w:szCs w:val="20"/>
          <w:color w:val="auto"/>
        </w:rPr>
      </w:pPr>
      <w:r>
        <w:rPr>
          <w:rFonts w:ascii="Arial" w:cs="Arial" w:eastAsia="Arial" w:hAnsi="Arial"/>
          <w:sz w:val="18"/>
          <w:szCs w:val="18"/>
          <w:color w:val="auto"/>
        </w:rPr>
        <w:t>The foregoing tables and calculations (other than the historical net tangible book value calculations) are based on 12,516,975 shares of our common stock (including our redeemable convertible preferred stock on an as-converted basis) outstanding as of June 30, 2019, which excludes:</w:t>
      </w:r>
    </w:p>
    <w:p>
      <w:pPr>
        <w:spacing w:after="0" w:line="108" w:lineRule="exact"/>
        <w:rPr>
          <w:sz w:val="20"/>
          <w:szCs w:val="20"/>
          <w:color w:val="auto"/>
        </w:rPr>
      </w:pPr>
    </w:p>
    <w:p>
      <w:pPr>
        <w:ind w:left="960" w:right="700" w:hanging="216"/>
        <w:spacing w:after="0" w:line="246"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2,192,230 shares of our common stock issuable upon the exercise of stock options to purchase common stock that were outstanding as of June 30, 2019, with a weighted-average exercise price of $6.10 per share;</w:t>
      </w:r>
    </w:p>
    <w:p>
      <w:pPr>
        <w:spacing w:after="0" w:line="102" w:lineRule="exact"/>
        <w:rPr>
          <w:rFonts w:ascii="Arial" w:cs="Arial" w:eastAsia="Arial" w:hAnsi="Arial"/>
          <w:sz w:val="18"/>
          <w:szCs w:val="18"/>
          <w:color w:val="auto"/>
        </w:rPr>
      </w:pPr>
    </w:p>
    <w:p>
      <w:pPr>
        <w:ind w:left="960" w:right="160" w:hanging="216"/>
        <w:spacing w:after="0" w:line="246"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68,669 shares of our common stock issuable upon the exercise of outstanding warrants with a weighted-average exercise price of $1.85 per share;</w:t>
      </w:r>
    </w:p>
    <w:p>
      <w:pPr>
        <w:spacing w:after="0" w:line="102" w:lineRule="exact"/>
        <w:rPr>
          <w:rFonts w:ascii="Arial" w:cs="Arial" w:eastAsia="Arial" w:hAnsi="Arial"/>
          <w:sz w:val="18"/>
          <w:szCs w:val="18"/>
          <w:color w:val="auto"/>
        </w:rPr>
      </w:pPr>
    </w:p>
    <w:p>
      <w:pPr>
        <w:ind w:left="960" w:right="660" w:hanging="216"/>
        <w:spacing w:after="0" w:line="246"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399,886 shares of our common stock reserved for issuance pursuant to future awards under our the Plan and associated amendments as of June 30, 2019;</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380" w:hanging="216"/>
        <w:spacing w:after="0"/>
        <w:tabs>
          <w:tab w:leader="none" w:pos="1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shares of our common stock reserved for issuance pursuant to future awards under our 2019 Plan, as well as any automatic increases in the number of shares of our common stock reserved for future issuance under this plan, which will become effective immediately prior to the completion of this offering; and</w:t>
      </w:r>
    </w:p>
    <w:p>
      <w:pPr>
        <w:spacing w:after="0" w:line="108" w:lineRule="exact"/>
        <w:rPr>
          <w:rFonts w:ascii="Arial" w:cs="Arial" w:eastAsia="Arial" w:hAnsi="Arial"/>
          <w:sz w:val="18"/>
          <w:szCs w:val="18"/>
          <w:color w:val="auto"/>
        </w:rPr>
      </w:pPr>
    </w:p>
    <w:p>
      <w:pPr>
        <w:ind w:left="960" w:hanging="216"/>
        <w:spacing w:after="0"/>
        <w:tabs>
          <w:tab w:leader="none" w:pos="1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shares of common stock reserved for issuance pursuant to future awards under our ESPP, as well as any automatic increases in the number of shares of our common stock reserved for future issuance under this plan, which will become effective immediately prior to the completion of this offering.</w:t>
      </w:r>
    </w:p>
    <w:p>
      <w:pPr>
        <w:spacing w:after="0" w:line="203" w:lineRule="exact"/>
        <w:rPr>
          <w:sz w:val="20"/>
          <w:szCs w:val="20"/>
          <w:color w:val="auto"/>
        </w:rPr>
      </w:pPr>
    </w:p>
    <w:p>
      <w:pPr>
        <w:ind w:left="200" w:right="220" w:firstLine="551"/>
        <w:spacing w:after="0" w:line="238" w:lineRule="auto"/>
        <w:rPr>
          <w:sz w:val="20"/>
          <w:szCs w:val="20"/>
          <w:color w:val="auto"/>
        </w:rPr>
      </w:pPr>
      <w:r>
        <w:rPr>
          <w:rFonts w:ascii="Arial" w:cs="Arial" w:eastAsia="Arial" w:hAnsi="Arial"/>
          <w:sz w:val="18"/>
          <w:szCs w:val="18"/>
          <w:color w:val="auto"/>
        </w:rPr>
        <w:t>To the extent that outstanding options or warrants are exercised, new options or other securities are issued under our equity incentive plans, or we issue additional shares of our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80"/>
          </w:cols>
          <w:pgMar w:left="24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FINANCIAL DATA</w:t>
      </w:r>
    </w:p>
    <w:p>
      <w:pPr>
        <w:spacing w:after="0" w:line="234"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The following tables present our selected financial data for the periods and as of the dates indicated. We derived the selected statements of operations and comprehensive loss data for the years ended December 31, 2017 and 2018 and the selected balance sheet data as of December 31, 2018 from our audited financial statements included elsewhere in this prospectus. We derived the selected statements of operations and comprehensive loss data for the six months ended June 30, 2018 and 2019 and the selected balance sheet data as of June 30, 2019 from our unaudited interim financial statements that are included elsewhere in this prospectus. Our unaudited interim financial statements are prepared on the same basis as our audited financial statements and include, in the opinion of management, all adjustments, consisting of normal recurring adjustments, that are necessary for the fair statement of the financial information set forth in those financial statements. Our historical results are not necessarily indicative of the results that may be expected in the future and our historical results for the six months ended June 30, 2019 are not necessarily indicative of the results that may be expected for the remainder of 2019. You should read this data together with our financial statements and related notes included elsewhere in this prospectus and the information under the section titled “Management’s Discussion and Analysis of Financial Condition and Results of Operations.”</w:t>
      </w: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9"/>
              </w:rPr>
              <w:t>June 30,</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80"/>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60"/>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8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60"/>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80" w:type="dxa"/>
            <w:vAlign w:val="bottom"/>
            <w:gridSpan w:val="10"/>
          </w:tcPr>
          <w:p>
            <w:pPr>
              <w:jc w:val="right"/>
              <w:ind w:right="220"/>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tcPr>
          <w:p>
            <w:pPr>
              <w:ind w:left="300"/>
              <w:spacing w:after="0"/>
              <w:rPr>
                <w:sz w:val="20"/>
                <w:szCs w:val="20"/>
                <w:color w:val="auto"/>
              </w:rPr>
            </w:pPr>
            <w:r>
              <w:rPr>
                <w:rFonts w:ascii="Arial" w:cs="Arial" w:eastAsia="Arial" w:hAnsi="Arial"/>
                <w:sz w:val="16"/>
                <w:szCs w:val="16"/>
                <w:color w:val="auto"/>
              </w:rPr>
              <w:t>Collaboration and research revenue, related parties</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3,176</w:t>
            </w:r>
          </w:p>
        </w:tc>
        <w:tc>
          <w:tcPr>
            <w:tcW w:w="12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5,143</w:t>
            </w:r>
          </w:p>
        </w:tc>
        <w:tc>
          <w:tcPr>
            <w:tcW w:w="30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143</w:t>
            </w:r>
          </w:p>
        </w:tc>
        <w:tc>
          <w:tcPr>
            <w:tcW w:w="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Collaboration and research revenue</w:t>
            </w:r>
          </w:p>
        </w:tc>
        <w:tc>
          <w:tcPr>
            <w:tcW w:w="3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2,614</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8,987</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4,926</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640"/>
              <w:spacing w:after="0"/>
              <w:rPr>
                <w:sz w:val="20"/>
                <w:szCs w:val="20"/>
                <w:color w:val="auto"/>
              </w:rPr>
            </w:pPr>
            <w:r>
              <w:rPr>
                <w:rFonts w:ascii="Arial" w:cs="Arial" w:eastAsia="Arial" w:hAnsi="Arial"/>
                <w:sz w:val="16"/>
                <w:szCs w:val="16"/>
                <w:color w:val="auto"/>
              </w:rPr>
              <w:t>Total revenue</w:t>
            </w:r>
          </w:p>
        </w:tc>
        <w:tc>
          <w:tcPr>
            <w:tcW w:w="3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14,130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5,069</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tcPr>
          <w:p>
            <w:pPr>
              <w:ind w:left="30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13,573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18,362</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8,208</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16,985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3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3,489</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6,167</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2,198</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640"/>
              <w:spacing w:after="0"/>
              <w:rPr>
                <w:sz w:val="20"/>
                <w:szCs w:val="20"/>
                <w:color w:val="auto"/>
              </w:rPr>
            </w:pPr>
            <w:r>
              <w:rPr>
                <w:rFonts w:ascii="Arial" w:cs="Arial" w:eastAsia="Arial" w:hAnsi="Arial"/>
                <w:sz w:val="16"/>
                <w:szCs w:val="16"/>
                <w:color w:val="auto"/>
              </w:rPr>
              <w:t>Total operating expenses</w:t>
            </w:r>
          </w:p>
        </w:tc>
        <w:tc>
          <w:tcPr>
            <w:tcW w:w="3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17,062</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24,529</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10,406</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(11,272)</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(10,399)</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(5,337)</w:t>
            </w: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(17,453)</w:t>
            </w:r>
          </w:p>
        </w:tc>
        <w:tc>
          <w:tcPr>
            <w:tcW w:w="0" w:type="dxa"/>
            <w:vAlign w:val="bottom"/>
          </w:tcPr>
          <w:p>
            <w:pPr>
              <w:spacing w:after="0"/>
              <w:rPr>
                <w:sz w:val="1"/>
                <w:szCs w:val="1"/>
                <w:color w:val="auto"/>
              </w:rPr>
            </w:pPr>
          </w:p>
        </w:tc>
      </w:tr>
      <w:tr>
        <w:trPr>
          <w:trHeight w:val="189"/>
        </w:trPr>
        <w:tc>
          <w:tcPr>
            <w:tcW w:w="5280" w:type="dxa"/>
            <w:vAlign w:val="bottom"/>
            <w:gridSpan w:val="2"/>
          </w:tcPr>
          <w:p>
            <w:pPr>
              <w:spacing w:after="0"/>
              <w:rPr>
                <w:sz w:val="20"/>
                <w:szCs w:val="20"/>
                <w:color w:val="auto"/>
              </w:rPr>
            </w:pPr>
            <w:r>
              <w:rPr>
                <w:rFonts w:ascii="Arial" w:cs="Arial" w:eastAsia="Arial" w:hAnsi="Arial"/>
                <w:sz w:val="16"/>
                <w:szCs w:val="16"/>
                <w:color w:val="auto"/>
              </w:rPr>
              <w:t>Other income (expense):</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Pr>
          <w:p>
            <w:pPr>
              <w:ind w:left="300"/>
              <w:spacing w:after="0"/>
              <w:rPr>
                <w:sz w:val="20"/>
                <w:szCs w:val="20"/>
                <w:color w:val="auto"/>
              </w:rPr>
            </w:pPr>
            <w:r>
              <w:rPr>
                <w:rFonts w:ascii="Arial" w:cs="Arial" w:eastAsia="Arial" w:hAnsi="Arial"/>
                <w:sz w:val="16"/>
                <w:szCs w:val="16"/>
                <w:color w:val="auto"/>
              </w:rPr>
              <w:t>Other income (expense), net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(40)</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other income (expense)</w:t>
            </w:r>
          </w:p>
        </w:tc>
        <w:tc>
          <w:tcPr>
            <w:tcW w:w="30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80" w:type="dxa"/>
            <w:vAlign w:val="bottom"/>
            <w:gridSpan w:val="2"/>
          </w:tcPr>
          <w:p>
            <w:pPr>
              <w:spacing w:after="0"/>
              <w:rPr>
                <w:sz w:val="20"/>
                <w:szCs w:val="20"/>
                <w:color w:val="auto"/>
              </w:rPr>
            </w:pPr>
            <w:r>
              <w:rPr>
                <w:rFonts w:ascii="Arial" w:cs="Arial" w:eastAsia="Arial" w:hAnsi="Arial"/>
                <w:sz w:val="16"/>
                <w:szCs w:val="16"/>
                <w:color w:val="auto"/>
              </w:rPr>
              <w:t>Net loss and comprehensive loss</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(11,223)</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(9,551)</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(5,186)</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(16,516)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2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Net loss per share attributable to common stockholders, basic and</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60" w:type="dxa"/>
            <w:vAlign w:val="bottom"/>
            <w:shd w:val="clear" w:color="auto" w:fill="CCEEFF"/>
          </w:tcPr>
          <w:p>
            <w:pPr>
              <w:ind w:left="140"/>
              <w:spacing w:after="0" w:line="192" w:lineRule="exact"/>
              <w:rPr>
                <w:sz w:val="20"/>
                <w:szCs w:val="20"/>
                <w:color w:val="auto"/>
              </w:rPr>
            </w:pPr>
            <w:r>
              <w:rPr>
                <w:rFonts w:ascii="Arial" w:cs="Arial" w:eastAsia="Arial" w:hAnsi="Arial"/>
                <w:sz w:val="14"/>
                <w:szCs w:val="14"/>
                <w:color w:val="auto"/>
              </w:rPr>
              <w:t>diluted</w:t>
            </w:r>
            <w:r>
              <w:rPr>
                <w:rFonts w:ascii="Arial" w:cs="Arial" w:eastAsia="Arial" w:hAnsi="Arial"/>
                <w:sz w:val="22"/>
                <w:szCs w:val="22"/>
                <w:color w:val="auto"/>
                <w:vertAlign w:val="superscript"/>
              </w:rPr>
              <w:t>(1)</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(2.27)</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(1.89)</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6"/>
                <w:szCs w:val="16"/>
                <w:color w:val="auto"/>
              </w:rPr>
              <w:t>Weighted-average shares outstanding used in computing net loss per</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2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60" w:type="dxa"/>
            <w:vAlign w:val="bottom"/>
          </w:tcPr>
          <w:p>
            <w:pPr>
              <w:ind w:left="140"/>
              <w:spacing w:after="0" w:line="192" w:lineRule="exact"/>
              <w:rPr>
                <w:sz w:val="20"/>
                <w:szCs w:val="20"/>
                <w:color w:val="auto"/>
              </w:rPr>
            </w:pPr>
            <w:r>
              <w:rPr>
                <w:rFonts w:ascii="Arial" w:cs="Arial" w:eastAsia="Arial" w:hAnsi="Arial"/>
                <w:sz w:val="14"/>
                <w:szCs w:val="14"/>
                <w:color w:val="auto"/>
              </w:rPr>
              <w:t>share attributable to common stockholders, basic and diluted</w:t>
            </w:r>
            <w:r>
              <w:rPr>
                <w:rFonts w:ascii="Arial" w:cs="Arial" w:eastAsia="Arial" w:hAnsi="Arial"/>
                <w:sz w:val="22"/>
                <w:szCs w:val="22"/>
                <w:color w:val="auto"/>
                <w:vertAlign w:val="superscript"/>
              </w:rPr>
              <w:t>(1)</w:t>
            </w: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4,953,419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5,049,203</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5,021,003</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5,132,714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0"/>
        <w:spacing w:after="0" w:line="199" w:lineRule="auto"/>
        <w:rPr>
          <w:sz w:val="20"/>
          <w:szCs w:val="20"/>
          <w:color w:val="auto"/>
        </w:rPr>
      </w:pPr>
      <w:r>
        <w:rPr>
          <w:rFonts w:ascii="Arial" w:cs="Arial" w:eastAsia="Arial" w:hAnsi="Arial"/>
          <w:sz w:val="16"/>
          <w:szCs w:val="16"/>
          <w:color w:val="auto"/>
        </w:rPr>
        <w:t>Pro forma net loss per share, basic and diluted</w:t>
      </w:r>
      <w:r>
        <w:rPr>
          <w:rFonts w:ascii="Arial" w:cs="Arial" w:eastAsia="Arial" w:hAnsi="Arial"/>
          <w:sz w:val="27"/>
          <w:szCs w:val="2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-154305</wp:posOffset>
            </wp:positionV>
            <wp:extent cx="699770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Weighted-average shares outstanding used in computing pro forma net</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per share, basic and diluted</w:t>
      </w:r>
      <w:r>
        <w:rPr>
          <w:rFonts w:ascii="Arial" w:cs="Arial" w:eastAsia="Arial" w:hAnsi="Arial"/>
          <w:sz w:val="27"/>
          <w:szCs w:val="2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-77470</wp:posOffset>
            </wp:positionV>
            <wp:extent cx="6343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-60325</wp:posOffset>
            </wp:positionV>
            <wp:extent cx="6343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6428105</wp:posOffset>
            </wp:positionH>
            <wp:positionV relativeFrom="paragraph">
              <wp:posOffset>-77470</wp:posOffset>
            </wp:positionV>
            <wp:extent cx="6343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6428105</wp:posOffset>
            </wp:positionH>
            <wp:positionV relativeFrom="paragraph">
              <wp:posOffset>-60325</wp:posOffset>
            </wp:positionV>
            <wp:extent cx="6343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41910</wp:posOffset>
            </wp:positionV>
            <wp:extent cx="7632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05" w:lineRule="exact"/>
        <w:rPr>
          <w:sz w:val="20"/>
          <w:szCs w:val="20"/>
          <w:color w:val="auto"/>
        </w:rPr>
      </w:pPr>
    </w:p>
    <w:p>
      <w:pPr>
        <w:ind w:left="640" w:right="100" w:hanging="436"/>
        <w:spacing w:after="0" w:line="250" w:lineRule="auto"/>
        <w:tabs>
          <w:tab w:leader="none" w:pos="6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See Notes 2 and 14 to our financial statements included elsewhere in this prospectus for an explanation of the calculations of our basic and diluted net loss per share attributable to common stockholders, pro forma net loss per share, and the weighted-average number of common shares used in the computation of the per share amounts.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240" w:top="459" w:right="4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4520" w:type="dxa"/>
            <w:vAlign w:val="bottom"/>
            <w:gridSpan w:val="3"/>
          </w:tcPr>
          <w:p>
            <w:pPr>
              <w:ind w:left="328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June 30,</w:t>
            </w:r>
          </w:p>
        </w:tc>
      </w:tr>
      <w:tr>
        <w:trPr>
          <w:trHeight w:val="175"/>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2"/>
          </w:tcPr>
          <w:p>
            <w:pPr>
              <w:jc w:val="right"/>
              <w:ind w:right="515"/>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3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0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3480" w:type="dxa"/>
            <w:vAlign w:val="bottom"/>
            <w:gridSpan w:val="2"/>
          </w:tcPr>
          <w:p>
            <w:pPr>
              <w:ind w:left="32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91,761</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$ 72,869</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3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5"/>
              <w:spacing w:after="0" w:line="202" w:lineRule="exact"/>
              <w:rPr>
                <w:sz w:val="20"/>
                <w:szCs w:val="20"/>
                <w:color w:val="auto"/>
              </w:rPr>
            </w:pPr>
            <w:r>
              <w:rPr>
                <w:rFonts w:ascii="Arial" w:cs="Arial" w:eastAsia="Arial" w:hAnsi="Arial"/>
                <w:sz w:val="18"/>
                <w:szCs w:val="18"/>
                <w:color w:val="auto"/>
              </w:rPr>
              <w:t>86,014</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66,842</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0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96,969</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80,500</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3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(30,026)</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(46,235)</w:t>
            </w:r>
          </w:p>
        </w:tc>
      </w:tr>
      <w:tr>
        <w:trPr>
          <w:trHeight w:val="217"/>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(27,587)</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(42,304)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9" w:lineRule="exact"/>
        <w:rPr>
          <w:sz w:val="20"/>
          <w:szCs w:val="20"/>
          <w:color w:val="auto"/>
        </w:rPr>
      </w:pPr>
    </w:p>
    <w:p>
      <w:pPr>
        <w:ind w:left="640" w:right="320" w:hanging="436"/>
        <w:spacing w:after="0" w:line="258" w:lineRule="auto"/>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financial statements and related notes included elsewhere in this prospectus for further details regarding our current assets and current liabilities.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240" w:top="459" w:right="4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4"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related notes thereto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section titled “Risk Factors”, our actual results could differ materially from the results described in or implied by the forward-looking statements contained in the following discussion and analysis. All amounts are expressed in thousands other than share and per share amounts. Please also see the section of this prospectus titled “Special Note Regarding Forward-Looking Statements.”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left="200" w:right="60" w:firstLine="551"/>
        <w:spacing w:after="0" w:line="253" w:lineRule="auto"/>
        <w:rPr>
          <w:sz w:val="20"/>
          <w:szCs w:val="20"/>
          <w:color w:val="auto"/>
        </w:rPr>
      </w:pPr>
      <w:r>
        <w:rPr>
          <w:rFonts w:ascii="Arial" w:cs="Arial" w:eastAsia="Arial" w:hAnsi="Arial"/>
          <w:sz w:val="17"/>
          <w:szCs w:val="17"/>
          <w:color w:val="auto"/>
        </w:rPr>
        <w:t>We are a development stage precision gene therapy company dedicated to pioneering the development of targeted therapies based on our next-generation AAV vectors. Our proprietary Therapeutic Vector Evolution platform enables our “disease first” approach to product discovery and development, thereby allowing us to customize our AAV vectors to target specific tissue types associated with the underlying disease. Our proprietary AAV vectors are designed to provide targeted delivery by routine clinical routes, efficient transduction, reduced immunogenicity and resistance to pre-existing antibodies, which we believe will enable us to develop gene therapies that could overcome known limitations of conventional AAVs. As a result, we believe these key attributes will enable us to develop gene therapies with improved therapeutic profiles, pursue previously untreatable diseases and address a broad range of rare and large market diseases.</w:t>
      </w:r>
    </w:p>
    <w:p>
      <w:pPr>
        <w:spacing w:after="0" w:line="192"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Our product candidates that are in or have completed IND-enabling studies include a wholly-owned asset in development for the treatment of Fabry disease, as well as two assets in ophthalmology. In ophthalmology our product candidate for the treatment of XLRP is wholly-owned, subject to an exclusive option for Roche to develop and commercialize the asset, and our product candidate for the treatment of Choroideremia is licensed to Roche. In addition, our wholly-owned product candidate for the treatment of Cystic Fibrosis has completed lead optimization and we expect to initiate IND-enabling studies in the first half of 2020. We have not conducted any clinical trials to date but we expect to initiate the clinical trials for these three product candidates in 2020. We also have a pipeline of product candidates in the lead optimization stage, including for the treatment of DMD and Wet AMD.</w:t>
      </w:r>
    </w:p>
    <w:p>
      <w:pPr>
        <w:spacing w:after="0" w:line="203" w:lineRule="exact"/>
        <w:rPr>
          <w:sz w:val="20"/>
          <w:szCs w:val="20"/>
          <w:color w:val="auto"/>
        </w:rPr>
      </w:pPr>
    </w:p>
    <w:p>
      <w:pPr>
        <w:ind w:left="200" w:firstLine="551"/>
        <w:spacing w:after="0" w:line="234" w:lineRule="auto"/>
        <w:rPr>
          <w:sz w:val="20"/>
          <w:szCs w:val="20"/>
          <w:color w:val="auto"/>
        </w:rPr>
      </w:pPr>
      <w:r>
        <w:rPr>
          <w:rFonts w:ascii="Arial" w:cs="Arial" w:eastAsia="Arial" w:hAnsi="Arial"/>
          <w:sz w:val="18"/>
          <w:szCs w:val="18"/>
          <w:color w:val="auto"/>
        </w:rPr>
        <w:t>We do not have any products approved for sale and have not generated any revenue from product sales since our inception. From inception through June 30, 2019, we funded our operations primarily with an aggregate of $108.6 million in gross cash proceeds primarily from the sale and issuance of redeemable convertible preferred stock and to a lesser extent from cash received from our collaboration and license agreements. As of June 30, 2019, we had cash and cash equivalents of $72.9 million. Based on our current operating plan, we estimate that our cash and cash equivalents, together with the anticipated net proceeds from this offering, will be sufficient to fund our</w:t>
      </w:r>
    </w:p>
    <w:p>
      <w:pPr>
        <w:spacing w:after="0" w:line="4" w:lineRule="exact"/>
        <w:rPr>
          <w:sz w:val="20"/>
          <w:szCs w:val="20"/>
          <w:color w:val="auto"/>
        </w:rPr>
      </w:pPr>
    </w:p>
    <w:p>
      <w:pPr>
        <w:ind w:left="200"/>
        <w:spacing w:after="0"/>
        <w:tabs>
          <w:tab w:leader="none" w:pos="7640" w:val="left"/>
        </w:tabs>
        <w:rPr>
          <w:sz w:val="20"/>
          <w:szCs w:val="20"/>
          <w:color w:val="auto"/>
        </w:rPr>
      </w:pPr>
      <w:r>
        <w:rPr>
          <w:rFonts w:ascii="Arial" w:cs="Arial" w:eastAsia="Arial" w:hAnsi="Arial"/>
          <w:sz w:val="18"/>
          <w:szCs w:val="18"/>
          <w:color w:val="auto"/>
        </w:rPr>
        <w:t>operating expenses and capital expenditure requirements through at least the next</w:t>
      </w:r>
      <w:r>
        <w:rPr>
          <w:sz w:val="20"/>
          <w:szCs w:val="20"/>
          <w:color w:val="auto"/>
        </w:rPr>
        <w:tab/>
      </w:r>
      <w:r>
        <w:rPr>
          <w:rFonts w:ascii="Arial" w:cs="Arial" w:eastAsia="Arial" w:hAnsi="Arial"/>
          <w:sz w:val="17"/>
          <w:szCs w:val="17"/>
          <w:color w:val="auto"/>
        </w:rPr>
        <w:t>months.</w:t>
      </w:r>
    </w:p>
    <w:p>
      <w:pPr>
        <w:spacing w:after="0" w:line="212" w:lineRule="exact"/>
        <w:rPr>
          <w:sz w:val="20"/>
          <w:szCs w:val="20"/>
          <w:color w:val="auto"/>
        </w:rPr>
      </w:pPr>
    </w:p>
    <w:p>
      <w:pPr>
        <w:ind w:left="200" w:right="60" w:firstLine="551"/>
        <w:spacing w:after="0"/>
        <w:rPr>
          <w:sz w:val="20"/>
          <w:szCs w:val="20"/>
          <w:color w:val="auto"/>
        </w:rPr>
      </w:pPr>
      <w:r>
        <w:rPr>
          <w:rFonts w:ascii="Arial" w:cs="Arial" w:eastAsia="Arial" w:hAnsi="Arial"/>
          <w:sz w:val="18"/>
          <w:szCs w:val="18"/>
          <w:color w:val="auto"/>
        </w:rPr>
        <w:t>Since our inception in September 2013, we have devoted substantially all of our resources to discovering and developing product candidates and manufacturing processes, building our Therapeutic Vector Evolution platform and assembling our core capabilities in drug development for genetic therapies.</w:t>
      </w:r>
    </w:p>
    <w:p>
      <w:pPr>
        <w:spacing w:after="0" w:line="203"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Our ability to generate product revenue will depend on the successful development and eventual commercialization of one or more of our product candidates. Until such time as we can generate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20"/>
        <w:spacing w:after="0" w:line="238" w:lineRule="auto"/>
        <w:rPr>
          <w:sz w:val="20"/>
          <w:szCs w:val="20"/>
          <w:color w:val="auto"/>
        </w:rPr>
      </w:pPr>
      <w:r>
        <w:rPr>
          <w:rFonts w:ascii="Arial" w:cs="Arial" w:eastAsia="Arial" w:hAnsi="Arial"/>
          <w:sz w:val="18"/>
          <w:szCs w:val="18"/>
          <w:color w:val="auto"/>
        </w:rPr>
        <w:t>significant revenue from sales of our product candidates,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our current product candidates or delay our efforts to advance and expand our product pipeline.</w:t>
      </w:r>
    </w:p>
    <w:p>
      <w:pPr>
        <w:spacing w:after="0" w:line="203"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We have incurred significant operating losses to date and expect that our operating losses will increase significantly as we advance our product candidates through preclinical and clinical development, seek regulatory approval, and prepare for, and, if approved, proceed to commercialization; broaden and improve our platform; acquire, discover, validate and develop additional product candidates; obtain, maintain, protect and enforce our intellectual property portfolio; and hire additional personnel. In addition, upon the completion of this offering we expect to incur additional costs associated with operating as a public company.</w:t>
      </w:r>
    </w:p>
    <w:p>
      <w:pPr>
        <w:spacing w:after="0" w:line="203"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Our net losses were $11.2 million, $9.6 million, $5.2 million and $16.5 million for the years ended December 31, 2017 and 2018 and the six months ended June 30, 2018 and 2019, respectively. As of June 30, 2019, we had an accumulated deficit of $46.2 million. We do not expect positive cash flows from operations in the foreseeable future. We expect to continue to incur net operating losses for at least the next several years as we advance our product candidates through clinical development, seek regulatory approval, prepare for and, if approved, proceed to commercialization, continue our research and development efforts and invest in our manufacturing facility.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jc w:val="both"/>
        <w:ind w:left="200" w:right="120" w:firstLine="551"/>
        <w:spacing w:after="0"/>
        <w:rPr>
          <w:sz w:val="20"/>
          <w:szCs w:val="20"/>
          <w:color w:val="auto"/>
        </w:rPr>
      </w:pPr>
      <w:r>
        <w:rPr>
          <w:rFonts w:ascii="Arial" w:cs="Arial" w:eastAsia="Arial" w:hAnsi="Arial"/>
          <w:sz w:val="18"/>
          <w:szCs w:val="18"/>
          <w:color w:val="auto"/>
        </w:rPr>
        <w:t>Our revenue to date has been generated through payments from our collaboration and license agreements, primarily from upfront payments and expense reimbursement. We have not generated any revenue from the sale of approved products and do not expect to do so in the near future.</w:t>
      </w:r>
    </w:p>
    <w:p>
      <w:pPr>
        <w:spacing w:after="0" w:line="203" w:lineRule="exact"/>
        <w:rPr>
          <w:sz w:val="20"/>
          <w:szCs w:val="20"/>
          <w:color w:val="auto"/>
        </w:rPr>
      </w:pPr>
    </w:p>
    <w:p>
      <w:pPr>
        <w:ind w:left="200" w:right="240" w:firstLine="551"/>
        <w:spacing w:after="0"/>
        <w:rPr>
          <w:sz w:val="20"/>
          <w:szCs w:val="20"/>
          <w:color w:val="auto"/>
        </w:rPr>
      </w:pPr>
      <w:r>
        <w:rPr>
          <w:rFonts w:ascii="Arial" w:cs="Arial" w:eastAsia="Arial" w:hAnsi="Arial"/>
          <w:sz w:val="18"/>
          <w:szCs w:val="18"/>
          <w:color w:val="auto"/>
        </w:rPr>
        <w:t>In 2018, we recognized $14.1 million of revenue from our collaboration and license agreements, principally from our agreements with Roche, Pfizer and AstraZeneca (previously MedImmune). For the six months ended June 30, 2019, we recognized $4.4 million of revenue, principally from our agreements with Roche and AstraZeneca (previously MedImmune).</w:t>
      </w:r>
    </w:p>
    <w:p>
      <w:pPr>
        <w:spacing w:after="0" w:line="108" w:lineRule="exact"/>
        <w:rPr>
          <w:sz w:val="20"/>
          <w:szCs w:val="20"/>
          <w:color w:val="auto"/>
        </w:rPr>
      </w:pPr>
    </w:p>
    <w:p>
      <w:pPr>
        <w:ind w:left="960" w:right="160" w:hanging="216"/>
        <w:spacing w:after="0" w:line="236"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expect payments from Roche for reimbursement of our internal and third-party costs as well as the recognition of a $21.0 million upfront payment received in 2017 to be our principal source of revenue in the second half of 2019. Upon initiation of our Phase 1/2 clinical trial for 4D-110 to treat Choroideremia, we expect to receive certain milestone payments. We expect this trial to initiate in the second half of 2020. If Roche continues the development of 4D-110, we will be entitled to further development and approval milestones, and, if the product candidate is approved, royalties on net sales and sales based milestones. Roche also has the option to assume the development and commercialization of 4D-125 to treat XLRP prior to pivotal trial initiation in return for an option payment and assumption of all future expenses. If Roche exercises such option, we would be entitled to future milestones upon development of the product candidate and, if approved, royalties on future net sales and sales-based milestones.</w:t>
      </w:r>
    </w:p>
    <w:p>
      <w:pPr>
        <w:spacing w:after="0" w:line="112" w:lineRule="exact"/>
        <w:rPr>
          <w:rFonts w:ascii="Arial" w:cs="Arial" w:eastAsia="Arial" w:hAnsi="Arial"/>
          <w:sz w:val="18"/>
          <w:szCs w:val="18"/>
          <w:color w:val="auto"/>
        </w:rPr>
      </w:pPr>
    </w:p>
    <w:p>
      <w:pPr>
        <w:ind w:left="960" w:right="180" w:hanging="216"/>
        <w:spacing w:after="0" w:line="246"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Pfizer terminated our agreement in 2018, and as a result we recognized $5.0 million of revenue in 2018 that we had previously deferred. We do not expect to recognize any revenue from Pfizer in 2019.</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24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260" w:hanging="216"/>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AstraZeneca (previously MedImmune) is evaluating the results of the development work we performed. If AstraZeneca (previously MedImmune) decides to continue the program, we will be entitled to an option fee, development milestones, and if the product candidate is approved, we will be entitled to royalties on net sales.</w:t>
      </w:r>
    </w:p>
    <w:p>
      <w:pPr>
        <w:spacing w:after="0" w:line="203"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Future collaboration and license revenue is highly dependent on the successful development and commercialization of products by our collaboration partners, which is uncertain, and revenue may fluctuate significantly from period to period. Additionally, we may never receive the consideration from our license agreements that is contemplated for option fees, development and sales-based milestone payments or royalties on sales of licensed products, given the contingent nature of these payments. We expect that our license revenue in the second half of 2019 will be primarily from Roche. If our agreement with Roche was terminated, it may materially impact the amount of license revenue we recognize in future periods.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6"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Our operating expenses consist of research and development and general and administrative expenses. Personnel costs including salaries, benefits, bonuses and stock-based compensation expense, comprise a significant component of research and development and general and administrative expenses. We allocate indirect expenses associated with our facilities, information technology costs, depreciation and other overhead costs between research and development and general and administrative categories based on employee headcount and the nature of work performed by each employee.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w:t>
      </w:r>
    </w:p>
    <w:p>
      <w:pPr>
        <w:spacing w:after="0" w:line="122" w:lineRule="exact"/>
        <w:rPr>
          <w:sz w:val="20"/>
          <w:szCs w:val="20"/>
          <w:color w:val="auto"/>
        </w:rPr>
      </w:pPr>
    </w:p>
    <w:p>
      <w:pPr>
        <w:ind w:left="200" w:right="460" w:firstLine="551"/>
        <w:spacing w:after="0" w:line="246" w:lineRule="auto"/>
        <w:rPr>
          <w:sz w:val="20"/>
          <w:szCs w:val="20"/>
          <w:color w:val="auto"/>
        </w:rPr>
      </w:pPr>
      <w:r>
        <w:rPr>
          <w:rFonts w:ascii="Arial" w:cs="Arial" w:eastAsia="Arial" w:hAnsi="Arial"/>
          <w:sz w:val="18"/>
          <w:szCs w:val="18"/>
          <w:color w:val="auto"/>
        </w:rPr>
        <w:t>Our research and development expenses primarily consist of costs incurred for the discovery and development of our product candidates, which include:</w:t>
      </w:r>
    </w:p>
    <w:p>
      <w:pPr>
        <w:spacing w:after="0" w:line="102" w:lineRule="exact"/>
        <w:rPr>
          <w:sz w:val="20"/>
          <w:szCs w:val="20"/>
          <w:color w:val="auto"/>
        </w:rPr>
      </w:pPr>
    </w:p>
    <w:p>
      <w:pPr>
        <w:ind w:left="960" w:right="580" w:hanging="216"/>
        <w:spacing w:after="0" w:line="246"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salaries and personnel-related costs, including benefits, stock-based compensation and travel, for our scientific personnel performing research and development activities;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costs related to executing preclinical studies and clinical trials, including payments to CROs;</w:t>
      </w:r>
    </w:p>
    <w:p>
      <w:pPr>
        <w:spacing w:after="0" w:line="117" w:lineRule="exact"/>
        <w:rPr>
          <w:rFonts w:ascii="Arial" w:cs="Arial" w:eastAsia="Arial" w:hAnsi="Arial"/>
          <w:sz w:val="18"/>
          <w:szCs w:val="18"/>
          <w:color w:val="auto"/>
        </w:rPr>
      </w:pPr>
    </w:p>
    <w:p>
      <w:pPr>
        <w:ind w:left="960" w:right="60" w:hanging="216"/>
        <w:spacing w:after="0" w:line="246"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costs related to acquiring, developing and manufacturing materials for preclinical studies and clinical trials including payments to CMOs;</w:t>
      </w:r>
    </w:p>
    <w:p>
      <w:pPr>
        <w:spacing w:after="0" w:line="102" w:lineRule="exact"/>
        <w:rPr>
          <w:rFonts w:ascii="Arial" w:cs="Arial" w:eastAsia="Arial" w:hAnsi="Arial"/>
          <w:sz w:val="18"/>
          <w:szCs w:val="18"/>
          <w:color w:val="auto"/>
        </w:rPr>
      </w:pPr>
    </w:p>
    <w:p>
      <w:pPr>
        <w:ind w:left="960" w:right="80" w:hanging="216"/>
        <w:spacing w:after="0" w:line="246"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costs related to laboratory supplies, research materials and other costs related to development and characterization of new AAV vectors;</w:t>
      </w:r>
    </w:p>
    <w:p>
      <w:pPr>
        <w:spacing w:after="0" w:line="102" w:lineRule="exact"/>
        <w:rPr>
          <w:rFonts w:ascii="Arial" w:cs="Arial" w:eastAsia="Arial" w:hAnsi="Arial"/>
          <w:sz w:val="18"/>
          <w:szCs w:val="18"/>
          <w:color w:val="auto"/>
        </w:rPr>
      </w:pPr>
    </w:p>
    <w:p>
      <w:pPr>
        <w:ind w:left="960" w:right="280" w:hanging="216"/>
        <w:spacing w:after="0" w:line="246"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fees paid to consultants and other third-parties who support our product candidate development, including CROs, CMOs, and other service providers;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costs in seeking regulatory approval of our product candidates;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allocated facility-related costs, depreciation expense and other overhead.</w:t>
      </w:r>
    </w:p>
    <w:p>
      <w:pPr>
        <w:spacing w:after="0" w:line="212"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We expense all research and development costs in the periods in which they are incurred. We have entered into various agreements with CROs and CMOs. Costs of certain activities are recognized based on an evaluation of the progress to completion of specific tasks. Payments made prior to the receipt of goods or services that will be used or rendered for future research and development activities are deferred and capitalized as prepaid expenses and other current assets on our balance sheet. The capitalized amounts are recognized as expense as the goods are delivered or the related services are performed.</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We do not allocate our costs by product candidate, as a significant amount of research and development expenses includes internal costs, such as payroll and other personnel expenses, laboratory supplies and allocated overhead, and external costs, such as fees paid to third parties to conduct research and development activities on our behalf, none of which are tracked by product candidate. In particular, with respect to internal costs, several of our departments support multiple product candidate research and development programs, and therefore the costs cannot be allocated to a particular product candidate or development program.</w:t>
      </w:r>
    </w:p>
    <w:p>
      <w:pPr>
        <w:spacing w:after="0" w:line="203"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any of our product candidates. We expect our research and development expenses to increase substantially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 candidates that successfully complete clinical trials, and incur expenses associated with hiring additional personnel to support our research and development efforts. The process of conducting the necessary clinical research to obtain regulatory approval is costly and time-consuming, and the successful development of our product candidates is highly uncertain.</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w:t>
      </w:r>
    </w:p>
    <w:p>
      <w:pPr>
        <w:spacing w:after="0" w:line="122"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Our general and administrative expenses consist primarily of personnel-related expenses, including salaries, employee benefit costs and stock-based compensation expense, for our personnel in executive, finance and accounting and other administrative functions. General and administrative expenses also include professional fees for legal, patent, consulting, accounting and tax services, allocated overhead, including rent, equipment, depreciation, information technology costs and utilities, and other general operating expenses not otherwise classified as research and development expenses.</w:t>
      </w:r>
    </w:p>
    <w:p>
      <w:pPr>
        <w:spacing w:after="0" w:line="203"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color w:val="auto"/>
        </w:rPr>
        <w:t>We expect our general and administrative expenses to increase in the future as we increase our headcount to support our continued research activities and development of our programs. We also expect increased personnel-related costs, patent costs for our product candidates, consulting, legal and accounting services associated with maintaining compliance with stock exchange listing and requirements of the SEC, investor relations costs, director and officer insurance premiums and other costs associated with being a public company.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26"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Our other income (expense) primarily consists of interest income earned on our cash equivalents and adjustments for the change in the fair value of our derivative liability which must be remeasured at each reporting period.</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Six Months Ended June 30, 2018 and 2019</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for the periods indicated (dollars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11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32"/>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w:t>
            </w:r>
          </w:p>
        </w:tc>
        <w:tc>
          <w:tcPr>
            <w:tcW w:w="1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ind w:left="340"/>
              <w:spacing w:after="0" w:line="202" w:lineRule="exact"/>
              <w:rPr>
                <w:sz w:val="20"/>
                <w:szCs w:val="20"/>
                <w:color w:val="auto"/>
              </w:rPr>
            </w:pPr>
            <w:r>
              <w:rPr>
                <w:rFonts w:ascii="Arial" w:cs="Arial" w:eastAsia="Arial" w:hAnsi="Arial"/>
                <w:sz w:val="18"/>
                <w:szCs w:val="18"/>
                <w:color w:val="auto"/>
              </w:rPr>
              <w:t>Collaboration and license revenue, related party</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28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260" w:type="dxa"/>
            <w:vAlign w:val="bottom"/>
          </w:tcPr>
          <w:p>
            <w:pPr>
              <w:spacing w:after="0"/>
              <w:rPr>
                <w:sz w:val="17"/>
                <w:szCs w:val="17"/>
                <w:color w:val="auto"/>
              </w:rPr>
            </w:pP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(117)</w:t>
            </w:r>
          </w:p>
        </w:tc>
        <w:tc>
          <w:tcPr>
            <w:tcW w:w="11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Collaboration and license revenue</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4,390</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(536)</w:t>
            </w:r>
          </w:p>
        </w:tc>
        <w:tc>
          <w:tcPr>
            <w:tcW w:w="11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tcPr>
          <w:p>
            <w:pPr>
              <w:ind w:left="700"/>
              <w:spacing w:after="0"/>
              <w:rPr>
                <w:sz w:val="20"/>
                <w:szCs w:val="20"/>
                <w:color w:val="auto"/>
              </w:rPr>
            </w:pPr>
            <w:r>
              <w:rPr>
                <w:rFonts w:ascii="Arial" w:cs="Arial" w:eastAsia="Arial" w:hAnsi="Arial"/>
                <w:sz w:val="18"/>
                <w:szCs w:val="18"/>
                <w:color w:val="auto"/>
              </w:rPr>
              <w:t>Total revenue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4,416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(653)</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1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8,208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16,985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8,777</w:t>
            </w:r>
          </w:p>
        </w:tc>
        <w:tc>
          <w:tcPr>
            <w:tcW w:w="280" w:type="dxa"/>
            <w:vAlign w:val="bottom"/>
          </w:tcPr>
          <w:p>
            <w:pPr>
              <w:spacing w:after="0"/>
              <w:rPr>
                <w:sz w:val="17"/>
                <w:szCs w:val="17"/>
                <w:color w:val="auto"/>
              </w:rPr>
            </w:pPr>
          </w:p>
        </w:tc>
        <w:tc>
          <w:tcPr>
            <w:tcW w:w="11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4,884</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10,406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21,869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(5,337)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(17,453)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(12,116)</w:t>
            </w:r>
          </w:p>
        </w:tc>
        <w:tc>
          <w:tcPr>
            <w:tcW w:w="11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line="202" w:lineRule="exact"/>
              <w:rPr>
                <w:sz w:val="20"/>
                <w:szCs w:val="20"/>
                <w:color w:val="auto"/>
              </w:rPr>
            </w:pPr>
            <w:r>
              <w:rPr>
                <w:rFonts w:ascii="Arial" w:cs="Arial" w:eastAsia="Arial" w:hAnsi="Arial"/>
                <w:sz w:val="18"/>
                <w:szCs w:val="18"/>
                <w:b w:val="1"/>
                <w:bCs w:val="1"/>
                <w:color w:val="auto"/>
              </w:rPr>
              <w:t>Other Income (Expense)</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937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786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and comprehensive loss</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(5,186)</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(16,516)</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(11,330)</w:t>
            </w:r>
          </w:p>
        </w:tc>
        <w:tc>
          <w:tcPr>
            <w:tcW w:w="11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0"/>
        <w:spacing w:after="0"/>
        <w:rPr>
          <w:sz w:val="20"/>
          <w:szCs w:val="20"/>
          <w:color w:val="auto"/>
        </w:rPr>
      </w:pPr>
      <w:r>
        <w:rPr>
          <w:rFonts w:ascii="Arial" w:cs="Arial" w:eastAsia="Arial" w:hAnsi="Arial"/>
          <w:sz w:val="18"/>
          <w:szCs w:val="18"/>
          <w:i w:val="1"/>
          <w:iCs w:val="1"/>
          <w:color w:val="auto"/>
        </w:rPr>
        <w:t>Revenue</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Revenue decreased from $5.1 million for the six months ended June 30, 2018 to $4.4 million for the six months ended June 30,</w:t>
      </w:r>
    </w:p>
    <w:p>
      <w:pPr>
        <w:ind w:left="200"/>
        <w:spacing w:after="0"/>
        <w:rPr>
          <w:sz w:val="20"/>
          <w:szCs w:val="20"/>
          <w:color w:val="auto"/>
        </w:rPr>
      </w:pPr>
      <w:r>
        <w:rPr>
          <w:rFonts w:ascii="Arial" w:cs="Arial" w:eastAsia="Arial" w:hAnsi="Arial"/>
          <w:sz w:val="18"/>
          <w:szCs w:val="18"/>
          <w:color w:val="auto"/>
        </w:rPr>
        <w:t>2019. The decrease of $0.7 million, or 13%, was primarily due to the following:</w:t>
      </w:r>
    </w:p>
    <w:p>
      <w:pPr>
        <w:spacing w:after="0" w:line="117" w:lineRule="exact"/>
        <w:rPr>
          <w:sz w:val="20"/>
          <w:szCs w:val="20"/>
          <w:color w:val="auto"/>
        </w:rPr>
      </w:pPr>
    </w:p>
    <w:p>
      <w:pPr>
        <w:ind w:left="960" w:right="1040" w:hanging="216"/>
        <w:spacing w:after="0" w:line="246"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$0.3 million decrease in revenue recognized under our Collaboration and License Agreement with Applied Genetic Technologies Corporation;</w:t>
      </w:r>
    </w:p>
    <w:p>
      <w:pPr>
        <w:spacing w:after="0" w:line="102" w:lineRule="exact"/>
        <w:rPr>
          <w:rFonts w:ascii="Arial" w:cs="Arial" w:eastAsia="Arial" w:hAnsi="Arial"/>
          <w:sz w:val="18"/>
          <w:szCs w:val="18"/>
          <w:color w:val="auto"/>
        </w:rPr>
      </w:pPr>
    </w:p>
    <w:p>
      <w:pPr>
        <w:ind w:left="960" w:right="140" w:hanging="216"/>
        <w:spacing w:after="0" w:line="246"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$0.2 million decrease in revenue recognized under our Collaboration and License Agreement with Roche for the development and treatment of various ophthalmology diseases;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$0.1 million decrease in revenue recognized under our Collaboration and License Agreement with uniQure;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$0.1 million decrease in revenue recognized under our Collaboration and License Agreement with Benitec Biopharma Limited.</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provides a breakout of research and development expenses for the periods indicated (dollars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8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rPr>
              <w:t>Six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5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13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60" w:type="dxa"/>
            <w:vAlign w:val="bottom"/>
          </w:tcPr>
          <w:p>
            <w:pPr>
              <w:jc w:val="right"/>
              <w:ind w:right="41"/>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4"/>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External expenses</w:t>
            </w:r>
          </w:p>
        </w:tc>
        <w:tc>
          <w:tcPr>
            <w:tcW w:w="22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vMerge w:val="continue"/>
            <w:shd w:val="clear" w:color="auto" w:fill="CCEEFF"/>
          </w:tcPr>
          <w:p>
            <w:pPr>
              <w:spacing w:after="0"/>
              <w:rPr>
                <w:sz w:val="17"/>
                <w:szCs w:val="17"/>
                <w:color w:val="auto"/>
              </w:rPr>
            </w:pPr>
          </w:p>
        </w:tc>
        <w:tc>
          <w:tcPr>
            <w:tcW w:w="228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$4,415</w:t>
            </w: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9,599</w:t>
            </w: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5,184</w:t>
            </w:r>
          </w:p>
        </w:tc>
        <w:tc>
          <w:tcPr>
            <w:tcW w:w="460" w:type="dxa"/>
            <w:vAlign w:val="bottom"/>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Payroll and personnel expenses</w:t>
            </w:r>
          </w:p>
        </w:tc>
        <w:tc>
          <w:tcPr>
            <w:tcW w:w="2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2,177</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5,236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3,059</w:t>
            </w:r>
          </w:p>
        </w:tc>
        <w:tc>
          <w:tcPr>
            <w:tcW w:w="13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research and development expenses</w:t>
            </w:r>
          </w:p>
        </w:tc>
        <w:tc>
          <w:tcPr>
            <w:tcW w:w="2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1,616</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534</w:t>
            </w:r>
          </w:p>
        </w:tc>
        <w:tc>
          <w:tcPr>
            <w:tcW w:w="4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Total research and development expenses</w:t>
            </w:r>
          </w:p>
        </w:tc>
        <w:tc>
          <w:tcPr>
            <w:tcW w:w="2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8,208</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16,985</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8,777</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80" w:type="dxa"/>
            <w:vAlign w:val="bottom"/>
            <w:vMerge w:val="restart"/>
          </w:tcPr>
          <w:p>
            <w:pPr>
              <w:jc w:val="right"/>
              <w:ind w:right="1150"/>
              <w:spacing w:after="0"/>
              <w:rPr>
                <w:sz w:val="20"/>
                <w:szCs w:val="20"/>
                <w:color w:val="auto"/>
              </w:rPr>
            </w:pPr>
            <w:r>
              <w:rPr>
                <w:rFonts w:ascii="Arial" w:cs="Arial" w:eastAsia="Arial" w:hAnsi="Arial"/>
                <w:sz w:val="18"/>
                <w:szCs w:val="18"/>
                <w:color w:val="auto"/>
              </w:rPr>
              <w:t>95</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firstLine="551"/>
        <w:spacing w:after="0" w:line="246" w:lineRule="auto"/>
        <w:rPr>
          <w:sz w:val="20"/>
          <w:szCs w:val="20"/>
          <w:color w:val="auto"/>
        </w:rPr>
      </w:pPr>
      <w:r>
        <w:rPr>
          <w:rFonts w:ascii="Arial" w:cs="Arial" w:eastAsia="Arial" w:hAnsi="Arial"/>
          <w:sz w:val="18"/>
          <w:szCs w:val="18"/>
          <w:color w:val="auto"/>
        </w:rPr>
        <w:t>Research and development expenses increased from $ 8.2 million for the six months ended June 30, 2018 to $17.0 million for the six months ended June 30, 2019. The increase of $8.8 million, or 107%, was primarily due to the following:</w:t>
      </w:r>
    </w:p>
    <w:p>
      <w:pPr>
        <w:spacing w:after="0" w:line="102" w:lineRule="exact"/>
        <w:rPr>
          <w:sz w:val="20"/>
          <w:szCs w:val="20"/>
          <w:color w:val="auto"/>
        </w:rPr>
      </w:pPr>
    </w:p>
    <w:p>
      <w:pPr>
        <w:ind w:left="960" w:right="280" w:hanging="216"/>
        <w:spacing w:after="0" w:line="246" w:lineRule="auto"/>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$5.2 million increase in external costs as we continue to develop novel vectors and identify potential product candidates and progress our preclinical studies; and</w:t>
      </w:r>
    </w:p>
    <w:p>
      <w:pPr>
        <w:spacing w:after="0" w:line="102" w:lineRule="exact"/>
        <w:rPr>
          <w:rFonts w:ascii="Arial" w:cs="Arial" w:eastAsia="Arial" w:hAnsi="Arial"/>
          <w:sz w:val="18"/>
          <w:szCs w:val="18"/>
          <w:color w:val="auto"/>
        </w:rPr>
      </w:pPr>
    </w:p>
    <w:p>
      <w:pPr>
        <w:ind w:left="960" w:right="40" w:hanging="216"/>
        <w:spacing w:after="0" w:line="246" w:lineRule="auto"/>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$3.1 million increase in payroll and personnel expenses due to increased headcount to support the development of our and our partners’ product candidates.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ind w:left="200" w:right="100" w:firstLine="551"/>
        <w:spacing w:after="0" w:line="246" w:lineRule="auto"/>
        <w:rPr>
          <w:sz w:val="20"/>
          <w:szCs w:val="20"/>
          <w:color w:val="auto"/>
        </w:rPr>
      </w:pPr>
      <w:r>
        <w:rPr>
          <w:rFonts w:ascii="Arial" w:cs="Arial" w:eastAsia="Arial" w:hAnsi="Arial"/>
          <w:sz w:val="18"/>
          <w:szCs w:val="18"/>
          <w:color w:val="auto"/>
        </w:rPr>
        <w:t>General and administrative expenses increased from $ 2.2 million for the six months ended June 30, 2018 to $4.9 million for the six months ended June 30, 2019. The increase of $2.7 million, or 122%, was primarily due to the following:</w:t>
      </w:r>
    </w:p>
    <w:p>
      <w:pPr>
        <w:spacing w:after="0" w:line="102" w:lineRule="exact"/>
        <w:rPr>
          <w:sz w:val="20"/>
          <w:szCs w:val="20"/>
          <w:color w:val="auto"/>
        </w:rPr>
      </w:pPr>
    </w:p>
    <w:p>
      <w:pPr>
        <w:ind w:left="960" w:right="100" w:hanging="216"/>
        <w:spacing w:after="0" w:line="246" w:lineRule="auto"/>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$1.3 million increase for personnel costs as a result of increased headcount of general and administrative personnel, including a $0.2 million increase in employee stock-based compensation expense; and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$0.9 million increase for professional services, including legal, accounting and other advisory services.</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Income (Expense)</w:t>
      </w:r>
    </w:p>
    <w:p>
      <w:pPr>
        <w:spacing w:after="0" w:line="122" w:lineRule="exact"/>
        <w:rPr>
          <w:sz w:val="20"/>
          <w:szCs w:val="20"/>
          <w:color w:val="auto"/>
        </w:rPr>
      </w:pPr>
    </w:p>
    <w:p>
      <w:pPr>
        <w:ind w:left="200" w:right="240" w:firstLine="551"/>
        <w:spacing w:after="0"/>
        <w:rPr>
          <w:sz w:val="20"/>
          <w:szCs w:val="20"/>
          <w:color w:val="auto"/>
        </w:rPr>
      </w:pPr>
      <w:r>
        <w:rPr>
          <w:rFonts w:ascii="Arial" w:cs="Arial" w:eastAsia="Arial" w:hAnsi="Arial"/>
          <w:sz w:val="18"/>
          <w:szCs w:val="18"/>
          <w:color w:val="auto"/>
        </w:rPr>
        <w:t>Other income (expense) increased from $0.2 million for the six months ended June 30, 2018 to $0.9 million for the six months ended June 30, 2019. The increase was due to increased interest income in 2019 as a result of investing the $84.5 million net proceeds from our Series B redeemable convertible preferred stock financing in August 2018.</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for the periods indicated (dollars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14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w:t>
            </w:r>
          </w:p>
        </w:tc>
        <w:tc>
          <w:tcPr>
            <w:tcW w:w="1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340"/>
              <w:spacing w:after="0" w:line="202" w:lineRule="exact"/>
              <w:rPr>
                <w:sz w:val="20"/>
                <w:szCs w:val="20"/>
                <w:color w:val="auto"/>
              </w:rPr>
            </w:pPr>
            <w:r>
              <w:rPr>
                <w:rFonts w:ascii="Arial" w:cs="Arial" w:eastAsia="Arial" w:hAnsi="Arial"/>
                <w:sz w:val="18"/>
                <w:szCs w:val="18"/>
                <w:color w:val="auto"/>
              </w:rPr>
              <w:t>Collaboration and license revenue, related party</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3,176</w:t>
            </w:r>
          </w:p>
        </w:tc>
        <w:tc>
          <w:tcPr>
            <w:tcW w:w="28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5,143</w:t>
            </w:r>
          </w:p>
        </w:tc>
        <w:tc>
          <w:tcPr>
            <w:tcW w:w="280" w:type="dxa"/>
            <w:vAlign w:val="bottom"/>
          </w:tcPr>
          <w:p>
            <w:pPr>
              <w:spacing w:after="0"/>
              <w:rPr>
                <w:sz w:val="17"/>
                <w:szCs w:val="17"/>
                <w:color w:val="auto"/>
              </w:rPr>
            </w:pPr>
          </w:p>
        </w:tc>
        <w:tc>
          <w:tcPr>
            <w:tcW w:w="32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1,967</w:t>
            </w:r>
          </w:p>
        </w:tc>
        <w:tc>
          <w:tcPr>
            <w:tcW w:w="14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Collaboration and license revenue</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8,987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6,373</w:t>
            </w:r>
          </w:p>
        </w:tc>
        <w:tc>
          <w:tcPr>
            <w:tcW w:w="4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tcPr>
          <w:p>
            <w:pPr>
              <w:ind w:left="700"/>
              <w:spacing w:after="0"/>
              <w:rPr>
                <w:sz w:val="20"/>
                <w:szCs w:val="20"/>
                <w:color w:val="auto"/>
              </w:rPr>
            </w:pPr>
            <w:r>
              <w:rPr>
                <w:rFonts w:ascii="Arial" w:cs="Arial" w:eastAsia="Arial" w:hAnsi="Arial"/>
                <w:sz w:val="18"/>
                <w:szCs w:val="18"/>
                <w:color w:val="auto"/>
              </w:rPr>
              <w:t>Total revenue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8,340</w:t>
            </w:r>
          </w:p>
        </w:tc>
        <w:tc>
          <w:tcPr>
            <w:tcW w:w="4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16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13,573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18,362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4,789</w:t>
            </w:r>
          </w:p>
        </w:tc>
        <w:tc>
          <w:tcPr>
            <w:tcW w:w="14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3,489</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6,167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2,678</w:t>
            </w:r>
          </w:p>
        </w:tc>
        <w:tc>
          <w:tcPr>
            <w:tcW w:w="4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17,062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7,467</w:t>
            </w:r>
          </w:p>
        </w:tc>
        <w:tc>
          <w:tcPr>
            <w:tcW w:w="4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(11,272)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8"/>
              </w:rPr>
              <w:t>(10,399)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873</w:t>
            </w:r>
          </w:p>
        </w:tc>
        <w:tc>
          <w:tcPr>
            <w:tcW w:w="14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b w:val="1"/>
                <w:bCs w:val="1"/>
                <w:color w:val="auto"/>
              </w:rPr>
              <w:t>Other Income (Expense)</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848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799</w:t>
            </w:r>
          </w:p>
        </w:tc>
        <w:tc>
          <w:tcPr>
            <w:tcW w:w="44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and comprehensive loss</w:t>
            </w:r>
          </w:p>
        </w:tc>
        <w:tc>
          <w:tcPr>
            <w:tcW w:w="1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(11,223)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(9,551)</w:t>
            </w:r>
          </w:p>
        </w:tc>
        <w:tc>
          <w:tcPr>
            <w:tcW w:w="3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1,672</w:t>
            </w:r>
          </w:p>
        </w:tc>
        <w:tc>
          <w:tcPr>
            <w:tcW w:w="14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80" w:type="dxa"/>
            <w:vAlign w:val="bottom"/>
            <w:vMerge w:val="restart"/>
          </w:tcPr>
          <w:p>
            <w:pPr>
              <w:jc w:val="right"/>
              <w:ind w:right="770"/>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Revenue increased from $5.8 million for the year ended December 31, 2017 to $14.1 million for the year ended December 31,</w:t>
      </w:r>
    </w:p>
    <w:p>
      <w:pPr>
        <w:ind w:left="200"/>
        <w:spacing w:after="0"/>
        <w:rPr>
          <w:sz w:val="20"/>
          <w:szCs w:val="20"/>
          <w:color w:val="auto"/>
        </w:rPr>
      </w:pPr>
      <w:r>
        <w:rPr>
          <w:rFonts w:ascii="Arial" w:cs="Arial" w:eastAsia="Arial" w:hAnsi="Arial"/>
          <w:sz w:val="18"/>
          <w:szCs w:val="18"/>
          <w:color w:val="auto"/>
        </w:rPr>
        <w:t>2018. The increase of $8.3 million, or 144%, was primarily due to the following:</w:t>
      </w:r>
    </w:p>
    <w:p>
      <w:pPr>
        <w:spacing w:after="0" w:line="117" w:lineRule="exact"/>
        <w:rPr>
          <w:sz w:val="20"/>
          <w:szCs w:val="20"/>
          <w:color w:val="auto"/>
        </w:rPr>
      </w:pPr>
    </w:p>
    <w:p>
      <w:pPr>
        <w:ind w:left="960" w:right="200" w:hanging="216"/>
        <w:spacing w:after="0" w:line="246" w:lineRule="auto"/>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$6.6 million increase in revenue recognized under our Collaboration and License Agreement with Roche for the development and treatment of various ophthalmology diseases;</w:t>
      </w:r>
    </w:p>
    <w:p>
      <w:pPr>
        <w:spacing w:after="0" w:line="102" w:lineRule="exact"/>
        <w:rPr>
          <w:rFonts w:ascii="Arial" w:cs="Arial" w:eastAsia="Arial" w:hAnsi="Arial"/>
          <w:sz w:val="18"/>
          <w:szCs w:val="18"/>
          <w:color w:val="auto"/>
        </w:rPr>
      </w:pPr>
    </w:p>
    <w:p>
      <w:pPr>
        <w:ind w:left="960" w:right="400" w:hanging="216"/>
        <w:spacing w:after="0" w:line="246" w:lineRule="auto"/>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$5.0 million increase in revenue recognized upon termination of our Collaboration and License Agreement with Pfizer. This amount represented recognition of the upfront payment previously made by Pfizer that we had deferred; and</w:t>
      </w:r>
    </w:p>
    <w:p>
      <w:pPr>
        <w:spacing w:after="0" w:line="102" w:lineRule="exact"/>
        <w:rPr>
          <w:rFonts w:ascii="Arial" w:cs="Arial" w:eastAsia="Arial" w:hAnsi="Arial"/>
          <w:sz w:val="18"/>
          <w:szCs w:val="18"/>
          <w:color w:val="auto"/>
        </w:rPr>
      </w:pPr>
    </w:p>
    <w:p>
      <w:pPr>
        <w:ind w:left="960" w:right="200" w:hanging="216"/>
        <w:spacing w:after="0" w:line="246" w:lineRule="auto"/>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which were both partially offset by a $3.0 million decrease in revenue relating to our Collaboration and License Agreement with uniQure.</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do not expect to recognize any revenue from Pfizer in 2019.</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provides a breakout of research and development expenses for the periods indicated (dollars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December 31,</w:t>
            </w: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12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98"/>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94"/>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External expenses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Borders>
              <w:right w:val="single" w:sz="8" w:color="CCEEFF"/>
            </w:tcBorders>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4,009</w:t>
            </w:r>
          </w:p>
        </w:tc>
        <w:tc>
          <w:tcPr>
            <w:tcW w:w="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9,740</w:t>
            </w:r>
          </w:p>
        </w:tc>
        <w:tc>
          <w:tcPr>
            <w:tcW w:w="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5,731</w:t>
            </w:r>
          </w:p>
        </w:tc>
        <w:tc>
          <w:tcPr>
            <w:tcW w:w="2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line="202" w:lineRule="exact"/>
              <w:rPr>
                <w:sz w:val="20"/>
                <w:szCs w:val="20"/>
                <w:color w:val="auto"/>
              </w:rPr>
            </w:pPr>
            <w:r>
              <w:rPr>
                <w:rFonts w:ascii="Arial" w:cs="Arial" w:eastAsia="Arial" w:hAnsi="Arial"/>
                <w:sz w:val="18"/>
                <w:szCs w:val="18"/>
                <w:color w:val="auto"/>
              </w:rPr>
              <w:t>Payroll and personnel expenses</w:t>
            </w:r>
          </w:p>
        </w:tc>
        <w:tc>
          <w:tcPr>
            <w:tcW w:w="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4,302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4,960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658</w:t>
            </w:r>
          </w:p>
        </w:tc>
        <w:tc>
          <w:tcPr>
            <w:tcW w:w="280" w:type="dxa"/>
            <w:vAlign w:val="bottom"/>
          </w:tcPr>
          <w:p>
            <w:pPr>
              <w:spacing w:after="0"/>
              <w:rPr>
                <w:sz w:val="17"/>
                <w:szCs w:val="17"/>
                <w:color w:val="auto"/>
              </w:rPr>
            </w:pPr>
          </w:p>
        </w:tc>
        <w:tc>
          <w:tcPr>
            <w:tcW w:w="12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research and development expenses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5,262</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3,662</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(1,600)</w:t>
            </w:r>
          </w:p>
        </w:tc>
        <w:tc>
          <w:tcPr>
            <w:tcW w:w="12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Total research and development expenses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13,573</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18,362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4,789</w:t>
            </w:r>
          </w:p>
        </w:tc>
        <w:tc>
          <w:tcPr>
            <w:tcW w:w="28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200" w:firstLine="551"/>
        <w:spacing w:after="0" w:line="246" w:lineRule="auto"/>
        <w:rPr>
          <w:sz w:val="20"/>
          <w:szCs w:val="20"/>
          <w:color w:val="auto"/>
        </w:rPr>
      </w:pPr>
      <w:r>
        <w:rPr>
          <w:rFonts w:ascii="Arial" w:cs="Arial" w:eastAsia="Arial" w:hAnsi="Arial"/>
          <w:sz w:val="18"/>
          <w:szCs w:val="18"/>
          <w:color w:val="auto"/>
        </w:rPr>
        <w:t>Research and development expenses increased from $13.6 million for the year ended December 31, 2017 to $18.4 million for the year ended December 31, 2018. The increase of $4.8 million, or 35%, was primarily due to the following:</w:t>
      </w:r>
    </w:p>
    <w:p>
      <w:pPr>
        <w:spacing w:after="0" w:line="102" w:lineRule="exact"/>
        <w:rPr>
          <w:sz w:val="20"/>
          <w:szCs w:val="20"/>
          <w:color w:val="auto"/>
        </w:rPr>
      </w:pPr>
    </w:p>
    <w:p>
      <w:pPr>
        <w:ind w:left="960" w:right="280" w:hanging="216"/>
        <w:spacing w:after="0" w:line="246"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$5.7 million increase in external costs as we continue to develop novel vectors and identify potential product candidates and progress our preclinical studies;</w:t>
      </w:r>
    </w:p>
    <w:p>
      <w:pPr>
        <w:spacing w:after="0" w:line="102" w:lineRule="exact"/>
        <w:rPr>
          <w:rFonts w:ascii="Arial" w:cs="Arial" w:eastAsia="Arial" w:hAnsi="Arial"/>
          <w:sz w:val="18"/>
          <w:szCs w:val="18"/>
          <w:color w:val="auto"/>
        </w:rPr>
      </w:pPr>
    </w:p>
    <w:p>
      <w:pPr>
        <w:ind w:left="960" w:right="40" w:hanging="216"/>
        <w:spacing w:after="0" w:line="246"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$0.7 million increase in payroll and personnel expenses due to increased headcount to support the development of our and our partners’ product candidates; and</w:t>
      </w:r>
    </w:p>
    <w:p>
      <w:pPr>
        <w:spacing w:after="0" w:line="102" w:lineRule="exact"/>
        <w:rPr>
          <w:rFonts w:ascii="Arial" w:cs="Arial" w:eastAsia="Arial" w:hAnsi="Arial"/>
          <w:sz w:val="18"/>
          <w:szCs w:val="18"/>
          <w:color w:val="auto"/>
        </w:rPr>
      </w:pPr>
    </w:p>
    <w:p>
      <w:pPr>
        <w:ind w:left="960" w:right="80" w:hanging="216"/>
        <w:spacing w:after="0" w:line="261" w:lineRule="auto"/>
        <w:tabs>
          <w:tab w:leader="none" w:pos="9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which were both partially offset by a $1.6 million decrease for other research and development expenses, primarily due to a $2.5 million decrease in stock-based compensation for uniQure, which was fully expensed in the first quarter of 2018. See Note 6 to our financial statements included elsewhere in this prospectus for further discussion of the stock options received from uniQure.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ind w:left="200" w:right="40" w:firstLine="551"/>
        <w:spacing w:after="0" w:line="246" w:lineRule="auto"/>
        <w:rPr>
          <w:sz w:val="20"/>
          <w:szCs w:val="20"/>
          <w:color w:val="auto"/>
        </w:rPr>
      </w:pPr>
      <w:r>
        <w:rPr>
          <w:rFonts w:ascii="Arial" w:cs="Arial" w:eastAsia="Arial" w:hAnsi="Arial"/>
          <w:sz w:val="18"/>
          <w:szCs w:val="18"/>
          <w:color w:val="auto"/>
        </w:rPr>
        <w:t>General and administrative expenses increased from $3.5 million for the year ended December 31, 2017 to $6.2 million for the year ended December 31, 2018. The increase of $2.7 million, or 77%, was primarily due to the following:</w:t>
      </w:r>
    </w:p>
    <w:p>
      <w:pPr>
        <w:spacing w:after="0" w:line="102" w:lineRule="exact"/>
        <w:rPr>
          <w:sz w:val="20"/>
          <w:szCs w:val="20"/>
          <w:color w:val="auto"/>
        </w:rPr>
      </w:pPr>
    </w:p>
    <w:p>
      <w:pPr>
        <w:ind w:left="960" w:right="100" w:hanging="216"/>
        <w:spacing w:after="0" w:line="246"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$1.0 million increase for personnel costs as a result of increased headcount of general and administrative personnel, including a $0.2 million increase in employee stock-based compensation expense;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240" w:top="459" w:right="4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6"/>
        <w:spacing w:after="0"/>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$0.9 million increase for professional services, including legal, accounting and other advisory services;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$0.2 million increase for allocated overhead, including rent, equipment, depreciation, information technology costs and utilities.</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Income (Expense)</w:t>
      </w:r>
    </w:p>
    <w:p>
      <w:pPr>
        <w:spacing w:after="0" w:line="122" w:lineRule="exact"/>
        <w:rPr>
          <w:sz w:val="20"/>
          <w:szCs w:val="20"/>
          <w:color w:val="auto"/>
        </w:rPr>
      </w:pPr>
    </w:p>
    <w:p>
      <w:pPr>
        <w:ind w:left="200" w:right="300" w:firstLine="551"/>
        <w:spacing w:after="0"/>
        <w:rPr>
          <w:sz w:val="20"/>
          <w:szCs w:val="20"/>
          <w:color w:val="auto"/>
        </w:rPr>
      </w:pPr>
      <w:r>
        <w:rPr>
          <w:rFonts w:ascii="Arial" w:cs="Arial" w:eastAsia="Arial" w:hAnsi="Arial"/>
          <w:sz w:val="18"/>
          <w:szCs w:val="18"/>
          <w:color w:val="auto"/>
        </w:rPr>
        <w:t>Other income (expense) increased from less than $0.1 million for the year ended December 31, 2017 to $0.8 million for the year ended December 31, 2018. The increase was due to increased interest income in 2018 as a result of investing the $84.5 million net proceeds from our Series B redeemable convertible preferred stock financing in August 2018.</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26"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As of December 31, 2018 and June 30, 2019, we had cash and cash equivalents of $91.8 million and $72.9 million, respectively. We primarily generate cash and cash equivalents from the sale of our equity securities, including from the sale of our Series B redeemable convertible preferred stock, and to a lesser extent from cash received from our collaboration and license agreements.</w:t>
      </w:r>
    </w:p>
    <w:p>
      <w:pPr>
        <w:spacing w:after="0" w:line="203" w:lineRule="exact"/>
        <w:rPr>
          <w:sz w:val="20"/>
          <w:szCs w:val="20"/>
          <w:color w:val="auto"/>
        </w:rPr>
      </w:pPr>
    </w:p>
    <w:p>
      <w:pPr>
        <w:ind w:left="200" w:right="100" w:firstLine="551"/>
        <w:spacing w:after="0" w:line="246" w:lineRule="auto"/>
        <w:rPr>
          <w:sz w:val="20"/>
          <w:szCs w:val="20"/>
          <w:color w:val="auto"/>
        </w:rPr>
      </w:pPr>
      <w:r>
        <w:rPr>
          <w:rFonts w:ascii="Arial" w:cs="Arial" w:eastAsia="Arial" w:hAnsi="Arial"/>
          <w:sz w:val="18"/>
          <w:szCs w:val="18"/>
          <w:color w:val="auto"/>
        </w:rPr>
        <w:t>In August 2018, we completed the private offering of 5,154,632 shares of our Series B redeemable convertible preferred stock at a price of $17.46 per share. The net proceeds from the offering were $84.5 million.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26" w:lineRule="exact"/>
        <w:rPr>
          <w:sz w:val="20"/>
          <w:szCs w:val="20"/>
          <w:color w:val="auto"/>
        </w:rPr>
      </w:pPr>
    </w:p>
    <w:p>
      <w:pPr>
        <w:jc w:val="both"/>
        <w:ind w:left="200" w:right="40" w:firstLine="551"/>
        <w:spacing w:after="0" w:line="239" w:lineRule="auto"/>
        <w:rPr>
          <w:sz w:val="20"/>
          <w:szCs w:val="20"/>
          <w:color w:val="auto"/>
        </w:rPr>
      </w:pPr>
      <w:r>
        <w:rPr>
          <w:rFonts w:ascii="Arial" w:cs="Arial" w:eastAsia="Arial" w:hAnsi="Arial"/>
          <w:sz w:val="18"/>
          <w:szCs w:val="18"/>
          <w:color w:val="auto"/>
        </w:rPr>
        <w:t>We have incurred net losses since our inception and had an accumulated deficit of $46.2 million as of June 30, 2019. Our transition to profitability is dependent upon the successful development, approval and commercialization of our product candidates and those of our collaboration partners and achieving a level of revenue adequate to support our cost structure. We do not expect to achieve such revenue and expect to continue to incur losses for the foreseeable future.</w:t>
      </w:r>
    </w:p>
    <w:p>
      <w:pPr>
        <w:spacing w:after="0" w:line="202" w:lineRule="exact"/>
        <w:rPr>
          <w:sz w:val="20"/>
          <w:szCs w:val="20"/>
          <w:color w:val="auto"/>
        </w:rPr>
      </w:pPr>
    </w:p>
    <w:p>
      <w:pPr>
        <w:ind w:left="200" w:right="600" w:firstLine="551"/>
        <w:spacing w:after="0" w:line="246" w:lineRule="auto"/>
        <w:rPr>
          <w:sz w:val="20"/>
          <w:szCs w:val="20"/>
          <w:color w:val="auto"/>
        </w:rPr>
      </w:pPr>
      <w:r>
        <w:rPr>
          <w:rFonts w:ascii="Arial" w:cs="Arial" w:eastAsia="Arial" w:hAnsi="Arial"/>
          <w:sz w:val="18"/>
          <w:szCs w:val="18"/>
          <w:color w:val="auto"/>
        </w:rPr>
        <w:t>We expect that our current cash and cash equivalents will enable us to fund our operating expenses and capital expenditure requirements for at least the next 12 months from the date of this prospectus.</w:t>
      </w:r>
    </w:p>
    <w:p>
      <w:pPr>
        <w:spacing w:after="0" w:line="197" w:lineRule="exact"/>
        <w:rPr>
          <w:sz w:val="20"/>
          <w:szCs w:val="20"/>
          <w:color w:val="auto"/>
        </w:rPr>
      </w:pPr>
    </w:p>
    <w:p>
      <w:pPr>
        <w:ind w:left="200" w:right="380" w:firstLine="551"/>
        <w:spacing w:after="0" w:line="238" w:lineRule="auto"/>
        <w:rPr>
          <w:sz w:val="20"/>
          <w:szCs w:val="20"/>
          <w:color w:val="auto"/>
        </w:rPr>
      </w:pPr>
      <w:r>
        <w:rPr>
          <w:rFonts w:ascii="Arial" w:cs="Arial" w:eastAsia="Arial" w:hAnsi="Arial"/>
          <w:sz w:val="18"/>
          <w:szCs w:val="18"/>
          <w:color w:val="auto"/>
        </w:rPr>
        <w:t>We expect that our research and development and general and administrative expenses will continue to increase for the foreseeable future. Additionally, we expect our capital expenditures will increase significantly in the future for costs associated with building additional manufacturing capacity. As a result, we will need significant additional capital to fund our operations, which we may obtain through one or more equity offerings, debt financings or other third-party funding, including potential strategic alliances and licensing or collaboration arrangements.</w:t>
      </w:r>
    </w:p>
    <w:p>
      <w:pPr>
        <w:spacing w:after="0" w:line="203"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Because of the numerous risks and uncertainties associated with the development and commercialization of gene therapy product candidates, we are unable to estimate the amount of increased capital we will need to raise to support our operations and the outlays and operating expenditures necessary to complete the development of our product candidates and build additional manufacturing capacity, and we may use our available capital resources sooner than we currently expect.</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960" w:right="200" w:hanging="216"/>
        <w:spacing w:after="0" w:line="246"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scope, progress, results and costs of vector discovery, laboratory testing, preclinical development and clinical trials for our and our collaboration partner’s product candidates;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timing of enrollment, commencement and completion of our clinical trials;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costs associated with building additional laboratory and manufacturing capacity;</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960" w:right="920" w:hanging="216"/>
        <w:spacing w:after="0" w:line="246"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cost of manufacturing our product candidates or any future product candidates and any products we successfully commercialize, including costs associated with building-out our manufacturing capabilities</w:t>
      </w:r>
    </w:p>
    <w:p>
      <w:pPr>
        <w:spacing w:after="0" w:line="102" w:lineRule="exact"/>
        <w:rPr>
          <w:rFonts w:ascii="Arial" w:cs="Arial" w:eastAsia="Arial" w:hAnsi="Arial"/>
          <w:sz w:val="18"/>
          <w:szCs w:val="18"/>
          <w:color w:val="auto"/>
        </w:rPr>
      </w:pPr>
    </w:p>
    <w:p>
      <w:pPr>
        <w:ind w:left="960" w:right="460" w:hanging="216"/>
        <w:spacing w:after="0" w:line="246"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costs of future product sales, medical affairs, marketing, manufacturing and distribution activities for any of our product candidates for which we receive marketing approval;</w:t>
      </w:r>
    </w:p>
    <w:p>
      <w:pPr>
        <w:spacing w:after="0" w:line="102" w:lineRule="exact"/>
        <w:rPr>
          <w:rFonts w:ascii="Arial" w:cs="Arial" w:eastAsia="Arial" w:hAnsi="Arial"/>
          <w:sz w:val="18"/>
          <w:szCs w:val="18"/>
          <w:color w:val="auto"/>
        </w:rPr>
      </w:pPr>
    </w:p>
    <w:p>
      <w:pPr>
        <w:ind w:left="960" w:right="700" w:hanging="216"/>
        <w:spacing w:after="0" w:line="246"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revenue, if any, received from commercial sale of our products, should any of our product candidates receive marketing approval;</w:t>
      </w:r>
    </w:p>
    <w:p>
      <w:pPr>
        <w:spacing w:after="0" w:line="102" w:lineRule="exact"/>
        <w:rPr>
          <w:rFonts w:ascii="Arial" w:cs="Arial" w:eastAsia="Arial" w:hAnsi="Arial"/>
          <w:sz w:val="18"/>
          <w:szCs w:val="18"/>
          <w:color w:val="auto"/>
        </w:rPr>
      </w:pPr>
    </w:p>
    <w:p>
      <w:pPr>
        <w:ind w:left="960" w:right="180" w:hanging="216"/>
        <w:spacing w:after="0" w:line="246"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any intellectual property-related claims;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 candidates;</w:t>
      </w:r>
    </w:p>
    <w:p>
      <w:pPr>
        <w:spacing w:after="0" w:line="117" w:lineRule="exact"/>
        <w:rPr>
          <w:rFonts w:ascii="Arial" w:cs="Arial" w:eastAsia="Arial" w:hAnsi="Arial"/>
          <w:sz w:val="18"/>
          <w:szCs w:val="18"/>
          <w:color w:val="auto"/>
        </w:rPr>
      </w:pPr>
    </w:p>
    <w:p>
      <w:pPr>
        <w:ind w:left="960" w:right="200" w:hanging="216"/>
        <w:spacing w:after="0" w:line="246"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technologies;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payment of milestone or royalty payments owed under our existing collaboration and licensing agreements;</w:t>
      </w:r>
    </w:p>
    <w:p>
      <w:pPr>
        <w:spacing w:after="0" w:line="117" w:lineRule="exact"/>
        <w:rPr>
          <w:rFonts w:ascii="Arial" w:cs="Arial" w:eastAsia="Arial" w:hAnsi="Arial"/>
          <w:sz w:val="18"/>
          <w:szCs w:val="18"/>
          <w:color w:val="auto"/>
        </w:rPr>
      </w:pPr>
    </w:p>
    <w:p>
      <w:pPr>
        <w:ind w:left="960" w:right="220" w:hanging="216"/>
        <w:spacing w:after="0" w:line="246"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current collaboration and licensing agreements remaining in effect and our collaboration partners adhering to the terms of such collaboration and licensing agreements;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ability to establish and maintain additional licensing agreements or collaborations on favorable terms, if at all;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12"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Many of these factors are outside of our control. Developing novel vectors and identifying potential product candidates and conducting preclinical testing and clinical trials are time-consuming, expensive and uncertain processes that take years to complete, and we and our collaboration partners may never generate the necessary data or results required to obtain regulatory and marketing approval and achieve product sales. In addition, our and our collaboration partner’s product candidates, if approved, may not achieve commercial success. Our product revenue, if any, and any commercial milestones or royalty payments under our collaboration agreements, will be derived from or based on sales of products that may not be commercially available for many years, if at all.</w:t>
      </w:r>
    </w:p>
    <w:p>
      <w:pPr>
        <w:spacing w:after="0" w:line="205"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Our issuance of additional securities, whether equity or debt, or the possibility of such issuance, may cause the market price of our common stock to decline. Adequate additional financing may not be available to us on acceptable terms, or at all. We also could be required to seek funds through arrangements with collaboration partners or otherwise that may require us to relinquish rights to our intellectual property or our product candidates or otherwise agree to terms unfavorable to us. See the section titled “Risk Factors” for additional risks associated with our substantial capital requirements.</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240" w:top="459" w:right="5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summary of cash flows for the periods indicated below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8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8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June 30,</w:t>
            </w:r>
          </w:p>
        </w:tc>
      </w:tr>
      <w:tr>
        <w:trPr>
          <w:trHeight w:val="156"/>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2017</w:t>
            </w:r>
          </w:p>
        </w:tc>
        <w:tc>
          <w:tcPr>
            <w:tcW w:w="1000" w:type="dxa"/>
            <w:vAlign w:val="bottom"/>
            <w:tcBorders>
              <w:top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top w:val="single" w:sz="8" w:color="auto"/>
            </w:tcBorders>
          </w:tcPr>
          <w:p>
            <w:pPr>
              <w:jc w:val="right"/>
              <w:ind w:right="81"/>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7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8,237</w:t>
            </w: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$(16,252)</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$(6,422)</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$(17,168)</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Net cash provided by (used in) in investing activities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7,675</w:t>
            </w:r>
          </w:p>
        </w:tc>
        <w:tc>
          <w:tcPr>
            <w:tcW w:w="12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(414)</w:t>
            </w:r>
          </w:p>
        </w:tc>
        <w:tc>
          <w:tcPr>
            <w:tcW w:w="9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(33)</w:t>
            </w: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(1,662)</w:t>
            </w: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84,577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(62)</w:t>
            </w:r>
          </w:p>
        </w:tc>
      </w:tr>
      <w:tr>
        <w:trPr>
          <w:trHeight w:val="20"/>
        </w:trPr>
        <w:tc>
          <w:tcPr>
            <w:tcW w:w="7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22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15,928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$ 67,911</w:t>
            </w:r>
          </w:p>
        </w:tc>
        <w:tc>
          <w:tcPr>
            <w:tcW w:w="20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(6,435)</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(18,892)</w:t>
            </w: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126" w:lineRule="exact"/>
        <w:rPr>
          <w:sz w:val="20"/>
          <w:szCs w:val="20"/>
          <w:color w:val="auto"/>
        </w:rPr>
      </w:pPr>
    </w:p>
    <w:p>
      <w:pPr>
        <w:jc w:val="both"/>
        <w:ind w:left="200" w:right="200" w:firstLine="551"/>
        <w:spacing w:after="0"/>
        <w:rPr>
          <w:sz w:val="20"/>
          <w:szCs w:val="20"/>
          <w:color w:val="auto"/>
        </w:rPr>
      </w:pPr>
      <w:r>
        <w:rPr>
          <w:rFonts w:ascii="Arial" w:cs="Arial" w:eastAsia="Arial" w:hAnsi="Arial"/>
          <w:sz w:val="18"/>
          <w:szCs w:val="18"/>
          <w:color w:val="auto"/>
        </w:rPr>
        <w:t>Net cash used in operating activities was $17.2 million for the six months ended June 30, 2019. This was primarily due to net loss of $16.5 million and a decrease in deferred revenue of $2.7 million, which were partially offset by stock-based compensation expense of $1.5 million and depreciation and amortization expense of $0.4 million.</w:t>
      </w:r>
    </w:p>
    <w:p>
      <w:pPr>
        <w:spacing w:after="0" w:line="203" w:lineRule="exact"/>
        <w:rPr>
          <w:sz w:val="20"/>
          <w:szCs w:val="20"/>
          <w:color w:val="auto"/>
        </w:rPr>
      </w:pPr>
    </w:p>
    <w:p>
      <w:pPr>
        <w:ind w:left="200" w:right="100" w:firstLine="551"/>
        <w:spacing w:after="0" w:line="246" w:lineRule="auto"/>
        <w:rPr>
          <w:sz w:val="20"/>
          <w:szCs w:val="20"/>
          <w:color w:val="auto"/>
        </w:rPr>
      </w:pPr>
      <w:r>
        <w:rPr>
          <w:rFonts w:ascii="Arial" w:cs="Arial" w:eastAsia="Arial" w:hAnsi="Arial"/>
          <w:sz w:val="18"/>
          <w:szCs w:val="18"/>
          <w:color w:val="auto"/>
        </w:rPr>
        <w:t>Net cash used in operating activities was $6.4 million for the six months ended June 30, 2018. This was primarily due to net loss of $5.2 million and a decrease in deferred revenue of $1.4 million.</w:t>
      </w:r>
    </w:p>
    <w:p>
      <w:pPr>
        <w:spacing w:after="0" w:line="89" w:lineRule="exact"/>
        <w:rPr>
          <w:sz w:val="20"/>
          <w:szCs w:val="20"/>
          <w:color w:val="auto"/>
        </w:rPr>
      </w:pPr>
    </w:p>
    <w:p>
      <w:pPr>
        <w:jc w:val="both"/>
        <w:ind w:left="200" w:right="60" w:firstLine="551"/>
        <w:spacing w:after="0"/>
        <w:rPr>
          <w:sz w:val="20"/>
          <w:szCs w:val="20"/>
          <w:color w:val="auto"/>
        </w:rPr>
      </w:pPr>
      <w:r>
        <w:rPr>
          <w:rFonts w:ascii="Arial" w:cs="Arial" w:eastAsia="Arial" w:hAnsi="Arial"/>
          <w:sz w:val="18"/>
          <w:szCs w:val="18"/>
          <w:color w:val="auto"/>
        </w:rPr>
        <w:t>Net cash used in operating activities was $16.3 million for the year ended December 31, 2018. This was primarily due to net loss of $9.6 million and a decrease in deferred revenue of $8.6 million, which were partially offset by stock-based compensation expense of $1.4 million and depreciation and amortization expense of $0.7 million.</w:t>
      </w:r>
    </w:p>
    <w:p>
      <w:pPr>
        <w:spacing w:after="0" w:line="203" w:lineRule="exact"/>
        <w:rPr>
          <w:sz w:val="20"/>
          <w:szCs w:val="20"/>
          <w:color w:val="auto"/>
        </w:rPr>
      </w:pPr>
    </w:p>
    <w:p>
      <w:pPr>
        <w:ind w:left="200" w:right="240" w:firstLine="551"/>
        <w:spacing w:after="0"/>
        <w:rPr>
          <w:sz w:val="20"/>
          <w:szCs w:val="20"/>
          <w:color w:val="auto"/>
        </w:rPr>
      </w:pPr>
      <w:r>
        <w:rPr>
          <w:rFonts w:ascii="Arial" w:cs="Arial" w:eastAsia="Arial" w:hAnsi="Arial"/>
          <w:sz w:val="18"/>
          <w:szCs w:val="18"/>
          <w:color w:val="auto"/>
        </w:rPr>
        <w:t>Net cash provided by operating activities was $8.2 million for the year ended December 31, 2017. This was due to an increase in deferred revenue of $19.0 million, primarily due to a $21.0 million upfront payment from Roche in December 2017, which was partially offset by net loss of $11.2 million.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26" w:lineRule="exact"/>
        <w:rPr>
          <w:sz w:val="20"/>
          <w:szCs w:val="20"/>
          <w:color w:val="auto"/>
        </w:rPr>
      </w:pPr>
    </w:p>
    <w:p>
      <w:pPr>
        <w:ind w:left="200" w:right="300" w:firstLine="551"/>
        <w:spacing w:after="0" w:line="246" w:lineRule="auto"/>
        <w:rPr>
          <w:sz w:val="20"/>
          <w:szCs w:val="20"/>
          <w:color w:val="auto"/>
        </w:rPr>
      </w:pPr>
      <w:r>
        <w:rPr>
          <w:rFonts w:ascii="Arial" w:cs="Arial" w:eastAsia="Arial" w:hAnsi="Arial"/>
          <w:sz w:val="18"/>
          <w:szCs w:val="18"/>
          <w:color w:val="auto"/>
        </w:rPr>
        <w:t>Net cash used in investing activities was $1.7 million for the six months ended June 30, 2019, all of which was used to purchase property and equipment.</w:t>
      </w:r>
    </w:p>
    <w:p>
      <w:pPr>
        <w:spacing w:after="0" w:line="197" w:lineRule="exact"/>
        <w:rPr>
          <w:sz w:val="20"/>
          <w:szCs w:val="20"/>
          <w:color w:val="auto"/>
        </w:rPr>
      </w:pPr>
    </w:p>
    <w:p>
      <w:pPr>
        <w:ind w:left="200" w:right="320" w:firstLine="551"/>
        <w:spacing w:after="0" w:line="246" w:lineRule="auto"/>
        <w:rPr>
          <w:sz w:val="20"/>
          <w:szCs w:val="20"/>
          <w:color w:val="auto"/>
        </w:rPr>
      </w:pPr>
      <w:r>
        <w:rPr>
          <w:rFonts w:ascii="Arial" w:cs="Arial" w:eastAsia="Arial" w:hAnsi="Arial"/>
          <w:sz w:val="18"/>
          <w:szCs w:val="18"/>
          <w:color w:val="auto"/>
        </w:rPr>
        <w:t>Net cash used in investing activities was less than $0.1 million for the six months ended June 30, 2018, all of which was used to purchase property and equipment.</w:t>
      </w:r>
    </w:p>
    <w:p>
      <w:pPr>
        <w:spacing w:after="0" w:line="197" w:lineRule="exact"/>
        <w:rPr>
          <w:sz w:val="20"/>
          <w:szCs w:val="20"/>
          <w:color w:val="auto"/>
        </w:rPr>
      </w:pPr>
    </w:p>
    <w:p>
      <w:pPr>
        <w:ind w:left="200" w:right="380" w:firstLine="551"/>
        <w:spacing w:after="0" w:line="246" w:lineRule="auto"/>
        <w:rPr>
          <w:sz w:val="20"/>
          <w:szCs w:val="20"/>
          <w:color w:val="auto"/>
        </w:rPr>
      </w:pPr>
      <w:r>
        <w:rPr>
          <w:rFonts w:ascii="Arial" w:cs="Arial" w:eastAsia="Arial" w:hAnsi="Arial"/>
          <w:sz w:val="18"/>
          <w:szCs w:val="18"/>
          <w:color w:val="auto"/>
        </w:rPr>
        <w:t>Net cash used in investing activities was $0.4 million for the year ended December 31, 2018, all of which was used to purchase property and equipment.</w:t>
      </w:r>
    </w:p>
    <w:p>
      <w:pPr>
        <w:spacing w:after="0" w:line="197" w:lineRule="exact"/>
        <w:rPr>
          <w:sz w:val="20"/>
          <w:szCs w:val="20"/>
          <w:color w:val="auto"/>
        </w:rPr>
      </w:pPr>
    </w:p>
    <w:p>
      <w:pPr>
        <w:ind w:left="200" w:right="140" w:firstLine="551"/>
        <w:spacing w:after="0" w:line="246" w:lineRule="auto"/>
        <w:rPr>
          <w:sz w:val="20"/>
          <w:szCs w:val="20"/>
          <w:color w:val="auto"/>
        </w:rPr>
      </w:pPr>
      <w:r>
        <w:rPr>
          <w:rFonts w:ascii="Arial" w:cs="Arial" w:eastAsia="Arial" w:hAnsi="Arial"/>
          <w:sz w:val="18"/>
          <w:szCs w:val="18"/>
          <w:color w:val="auto"/>
        </w:rPr>
        <w:t>Net cash provided by investing activities was $7.7 million for the year ended December 31, 2017, which was due to the maturity of $8.2 million of marketable securities, which was partially offset by $0.6 million used to purchase property and equipment.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26" w:lineRule="exact"/>
        <w:rPr>
          <w:sz w:val="20"/>
          <w:szCs w:val="20"/>
          <w:color w:val="auto"/>
        </w:rPr>
      </w:pPr>
    </w:p>
    <w:p>
      <w:pPr>
        <w:ind w:left="200" w:right="160" w:firstLine="551"/>
        <w:spacing w:after="0" w:line="246" w:lineRule="auto"/>
        <w:rPr>
          <w:sz w:val="20"/>
          <w:szCs w:val="20"/>
          <w:color w:val="auto"/>
        </w:rPr>
      </w:pPr>
      <w:r>
        <w:rPr>
          <w:rFonts w:ascii="Arial" w:cs="Arial" w:eastAsia="Arial" w:hAnsi="Arial"/>
          <w:sz w:val="18"/>
          <w:szCs w:val="18"/>
          <w:color w:val="auto"/>
        </w:rPr>
        <w:t>Net cash used in financing activities was $0.1 million for the six months ended June 30, 2019, which was primarily due to deferred financing costs.</w:t>
      </w:r>
    </w:p>
    <w:p>
      <w:pPr>
        <w:spacing w:after="0" w:line="197"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Net cash provided by financing activities was less than $0.1 million for the six months ended June 30, 2018, all of which was due to the issuance of our common stock.</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240" w:top="459" w:right="4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00" w:firstLine="551"/>
        <w:spacing w:after="0" w:line="246" w:lineRule="auto"/>
        <w:rPr>
          <w:sz w:val="20"/>
          <w:szCs w:val="20"/>
          <w:color w:val="auto"/>
        </w:rPr>
      </w:pPr>
      <w:r>
        <w:rPr>
          <w:rFonts w:ascii="Arial" w:cs="Arial" w:eastAsia="Arial" w:hAnsi="Arial"/>
          <w:sz w:val="18"/>
          <w:szCs w:val="18"/>
          <w:color w:val="auto"/>
        </w:rPr>
        <w:t>Net cash provided by financing activities was $84.6 million for the year ended December 31, 2018, which was primarily due to $84.5 million of net proceeds received from the issuance of our Series B redeemable convertible preferred stock in August 2018.</w:t>
      </w:r>
    </w:p>
    <w:p>
      <w:pPr>
        <w:spacing w:after="0" w:line="197" w:lineRule="exact"/>
        <w:rPr>
          <w:sz w:val="20"/>
          <w:szCs w:val="20"/>
          <w:color w:val="auto"/>
        </w:rPr>
      </w:pPr>
    </w:p>
    <w:p>
      <w:pPr>
        <w:ind w:left="200" w:right="20" w:firstLine="551"/>
        <w:spacing w:after="0" w:line="246" w:lineRule="auto"/>
        <w:rPr>
          <w:sz w:val="20"/>
          <w:szCs w:val="20"/>
          <w:color w:val="auto"/>
        </w:rPr>
      </w:pPr>
      <w:r>
        <w:rPr>
          <w:rFonts w:ascii="Arial" w:cs="Arial" w:eastAsia="Arial" w:hAnsi="Arial"/>
          <w:sz w:val="18"/>
          <w:szCs w:val="18"/>
          <w:color w:val="auto"/>
        </w:rPr>
        <w:t>Net cash provided by financing activities was less than $0.1 million for the year ended December 31, 2017, which was primarily due to the issuance of our common stock.</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26" w:lineRule="exact"/>
        <w:rPr>
          <w:sz w:val="20"/>
          <w:szCs w:val="20"/>
          <w:color w:val="auto"/>
        </w:rPr>
      </w:pPr>
    </w:p>
    <w:p>
      <w:pPr>
        <w:ind w:left="200" w:right="200" w:firstLine="551"/>
        <w:spacing w:after="0" w:line="237" w:lineRule="auto"/>
        <w:rPr>
          <w:sz w:val="20"/>
          <w:szCs w:val="20"/>
          <w:color w:val="auto"/>
        </w:rPr>
      </w:pPr>
      <w:r>
        <w:rPr>
          <w:rFonts w:ascii="Arial" w:cs="Arial" w:eastAsia="Arial" w:hAnsi="Arial"/>
          <w:sz w:val="18"/>
          <w:szCs w:val="18"/>
          <w:color w:val="auto"/>
        </w:rPr>
        <w:t>Our commitments include obligations under vendor contracts to provide research services and other purchase commitments with our vendors. In the normal course of business, we enter into services agreements with contract research organizations, contract manufacturing organizations and other third-parties.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 These amounts are not fixed and determinable and therefore are not included in the table below.</w:t>
      </w:r>
    </w:p>
    <w:p>
      <w:pPr>
        <w:spacing w:after="0" w:line="205" w:lineRule="exact"/>
        <w:rPr>
          <w:sz w:val="20"/>
          <w:szCs w:val="20"/>
          <w:color w:val="auto"/>
        </w:rPr>
      </w:pPr>
    </w:p>
    <w:p>
      <w:pPr>
        <w:ind w:left="200" w:right="820" w:firstLine="551"/>
        <w:spacing w:after="0" w:line="246" w:lineRule="auto"/>
        <w:rPr>
          <w:sz w:val="20"/>
          <w:szCs w:val="20"/>
          <w:color w:val="auto"/>
        </w:rPr>
      </w:pPr>
      <w:r>
        <w:rPr>
          <w:rFonts w:ascii="Arial" w:cs="Arial" w:eastAsia="Arial" w:hAnsi="Arial"/>
          <w:sz w:val="18"/>
          <w:szCs w:val="18"/>
          <w:color w:val="auto"/>
        </w:rPr>
        <w:t>The following table summarizes our contractual obligations, commitments and contingencies as of December 31, 2018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98"/>
              </w:rPr>
              <w:t>Less Than</w:t>
            </w:r>
          </w:p>
        </w:tc>
        <w:tc>
          <w:tcPr>
            <w:tcW w:w="1040" w:type="dxa"/>
            <w:vAlign w:val="bottom"/>
            <w:gridSpan w:val="2"/>
          </w:tcPr>
          <w:p>
            <w:pPr>
              <w:jc w:val="center"/>
              <w:ind w:left="362"/>
              <w:spacing w:after="0" w:line="143" w:lineRule="exact"/>
              <w:rPr>
                <w:sz w:val="20"/>
                <w:szCs w:val="20"/>
                <w:color w:val="auto"/>
              </w:rPr>
            </w:pPr>
            <w:r>
              <w:rPr>
                <w:rFonts w:ascii="Arial" w:cs="Arial" w:eastAsia="Arial" w:hAnsi="Arial"/>
                <w:sz w:val="14"/>
                <w:szCs w:val="14"/>
                <w:b w:val="1"/>
                <w:bCs w:val="1"/>
                <w:color w:val="auto"/>
                <w:w w:val="96"/>
              </w:rPr>
              <w:t>1-</w:t>
            </w:r>
          </w:p>
        </w:tc>
        <w:tc>
          <w:tcPr>
            <w:tcW w:w="1040" w:type="dxa"/>
            <w:vAlign w:val="bottom"/>
            <w:gridSpan w:val="2"/>
          </w:tcPr>
          <w:p>
            <w:pPr>
              <w:jc w:val="center"/>
              <w:ind w:left="359"/>
              <w:spacing w:after="0" w:line="143" w:lineRule="exact"/>
              <w:rPr>
                <w:sz w:val="20"/>
                <w:szCs w:val="20"/>
                <w:color w:val="auto"/>
              </w:rPr>
            </w:pPr>
            <w:r>
              <w:rPr>
                <w:rFonts w:ascii="Arial" w:cs="Arial" w:eastAsia="Arial" w:hAnsi="Arial"/>
                <w:sz w:val="14"/>
                <w:szCs w:val="14"/>
                <w:b w:val="1"/>
                <w:bCs w:val="1"/>
                <w:color w:val="auto"/>
                <w:w w:val="96"/>
              </w:rPr>
              <w:t>3-</w:t>
            </w:r>
          </w:p>
        </w:tc>
        <w:tc>
          <w:tcPr>
            <w:tcW w:w="260" w:type="dxa"/>
            <w:vAlign w:val="bottom"/>
          </w:tcPr>
          <w:p>
            <w:pPr>
              <w:spacing w:after="0"/>
              <w:rPr>
                <w:sz w:val="12"/>
                <w:szCs w:val="12"/>
                <w:color w:val="auto"/>
              </w:rPr>
            </w:pPr>
          </w:p>
        </w:tc>
        <w:tc>
          <w:tcPr>
            <w:tcW w:w="940" w:type="dxa"/>
            <w:vAlign w:val="bottom"/>
            <w:gridSpan w:val="3"/>
          </w:tcPr>
          <w:p>
            <w:pPr>
              <w:ind w:left="200"/>
              <w:spacing w:after="0" w:line="143"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jc w:val="right"/>
              <w:ind w:right="99"/>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56"/>
              <w:spacing w:after="0"/>
              <w:rPr>
                <w:sz w:val="20"/>
                <w:szCs w:val="20"/>
                <w:color w:val="auto"/>
              </w:rPr>
            </w:pPr>
            <w:r>
              <w:rPr>
                <w:rFonts w:ascii="Arial" w:cs="Arial" w:eastAsia="Arial" w:hAnsi="Arial"/>
                <w:sz w:val="14"/>
                <w:szCs w:val="14"/>
                <w:b w:val="1"/>
                <w:bCs w:val="1"/>
                <w:color w:val="auto"/>
              </w:rPr>
              <w:t>1 Year</w:t>
            </w:r>
          </w:p>
        </w:tc>
        <w:tc>
          <w:tcPr>
            <w:tcW w:w="46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3 Years</w:t>
            </w:r>
          </w:p>
        </w:tc>
        <w:tc>
          <w:tcPr>
            <w:tcW w:w="46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5 Years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r>
      <w:tr>
        <w:trPr>
          <w:trHeight w:val="196"/>
        </w:trPr>
        <w:tc>
          <w:tcPr>
            <w:tcW w:w="20" w:type="dxa"/>
            <w:vAlign w:val="bottom"/>
          </w:tcPr>
          <w:p>
            <w:pPr>
              <w:spacing w:after="0"/>
              <w:rPr>
                <w:sz w:val="17"/>
                <w:szCs w:val="17"/>
                <w:color w:val="auto"/>
              </w:rPr>
            </w:pPr>
          </w:p>
        </w:tc>
        <w:tc>
          <w:tcPr>
            <w:tcW w:w="5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payments</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13,527</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850</w:t>
            </w:r>
          </w:p>
        </w:tc>
        <w:tc>
          <w:tcPr>
            <w:tcW w:w="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3,532</w:t>
            </w:r>
          </w:p>
        </w:tc>
        <w:tc>
          <w:tcPr>
            <w:tcW w:w="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3,766</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5,379</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Total contractual obligations</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13,527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850</w:t>
            </w:r>
          </w:p>
        </w:tc>
        <w:tc>
          <w:tcPr>
            <w:tcW w:w="1040" w:type="dxa"/>
            <w:vAlign w:val="bottom"/>
            <w:gridSpan w:val="2"/>
          </w:tcPr>
          <w:p>
            <w:pPr>
              <w:jc w:val="center"/>
              <w:ind w:left="36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3,532</w:t>
            </w:r>
          </w:p>
        </w:tc>
        <w:tc>
          <w:tcPr>
            <w:tcW w:w="1040" w:type="dxa"/>
            <w:vAlign w:val="bottom"/>
            <w:gridSpan w:val="2"/>
          </w:tcPr>
          <w:p>
            <w:pPr>
              <w:jc w:val="center"/>
              <w:ind w:left="359"/>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3,766</w:t>
            </w:r>
          </w:p>
        </w:tc>
        <w:tc>
          <w:tcPr>
            <w:tcW w:w="2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5,379</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200" w:right="220" w:firstLine="551"/>
        <w:spacing w:after="0"/>
        <w:rPr>
          <w:sz w:val="20"/>
          <w:szCs w:val="20"/>
          <w:color w:val="auto"/>
        </w:rPr>
      </w:pPr>
      <w:r>
        <w:rPr>
          <w:rFonts w:ascii="Arial" w:cs="Arial" w:eastAsia="Arial" w:hAnsi="Arial"/>
          <w:sz w:val="18"/>
          <w:szCs w:val="18"/>
          <w:color w:val="auto"/>
        </w:rPr>
        <w:t>In October 2018, we entered into a long-term lease for additional office and laboratory space in Emeryville, California, at a cost of $9.3 million over an 87-month term (the Second Lease). We concurrently amended our existing lease to extend the lease term to end at the same time as the new lease, which has a remaining cost of $4.2 million.</w:t>
      </w:r>
    </w:p>
    <w:p>
      <w:pPr>
        <w:spacing w:after="0" w:line="203"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In May 2019, we amended the Second Lease (the Second Lease Amendment) to add 17,497 square feet to the space being leased pursuant to the Second Lease. The Second Lease Amendment extended the term of the lease to December 31, 2029. We do not have to pay rent until December 2019. The annual rent for the additional space is approximately $1.0 million per annum and escalates at 3% annually. The incremental increase in the Second Lease cost per annum due to the Second Lease Amendment is not reflected in the above table.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6"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This Management’s Discussion and Analysis of Financial Condition and Results of Operations is based on our financial statements, which we have prepared in accordance with accounting principles generally accepted in the United States. The preparation of our financial statements requires us to make estimates and assumptions that affect the reported amounts of assets and liabilities and the disclosure of contingent assets and liabilities at the date of our financial statements, as well as the reported revenue and expenses during the reported periods. We evaluate these estimates and assumptions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Our significant accounting policies and recently announced accounting pronouncements, including the expected impact of such pronouncements, are described in Note 2 to our financial statements included elsewhere in this prospectus. We believe the following accounting policies are critical to the process of making significant judgments and estimates in the preparation of our financial statements and understanding and evaluating our reported financial results.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ind w:left="200" w:right="240" w:firstLine="551"/>
        <w:spacing w:after="0" w:line="246" w:lineRule="auto"/>
        <w:rPr>
          <w:sz w:val="20"/>
          <w:szCs w:val="20"/>
          <w:color w:val="auto"/>
        </w:rPr>
      </w:pPr>
      <w:r>
        <w:rPr>
          <w:rFonts w:ascii="Arial" w:cs="Arial" w:eastAsia="Arial" w:hAnsi="Arial"/>
          <w:sz w:val="18"/>
          <w:szCs w:val="18"/>
          <w:color w:val="auto"/>
        </w:rPr>
        <w:t>Effective January 1, 2019, we adopted ASC 606, using the modified retrospective transition method. As a result, we changed our accounting policies for revenue recognition as detailed below.</w:t>
      </w:r>
    </w:p>
    <w:p>
      <w:pPr>
        <w:spacing w:after="0" w:line="197"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We determine revenue recognition for arrangements within the scope of ASC 606 by performing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we satisfy each performance obligation.</w:t>
      </w:r>
    </w:p>
    <w:p>
      <w:pPr>
        <w:spacing w:after="0" w:line="203"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Our revenue is primarily derived through our license, research, development and commercialization agreements. The terms of these types of agreements may include (i) licenses to our technology, (ii) research and development services, and (iii) services or obligations in connection with participation in research or steering committees. Payments to us under these arrangements typically include one or more of the following: nonrefundable upfront and license fees, research funding, milestone and other contingent payments to us for the achievement of defined collaboration objectives and certain preclinical, clinical, regulatory and sales-based events, as well as royalties on sales of any commercialized products. Arrangements that include upfront payments are recorded as deferred revenue upon receipt or when due and may require deferral of revenue recognition to a future period until performance obligations are met. The event-based milestone payments, royalties and cost reimbursements represent variable consideration, and we use the most likely amount method to estimate this variable consideration. Royalty payments are recognized when earned or as the sales occur. We record cost reimbursements as accounts receivable when right to consideration is unconditional.</w:t>
      </w:r>
    </w:p>
    <w:p>
      <w:pPr>
        <w:spacing w:after="0" w:line="207" w:lineRule="exact"/>
        <w:rPr>
          <w:sz w:val="20"/>
          <w:szCs w:val="20"/>
          <w:color w:val="auto"/>
        </w:rPr>
      </w:pPr>
    </w:p>
    <w:p>
      <w:pPr>
        <w:ind w:left="200" w:right="160" w:firstLine="551"/>
        <w:spacing w:after="0" w:line="238"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606. We allocate the total transaction price to each performance obligation based on the estimated relative to standalone selling price and recognize revenue when, or as, the performance obligation is satisfied. We include the unconstrained amount of estimated variable consideration in the transaction price. At the end of each reporting period, we re-evaluate the estimated variable consideration included in the transaction price and any related constraint, and if necessary, adjust our estimate of the overall transaction price.</w:t>
      </w:r>
    </w:p>
    <w:p>
      <w:pPr>
        <w:spacing w:after="0" w:line="203" w:lineRule="exact"/>
        <w:rPr>
          <w:sz w:val="20"/>
          <w:szCs w:val="20"/>
          <w:color w:val="auto"/>
        </w:rPr>
      </w:pPr>
    </w:p>
    <w:p>
      <w:pPr>
        <w:jc w:val="both"/>
        <w:ind w:left="200" w:firstLine="551"/>
        <w:spacing w:after="0"/>
        <w:rPr>
          <w:sz w:val="20"/>
          <w:szCs w:val="20"/>
          <w:color w:val="auto"/>
        </w:rPr>
      </w:pPr>
      <w:r>
        <w:rPr>
          <w:rFonts w:ascii="Arial" w:cs="Arial" w:eastAsia="Arial" w:hAnsi="Arial"/>
          <w:sz w:val="18"/>
          <w:szCs w:val="18"/>
          <w:color w:val="auto"/>
        </w:rPr>
        <w:t>Prior to the adoption of ASC 606 on January 1, 2019, we recognized revenue when all of the following criteria were met: persuasive evidence of an arrangement exists; transfer of technology has been completed or services have been rendered; the price to the customer is fixed or determinable and collectability is reasonably assured.</w:t>
      </w:r>
    </w:p>
    <w:p>
      <w:pPr>
        <w:spacing w:after="0" w:line="203"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In arrangements involving the delivery of more than one element, each required deliverable was evaluated to determine whether it qualified as a separate unit of accounting. The determination was based on whether the deliverable had “standalone value” to the customer. If a deliverable did not qualify as a separate unit of accounting, it was combined with the other applicable undelivered item(s) within the arrangement and these combined deliverables were treated as a single unit of accounting.</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firstLine="551"/>
        <w:spacing w:after="0" w:line="239" w:lineRule="auto"/>
        <w:rPr>
          <w:sz w:val="20"/>
          <w:szCs w:val="20"/>
          <w:color w:val="auto"/>
        </w:rPr>
      </w:pPr>
      <w:r>
        <w:rPr>
          <w:rFonts w:ascii="Arial" w:cs="Arial" w:eastAsia="Arial" w:hAnsi="Arial"/>
          <w:sz w:val="18"/>
          <w:szCs w:val="18"/>
          <w:color w:val="auto"/>
        </w:rPr>
        <w:t>The arrangement’s consideration that was fixed or determinable was allocated to each separate unit of accounting based on the relative selling price methodology in accordance with the selling price hierarchy, which included vendor-specific objective evidence (VSOE) of selling price, if available, or third-party evidence of selling price if VSOE was not available, or the best estimate of selling price, if neither VSOE nor third-party evidence was available.</w:t>
      </w:r>
    </w:p>
    <w:p>
      <w:pPr>
        <w:spacing w:after="0" w:line="202" w:lineRule="exact"/>
        <w:rPr>
          <w:sz w:val="20"/>
          <w:szCs w:val="20"/>
          <w:color w:val="auto"/>
        </w:rPr>
      </w:pPr>
    </w:p>
    <w:p>
      <w:pPr>
        <w:ind w:left="200" w:right="200" w:firstLine="551"/>
        <w:spacing w:after="0" w:line="239" w:lineRule="auto"/>
        <w:rPr>
          <w:sz w:val="20"/>
          <w:szCs w:val="20"/>
          <w:color w:val="auto"/>
        </w:rPr>
      </w:pPr>
      <w:r>
        <w:rPr>
          <w:rFonts w:ascii="Arial" w:cs="Arial" w:eastAsia="Arial" w:hAnsi="Arial"/>
          <w:sz w:val="18"/>
          <w:szCs w:val="18"/>
          <w:color w:val="auto"/>
        </w:rPr>
        <w:t>Payments or reimbursements for our research and development efforts for the arrangements where such efforts were considered as deliverables were recognized as the services were performed and were presented on a gross basis. When upfront payments were received and if there was no discernible pattern of performance, we recognized revenue ratably over the associated period of performance.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26"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We estimate our accrued research and development expenses as of each balance sheet date. This process involves reviewing contracts and purchase orders with service providers, identifying services that have been performed on our behalf and estimating the level of service performed, the expected remaining period of performance and the associated expenses incurred for the service when we have not yet been invoiced or otherwise notified of actual cost. Depending on the timing of payments to the service providers and the estimated expenses incurred, we may record net prepaid or accrued research and development expenses relating to these costs.</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Examples of estimated accrued research and development expenses include fees paid to:</w:t>
      </w:r>
    </w:p>
    <w:p>
      <w:pPr>
        <w:spacing w:after="0" w:line="117" w:lineRule="exact"/>
        <w:rPr>
          <w:sz w:val="20"/>
          <w:szCs w:val="20"/>
          <w:color w:val="auto"/>
        </w:rPr>
      </w:pPr>
    </w:p>
    <w:p>
      <w:pPr>
        <w:ind w:left="960" w:hanging="216"/>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CROs in connection with preclinical development and clinical studies; and</w:t>
      </w:r>
    </w:p>
    <w:p>
      <w:pPr>
        <w:spacing w:after="0" w:line="117" w:lineRule="exact"/>
        <w:rPr>
          <w:rFonts w:ascii="Arial" w:cs="Arial" w:eastAsia="Arial" w:hAnsi="Arial"/>
          <w:sz w:val="18"/>
          <w:szCs w:val="18"/>
          <w:color w:val="auto"/>
        </w:rPr>
      </w:pPr>
    </w:p>
    <w:p>
      <w:pPr>
        <w:ind w:left="960" w:right="100" w:hanging="216"/>
        <w:spacing w:after="0" w:line="246" w:lineRule="auto"/>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CMOs and other vendors related to process development and manufacturing of materials for use in preclinical development and clinical studies.</w:t>
      </w:r>
    </w:p>
    <w:p>
      <w:pPr>
        <w:spacing w:after="0" w:line="197"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Our understanding of the status and timing of services performed relative to the actual status and timing may vary and may result in us reporting changes in estimates in any particular period. To date, there have been no material differences from our estimates to the amounts actually incurred.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color w:val="auto"/>
        </w:rPr>
        <w:t>We use a fair value -based method to account for all stock-based compensation arrangements with employees including stock options and stock awards. Our determination of the fair value of stock options on the date of grant utilizes the Black-Scholes option pricing model.</w:t>
      </w:r>
    </w:p>
    <w:p>
      <w:pPr>
        <w:spacing w:after="0" w:line="203" w:lineRule="exact"/>
        <w:rPr>
          <w:sz w:val="20"/>
          <w:szCs w:val="20"/>
          <w:color w:val="auto"/>
        </w:rPr>
      </w:pPr>
    </w:p>
    <w:p>
      <w:pPr>
        <w:ind w:left="200" w:right="320" w:firstLine="551"/>
        <w:spacing w:after="0" w:line="246" w:lineRule="auto"/>
        <w:rPr>
          <w:sz w:val="20"/>
          <w:szCs w:val="20"/>
          <w:color w:val="auto"/>
        </w:rPr>
      </w:pPr>
      <w:r>
        <w:rPr>
          <w:rFonts w:ascii="Arial" w:cs="Arial" w:eastAsia="Arial" w:hAnsi="Arial"/>
          <w:sz w:val="18"/>
          <w:szCs w:val="18"/>
          <w:color w:val="auto"/>
        </w:rPr>
        <w:t>The fair value of the option granted is recognized on a straight-line basis over the period during which an optionee is required to provide services in exchange for the option award, known as the requisite service period, which usually is the vesting period.</w:t>
      </w:r>
    </w:p>
    <w:p>
      <w:pPr>
        <w:spacing w:after="0" w:line="197"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We use a fair value-based method to account for stock-based compensation arrangements with non-employees. Our determination of fair value of stock options utilizes the Black-Scholes option pricing model. The compensation expense for these arrangements is subject to remeasurement until the related vesting conditions are met. We account for forfeitures as they occur for both employees and non-employees.</w:t>
      </w:r>
    </w:p>
    <w:p>
      <w:pPr>
        <w:spacing w:after="0" w:line="202" w:lineRule="exact"/>
        <w:rPr>
          <w:sz w:val="20"/>
          <w:szCs w:val="20"/>
          <w:color w:val="auto"/>
        </w:rPr>
      </w:pPr>
    </w:p>
    <w:p>
      <w:pPr>
        <w:ind w:left="200" w:right="260" w:firstLine="551"/>
        <w:spacing w:after="0" w:line="246" w:lineRule="auto"/>
        <w:rPr>
          <w:sz w:val="20"/>
          <w:szCs w:val="20"/>
          <w:color w:val="auto"/>
        </w:rPr>
      </w:pPr>
      <w:r>
        <w:rPr>
          <w:rFonts w:ascii="Arial" w:cs="Arial" w:eastAsia="Arial" w:hAnsi="Arial"/>
          <w:sz w:val="18"/>
          <w:szCs w:val="18"/>
          <w:color w:val="auto"/>
        </w:rPr>
        <w:t>Estimates of the fair value of equity awards as of the grant date using valuation models such as the Black-Scholes option pricing model are affected by assumptions with a number of complex variables.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60" w:firstLine="551"/>
        <w:spacing w:after="0" w:line="239" w:lineRule="auto"/>
        <w:rPr>
          <w:sz w:val="20"/>
          <w:szCs w:val="20"/>
          <w:color w:val="auto"/>
        </w:rPr>
      </w:pPr>
      <w:r>
        <w:rPr>
          <w:rFonts w:ascii="Arial" w:cs="Arial" w:eastAsia="Arial" w:hAnsi="Arial"/>
          <w:sz w:val="18"/>
          <w:szCs w:val="18"/>
          <w:color w:val="auto"/>
        </w:rPr>
        <w:t>Changes in the following assumptions can materially affect the estimate of fair value and ultimately how much stock-based compensation expense is recognized; and the resulting change in fair value, if any, is recognized in our statement of operations and comprehensive loss during the period the related services are rendered. These inputs are subjective and generally require significant analysis and judgment to develop:</w:t>
      </w:r>
    </w:p>
    <w:p>
      <w:pPr>
        <w:spacing w:after="0" w:line="89" w:lineRule="exact"/>
        <w:rPr>
          <w:sz w:val="20"/>
          <w:szCs w:val="20"/>
          <w:color w:val="auto"/>
        </w:rPr>
      </w:pPr>
    </w:p>
    <w:p>
      <w:pPr>
        <w:jc w:val="both"/>
        <w:ind w:left="960" w:right="120" w:hanging="216"/>
        <w:spacing w:after="0" w:line="272" w:lineRule="auto"/>
        <w:tabs>
          <w:tab w:leader="none" w:pos="960"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—The expected term for employee options is calculated using the simplified method as we do not have sufficient</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information to provide a basis for estimate. The simplified method is based on the average of the vesting tranches and the contractual life of each grant. The expected term for nonemployee options is the contractual term of the options.</w:t>
      </w:r>
    </w:p>
    <w:p>
      <w:pPr>
        <w:spacing w:after="0" w:line="64" w:lineRule="exact"/>
        <w:rPr>
          <w:rFonts w:ascii="Arial" w:cs="Arial" w:eastAsia="Arial" w:hAnsi="Arial"/>
          <w:sz w:val="17"/>
          <w:szCs w:val="17"/>
          <w:color w:val="auto"/>
        </w:rPr>
      </w:pPr>
    </w:p>
    <w:p>
      <w:pPr>
        <w:ind w:left="960" w:right="40" w:hanging="216"/>
        <w:spacing w:after="0" w:line="245" w:lineRule="auto"/>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—For all stock options granted to date, the expected volatility was estimated based on a study of publicly</w:t>
      </w:r>
      <w:r>
        <w:rPr>
          <w:rFonts w:ascii="Arial" w:cs="Arial" w:eastAsia="Arial" w:hAnsi="Arial"/>
          <w:sz w:val="18"/>
          <w:szCs w:val="18"/>
          <w:i w:val="1"/>
          <w:iCs w:val="1"/>
          <w:color w:val="auto"/>
        </w:rPr>
        <w:t xml:space="preserve"> </w:t>
      </w:r>
      <w:r>
        <w:rPr>
          <w:rFonts w:ascii="Arial" w:cs="Arial" w:eastAsia="Arial" w:hAnsi="Arial"/>
          <w:sz w:val="18"/>
          <w:szCs w:val="18"/>
          <w:color w:val="auto"/>
        </w:rPr>
        <w:t>traded industry peer companies as we did not have any trading history for our common stock. We selected the peer group based on similarities in industry, stage of development, size and financial leverage with our principal business operations. For each grant, we measured historical volatility over a period equivalent to the expected term.</w:t>
      </w:r>
    </w:p>
    <w:p>
      <w:pPr>
        <w:spacing w:after="0" w:line="86" w:lineRule="exact"/>
        <w:rPr>
          <w:rFonts w:ascii="Arial" w:cs="Arial" w:eastAsia="Arial" w:hAnsi="Arial"/>
          <w:sz w:val="18"/>
          <w:szCs w:val="18"/>
          <w:color w:val="auto"/>
        </w:rPr>
      </w:pPr>
    </w:p>
    <w:p>
      <w:pPr>
        <w:ind w:left="960" w:right="180" w:hanging="216"/>
        <w:spacing w:after="0" w:line="267" w:lineRule="auto"/>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yield available on U.S. Treasury zero-coupon issues whose</w:t>
      </w:r>
      <w:r>
        <w:rPr>
          <w:rFonts w:ascii="Arial" w:cs="Arial" w:eastAsia="Arial" w:hAnsi="Arial"/>
          <w:sz w:val="18"/>
          <w:szCs w:val="18"/>
          <w:i w:val="1"/>
          <w:iCs w:val="1"/>
          <w:color w:val="auto"/>
        </w:rPr>
        <w:t xml:space="preserve"> </w:t>
      </w:r>
      <w:r>
        <w:rPr>
          <w:rFonts w:ascii="Arial" w:cs="Arial" w:eastAsia="Arial" w:hAnsi="Arial"/>
          <w:sz w:val="18"/>
          <w:szCs w:val="18"/>
          <w:color w:val="auto"/>
        </w:rPr>
        <w:t>term is similar in duration to the expected term of the respective stock option.</w:t>
      </w:r>
    </w:p>
    <w:p>
      <w:pPr>
        <w:spacing w:after="0" w:line="66" w:lineRule="exact"/>
        <w:rPr>
          <w:rFonts w:ascii="Arial" w:cs="Arial" w:eastAsia="Arial" w:hAnsi="Arial"/>
          <w:sz w:val="18"/>
          <w:szCs w:val="18"/>
          <w:color w:val="auto"/>
        </w:rPr>
      </w:pPr>
    </w:p>
    <w:p>
      <w:pPr>
        <w:ind w:left="960" w:right="720" w:hanging="216"/>
        <w:spacing w:after="0" w:line="267" w:lineRule="auto"/>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have not paid and do not currently anticipate paying any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Accordingly, we have estimated the dividend yield to be zero.</w:t>
      </w:r>
    </w:p>
    <w:p>
      <w:pPr>
        <w:spacing w:after="0" w:line="179" w:lineRule="exact"/>
        <w:rPr>
          <w:sz w:val="20"/>
          <w:szCs w:val="20"/>
          <w:color w:val="auto"/>
        </w:rPr>
      </w:pPr>
    </w:p>
    <w:p>
      <w:pPr>
        <w:ind w:left="200" w:right="220" w:firstLine="551"/>
        <w:spacing w:after="0" w:line="234" w:lineRule="auto"/>
        <w:rPr>
          <w:sz w:val="20"/>
          <w:szCs w:val="20"/>
          <w:color w:val="auto"/>
        </w:rPr>
      </w:pPr>
      <w:r>
        <w:rPr>
          <w:rFonts w:ascii="Arial" w:cs="Arial" w:eastAsia="Arial" w:hAnsi="Arial"/>
          <w:sz w:val="18"/>
          <w:szCs w:val="18"/>
          <w:color w:val="auto"/>
        </w:rPr>
        <w:t>As of June 30, 2019, the unrecognized stock-based compensation expense related to stock options was $9.4 million and is expected to be recognized as expense over a weighted-average period of approximately 3.2 years. The intrinsic value of all outstanding</w:t>
      </w:r>
    </w:p>
    <w:p>
      <w:pPr>
        <w:spacing w:after="0" w:line="2"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stock options as of June 30, 2019 was approximately $ million, based on the assumed initial public offering price of $ per share, the midpoint of the estimated price range set forth on the cover of this prospectus, of which approximately $ million related to vested options and approximately $ million relate to invested options.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26" w:lineRule="exact"/>
        <w:rPr>
          <w:sz w:val="20"/>
          <w:szCs w:val="20"/>
          <w:color w:val="auto"/>
        </w:rPr>
      </w:pPr>
    </w:p>
    <w:p>
      <w:pPr>
        <w:jc w:val="both"/>
        <w:ind w:left="200" w:right="20" w:firstLine="551"/>
        <w:spacing w:after="0"/>
        <w:rPr>
          <w:sz w:val="20"/>
          <w:szCs w:val="20"/>
          <w:color w:val="auto"/>
        </w:rPr>
      </w:pPr>
      <w:r>
        <w:rPr>
          <w:rFonts w:ascii="Arial" w:cs="Arial" w:eastAsia="Arial" w:hAnsi="Arial"/>
          <w:sz w:val="18"/>
          <w:szCs w:val="18"/>
          <w:color w:val="auto"/>
        </w:rPr>
        <w:t>The estimated fair value of the common stock underlying our stock options and stock awards was determined at each grant date by our board of directors, with input from management. All options to purchase shares of our common stock are intended to be exercisable at a price per share not less than the per share fair value of our common stock underlying those options on the date of grant.</w:t>
      </w:r>
    </w:p>
    <w:p>
      <w:pPr>
        <w:spacing w:after="0" w:line="203" w:lineRule="exact"/>
        <w:rPr>
          <w:sz w:val="20"/>
          <w:szCs w:val="20"/>
          <w:color w:val="auto"/>
        </w:rPr>
      </w:pPr>
    </w:p>
    <w:p>
      <w:pPr>
        <w:jc w:val="both"/>
        <w:ind w:left="200" w:firstLine="551"/>
        <w:spacing w:after="0"/>
        <w:rPr>
          <w:sz w:val="20"/>
          <w:szCs w:val="20"/>
          <w:color w:val="auto"/>
        </w:rPr>
      </w:pPr>
      <w:r>
        <w:rPr>
          <w:rFonts w:ascii="Arial" w:cs="Arial" w:eastAsia="Arial" w:hAnsi="Arial"/>
          <w:sz w:val="18"/>
          <w:szCs w:val="18"/>
          <w:color w:val="auto"/>
        </w:rPr>
        <w:t>In the absence of a public trading market for our common stock, on each grant date, we develop an estimate of the fair value of our common stock based on the information known to us on the date of grant, upon a review of any recent events and their potential impact on the estimated fair value per share of our common stock, and in part on input from an independent third-party valuation firm.</w:t>
      </w:r>
    </w:p>
    <w:p>
      <w:pPr>
        <w:spacing w:after="0" w:line="203" w:lineRule="exact"/>
        <w:rPr>
          <w:sz w:val="20"/>
          <w:szCs w:val="20"/>
          <w:color w:val="auto"/>
        </w:rPr>
      </w:pPr>
    </w:p>
    <w:p>
      <w:pPr>
        <w:ind w:left="200" w:right="220" w:firstLine="551"/>
        <w:spacing w:after="0"/>
        <w:rPr>
          <w:sz w:val="20"/>
          <w:szCs w:val="20"/>
          <w:color w:val="auto"/>
        </w:rPr>
      </w:pPr>
      <w:r>
        <w:rPr>
          <w:rFonts w:ascii="Arial" w:cs="Arial" w:eastAsia="Arial" w:hAnsi="Arial"/>
          <w:sz w:val="18"/>
          <w:szCs w:val="18"/>
          <w:color w:val="auto"/>
        </w:rPr>
        <w:t xml:space="preserve">Our valuations of our common stock were determined in accordance with the guidelines outlined in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xml:space="preserve"> (the Practice Aid).</w:t>
      </w:r>
    </w:p>
    <w:p>
      <w:pPr>
        <w:spacing w:after="0" w:line="203"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The assumptions used to determine the estimated fair value of our common stock are based on numerous objective and subjective factors, combined with management’s judgment, including:</w:t>
      </w:r>
    </w:p>
    <w:p>
      <w:pPr>
        <w:spacing w:after="0" w:line="102" w:lineRule="exact"/>
        <w:rPr>
          <w:sz w:val="20"/>
          <w:szCs w:val="20"/>
          <w:color w:val="auto"/>
        </w:rPr>
      </w:pPr>
    </w:p>
    <w:p>
      <w:pPr>
        <w:ind w:left="960" w:hanging="216"/>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external market conditions affecting the pharmaceutical and biotechnology industry and trends within the industry;</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stage of development and business strategy;</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6"/>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rights, preferences and privileges of our redeemable convertible preferred stock relative to those of our common stock;</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prices at which we sold shares of our redeemable convertible preferred stock;</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financial condition and operating results, including our levels of available capital resources;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progress of our research and development efforts;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general U.S. market conditions;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212" w:lineRule="exact"/>
        <w:rPr>
          <w:sz w:val="20"/>
          <w:szCs w:val="20"/>
          <w:color w:val="auto"/>
        </w:rPr>
      </w:pPr>
    </w:p>
    <w:p>
      <w:pPr>
        <w:jc w:val="both"/>
        <w:ind w:left="200" w:right="300" w:firstLine="551"/>
        <w:spacing w:after="0"/>
        <w:rPr>
          <w:sz w:val="20"/>
          <w:szCs w:val="20"/>
          <w:color w:val="auto"/>
        </w:rPr>
      </w:pPr>
      <w:r>
        <w:rPr>
          <w:rFonts w:ascii="Arial" w:cs="Arial" w:eastAsia="Arial" w:hAnsi="Arial"/>
          <w:sz w:val="18"/>
          <w:szCs w:val="18"/>
          <w:color w:val="auto"/>
        </w:rPr>
        <w:t>The Practice Aid identifies various available methods for allocating enterprise value across classes and series of capital stock to determine the estimated fair value of our common stock at each valuation date. In accordance with the Practice Aid, we considered the following methods:</w:t>
      </w:r>
    </w:p>
    <w:p>
      <w:pPr>
        <w:spacing w:after="0" w:line="108" w:lineRule="exact"/>
        <w:rPr>
          <w:sz w:val="20"/>
          <w:szCs w:val="20"/>
          <w:color w:val="auto"/>
        </w:rPr>
      </w:pPr>
    </w:p>
    <w:p>
      <w:pPr>
        <w:ind w:left="960" w:right="100" w:hanging="216"/>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Option Pricing Method. Under the option pricing method (OPM) shares are valued by creating a series of call options with exercise prices based on the liquidation preferences and conversion terms of each equity class. The estimated fair values of the preferred and common stock are inferred by analyzing these options.</w:t>
      </w:r>
    </w:p>
    <w:p>
      <w:pPr>
        <w:spacing w:after="0" w:line="108" w:lineRule="exact"/>
        <w:rPr>
          <w:rFonts w:ascii="Arial" w:cs="Arial" w:eastAsia="Arial" w:hAnsi="Arial"/>
          <w:sz w:val="18"/>
          <w:szCs w:val="18"/>
          <w:color w:val="auto"/>
        </w:rPr>
      </w:pPr>
    </w:p>
    <w:p>
      <w:pPr>
        <w:ind w:left="960" w:right="80" w:hanging="216"/>
        <w:spacing w:after="0" w:line="261" w:lineRule="auto"/>
        <w:tabs>
          <w:tab w:leader="none" w:pos="9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Probability-Weighted Expected Return Method. The probability-weighted expected return method (PWERM) is a scenario-based analysis that estimates value per share based on the probability-weighted present value of expected future investment returns, considering each of the possible outcomes available to us, as well as the economic and control rights of each share class.</w:t>
      </w:r>
    </w:p>
    <w:p>
      <w:pPr>
        <w:spacing w:after="0" w:line="186" w:lineRule="exact"/>
        <w:rPr>
          <w:sz w:val="20"/>
          <w:szCs w:val="20"/>
          <w:color w:val="auto"/>
        </w:rPr>
      </w:pPr>
    </w:p>
    <w:p>
      <w:pPr>
        <w:ind w:left="200" w:right="180" w:firstLine="551"/>
        <w:spacing w:after="0" w:line="237" w:lineRule="auto"/>
        <w:rPr>
          <w:sz w:val="20"/>
          <w:szCs w:val="20"/>
          <w:color w:val="auto"/>
        </w:rPr>
      </w:pPr>
      <w:r>
        <w:rPr>
          <w:rFonts w:ascii="Arial" w:cs="Arial" w:eastAsia="Arial" w:hAnsi="Arial"/>
          <w:sz w:val="18"/>
          <w:szCs w:val="18"/>
          <w:color w:val="auto"/>
        </w:rPr>
        <w:t>Based on our early stage of development and other relevant factors, we determined that a hybrid approach of the OPM and the PWERM methods was the most appropriate method for allocating our enterprise value to determine the estimated fair value of our common stock.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w:t>
      </w:r>
    </w:p>
    <w:p>
      <w:pPr>
        <w:spacing w:after="0" w:line="203" w:lineRule="exact"/>
        <w:rPr>
          <w:sz w:val="20"/>
          <w:szCs w:val="20"/>
          <w:color w:val="auto"/>
        </w:rPr>
      </w:pPr>
    </w:p>
    <w:p>
      <w:pPr>
        <w:ind w:left="200" w:right="220" w:firstLine="551"/>
        <w:spacing w:after="0" w:line="246" w:lineRule="auto"/>
        <w:rPr>
          <w:sz w:val="20"/>
          <w:szCs w:val="20"/>
          <w:color w:val="auto"/>
        </w:rPr>
      </w:pPr>
      <w:r>
        <w:rPr>
          <w:rFonts w:ascii="Arial" w:cs="Arial" w:eastAsia="Arial" w:hAnsi="Arial"/>
          <w:sz w:val="18"/>
          <w:szCs w:val="18"/>
          <w:color w:val="auto"/>
        </w:rPr>
        <w:t>Following the completion of this offering, our board of directors intends to determine the fair value of our common stock based on the closing quoted market price of our common stock on the date of grant.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record all shares of redeemable convertible preferred stock at their respective fair values on the dates of issuance, net of issuance costs. The redeemable convertible preferred stock is recorded outside of permanent equity because while it is not mandatorily redeemable, in certain events considered not solely within our control, such as a merger, acquisition, or sale of all or substantially all of our assets, each of which we refer to as a deemed liquidation event, the convertible preferred stock will become redeemable at the option of the holders of at least a majority of the then outstanding such shares. We have not adjusted the carrying values of the redeemable convertible preferred stock to its liquidation preference because a deemed liquidation event obligating us to pay the liquidation preferences to holders of shares of redeemable convertible preferred stock is not probable of occurring. Subsequent adjustments to the carrying values to the liquidation preferences will be made only when it becomes probable that such a deemed liquidation event will occur.</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We account for income taxes under the asset and liability method, which requires, among other things, that deferred income taxes be provided for temporary differences between the financial statement reporting and tax basis of our assets and liabilities. In addition, deferred tax assets are recorded for the future benefit of utilizing net operating losses and research and development credit carryforwards and are measured using the enacted tax rates and laws that will be in effect when such items are expected to reverse. A valuation allowance is provided against deferred tax assets unless it is more likely than not that they will be realized.</w:t>
      </w:r>
    </w:p>
    <w:p>
      <w:pPr>
        <w:spacing w:after="0" w:line="203"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We account for uncertain tax positions by assessing all material positions taken in any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Our policy is to recognize interest and penalties related to the underpayment of income taxes as a component of income tax expense or benefit. To date, there have been no interest or penalties charged in relation to the unrecognized tax benefits.</w:t>
      </w:r>
    </w:p>
    <w:p>
      <w:pPr>
        <w:spacing w:after="0" w:line="20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NOLs and tax credit carryforwards are subject to review and possible adjustment by the Internal Revenue Service (IRS) and may become subject to an annual limitation in the event of certain cumulative changes in the ownership interest of significant stockholders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our value immediately prior to the ownership change. We have experienced ownership changes in the past. As a result of the ownership changes, we determined that approximately $0.9 million of our NOLs will expire unutilized for federal income tax purposes and such amounts are excluded from our NOLs as of December 31, 2018. Subsequent ownership changes may result in additional limitations.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w:t>
      </w:r>
    </w:p>
    <w:p>
      <w:pPr>
        <w:ind w:left="200"/>
        <w:spacing w:after="0"/>
        <w:rPr>
          <w:sz w:val="20"/>
          <w:szCs w:val="20"/>
          <w:color w:val="auto"/>
        </w:rPr>
      </w:pPr>
      <w:r>
        <w:rPr>
          <w:rFonts w:ascii="Arial" w:cs="Arial" w:eastAsia="Arial" w:hAnsi="Arial"/>
          <w:sz w:val="18"/>
          <w:szCs w:val="18"/>
          <w:color w:val="auto"/>
        </w:rPr>
        <w:t>SEC.</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26"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June 30, 2019, we had cash and cash equivalents of $72.9 million, consisting of bank deposits and interest-bearing money market funds, for which the fair value would be affected by changes in the general level of U.S. interest rates. However, due to the short-term maturities of our cash equivalents, an immediate 10% change in interest rates would not have a material effect on the fair value of our cash equivalents.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26" w:lineRule="exact"/>
        <w:rPr>
          <w:sz w:val="20"/>
          <w:szCs w:val="20"/>
          <w:color w:val="auto"/>
        </w:rPr>
      </w:pPr>
    </w:p>
    <w:p>
      <w:pPr>
        <w:ind w:left="200" w:right="460" w:firstLine="551"/>
        <w:spacing w:after="0" w:line="246" w:lineRule="auto"/>
        <w:rPr>
          <w:sz w:val="20"/>
          <w:szCs w:val="20"/>
          <w:color w:val="auto"/>
        </w:rPr>
      </w:pPr>
      <w:r>
        <w:rPr>
          <w:rFonts w:ascii="Arial" w:cs="Arial" w:eastAsia="Arial" w:hAnsi="Arial"/>
          <w:sz w:val="18"/>
          <w:szCs w:val="18"/>
          <w:color w:val="auto"/>
        </w:rPr>
        <w:t>Inflation generally affects us by increasing our cost of labor and development costs. We do not believe that inflation has had a significant impact on our results of operations for any periods presented herein.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w:t>
      </w:r>
    </w:p>
    <w:p>
      <w:pPr>
        <w:spacing w:after="0" w:line="126" w:lineRule="exact"/>
        <w:rPr>
          <w:sz w:val="20"/>
          <w:szCs w:val="20"/>
          <w:color w:val="auto"/>
        </w:rPr>
      </w:pPr>
    </w:p>
    <w:p>
      <w:pPr>
        <w:ind w:left="200" w:right="260" w:firstLine="551"/>
        <w:spacing w:after="0" w:line="246"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may delay adopting new or revised accounting standards issued</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subsequent to the enactment of the JOBS Act until such time as those standards apply to private companies. We have elected to avail ourselves of this exemption from new or revised accounting standards and, therefore, while we are an emerging growth company, we will not be subject to new or revised accounting standards at the same time that they become applicable to other public companies that are not emerging growth companies. As a result, our financial statements may not be comparable to companies that comply with new or revised accounting pronouncements as of public company effective dates.</w:t>
      </w:r>
    </w:p>
    <w:p>
      <w:pPr>
        <w:spacing w:after="0" w:line="203" w:lineRule="exact"/>
        <w:rPr>
          <w:sz w:val="20"/>
          <w:szCs w:val="20"/>
          <w:color w:val="auto"/>
        </w:rPr>
      </w:pPr>
    </w:p>
    <w:p>
      <w:pPr>
        <w:ind w:left="200" w:right="200" w:firstLine="551"/>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We will remain an emerging growth company until the earlier of (i) the last day of the year following the fifth anniversary of the completion of this offering, (ii) the last day of the year in which we have total annual gross revenue of at least $1.07 billion, (iii) the last day of the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$ 1.0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an emerging growth company:</w:t>
      </w:r>
    </w:p>
    <w:p>
      <w:pPr>
        <w:spacing w:after="0" w:line="113" w:lineRule="exact"/>
        <w:rPr>
          <w:sz w:val="20"/>
          <w:szCs w:val="20"/>
          <w:color w:val="auto"/>
        </w:rPr>
      </w:pPr>
    </w:p>
    <w:p>
      <w:pPr>
        <w:ind w:left="960" w:right="320" w:hanging="216"/>
        <w:spacing w:after="0" w:line="246"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will present only two years of audited financial statements, plus unaudited financial statements for any interim period, and related management’s discussion and analysis of financial condition and results of operations;</w:t>
      </w:r>
    </w:p>
    <w:p>
      <w:pPr>
        <w:spacing w:after="0" w:line="102" w:lineRule="exact"/>
        <w:rPr>
          <w:rFonts w:ascii="Arial" w:cs="Arial" w:eastAsia="Arial" w:hAnsi="Arial"/>
          <w:sz w:val="18"/>
          <w:szCs w:val="18"/>
          <w:color w:val="auto"/>
        </w:rPr>
      </w:pPr>
    </w:p>
    <w:p>
      <w:pPr>
        <w:ind w:left="960" w:hanging="216"/>
        <w:spacing w:after="0" w:line="275" w:lineRule="auto"/>
        <w:tabs>
          <w:tab w:leader="none" w:pos="9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we will avail ourselves of the exemption from the requirement to obtain an attestation and report from our auditors on the assessment of our internal control over financial reporting pursuant to the Sarbanes-Oxley Act of 2002 (the Sarbanes-Oxley Act);</w:t>
      </w:r>
    </w:p>
    <w:p>
      <w:pPr>
        <w:spacing w:after="0" w:line="78" w:lineRule="exact"/>
        <w:rPr>
          <w:rFonts w:ascii="Arial" w:cs="Arial" w:eastAsia="Arial" w:hAnsi="Arial"/>
          <w:sz w:val="17"/>
          <w:szCs w:val="17"/>
          <w:color w:val="auto"/>
        </w:rPr>
      </w:pPr>
    </w:p>
    <w:p>
      <w:pPr>
        <w:ind w:left="960" w:hanging="216"/>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will not require stockholder non-binding advisory votes on executive compensation or golden parachute arrangements; and</w:t>
      </w:r>
    </w:p>
    <w:p>
      <w:pPr>
        <w:spacing w:after="0" w:line="117" w:lineRule="exact"/>
        <w:rPr>
          <w:rFonts w:ascii="Arial" w:cs="Arial" w:eastAsia="Arial" w:hAnsi="Arial"/>
          <w:sz w:val="18"/>
          <w:szCs w:val="18"/>
          <w:color w:val="auto"/>
        </w:rPr>
      </w:pPr>
    </w:p>
    <w:p>
      <w:pPr>
        <w:ind w:left="960" w:right="40" w:hanging="216"/>
        <w:spacing w:after="0" w:line="246"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will take advantage of extended transition periods to comply with new or revised accounting standards, delaying the adoption of these accounting standards until they would apply to private companies.</w:t>
      </w:r>
    </w:p>
    <w:p>
      <w:pPr>
        <w:spacing w:after="0" w:line="197" w:lineRule="exact"/>
        <w:rPr>
          <w:sz w:val="20"/>
          <w:szCs w:val="20"/>
          <w:color w:val="auto"/>
        </w:rPr>
      </w:pPr>
    </w:p>
    <w:p>
      <w:pPr>
        <w:ind w:left="200" w:right="440" w:firstLine="551"/>
        <w:spacing w:after="0" w:line="246" w:lineRule="auto"/>
        <w:rPr>
          <w:sz w:val="20"/>
          <w:szCs w:val="20"/>
          <w:color w:val="auto"/>
        </w:rPr>
      </w:pPr>
      <w:r>
        <w:rPr>
          <w:rFonts w:ascii="Arial" w:cs="Arial" w:eastAsia="Arial" w:hAnsi="Arial"/>
          <w:sz w:val="18"/>
          <w:szCs w:val="18"/>
          <w:color w:val="auto"/>
        </w:rPr>
        <w:t>As a result, the information in this prospectus and that we provide to our investors in the future may be different than what you might receive from other public reporting companies.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See Note 2 to our financial statements included elsewhere in this prospectus for information.</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left="200" w:right="160" w:firstLine="551"/>
        <w:spacing w:after="0" w:line="239" w:lineRule="auto"/>
        <w:rPr>
          <w:sz w:val="20"/>
          <w:szCs w:val="20"/>
          <w:color w:val="auto"/>
        </w:rPr>
      </w:pPr>
      <w:r>
        <w:rPr>
          <w:rFonts w:ascii="Arial" w:cs="Arial" w:eastAsia="Arial" w:hAnsi="Arial"/>
          <w:sz w:val="18"/>
          <w:szCs w:val="18"/>
          <w:color w:val="auto"/>
        </w:rPr>
        <w:t>We are a development stage precision gene therapy company dedicated to pioneering the development of targeted therapies based on our next-generation AAV vectors. Our proprietary Therapeutic Vector Evolution platform enables our “disease first” approach to product discovery and development, thereby allowing us to customize our AAV vectors to target specific tissue types associated with the underlying disease.</w:t>
      </w:r>
    </w:p>
    <w:p>
      <w:pPr>
        <w:spacing w:after="0" w:line="202"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Our proprietary AAV vectors are designed to provide targeted delivery by routine clinical routes, efficient transduction, reduced immunogenicity and resistance to pre-existing antibodies, which we believe will enable us to develop gene therapies that could overcome known limitations of conventional AAVs. As a result, we believe these key attributes will enable us to develop gene therapies with improved therapeutic profiles, pursue previously untreatable diseases and address a broad range of rare and large market diseases. Our product candidates that are in or have completed Investigational New Drug (IND)-enabling studies include a wholly-owned asset in development for the treatment of Fabry disease, as well as two assets in ophthalmology. In ophthalmology our product candidate for the treatment of X-linked Retinitis Pigmentosa (XLRP), is wholly-owned subject to an exclusive option for Roche to develop and commercialize the asset, and our product candidate for the treatment of Choroideremia is licensed to Roche. In addition our wholly-owned product candidate for the treatment of Cystic Fibrosis has completed lead optimization and we expect to initiate IND-enabling studies in the first half of 2020. We expect to initiate our first clinical trials for these product candidates in 2020. We also have a pipeline of product candidates in the lead optimization stage, including for the treatment of Duchenne Muscular Dystrophy (DMD) and Wet Age-Related Macular Degeneration (Wet AMD).</w:t>
      </w:r>
    </w:p>
    <w:p>
      <w:pPr>
        <w:spacing w:after="0" w:line="205"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While gene therapy holds tremendous promise as a transformative therapeutic class, the majority of gene therapeutic approaches utilize naturally-occurring or conventional AAV vectors that have encountered limitations such as high dose requirements, limited efficacy, inflammation and toxicity, and neutralization by pre-existing antibodies. As a result of these shortcomings, current efforts with conventional AAV vectors have focused on diseases in which a surgical technique is used for direct cell access, such as subretinal injection for the retina, or a low level of gene expression may be sufficient for patient benefit, such as Hemophilia A or B treatment. Rather than using conventional AAV vectors for our products, we instead take a “disease first” approach creating proprietary customized AAV vectors for each disease indication through our Therapeutic Vector Evolution platform. Our Therapeutic Vector Evolution platform is based on directed evolution, a high-throughput biological engineering and screening approach harnessing the power of natural selection to identify novel AAVs with desirable characteristics. As of September 1, 2019 we have a total of 37 distinct libraries, with an estimated over one billion vector sequences. We select customized AAVs based on the Target Vector Profile (TVP) for the disease and we subsequently characterize each lead vector through extensive studies in non-human primates (NHPs) and proprietary human cell and organotypic tissue assays. Based on our preclinical data to date from NHPs and human cell models, including preclinical head to head comparisons with conventional AAVs, we observed that our precision AAVs were well-tolerated and achieved enhanced delivery, increased transgene expression, reduced immunogenicity and/or improved antibody resistance when compared to therapies using conventional AAVs.</w:t>
      </w:r>
    </w:p>
    <w:p>
      <w:pPr>
        <w:spacing w:after="0" w:line="203" w:lineRule="exact"/>
        <w:rPr>
          <w:sz w:val="20"/>
          <w:szCs w:val="20"/>
          <w:color w:val="auto"/>
        </w:rPr>
      </w:pPr>
    </w:p>
    <w:p>
      <w:pPr>
        <w:ind w:left="200" w:right="340" w:firstLine="551"/>
        <w:spacing w:after="0" w:line="238" w:lineRule="auto"/>
        <w:rPr>
          <w:sz w:val="20"/>
          <w:szCs w:val="20"/>
          <w:color w:val="auto"/>
        </w:rPr>
      </w:pPr>
      <w:r>
        <w:rPr>
          <w:rFonts w:ascii="Arial" w:cs="Arial" w:eastAsia="Arial" w:hAnsi="Arial"/>
          <w:sz w:val="18"/>
          <w:szCs w:val="18"/>
          <w:color w:val="auto"/>
        </w:rPr>
        <w:t>Our initial focus is on developing a broad pipeline of transformative gene therapy product candidates designed to treat patients suffering from lysosomal storage diseases, lung diseases, muscular dystrophies and ophthalmological diseases. We are developing a diverse pipeline of wholly-owned and partnered programs for both rare and large market diseases. We have not conducted any clinical trials but expect to initiate our first clinical trials for these three product candidates in 2020. Our pipeline is represented in the diagram below.</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205740</wp:posOffset>
            </wp:positionV>
            <wp:extent cx="5213985" cy="254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13985"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 w:hanging="316"/>
        <w:spacing w:after="0"/>
        <w:tabs>
          <w:tab w:leader="none" w:pos="520" w:val="left"/>
        </w:tabs>
        <w:numPr>
          <w:ilvl w:val="0"/>
          <w:numId w:val="88"/>
        </w:numPr>
        <w:rPr>
          <w:rFonts w:ascii="Arial" w:cs="Arial" w:eastAsia="Arial" w:hAnsi="Arial"/>
          <w:sz w:val="16"/>
          <w:szCs w:val="16"/>
          <w:i w:val="1"/>
          <w:iCs w:val="1"/>
          <w:color w:val="auto"/>
        </w:rPr>
      </w:pPr>
      <w:r>
        <w:rPr>
          <w:rFonts w:ascii="Arial" w:cs="Arial" w:eastAsia="Arial" w:hAnsi="Arial"/>
          <w:sz w:val="16"/>
          <w:szCs w:val="16"/>
          <w:i w:val="1"/>
          <w:iCs w:val="1"/>
          <w:color w:val="auto"/>
        </w:rPr>
        <w:t>Expected timing of milestone. FIH refers to first-in-human, Phase 1 or Phase 1/2, clinical studies.</w:t>
      </w:r>
    </w:p>
    <w:p>
      <w:pPr>
        <w:spacing w:after="0" w:line="21" w:lineRule="exact"/>
        <w:rPr>
          <w:sz w:val="20"/>
          <w:szCs w:val="20"/>
          <w:color w:val="auto"/>
        </w:rPr>
      </w:pPr>
    </w:p>
    <w:p>
      <w:pPr>
        <w:ind w:left="520" w:right="80" w:hanging="316"/>
        <w:spacing w:after="0" w:line="246" w:lineRule="auto"/>
        <w:tabs>
          <w:tab w:leader="none" w:pos="520" w:val="left"/>
        </w:tabs>
        <w:numPr>
          <w:ilvl w:val="0"/>
          <w:numId w:val="89"/>
        </w:numPr>
        <w:rPr>
          <w:rFonts w:ascii="Arial" w:cs="Arial" w:eastAsia="Arial" w:hAnsi="Arial"/>
          <w:sz w:val="16"/>
          <w:szCs w:val="16"/>
          <w:i w:val="1"/>
          <w:iCs w:val="1"/>
          <w:color w:val="auto"/>
        </w:rPr>
      </w:pPr>
      <w:r>
        <w:rPr>
          <w:rFonts w:ascii="Arial" w:cs="Arial" w:eastAsia="Arial" w:hAnsi="Arial"/>
          <w:sz w:val="16"/>
          <w:szCs w:val="16"/>
          <w:i w:val="1"/>
          <w:iCs w:val="1"/>
          <w:color w:val="auto"/>
        </w:rPr>
        <w:t>We are responsible for development of this product candidate and Roche has an exclusive option to assume development and commercialization at its sole cost and expense. Such option may be exercised prior to pivotal trial initiation.</w:t>
      </w:r>
    </w:p>
    <w:p>
      <w:pPr>
        <w:spacing w:after="0" w:line="1" w:lineRule="exact"/>
        <w:rPr>
          <w:sz w:val="20"/>
          <w:szCs w:val="20"/>
          <w:color w:val="auto"/>
        </w:rPr>
      </w:pPr>
    </w:p>
    <w:p>
      <w:pPr>
        <w:jc w:val="both"/>
        <w:ind w:left="520" w:right="320" w:hanging="316"/>
        <w:spacing w:after="0" w:line="246" w:lineRule="auto"/>
        <w:tabs>
          <w:tab w:leader="none" w:pos="520" w:val="left"/>
        </w:tabs>
        <w:numPr>
          <w:ilvl w:val="0"/>
          <w:numId w:val="90"/>
        </w:numPr>
        <w:rPr>
          <w:rFonts w:ascii="Arial" w:cs="Arial" w:eastAsia="Arial" w:hAnsi="Arial"/>
          <w:sz w:val="16"/>
          <w:szCs w:val="16"/>
          <w:i w:val="1"/>
          <w:iCs w:val="1"/>
          <w:color w:val="auto"/>
        </w:rPr>
      </w:pPr>
      <w:r>
        <w:rPr>
          <w:rFonts w:ascii="Arial" w:cs="Arial" w:eastAsia="Arial" w:hAnsi="Arial"/>
          <w:sz w:val="16"/>
          <w:szCs w:val="16"/>
          <w:i w:val="1"/>
          <w:iCs w:val="1"/>
          <w:color w:val="auto"/>
        </w:rPr>
        <w:t>We are independently optimizing lead assets in this field. If we elect to declare product candidate(s) in the field specified in our collaboration and license agreement with Roche, Roche could exercise the option to license, further develop and commercialize this product candidate at any time</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prior to pivotal trial initiation. See the section titled “Business—Strategic Collaborations—Collaboration and License Agreement with F. Hoffman Ltd.</w:t>
      </w:r>
    </w:p>
    <w:p>
      <w:pPr>
        <w:spacing w:after="0" w:line="5"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and Hoffman—La Roche Inc.” for further information.</w:t>
      </w:r>
    </w:p>
    <w:p>
      <w:pPr>
        <w:spacing w:after="0" w:line="5" w:lineRule="exact"/>
        <w:rPr>
          <w:sz w:val="20"/>
          <w:szCs w:val="20"/>
          <w:color w:val="auto"/>
        </w:rPr>
      </w:pPr>
    </w:p>
    <w:p>
      <w:pPr>
        <w:ind w:left="520" w:right="160" w:hanging="316"/>
        <w:spacing w:after="0" w:line="260" w:lineRule="auto"/>
        <w:tabs>
          <w:tab w:leader="none" w:pos="520" w:val="left"/>
        </w:tabs>
        <w:numPr>
          <w:ilvl w:val="0"/>
          <w:numId w:val="91"/>
        </w:numPr>
        <w:rPr>
          <w:rFonts w:ascii="Arial" w:cs="Arial" w:eastAsia="Arial" w:hAnsi="Arial"/>
          <w:sz w:val="16"/>
          <w:szCs w:val="16"/>
          <w:i w:val="1"/>
          <w:iCs w:val="1"/>
          <w:color w:val="auto"/>
        </w:rPr>
      </w:pPr>
      <w:r>
        <w:rPr>
          <w:rFonts w:ascii="Arial" w:cs="Arial" w:eastAsia="Arial" w:hAnsi="Arial"/>
          <w:sz w:val="16"/>
          <w:szCs w:val="16"/>
          <w:i w:val="1"/>
          <w:iCs w:val="1"/>
          <w:color w:val="auto"/>
        </w:rPr>
        <w:t>Proof of concept studies for 4D-710 were conducted in a pig model of Cystic Fibrosis and utilized a species-specific (i.e., pig-specific) vector rather than the primate-specific 4D-A101 vector, which is the vector for Cystic Fibrosis product candidate 4D-710.</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Lysosomal Storage Diseases</w:t>
      </w:r>
    </w:p>
    <w:p>
      <w:pPr>
        <w:spacing w:after="0" w:line="122" w:lineRule="exact"/>
        <w:rPr>
          <w:sz w:val="20"/>
          <w:szCs w:val="20"/>
          <w:color w:val="auto"/>
        </w:rPr>
      </w:pPr>
    </w:p>
    <w:p>
      <w:pPr>
        <w:ind w:left="200" w:firstLine="551"/>
        <w:spacing w:after="0" w:line="234" w:lineRule="auto"/>
        <w:rPr>
          <w:sz w:val="20"/>
          <w:szCs w:val="20"/>
          <w:color w:val="auto"/>
        </w:rPr>
      </w:pPr>
      <w:r>
        <w:rPr>
          <w:rFonts w:ascii="Arial" w:cs="Arial" w:eastAsia="Arial" w:hAnsi="Arial"/>
          <w:sz w:val="18"/>
          <w:szCs w:val="18"/>
          <w:color w:val="auto"/>
        </w:rPr>
        <w:t>Our lead product candidate in lysosomal storage diseases, 4D-310, is wholly-owned and under development for the treatment of Fabry disease, a progressive and fatal condition with cardiac complications cited as the leading cause of death. Classic Fabry disease is known to affect at least 5,000 males in the United States. However, we estimate the incidence rate may be higher as recent newborn screening suggests the total number of individuals with Fabry-related genetic mutations in the United States, as well as France, Germany, Italy, Spain and the United Kingdom (the EU-5) could fall between 50,000 and 70,000. Moreover, a recent multicenter study estimated that 57% of patients seen in the clinic are of the classic phenotype. Thus, we estimate the total addressable male Fabry patient population in the United States to be approximately 10,000 individuals, and including the EU-5, we estimate the total addressable male population to be approximately 18,800 individuals. 4D-310 uses a proprietary vector designed for efficient, low dose intravenous delivery to cardiac and other relevant tissues and to have minimal toxicities, and potential resistance to pre-existing antibodies in the Fabry disease population. The approved enzyme replacement therapies (ERT) reportedly do not adequately address Fabry cardiomyopathy, a leading cause of death in this disease. In 2019 we advanced 4D-310 to IND-enabling pharmacology and Good Laboratory Practices (GLP) toxicology and biodistribution studies with 4D-310 and in April 2019, we held a pre-IND meeting with the U.S. Food and Drug Administration (FDA). 4D-310 Phase 1/2 clinical trial initiation is planned for the second half of 2020. We expect initial human safety and biomarker data by</w:t>
      </w:r>
    </w:p>
    <w:p>
      <w:pPr>
        <w:spacing w:after="0" w:line="1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80"/>
          </w:cols>
          <w:pgMar w:left="24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Lung Diseases</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lead product candidate in the lung therapeutic area, 4D-710, is wholly-owned and under development for the aerosol treatment of Cystic Fibrosis lung disease. Cystic Fibrosis is the most fatal inherited disease affecting more than 70,000 patients worldwide. Cystic Fibrosis causes impaired lung function, inflammation and bronchiectasis and is commonly associated with repeat and persistent lung infections due to the inability to clear thickened mucus from the lung, often resulting in frequent exacerbations, hospitalizations and eventual end-stage respiratory failure. We produced 4D-710 using a proprietary vector designed for efficient aerosol delivery to the lung airway, enhanced penetration through mucus, efficient airway cell transduction and transgene expression, and resistance to pre-existing antibodies in the patient population. While several products have been approved for the treatment of Cystic Fibrosis, they fall short of restoring normal lung function in most patients, and these chronic therapies require daily dosing for the patient’s lifetime. Additionally, approximately 10% of patients remain without a corrective treatment option. We expect to initiate IND-enabling study activities with 4D-710 in the first half of 2020.</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Muscular Dystrophies</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are currently in the lead optimization phase for our wholly-owned research candidates for the treatment of certain muscular dystrophies, including DMD. DMD, a progressive and fatal muscular-wasting disease, is one of the most prevalent rare genetic diseases, with an estimated prevalence between 10,000 to 15,000 cases in the United States. Our product candidates are engineered from proprietary vectors designed for efficient, low dose intravenous delivery to cardiac and skeletal muscle tissues with minimal toxicities, and potential resistance to pre-existing antibodies in the human patient population. Several companies are developing gene therapies for DMD using conventional AAVs. While early clinical data in some programs have been encouraging, AAV gene therapies using conventional AAV vectors have been subject to inflammation-related toxicity issues and manufacturing challenges due to the relatively high doses required. In addition to requiring high doses, patients have been excluded from clinical trials due to pre-existing antibodies to the conventional vector used. We expect to complete lead optimization in 2020.</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Ophthalmological Disorders</w:t>
      </w:r>
    </w:p>
    <w:p>
      <w:pPr>
        <w:spacing w:after="0" w:line="122" w:lineRule="exact"/>
        <w:rPr>
          <w:sz w:val="20"/>
          <w:szCs w:val="20"/>
          <w:color w:val="auto"/>
        </w:rPr>
      </w:pPr>
    </w:p>
    <w:p>
      <w:pPr>
        <w:ind w:left="200" w:right="140" w:firstLine="551"/>
        <w:spacing w:after="0" w:line="248" w:lineRule="auto"/>
        <w:rPr>
          <w:sz w:val="20"/>
          <w:szCs w:val="20"/>
          <w:color w:val="auto"/>
        </w:rPr>
      </w:pPr>
      <w:r>
        <w:rPr>
          <w:rFonts w:ascii="Arial" w:cs="Arial" w:eastAsia="Arial" w:hAnsi="Arial"/>
          <w:sz w:val="17"/>
          <w:szCs w:val="17"/>
          <w:color w:val="auto"/>
        </w:rPr>
        <w:t>We have two ophthalmology product candidates that utilize our proprietary intravitreal vector for rare monogenic binding diseases: 4D-125 in development for the treatment of XLRP and 4D-110 in development for the treatment of Choroideremia. Our proprietary vector for these ophthalmological diseases is designed for intravitreal injection, potentially leading to transgene expression across the surface area of the retina, and major cell layers of the retina. We have an exclusive partnership in ophthalmology with Roche that includes an option for Roche to license 4D-125 in XLRP, as well as other ophthalmology product candidates we may declare, prior to pivotal trial initiation. 4D-125 is expected to begin clinical trials in mid-2020. In addition, Roche currently holds a license to 4D-110 in Choroideremia. We expect to initiate 4D-110 clinical trials in the second half of 2020. We expect initial human safety and biomarker data for 4D-125 by</w:t>
      </w:r>
    </w:p>
    <w:p>
      <w:pPr>
        <w:spacing w:after="0" w:line="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200" w:right="220" w:firstLine="551"/>
        <w:spacing w:after="0"/>
        <w:rPr>
          <w:sz w:val="20"/>
          <w:szCs w:val="20"/>
          <w:color w:val="auto"/>
        </w:rPr>
      </w:pPr>
      <w:r>
        <w:rPr>
          <w:rFonts w:ascii="Arial" w:cs="Arial" w:eastAsia="Arial" w:hAnsi="Arial"/>
          <w:sz w:val="18"/>
          <w:szCs w:val="18"/>
          <w:color w:val="auto"/>
        </w:rPr>
        <w:t>We are currently in lead optimization for multiple product candidates that utilize our proprietary intravitreal vector, the same as for 4D-125 and 4D-110 described above, for the treatment of Wet AMD, each of which is engineered to express a different protein to neutralize vascular endothelial growth factor (VEGF). We expect to complete lead optimization in the first half of 2020.</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Team</w:t>
      </w:r>
    </w:p>
    <w:p>
      <w:pPr>
        <w:spacing w:after="0" w:line="126" w:lineRule="exact"/>
        <w:rPr>
          <w:sz w:val="20"/>
          <w:szCs w:val="20"/>
          <w:color w:val="auto"/>
        </w:rPr>
      </w:pPr>
    </w:p>
    <w:p>
      <w:pPr>
        <w:ind w:left="200" w:right="220" w:firstLine="551"/>
        <w:spacing w:after="0"/>
        <w:rPr>
          <w:sz w:val="20"/>
          <w:szCs w:val="20"/>
          <w:color w:val="auto"/>
        </w:rPr>
      </w:pPr>
      <w:r>
        <w:rPr>
          <w:rFonts w:ascii="Arial" w:cs="Arial" w:eastAsia="Arial" w:hAnsi="Arial"/>
          <w:sz w:val="18"/>
          <w:szCs w:val="18"/>
          <w:color w:val="auto"/>
        </w:rPr>
        <w:t>We have an experienced team of biotherapeutics developers, innovative gene therapy scientists and clinicians to execute our product design and development strategy. Led by our Chief Executive Officer and co-founder, David Kirn, M.D., our team has more than 100 years of combined experience in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spacing w:after="0" w:line="238" w:lineRule="auto"/>
        <w:rPr>
          <w:sz w:val="20"/>
          <w:szCs w:val="20"/>
          <w:color w:val="auto"/>
        </w:rPr>
      </w:pPr>
      <w:r>
        <w:rPr>
          <w:rFonts w:ascii="Arial" w:cs="Arial" w:eastAsia="Arial" w:hAnsi="Arial"/>
          <w:sz w:val="18"/>
          <w:szCs w:val="18"/>
          <w:color w:val="auto"/>
        </w:rPr>
        <w:t>the field of viral vector gene therapy, including leadership of over 30 clinical trials from Phase 1 through Phase 3. Our Chief Technical Officer and Head of Regulatory and Quality, Fred Kamal, Ph.D., has over 20 years of industry experience in product manufacturing and quality, including most recently with AveXis where he was a key contributor to the development and writing of the quality and manufacturing sections of the biologics license application (BLA) for the AAV product Zolgensma. Our Chief Scientific Advisor and co-founder, Dr. David Schaffer, Ph.D., pioneered the application of directed evolution to the capsid of AAV vectors over 15 years ago.</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Investors</w:t>
      </w:r>
    </w:p>
    <w:p>
      <w:pPr>
        <w:spacing w:after="0" w:line="126"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We have raised $108.6 million from the sale and issuance of our preferred stock to leading investors including Viking Global Investors, Janus Henderson Investors, The Biotechnology Value Fund, Arrowmark Partners, Pfizer Ventures, Mirae Asset Financial Group, Perceptive Advisors, Ridgeback Capital Investments, Pappas Capital, and Chiesi Ventures.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 achieve our goal of unlocking the full potential of gene therapy for many patient populations, we strive to achieve the following:</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Develop transformative precision gene therapies using the power of directed evolution and our “disease first” approach.</w:t>
      </w:r>
    </w:p>
    <w:p>
      <w:pPr>
        <w:spacing w:after="0" w:line="126"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Our Therapeutic Vector Evolution platform allows us to move beyond naturally-occurring conventional AAV vectors and select proprietary, customized AAV vectors based on a disease-specific Target Vector Profile (TVP). As a result, we believe we will be able to unlock the full potential of gene therapy by creating precision gene therapies with improved characteristics that enable us to treat broader patient populations and previously untreatable diseases, if approved.</w:t>
      </w:r>
    </w:p>
    <w:p>
      <w:pPr>
        <w:spacing w:after="0" w:line="202" w:lineRule="exact"/>
        <w:rPr>
          <w:sz w:val="20"/>
          <w:szCs w:val="20"/>
          <w:color w:val="auto"/>
        </w:rPr>
      </w:pPr>
    </w:p>
    <w:p>
      <w:pPr>
        <w:ind w:left="200" w:right="140" w:firstLine="551"/>
        <w:spacing w:after="0" w:line="239" w:lineRule="auto"/>
        <w:rPr>
          <w:sz w:val="20"/>
          <w:szCs w:val="20"/>
          <w:color w:val="auto"/>
        </w:rPr>
      </w:pPr>
      <w:r>
        <w:rPr>
          <w:rFonts w:ascii="Arial" w:cs="Arial" w:eastAsia="Arial" w:hAnsi="Arial"/>
          <w:sz w:val="18"/>
          <w:szCs w:val="18"/>
          <w:color w:val="auto"/>
        </w:rPr>
        <w:t>We believe our AAV products are modular, in that a single vector can be armed with different transgene payloads in order to treat multiple diseases within the same tissue types or therapeutic areas. As a result, if clinical studies provide us with clinical proof-of-concept for a specific vector, we believe our likelihood of technical success may increase with each subsequent product leveraging the same vector to deliver a different transgene payload.</w:t>
      </w:r>
    </w:p>
    <w:p>
      <w:pPr>
        <w:spacing w:after="0" w:line="288" w:lineRule="exact"/>
        <w:rPr>
          <w:sz w:val="20"/>
          <w:szCs w:val="20"/>
          <w:color w:val="auto"/>
        </w:rPr>
      </w:pPr>
    </w:p>
    <w:p>
      <w:pPr>
        <w:ind w:left="200" w:right="100"/>
        <w:spacing w:after="0" w:line="271" w:lineRule="auto"/>
        <w:rPr>
          <w:sz w:val="20"/>
          <w:szCs w:val="20"/>
          <w:color w:val="auto"/>
        </w:rPr>
      </w:pPr>
      <w:r>
        <w:rPr>
          <w:rFonts w:ascii="Arial" w:cs="Arial" w:eastAsia="Arial" w:hAnsi="Arial"/>
          <w:sz w:val="18"/>
          <w:szCs w:val="18"/>
          <w:b w:val="1"/>
          <w:bCs w:val="1"/>
          <w:i w:val="1"/>
          <w:iCs w:val="1"/>
          <w:color w:val="auto"/>
        </w:rPr>
        <w:t>Design, develop and commercialize a diverse portfolio of product candidates in a broad range of therapeutic areas for both rare and large market diseases.</w:t>
      </w:r>
    </w:p>
    <w:p>
      <w:pPr>
        <w:spacing w:after="0" w:line="68"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We are developing product candidates in diseases and therapeutic areas in which we believe our proprietary AAV vectors may provide differentiating advantages to conventional approaches. Our initial focus is to develop a broad pipeline of potentially transformative gene therapy product candidates designed for patients suffering from lysosomal storage diseases, lung diseases, muscular dystrophies and ophthalmological diseases. Additionally, we believe our customized vectors will allow us to create and, if approved, commercialize transformative therapies for rare and large market diseases that cannot be addressed with conventional AAV vectors.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Continue to expand our Good Manufacturing Practice manufacturing capabilities.</w:t>
      </w:r>
    </w:p>
    <w:p>
      <w:pPr>
        <w:spacing w:after="0" w:line="126" w:lineRule="exact"/>
        <w:rPr>
          <w:sz w:val="20"/>
          <w:szCs w:val="20"/>
          <w:color w:val="auto"/>
        </w:rPr>
      </w:pPr>
    </w:p>
    <w:p>
      <w:pPr>
        <w:ind w:left="200" w:right="100" w:firstLine="551"/>
        <w:spacing w:after="0" w:line="239" w:lineRule="auto"/>
        <w:rPr>
          <w:sz w:val="20"/>
          <w:szCs w:val="20"/>
          <w:color w:val="auto"/>
        </w:rPr>
      </w:pPr>
      <w:r>
        <w:rPr>
          <w:rFonts w:ascii="Arial" w:cs="Arial" w:eastAsia="Arial" w:hAnsi="Arial"/>
          <w:sz w:val="18"/>
          <w:szCs w:val="18"/>
          <w:color w:val="auto"/>
        </w:rPr>
        <w:t>We believe a critical component to our success will be to leverage and expand our proprietary manufacturing know-how, expertise, and capacity. We currently operate an internal manufacturing facility in which we intend to produce clinical trial material according to current Good Manufacturing Practices (cGMP) requirements, along with material we have used for Good Laboratory Practices (GLP) toxicology studies, and vectors for characterization studies in non-human primates and other</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37" w:lineRule="auto"/>
        <w:rPr>
          <w:sz w:val="20"/>
          <w:szCs w:val="20"/>
          <w:color w:val="auto"/>
        </w:rPr>
      </w:pPr>
      <w:r>
        <w:rPr>
          <w:rFonts w:ascii="Arial" w:cs="Arial" w:eastAsia="Arial" w:hAnsi="Arial"/>
          <w:sz w:val="18"/>
          <w:szCs w:val="18"/>
          <w:color w:val="auto"/>
        </w:rPr>
        <w:t>animal models. We plan to continue expanding our internal manufacturing capabilities, while leveraging the experience of our chemistry, manufacturing and controls (CMC) team to support the development and, if approved, commercialization of our product candidates. We believe that focusing on internal manufacturing activities and control, supplemented by outside activities at CMOs, can mitigate CMC development and commercialization risks, limit reliance on CMOs and increase product development speed. We are dedicated to using the scalable unit operations we have designed for our product and vector manufacturing, which we believe have advantages for large-scale manufacturing versus those developed in academic laboratory settings.</w:t>
      </w:r>
    </w:p>
    <w:p>
      <w:pPr>
        <w:spacing w:after="0" w:line="291" w:lineRule="exact"/>
        <w:rPr>
          <w:sz w:val="20"/>
          <w:szCs w:val="20"/>
          <w:color w:val="auto"/>
        </w:rPr>
      </w:pPr>
    </w:p>
    <w:p>
      <w:pPr>
        <w:ind w:left="200" w:right="560"/>
        <w:spacing w:after="0" w:line="271" w:lineRule="auto"/>
        <w:rPr>
          <w:sz w:val="20"/>
          <w:szCs w:val="20"/>
          <w:color w:val="auto"/>
        </w:rPr>
      </w:pPr>
      <w:r>
        <w:rPr>
          <w:rFonts w:ascii="Arial" w:cs="Arial" w:eastAsia="Arial" w:hAnsi="Arial"/>
          <w:sz w:val="18"/>
          <w:szCs w:val="18"/>
          <w:b w:val="1"/>
          <w:bCs w:val="1"/>
          <w:i w:val="1"/>
          <w:iCs w:val="1"/>
          <w:color w:val="auto"/>
        </w:rPr>
        <w:t>Protect, defend, and expand our intellectual property portfolio of proprietary AAV vectors discovered through Therapeutic Vector Evolution platform.</w:t>
      </w:r>
    </w:p>
    <w:p>
      <w:pPr>
        <w:spacing w:after="0" w:line="68"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We have issued patents and patent application filings on the composition-of-matter for over 300 unique AAV capsid sequences that were identified through our discovery efforts. In addition, we have product-specific patent application claims that include our capsids carrying codon-optimized transgenes. We also hold trade secrets covering vector discovery and manufacturing methodologies. Finally, our intellectual property portfolio includes our vector libraries, consisting of an estimated one billion unique AAV capsid sequences. In addition, we intend to further expand our intellectual property portfolio by pursuing new opportunities, such as potentially developing new promoter and manufacturing-related technologies through our sponsored research agreements (the SRAs) with the UC Regents.</w:t>
      </w:r>
    </w:p>
    <w:p>
      <w:pPr>
        <w:spacing w:after="0" w:line="291" w:lineRule="exact"/>
        <w:rPr>
          <w:sz w:val="20"/>
          <w:szCs w:val="20"/>
          <w:color w:val="auto"/>
        </w:rPr>
      </w:pPr>
    </w:p>
    <w:p>
      <w:pPr>
        <w:ind w:left="200" w:right="640"/>
        <w:spacing w:after="0" w:line="271" w:lineRule="auto"/>
        <w:rPr>
          <w:sz w:val="20"/>
          <w:szCs w:val="20"/>
          <w:color w:val="auto"/>
        </w:rPr>
      </w:pPr>
      <w:r>
        <w:rPr>
          <w:rFonts w:ascii="Arial" w:cs="Arial" w:eastAsia="Arial" w:hAnsi="Arial"/>
          <w:sz w:val="18"/>
          <w:szCs w:val="18"/>
          <w:b w:val="1"/>
          <w:bCs w:val="1"/>
          <w:i w:val="1"/>
          <w:iCs w:val="1"/>
          <w:color w:val="auto"/>
        </w:rPr>
        <w:t>Selectively partner with leading biopharmaceutical companies to harness the full potential of our platform while retaining product rights in key markets and work closely with patient advocacy groups to inform our programs.</w:t>
      </w:r>
    </w:p>
    <w:p>
      <w:pPr>
        <w:spacing w:after="0" w:line="68"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We have retained rights to the majority of therapeutic areas and product opportunities within our proprietary platforms. We have entered into strategic partnerships with biopharmaceutical companies Roche, AstraZeneca (previously MedImmune) and uniQure in order to maximize the potential of the platform and broaden our therapeutic reach through their expertise and commercial capabilities. In addition, we have relationships with the Cystic Fibrosis Foundation, Foundation Fighting Blindness, Choroideremia Research Foundation and CureDuchenne. We will continue to evaluate new opportunities to partner with leading pharmaceutical and biotechnology companies, and with patient disease foundations and advocacy groups, that we believe maximize value and benefits for us and patients.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 Therapy and Limitations of Current Approaches</w:t>
      </w:r>
    </w:p>
    <w:p>
      <w:pPr>
        <w:spacing w:after="0" w:line="126"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 xml:space="preserve">Gene therapy aims to address diseases caused by gene mutations and gene dysregulation, and it holds the promise of delivering transformative and durable benefit to the patient after a single administration. Genetic therapies are designed to address the underlying molecular root cause of genetic diseases, in many cases, by introducing a functional version of the patient’s defective gene into their own cells. Gene therapy has shown the potential to halt the progression of rare diseases, as well as to enable or restore critical human functions. These genetic therapies may be delivered to their target cells either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ex vivo</w:t>
      </w:r>
      <w:r>
        <w:rPr>
          <w:rFonts w:ascii="Arial" w:cs="Arial" w:eastAsia="Arial" w:hAnsi="Arial"/>
          <w:sz w:val="18"/>
          <w:szCs w:val="18"/>
          <w:color w:val="auto"/>
        </w:rPr>
        <w:t>, and can be paired with other therapeutic approaches including cell therapy and gene editing.</w:t>
      </w:r>
    </w:p>
    <w:p>
      <w:pPr>
        <w:spacing w:after="0" w:line="205"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The transformative potential of gene therapy has demonstrated therapeutic utility across multiple disease areas, with a focus on rare diseases. There has been significant progress in the area of gene and cell therapy, including with AAV based gene therapy, as well as chimeric antigen receptor T-cell therapies. Further, the number of companies developing gene and cell therapy products has increased significantly over the last five years. There are currently a number of approved viral vector gene therapy products, including Zynteglo, Zolgensma, Luxturna, Imlygic and Strimvelis.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24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physical construct of gene therapies are comprised of two essential components:</w:t>
      </w:r>
    </w:p>
    <w:p>
      <w:pPr>
        <w:spacing w:after="0" w:line="99" w:lineRule="exact"/>
        <w:rPr>
          <w:sz w:val="20"/>
          <w:szCs w:val="20"/>
          <w:color w:val="auto"/>
        </w:rPr>
      </w:pPr>
    </w:p>
    <w:p>
      <w:pPr>
        <w:ind w:left="960" w:right="120" w:hanging="216"/>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Vector: </w:t>
      </w:r>
      <w:r>
        <w:rPr>
          <w:rFonts w:ascii="Arial" w:cs="Arial" w:eastAsia="Arial" w:hAnsi="Arial"/>
          <w:sz w:val="18"/>
          <w:szCs w:val="18"/>
          <w:color w:val="auto"/>
        </w:rPr>
        <w:t>A vehicle that packages and delivers the promoter and transgene into the body, and transports them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protective cell membrane and ultimately into the cell nucleus. As a result, it plays an essential role in delivery and </w:t>
      </w:r>
      <w:r>
        <w:rPr>
          <w:rFonts w:ascii="Arial" w:cs="Arial" w:eastAsia="Arial" w:hAnsi="Arial"/>
          <w:sz w:val="18"/>
          <w:szCs w:val="18"/>
          <w:i w:val="1"/>
          <w:iCs w:val="1"/>
          <w:color w:val="auto"/>
        </w:rPr>
        <w:t>transduction</w:t>
      </w:r>
      <w:r>
        <w:rPr>
          <w:rFonts w:ascii="Arial" w:cs="Arial" w:eastAsia="Arial" w:hAnsi="Arial"/>
          <w:sz w:val="18"/>
          <w:szCs w:val="18"/>
          <w:color w:val="auto"/>
        </w:rPr>
        <w:t>, the process of guiding the transgene into the cell with subsequent expression of the transgene product. The vector is foundational to the efficacy of gene therapy, as the vector must deliver the promoter and transgene to the diseased cells in sufficient quantities to result in clinical benefit. The majority of AAV gene therapy companies use conventional AAV vectors that are comprised of naturally-occurring AAV viruses of a few specific subtypes, including AAV2, AAV5, AAV8, AAV9, AAVrh10, and AAVrh74.</w:t>
      </w:r>
    </w:p>
    <w:p>
      <w:pPr>
        <w:spacing w:after="0" w:line="90" w:lineRule="exact"/>
        <w:rPr>
          <w:rFonts w:ascii="Arial" w:cs="Arial" w:eastAsia="Arial" w:hAnsi="Arial"/>
          <w:sz w:val="18"/>
          <w:szCs w:val="18"/>
          <w:color w:val="auto"/>
        </w:rPr>
      </w:pPr>
    </w:p>
    <w:p>
      <w:pPr>
        <w:ind w:left="960" w:right="260" w:hanging="216"/>
        <w:spacing w:after="0" w:line="267" w:lineRule="auto"/>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Promoter and Transgene: </w:t>
      </w:r>
      <w:r>
        <w:rPr>
          <w:rFonts w:ascii="Arial" w:cs="Arial" w:eastAsia="Arial" w:hAnsi="Arial"/>
          <w:sz w:val="18"/>
          <w:szCs w:val="18"/>
          <w:color w:val="auto"/>
        </w:rPr>
        <w:t>The promoter is the DNA region that controls and initiates transcription of the transgene, while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transgene is the functional gene intended to be delivered into the cell and expressed at the RNA and protein levels.</w:t>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Key Challenges With Conventional AAV Vectors</w:t>
      </w:r>
    </w:p>
    <w:p>
      <w:pPr>
        <w:spacing w:after="0" w:line="126" w:lineRule="exact"/>
        <w:rPr>
          <w:sz w:val="20"/>
          <w:szCs w:val="20"/>
          <w:color w:val="auto"/>
        </w:rPr>
      </w:pPr>
    </w:p>
    <w:p>
      <w:pPr>
        <w:ind w:left="200" w:right="280" w:firstLine="551"/>
        <w:spacing w:after="0" w:line="239" w:lineRule="auto"/>
        <w:rPr>
          <w:sz w:val="20"/>
          <w:szCs w:val="20"/>
          <w:color w:val="auto"/>
        </w:rPr>
      </w:pPr>
      <w:r>
        <w:rPr>
          <w:rFonts w:ascii="Arial" w:cs="Arial" w:eastAsia="Arial" w:hAnsi="Arial"/>
          <w:sz w:val="18"/>
          <w:szCs w:val="18"/>
          <w:color w:val="auto"/>
        </w:rPr>
        <w:t>The fundamental gene therapy components used in current gene therapy candidates originated largely from academia, some as early as the 1960s, with limited improvements since their discovery. While gene therapy holds tremendous promise as a transformative therapeutic class, the demonstrated hurdles with conventional vectors may limit the diseases and patient populations that can be effectively addressed. There are four fundamental challenges that hinder gene therapies that utilize conventional AAV vectors:</w:t>
      </w:r>
    </w:p>
    <w:p>
      <w:pPr>
        <w:spacing w:after="0" w:line="89" w:lineRule="exact"/>
        <w:rPr>
          <w:sz w:val="20"/>
          <w:szCs w:val="20"/>
          <w:color w:val="auto"/>
        </w:rPr>
      </w:pPr>
    </w:p>
    <w:p>
      <w:pPr>
        <w:ind w:left="1400" w:hanging="656"/>
        <w:spacing w:after="0" w:line="241" w:lineRule="auto"/>
        <w:tabs>
          <w:tab w:leader="none" w:pos="140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Lack of efficient delivery to specific tissues and/or cell types due to physical barriers. </w:t>
      </w:r>
      <w:r>
        <w:rPr>
          <w:rFonts w:ascii="Arial" w:cs="Arial" w:eastAsia="Arial" w:hAnsi="Arial"/>
          <w:sz w:val="18"/>
          <w:szCs w:val="18"/>
          <w:color w:val="auto"/>
        </w:rPr>
        <w:t>Conventional naturally-occurring AAVs</w:t>
      </w:r>
      <w:r>
        <w:rPr>
          <w:rFonts w:ascii="Arial" w:cs="Arial" w:eastAsia="Arial" w:hAnsi="Arial"/>
          <w:sz w:val="18"/>
          <w:szCs w:val="18"/>
          <w:i w:val="1"/>
          <w:iCs w:val="1"/>
          <w:color w:val="auto"/>
        </w:rPr>
        <w:t xml:space="preserve"> </w:t>
      </w:r>
      <w:r>
        <w:rPr>
          <w:rFonts w:ascii="Arial" w:cs="Arial" w:eastAsia="Arial" w:hAnsi="Arial"/>
          <w:sz w:val="18"/>
          <w:szCs w:val="18"/>
          <w:color w:val="auto"/>
        </w:rPr>
        <w:t>have not been designed or engineered to circumvent natural barriers to viral vector delivery, such as clearance by the liver or the inner-limiting membrane of the retina, and they are not targeted to specific tissues or cells. As a result, products using these vectors may require suboptimal delivery mechanisms (such as subretinal injection compared with intravitreal dosing) or high doses (such as with intravenous administration for the treatment of skeletal muscle diseases) to achieve therapeutic benefit.</w:t>
      </w:r>
    </w:p>
    <w:p>
      <w:pPr>
        <w:spacing w:after="0" w:line="89" w:lineRule="exact"/>
        <w:rPr>
          <w:rFonts w:ascii="Arial" w:cs="Arial" w:eastAsia="Arial" w:hAnsi="Arial"/>
          <w:sz w:val="18"/>
          <w:szCs w:val="18"/>
          <w:color w:val="auto"/>
        </w:rPr>
      </w:pPr>
    </w:p>
    <w:p>
      <w:pPr>
        <w:ind w:left="1400" w:right="40" w:hanging="656"/>
        <w:spacing w:after="0" w:line="242" w:lineRule="auto"/>
        <w:tabs>
          <w:tab w:leader="none" w:pos="140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Lack of efficient transduction of specific target cell types. </w:t>
      </w:r>
      <w:r>
        <w:rPr>
          <w:rFonts w:ascii="Arial" w:cs="Arial" w:eastAsia="Arial" w:hAnsi="Arial"/>
          <w:sz w:val="18"/>
          <w:szCs w:val="18"/>
          <w:color w:val="auto"/>
        </w:rPr>
        <w:t>To yield therapeutic benefit, the vector must efficiently deliver its</w:t>
      </w:r>
      <w:r>
        <w:rPr>
          <w:rFonts w:ascii="Arial" w:cs="Arial" w:eastAsia="Arial" w:hAnsi="Arial"/>
          <w:sz w:val="18"/>
          <w:szCs w:val="18"/>
          <w:i w:val="1"/>
          <w:iCs w:val="1"/>
          <w:color w:val="auto"/>
        </w:rPr>
        <w:t xml:space="preserve"> </w:t>
      </w:r>
      <w:r>
        <w:rPr>
          <w:rFonts w:ascii="Arial" w:cs="Arial" w:eastAsia="Arial" w:hAnsi="Arial"/>
          <w:sz w:val="18"/>
          <w:szCs w:val="18"/>
          <w:color w:val="auto"/>
        </w:rPr>
        <w:t>transgene from the cell surface into the target cell nucleus, resulting in subsequent therapeutic transgene expression within the cell. Conventional AAVs are not designed or engineered for efficient transduction of specific target cells. As a consequence, conventional vectors may be associated with inefficient transduction and transgene expression which would limit efficacy.</w:t>
      </w:r>
    </w:p>
    <w:p>
      <w:pPr>
        <w:spacing w:after="0" w:line="90" w:lineRule="exact"/>
        <w:rPr>
          <w:rFonts w:ascii="Arial" w:cs="Arial" w:eastAsia="Arial" w:hAnsi="Arial"/>
          <w:sz w:val="18"/>
          <w:szCs w:val="18"/>
          <w:color w:val="auto"/>
        </w:rPr>
      </w:pPr>
    </w:p>
    <w:p>
      <w:pPr>
        <w:ind w:left="1400" w:right="40" w:hanging="656"/>
        <w:spacing w:after="0" w:line="242" w:lineRule="auto"/>
        <w:tabs>
          <w:tab w:leader="none" w:pos="140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Potential to cause toxicity due to inflammation. </w:t>
      </w:r>
      <w:r>
        <w:rPr>
          <w:rFonts w:ascii="Arial" w:cs="Arial" w:eastAsia="Arial" w:hAnsi="Arial"/>
          <w:sz w:val="18"/>
          <w:szCs w:val="18"/>
          <w:color w:val="auto"/>
        </w:rPr>
        <w:t>Conventional AAV vector based products have been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inflammation-related toxicities in some patients. Potential contributing factors may include the lack of specificity with current conventional AAV vectors, the high intravenous doses required for delivery to target tissues, and the ability of these AAVs to transduce immune cells. For example, intravenous gene therapy programs in patients with DMD have been associated with acute inflammation and transient kidney dysfunction.</w:t>
      </w:r>
    </w:p>
    <w:p>
      <w:pPr>
        <w:spacing w:after="0" w:line="90" w:lineRule="exact"/>
        <w:rPr>
          <w:rFonts w:ascii="Arial" w:cs="Arial" w:eastAsia="Arial" w:hAnsi="Arial"/>
          <w:sz w:val="18"/>
          <w:szCs w:val="18"/>
          <w:color w:val="auto"/>
        </w:rPr>
      </w:pPr>
    </w:p>
    <w:p>
      <w:pPr>
        <w:ind w:left="1400" w:right="80" w:hanging="656"/>
        <w:spacing w:after="0" w:line="242" w:lineRule="auto"/>
        <w:tabs>
          <w:tab w:leader="none" w:pos="140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Neutralization by pre-existing antibodies. </w:t>
      </w:r>
      <w:r>
        <w:rPr>
          <w:rFonts w:ascii="Arial" w:cs="Arial" w:eastAsia="Arial" w:hAnsi="Arial"/>
          <w:sz w:val="18"/>
          <w:szCs w:val="18"/>
          <w:color w:val="auto"/>
        </w:rPr>
        <w:t>The human immune system has evolved to fight viruses, including conventional</w:t>
      </w:r>
      <w:r>
        <w:rPr>
          <w:rFonts w:ascii="Arial" w:cs="Arial" w:eastAsia="Arial" w:hAnsi="Arial"/>
          <w:sz w:val="18"/>
          <w:szCs w:val="18"/>
          <w:i w:val="1"/>
          <w:iCs w:val="1"/>
          <w:color w:val="auto"/>
        </w:rPr>
        <w:t xml:space="preserve"> </w:t>
      </w:r>
      <w:r>
        <w:rPr>
          <w:rFonts w:ascii="Arial" w:cs="Arial" w:eastAsia="Arial" w:hAnsi="Arial"/>
          <w:sz w:val="18"/>
          <w:szCs w:val="18"/>
          <w:color w:val="auto"/>
        </w:rPr>
        <w:t>AAVs that are present in nature. Widespread exposure to these conventional AAVs has resulted in neutralizing antibodies in a large portion of the population (approximately 30% to 70% depending on the vector serotype and patient population); these antibodies can limit gene delivery and the addressable patient population with conventional vectors. In addition, re-dosing with the same vector is generally not feasible given the induction of neutralizing antibodies to the vector.</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firstLine="551"/>
        <w:spacing w:after="0" w:line="246" w:lineRule="auto"/>
        <w:rPr>
          <w:sz w:val="20"/>
          <w:szCs w:val="20"/>
          <w:color w:val="auto"/>
        </w:rPr>
      </w:pPr>
      <w:r>
        <w:rPr>
          <w:rFonts w:ascii="Arial" w:cs="Arial" w:eastAsia="Arial" w:hAnsi="Arial"/>
          <w:sz w:val="18"/>
          <w:szCs w:val="18"/>
          <w:color w:val="auto"/>
        </w:rPr>
        <w:t>Attempts have been made to address some of these limitations by incorporating incremental modifications in naturally-occurring vectors, including through the following methods:</w:t>
      </w:r>
    </w:p>
    <w:p>
      <w:pPr>
        <w:spacing w:after="0" w:line="102" w:lineRule="exact"/>
        <w:rPr>
          <w:sz w:val="20"/>
          <w:szCs w:val="20"/>
          <w:color w:val="auto"/>
        </w:rPr>
      </w:pPr>
    </w:p>
    <w:p>
      <w:pPr>
        <w:ind w:left="960" w:hanging="216"/>
        <w:spacing w:after="0"/>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engineered mutations to naturally occurring AAVs of a few specific subtypes to create new vectors; and</w:t>
      </w:r>
    </w:p>
    <w:p>
      <w:pPr>
        <w:spacing w:after="0" w:line="117" w:lineRule="exact"/>
        <w:rPr>
          <w:rFonts w:ascii="Arial" w:cs="Arial" w:eastAsia="Arial" w:hAnsi="Arial"/>
          <w:sz w:val="18"/>
          <w:szCs w:val="18"/>
          <w:color w:val="auto"/>
        </w:rPr>
      </w:pPr>
    </w:p>
    <w:p>
      <w:pPr>
        <w:ind w:left="960" w:right="420" w:hanging="216"/>
        <w:spacing w:after="0" w:line="246"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acquisition of pools of novel AAV capsids generated using a single methodology, followed by screening and identification of capsids in small animal models (typically in mouse models) or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197" w:lineRule="exact"/>
        <w:rPr>
          <w:sz w:val="20"/>
          <w:szCs w:val="20"/>
          <w:color w:val="auto"/>
        </w:rPr>
      </w:pPr>
    </w:p>
    <w:p>
      <w:pPr>
        <w:ind w:left="200" w:right="420" w:firstLine="551"/>
        <w:spacing w:after="0" w:line="246" w:lineRule="auto"/>
        <w:rPr>
          <w:sz w:val="20"/>
          <w:szCs w:val="20"/>
          <w:color w:val="auto"/>
        </w:rPr>
      </w:pPr>
      <w:r>
        <w:rPr>
          <w:rFonts w:ascii="Arial" w:cs="Arial" w:eastAsia="Arial" w:hAnsi="Arial"/>
          <w:sz w:val="18"/>
          <w:szCs w:val="18"/>
          <w:color w:val="auto"/>
        </w:rPr>
        <w:t>While these latter conventional vectors are different from naturally-occurring AAV vectors, we do not believe these attempts at improvements to the naturally-occurring AAV have overcome each of the challenges encountered to date.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 Customized Vectors and “Disease First” Approach</w:t>
      </w:r>
    </w:p>
    <w:p>
      <w:pPr>
        <w:spacing w:after="0" w:line="126"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We are pioneering the development of precision gene therapies based on our proprietary AAV vectors. We believe our customized AAV vectors have the potential to enable targeted delivery, efficient transduction, reduced inflammation and resistance to pre-existing antibodies. As a result, we believe we will be able to develop gene therapies with improved therapeutic profiles and also address previously untreatable diseases and patient populations.</w:t>
      </w:r>
    </w:p>
    <w:p>
      <w:pPr>
        <w:spacing w:after="0" w:line="202"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Our Therapeutic Vector Evolution platform enables our “disease first” approach to product discovery, design and development. We use our platform to discover custom and proprietary AAVs designed for specific tissues and diseases, which we believe will allow us to overcome known limitations of conventional AAV vectors and potentially address a broad range of both rare and large market diseases. Based on our Target Vector Profile for a disease, we select customized capsids in non-human primates from an estimated over one billion vector capsid sequences in our 37 proprietary and diverse AAV vector libraries as of September 1, 2019. We subsequently characterize each vector through extensive studies in non-human primates and human cell and organotypic tissue assays.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Key Attributes of Our Proprietary and Customized AAVs</w:t>
      </w:r>
    </w:p>
    <w:p>
      <w:pPr>
        <w:spacing w:after="0" w:line="126" w:lineRule="exact"/>
        <w:rPr>
          <w:sz w:val="20"/>
          <w:szCs w:val="20"/>
          <w:color w:val="auto"/>
        </w:rPr>
      </w:pPr>
    </w:p>
    <w:p>
      <w:pPr>
        <w:ind w:left="200" w:right="60" w:firstLine="551"/>
        <w:spacing w:after="0"/>
        <w:rPr>
          <w:sz w:val="20"/>
          <w:szCs w:val="20"/>
          <w:color w:val="auto"/>
        </w:rPr>
      </w:pPr>
      <w:r>
        <w:rPr>
          <w:rFonts w:ascii="Arial" w:cs="Arial" w:eastAsia="Arial" w:hAnsi="Arial"/>
          <w:sz w:val="18"/>
          <w:szCs w:val="18"/>
          <w:color w:val="auto"/>
        </w:rPr>
        <w:t>Through our proprietary Therapeutic Vector Evolution platform, we rigorously screen our vectors to select for the optimal AAV for a specific disease, or class of diseases. We focus on discovering and selecting vectors that we believe have the potential to display superiority to conventional vectors with four key attributes:</w:t>
      </w:r>
    </w:p>
    <w:p>
      <w:pPr>
        <w:spacing w:after="0" w:line="108" w:lineRule="exact"/>
        <w:rPr>
          <w:sz w:val="20"/>
          <w:szCs w:val="20"/>
          <w:color w:val="auto"/>
        </w:rPr>
      </w:pPr>
    </w:p>
    <w:p>
      <w:pPr>
        <w:ind w:left="960" w:hanging="216"/>
        <w:spacing w:after="0"/>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Targeted delivery to specific tissues by routine clinical routes of administration;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Improved transduction of target cell types and tissues;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Lower toxicity with reduced inflammation;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Ability to avoid neutralization by pre-existing antibodies in humans.</w:t>
      </w:r>
    </w:p>
    <w:p>
      <w:pPr>
        <w:spacing w:after="0" w:line="212"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 xml:space="preserve">As shown below, while we have not initiated any clinical trials to date, we continue to generate animal proof-of-concept data in both primates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in human cells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that we believe provide evidence regarding the potential for our precision AAVs to show superiority over conventional AAVs. As a result, we believe we have the potential to create products that are safer, more efficacious, more efficiently manufactured, and, if approved, more effectively commercialized.</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Targeted Delivery to, and Transduction of, Specific Tissues by Routine Clinical Routes of Administration</w:t>
      </w:r>
    </w:p>
    <w:p>
      <w:pPr>
        <w:spacing w:after="0" w:line="230"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We select AAVs that are designed to be administered through what we believe to be the optimal method of delivery for a particular disease, with the goal of circumventing physical barriers en route to specific tissues or cell types in the body.</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60"/>
          </w:cols>
          <w:pgMar w:left="240" w:top="459"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 xml:space="preserve">In a first example of targeted delivery in NHP </w:t>
      </w:r>
      <w:r>
        <w:rPr>
          <w:rFonts w:ascii="Arial" w:cs="Arial" w:eastAsia="Arial" w:hAnsi="Arial"/>
          <w:sz w:val="18"/>
          <w:szCs w:val="18"/>
          <w:i w:val="1"/>
          <w:iCs w:val="1"/>
          <w:color w:val="auto"/>
        </w:rPr>
        <w:t>in vivo</w:t>
      </w:r>
      <w:r>
        <w:rPr>
          <w:rFonts w:ascii="Arial" w:cs="Arial" w:eastAsia="Arial" w:hAnsi="Arial"/>
          <w:sz w:val="18"/>
          <w:szCs w:val="18"/>
          <w:color w:val="auto"/>
        </w:rPr>
        <w:t>, our investigational, novel and proprietary AAV vector for cardiac and muscle tissues, 4D-C102, was designed for IV administration, which we believe represents the optimal route of administration for systemic delivery. There are diverse barriers to IV delivery to muscle tissues, which include the liver, blood components, immune cells and antibodies. In NHPs we have observed that intravenous delivery of 4D-C102 at relatively low doses (1E13 vg/kg) resulted in genome delivery to 100% of heart and skeletal muscle tissues evaluated in NHPs; 30 of 30 heart biopsies were positive, and 81 of 81 skeletal muscle biopsies were positive for genomes delivery. In addition, 4D-C102 was more efficiently delivered through IV administration to cardiac and skeletal muscle tissues than conventional AAV8 and AAV9. As shown below, 4D-C102 targeted the heart and skeletal muscle tissues (upper and lower extremities plus diaphragm) more efficiently than conventional IV vectors like AAV8 and AAV9, and showed up to 35-fold improvements, on average, in the ratio of vector reaching heart and skeletal muscle tissues versus the liver.</w:t>
      </w:r>
    </w:p>
    <w:p>
      <w:pPr>
        <w:spacing w:after="0" w:line="184"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4D-C102 Intravenous Targeting to NHP</w:t>
      </w:r>
    </w:p>
    <w:p>
      <w:pPr>
        <w:spacing w:after="0" w:line="14"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Skeletal Muscle and Cardiac Tissue Was Superior to AAV8 and AAV9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152400</wp:posOffset>
            </wp:positionV>
            <wp:extent cx="3936365" cy="25215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936365"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4"/>
          <w:szCs w:val="14"/>
          <w:i w:val="1"/>
          <w:iCs w:val="1"/>
          <w:color w:val="auto"/>
        </w:rPr>
        <w:t>SEM = standard error of the mean, which denotes the standard deviation of the sampling distribution</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80"/>
          </w:cols>
          <w:pgMar w:left="24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firstLine="551"/>
        <w:spacing w:after="0" w:line="251" w:lineRule="auto"/>
        <w:rPr>
          <w:sz w:val="20"/>
          <w:szCs w:val="20"/>
          <w:color w:val="auto"/>
        </w:rPr>
      </w:pPr>
      <w:r>
        <w:rPr>
          <w:rFonts w:ascii="Arial" w:cs="Arial" w:eastAsia="Arial" w:hAnsi="Arial"/>
          <w:sz w:val="18"/>
          <w:szCs w:val="18"/>
          <w:color w:val="auto"/>
        </w:rPr>
        <w:t xml:space="preserve">In a second example of targeted delivery and transgene expression in NHP </w:t>
      </w:r>
      <w:r>
        <w:rPr>
          <w:rFonts w:ascii="Arial" w:cs="Arial" w:eastAsia="Arial" w:hAnsi="Arial"/>
          <w:sz w:val="18"/>
          <w:szCs w:val="18"/>
          <w:i w:val="1"/>
          <w:iCs w:val="1"/>
          <w:color w:val="auto"/>
        </w:rPr>
        <w:t>in vivo</w:t>
      </w:r>
      <w:r>
        <w:rPr>
          <w:rFonts w:ascii="Arial" w:cs="Arial" w:eastAsia="Arial" w:hAnsi="Arial"/>
          <w:sz w:val="18"/>
          <w:szCs w:val="18"/>
          <w:color w:val="auto"/>
        </w:rPr>
        <w:t>, 4D-C102 delivered a marker gene (</w:t>
      </w:r>
      <w:r>
        <w:rPr>
          <w:rFonts w:ascii="Arial" w:cs="Arial" w:eastAsia="Arial" w:hAnsi="Arial"/>
          <w:sz w:val="18"/>
          <w:szCs w:val="18"/>
          <w:i w:val="1"/>
          <w:iCs w:val="1"/>
          <w:color w:val="auto"/>
        </w:rPr>
        <w:t>EGFP</w:t>
      </w:r>
      <w:r>
        <w:rPr>
          <w:rFonts w:ascii="Arial" w:cs="Arial" w:eastAsia="Arial" w:hAnsi="Arial"/>
          <w:sz w:val="18"/>
          <w:szCs w:val="18"/>
          <w:color w:val="auto"/>
        </w:rPr>
        <w:t xml:space="preserve">) that resulted in EGFP protein production in NHP cardiomyocytes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For example, 30 of 30 heart biopsy samples from three NHPs were positive for genomes, and 29 of 30 samples were positive for EGFP protein expression.</w:t>
      </w:r>
    </w:p>
    <w:p>
      <w:pPr>
        <w:spacing w:after="0" w:line="179" w:lineRule="exact"/>
        <w:rPr>
          <w:sz w:val="20"/>
          <w:szCs w:val="20"/>
          <w:color w:val="auto"/>
        </w:rPr>
      </w:pPr>
    </w:p>
    <w:p>
      <w:pPr>
        <w:jc w:val="center"/>
        <w:ind w:right="-299"/>
        <w:spacing w:after="0"/>
        <w:rPr>
          <w:sz w:val="20"/>
          <w:szCs w:val="20"/>
          <w:color w:val="auto"/>
        </w:rPr>
      </w:pPr>
      <w:r>
        <w:rPr>
          <w:rFonts w:ascii="Arial" w:cs="Arial" w:eastAsia="Arial" w:hAnsi="Arial"/>
          <w:sz w:val="16"/>
          <w:szCs w:val="16"/>
          <w:i w:val="1"/>
          <w:iCs w:val="1"/>
          <w:color w:val="auto"/>
        </w:rPr>
        <w:t>Cardiac Muscle Tissue Transduction and Protein Expression Patterns Observed After Intravenous Injection of 4D-C102 in NHP</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6"/>
          <w:szCs w:val="16"/>
          <w:i w:val="1"/>
          <w:iCs w:val="1"/>
          <w:color w:val="auto"/>
        </w:rPr>
        <w:t>Cardiomyocytes (EGFP Expression as Detected by Immunohistochemistry).</w:t>
      </w:r>
    </w:p>
    <w:p>
      <w:pPr>
        <w:spacing w:after="0" w:line="5" w:lineRule="exact"/>
        <w:rPr>
          <w:sz w:val="20"/>
          <w:szCs w:val="20"/>
          <w:color w:val="auto"/>
        </w:rPr>
      </w:pPr>
    </w:p>
    <w:p>
      <w:pPr>
        <w:jc w:val="center"/>
        <w:ind w:right="-299"/>
        <w:spacing w:after="0"/>
        <w:rPr>
          <w:sz w:val="20"/>
          <w:szCs w:val="20"/>
          <w:color w:val="auto"/>
        </w:rPr>
      </w:pPr>
      <w:r>
        <w:rPr>
          <w:rFonts w:ascii="Arial" w:cs="Arial" w:eastAsia="Arial" w:hAnsi="Arial"/>
          <w:sz w:val="16"/>
          <w:szCs w:val="16"/>
          <w:i w:val="1"/>
          <w:iCs w:val="1"/>
          <w:color w:val="auto"/>
        </w:rPr>
        <w:t>Five Panels Illustrate Gene Expression Patterns Observed in NHP Cardiac Muscle Tissue After Treatment with 4D-C102. Cardiomyocyte Cell Staining</w:t>
      </w:r>
    </w:p>
    <w:p>
      <w:pPr>
        <w:spacing w:after="0" w:line="5" w:lineRule="exact"/>
        <w:rPr>
          <w:sz w:val="20"/>
          <w:szCs w:val="20"/>
          <w:color w:val="auto"/>
        </w:rPr>
      </w:pPr>
    </w:p>
    <w:p>
      <w:pPr>
        <w:jc w:val="center"/>
        <w:ind w:right="-299"/>
        <w:spacing w:after="0"/>
        <w:rPr>
          <w:sz w:val="20"/>
          <w:szCs w:val="20"/>
          <w:color w:val="auto"/>
        </w:rPr>
      </w:pPr>
      <w:r>
        <w:rPr>
          <w:rFonts w:ascii="Arial" w:cs="Arial" w:eastAsia="Arial" w:hAnsi="Arial"/>
          <w:sz w:val="16"/>
          <w:szCs w:val="16"/>
          <w:i w:val="1"/>
          <w:iCs w:val="1"/>
          <w:color w:val="auto"/>
        </w:rPr>
        <w:t>was Visible 8 Weeks Post-Injection.</w:t>
      </w:r>
    </w:p>
    <w:p>
      <w:pPr>
        <w:spacing w:after="0" w:line="5" w:lineRule="exact"/>
        <w:rPr>
          <w:sz w:val="20"/>
          <w:szCs w:val="20"/>
          <w:color w:val="auto"/>
        </w:rPr>
      </w:pPr>
    </w:p>
    <w:p>
      <w:pPr>
        <w:jc w:val="center"/>
        <w:ind w:right="-299"/>
        <w:spacing w:after="0"/>
        <w:rPr>
          <w:sz w:val="20"/>
          <w:szCs w:val="20"/>
          <w:color w:val="auto"/>
        </w:rPr>
      </w:pPr>
      <w:r>
        <w:rPr>
          <w:rFonts w:ascii="Arial" w:cs="Arial" w:eastAsia="Arial" w:hAnsi="Arial"/>
          <w:sz w:val="16"/>
          <w:szCs w:val="16"/>
          <w:i w:val="1"/>
          <w:iCs w:val="1"/>
          <w:color w:val="auto"/>
        </w:rPr>
        <w:t>The Lower-Right Panel Illustrates a Lack of Visible EGFP Staining in an Untransduced Control NHP.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156210</wp:posOffset>
            </wp:positionV>
            <wp:extent cx="5188585" cy="26155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88585" cy="261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240" w:top="459" w:right="5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Further to this second example, 4D-C102 selectively induced protein expression in cardiac tissue. Specifically, in NHPs treated with 4D-C102, the ratio of cardiac protein expression to liver protein expression was estimated to be 190 fold higher than that ratio in NHPs treated with AAV8 (420:1 vs 2.2:1 for 4D-C102 vs AAV8, respectively).</w:t>
      </w:r>
    </w:p>
    <w:p>
      <w:pPr>
        <w:spacing w:after="0" w:line="185"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Selective 4D-C102 Protein Expression in NHP (IV Administration):</w:t>
      </w:r>
    </w:p>
    <w:p>
      <w:pPr>
        <w:spacing w:after="0" w:line="14"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Cardiac Tissue Protein Expression Versus Liver Was Superior to AAV8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151765</wp:posOffset>
            </wp:positionV>
            <wp:extent cx="1689735" cy="22726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89735"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24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 xml:space="preserve">In a third example of targeted delivery in NHP </w:t>
      </w:r>
      <w:r>
        <w:rPr>
          <w:rFonts w:ascii="Arial" w:cs="Arial" w:eastAsia="Arial" w:hAnsi="Arial"/>
          <w:sz w:val="18"/>
          <w:szCs w:val="18"/>
          <w:i w:val="1"/>
          <w:iCs w:val="1"/>
          <w:color w:val="auto"/>
        </w:rPr>
        <w:t>in vivo</w:t>
      </w:r>
      <w:r>
        <w:rPr>
          <w:rFonts w:ascii="Arial" w:cs="Arial" w:eastAsia="Arial" w:hAnsi="Arial"/>
          <w:sz w:val="18"/>
          <w:szCs w:val="18"/>
          <w:color w:val="auto"/>
        </w:rPr>
        <w:t>, our investigational, novel, proprietary AAV for lung tissues, 4D-A101, was designed for aerosol delivery to lung airway cells; this vector was also selected for potential antibody-resistance in humans. In NHPs, we observed that aerosol delivery of 4D-A101 via a standard nebulization device, approved for use in humans, resulted in genome delivery to, and GFP marker gene expression and transduction of, all 48 lung sites evaluated; lung tissue sites evaluated included proximal, medial and distal airways. In addition to efficient lung airway transduction, migration to organs outside the lung was either undetectable (91% of samples tested) or extremely low concentrations (less than 0.1% of the average genomes per microgram of DNA in the lung airway tissues) as shown below.</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Aerosol Delivery with 4D-A101 in NHP Resulted in Genome Localization and</w:t>
      </w:r>
    </w:p>
    <w:p>
      <w:pPr>
        <w:spacing w:after="0" w:line="14"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Protein Expression in All Lung Samples. 4D-A101 Genome Localization Was Limited or Not Present in Other Tissues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152400</wp:posOffset>
            </wp:positionV>
            <wp:extent cx="4707890" cy="37388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07890" cy="373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40" w:right="40"/>
        <w:spacing w:after="0" w:line="279" w:lineRule="auto"/>
        <w:rPr>
          <w:sz w:val="20"/>
          <w:szCs w:val="20"/>
          <w:color w:val="auto"/>
        </w:rPr>
      </w:pPr>
      <w:r>
        <w:rPr>
          <w:rFonts w:ascii="Arial" w:cs="Arial" w:eastAsia="Arial" w:hAnsi="Arial"/>
          <w:sz w:val="14"/>
          <w:szCs w:val="14"/>
          <w:i w:val="1"/>
          <w:iCs w:val="1"/>
          <w:color w:val="auto"/>
        </w:rPr>
        <w:t>The Y axis is “viral genome copies per ug of DNA”—this refers to the number of viral genomes (a direct measurement of the number of virus particles) that can be quantified per quantity of DNA isolated from each tissue sample. The X axis is the tissue (e.g., lung, heart, liver) from which the samples were obtained.</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 xml:space="preserve">In a fourth example of targeted delivery in NHP </w:t>
      </w:r>
      <w:r>
        <w:rPr>
          <w:rFonts w:ascii="Arial" w:cs="Arial" w:eastAsia="Arial" w:hAnsi="Arial"/>
          <w:sz w:val="18"/>
          <w:szCs w:val="18"/>
          <w:i w:val="1"/>
          <w:iCs w:val="1"/>
          <w:color w:val="auto"/>
        </w:rPr>
        <w:t>in vivo</w:t>
      </w:r>
      <w:r>
        <w:rPr>
          <w:rFonts w:ascii="Arial" w:cs="Arial" w:eastAsia="Arial" w:hAnsi="Arial"/>
          <w:sz w:val="18"/>
          <w:szCs w:val="18"/>
          <w:color w:val="auto"/>
        </w:rPr>
        <w:t>, our investigational, proprietary AAV for the retina, 4D-R100, was designed for intravitreal administration; we believe intravitreal injection is the optimal route of administration for the retina, as evidenced by approved biologics for the treatment of Wet AMD. Conventional AAVs such as AAV2 are not able to reach retinal cells effectively following intravitreal injection due to the inner-limiting membrane barrier between the vitreous and target retinal cells. In NHPs, whose ocular anatomy and physiology closely mirrors that of humans, we have observed that 4D-R100 administered by intravitreal injection covered the area of the retinal surface, and it transduced a high percentage of cells in all layers of the retina, including photoreceptors and retinal pigment epithelial (RPE) cells.</w:t>
      </w:r>
    </w:p>
    <w:p>
      <w:pPr>
        <w:spacing w:after="0" w:line="185" w:lineRule="exact"/>
        <w:rPr>
          <w:sz w:val="20"/>
          <w:szCs w:val="20"/>
          <w:color w:val="auto"/>
        </w:rPr>
      </w:pPr>
    </w:p>
    <w:p>
      <w:pPr>
        <w:jc w:val="center"/>
        <w:ind w:left="460" w:right="20"/>
        <w:spacing w:after="0" w:line="251" w:lineRule="auto"/>
        <w:rPr>
          <w:sz w:val="20"/>
          <w:szCs w:val="20"/>
          <w:color w:val="auto"/>
        </w:rPr>
      </w:pPr>
      <w:r>
        <w:rPr>
          <w:rFonts w:ascii="Arial" w:cs="Arial" w:eastAsia="Arial" w:hAnsi="Arial"/>
          <w:sz w:val="18"/>
          <w:szCs w:val="18"/>
          <w:i w:val="1"/>
          <w:iCs w:val="1"/>
          <w:color w:val="auto"/>
        </w:rPr>
        <w:t>The Images Below Show Retinal Transduction and Protein Expression Patterns following Intravitreal Injection of 4D-R100 and Conventional 1</w:t>
      </w:r>
      <w:r>
        <w:rPr>
          <w:rFonts w:ascii="Arial" w:cs="Arial" w:eastAsia="Arial" w:hAnsi="Arial"/>
          <w:sz w:val="15"/>
          <w:szCs w:val="15"/>
          <w:i w:val="1"/>
          <w:iCs w:val="1"/>
          <w:color w:val="auto"/>
        </w:rPr>
        <w:t>st</w:t>
      </w:r>
      <w:r>
        <w:rPr>
          <w:rFonts w:ascii="Arial" w:cs="Arial" w:eastAsia="Arial" w:hAnsi="Arial"/>
          <w:sz w:val="18"/>
          <w:szCs w:val="18"/>
          <w:i w:val="1"/>
          <w:iCs w:val="1"/>
          <w:color w:val="auto"/>
        </w:rPr>
        <w:t xml:space="preserve"> Generation AAV in NHP (in-life EGFP Expression Captured by Heidelberg Spectralis Camera). The Left Panel Illustrates that Typical Transduction and Protein Expression with Conventional AAV2 was Limited to a Ring of Cells Around the Fovea.</w:t>
      </w:r>
    </w:p>
    <w:p>
      <w:pPr>
        <w:spacing w:after="0" w:line="174" w:lineRule="exact"/>
        <w:rPr>
          <w:sz w:val="20"/>
          <w:szCs w:val="20"/>
          <w:color w:val="auto"/>
        </w:rPr>
      </w:pPr>
    </w:p>
    <w:p>
      <w:pPr>
        <w:jc w:val="center"/>
        <w:ind w:left="460" w:right="120"/>
        <w:spacing w:after="0" w:line="267" w:lineRule="auto"/>
        <w:rPr>
          <w:sz w:val="20"/>
          <w:szCs w:val="20"/>
          <w:color w:val="auto"/>
        </w:rPr>
      </w:pPr>
      <w:r>
        <w:rPr>
          <w:rFonts w:ascii="Arial" w:cs="Arial" w:eastAsia="Arial" w:hAnsi="Arial"/>
          <w:sz w:val="18"/>
          <w:szCs w:val="18"/>
          <w:i w:val="1"/>
          <w:iCs w:val="1"/>
          <w:color w:val="auto"/>
        </w:rPr>
        <w:t>The Right Panel Illustrates Transduction and Protein Expression Pattern Following Intravitreal Dosing with 4D-R100 4D-R100 Exhibited Widespread Transgene Expression Across the Retinal Surface Area in NHP (in Life Images at 6-month Post-Injection)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131445</wp:posOffset>
            </wp:positionV>
            <wp:extent cx="5188585" cy="15093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88585"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19"/>
        <w:spacing w:after="0"/>
        <w:rPr>
          <w:sz w:val="20"/>
          <w:szCs w:val="20"/>
          <w:color w:val="auto"/>
        </w:rPr>
      </w:pPr>
      <w:r>
        <w:rPr>
          <w:rFonts w:ascii="Arial" w:cs="Arial" w:eastAsia="Arial" w:hAnsi="Arial"/>
          <w:sz w:val="14"/>
          <w:szCs w:val="14"/>
          <w:i w:val="1"/>
          <w:iCs w:val="1"/>
          <w:color w:val="auto"/>
        </w:rPr>
        <w:t>EGFP = enhanced green fluorescent protein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Improved Transduction of Target Human Cell Types and Tissues</w:t>
      </w:r>
    </w:p>
    <w:p>
      <w:pPr>
        <w:spacing w:after="0" w:line="122"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We select AAVs for specific diseases that are designed to generate higher levels of gene expression than conventional AAV vectors in an effort to improve long-term efficacy and reduce vector doses required.</w:t>
      </w:r>
    </w:p>
    <w:p>
      <w:pPr>
        <w:spacing w:after="0" w:line="197"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For example, our investigational novel AAV, 4D-C102, is designed to efficiently target human muscle cells, including cardiomyocytes. Targeting is especially important when addressing diseases that impact cardiac cells, such as Fabry disease. Conventional AAVs 1, 8 and 9 have been used by competitors to target these cells; however, we believe the limited transduction with these AAVs may limit efficacy and lead to high dose requirements that present safety challenges. In preclinical studies, 4D-C102 exhibited significantly improved transduction of human cardiomyocytes (ventricular phenotype) compared to conventional AAVs across a wide range of concentrations, as shown below.</w:t>
      </w:r>
    </w:p>
    <w:p>
      <w:pPr>
        <w:spacing w:after="0" w:line="187" w:lineRule="exact"/>
        <w:rPr>
          <w:sz w:val="20"/>
          <w:szCs w:val="20"/>
          <w:color w:val="auto"/>
        </w:rPr>
      </w:pPr>
    </w:p>
    <w:p>
      <w:pPr>
        <w:jc w:val="center"/>
        <w:ind w:left="460" w:right="300"/>
        <w:spacing w:after="0" w:line="267" w:lineRule="auto"/>
        <w:rPr>
          <w:sz w:val="20"/>
          <w:szCs w:val="20"/>
          <w:color w:val="auto"/>
        </w:rPr>
      </w:pPr>
      <w:r>
        <w:rPr>
          <w:rFonts w:ascii="Arial" w:cs="Arial" w:eastAsia="Arial" w:hAnsi="Arial"/>
          <w:sz w:val="18"/>
          <w:szCs w:val="18"/>
          <w:i w:val="1"/>
          <w:iCs w:val="1"/>
          <w:color w:val="auto"/>
        </w:rPr>
        <w:t>4D-C102 Exhibited Significantly Higher Transduction in Vitro Relative to Conventional AAV1, 8 and 9, in Human Cardiomyocytes of Ventricular Phenotype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131445</wp:posOffset>
            </wp:positionV>
            <wp:extent cx="4733925" cy="22980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3392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9"/>
        <w:spacing w:after="0"/>
        <w:rPr>
          <w:sz w:val="20"/>
          <w:szCs w:val="20"/>
          <w:color w:val="auto"/>
        </w:rPr>
      </w:pPr>
      <w:r>
        <w:rPr>
          <w:rFonts w:ascii="Arial" w:cs="Arial" w:eastAsia="Arial" w:hAnsi="Arial"/>
          <w:sz w:val="16"/>
          <w:szCs w:val="16"/>
          <w:i w:val="1"/>
          <w:iCs w:val="1"/>
          <w:color w:val="auto"/>
        </w:rPr>
        <w:t>cTnT = cardiac troponin T, a marker of cardiomyocyte cell identity</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6"/>
          <w:szCs w:val="16"/>
          <w:i w:val="1"/>
          <w:iCs w:val="1"/>
          <w:color w:val="auto"/>
        </w:rPr>
        <w:t>DAPI = a marker of cell nuclei</w:t>
      </w:r>
    </w:p>
    <w:p>
      <w:pPr>
        <w:spacing w:after="0" w:line="5" w:lineRule="exact"/>
        <w:rPr>
          <w:sz w:val="20"/>
          <w:szCs w:val="20"/>
          <w:color w:val="auto"/>
        </w:rPr>
      </w:pPr>
    </w:p>
    <w:p>
      <w:pPr>
        <w:jc w:val="center"/>
        <w:ind w:right="-199"/>
        <w:spacing w:after="0"/>
        <w:rPr>
          <w:sz w:val="20"/>
          <w:szCs w:val="20"/>
          <w:color w:val="auto"/>
        </w:rPr>
      </w:pPr>
      <w:r>
        <w:rPr>
          <w:rFonts w:ascii="Arial" w:cs="Arial" w:eastAsia="Arial" w:hAnsi="Arial"/>
          <w:sz w:val="16"/>
          <w:szCs w:val="16"/>
          <w:i w:val="1"/>
          <w:iCs w:val="1"/>
          <w:color w:val="auto"/>
        </w:rPr>
        <w:t>MOI = multiplicity of infection, a description of dose (vg per cell) for in vitro experiments</w:t>
      </w:r>
    </w:p>
    <w:p>
      <w:pPr>
        <w:spacing w:after="0" w:line="5" w:lineRule="exact"/>
        <w:rPr>
          <w:sz w:val="20"/>
          <w:szCs w:val="20"/>
          <w:color w:val="auto"/>
        </w:rPr>
      </w:pPr>
    </w:p>
    <w:p>
      <w:pPr>
        <w:jc w:val="center"/>
        <w:ind w:right="-199"/>
        <w:spacing w:after="0"/>
        <w:rPr>
          <w:sz w:val="20"/>
          <w:szCs w:val="20"/>
          <w:color w:val="auto"/>
        </w:rPr>
      </w:pPr>
      <w:r>
        <w:rPr>
          <w:rFonts w:ascii="Arial" w:cs="Arial" w:eastAsia="Arial" w:hAnsi="Arial"/>
          <w:sz w:val="16"/>
          <w:szCs w:val="16"/>
          <w:i w:val="1"/>
          <w:iCs w:val="1"/>
          <w:color w:val="auto"/>
        </w:rPr>
        <w:t>vg = viral genome, a quantification of the viral particles present</w:t>
      </w:r>
    </w:p>
    <w:p>
      <w:pPr>
        <w:spacing w:after="0" w:line="5" w:lineRule="exact"/>
        <w:rPr>
          <w:sz w:val="20"/>
          <w:szCs w:val="20"/>
          <w:color w:val="auto"/>
        </w:rPr>
      </w:pPr>
    </w:p>
    <w:p>
      <w:pPr>
        <w:jc w:val="center"/>
        <w:ind w:right="-199"/>
        <w:spacing w:after="0"/>
        <w:rPr>
          <w:sz w:val="20"/>
          <w:szCs w:val="20"/>
          <w:color w:val="auto"/>
        </w:rPr>
      </w:pPr>
      <w:r>
        <w:rPr>
          <w:rFonts w:ascii="Arial" w:cs="Arial" w:eastAsia="Arial" w:hAnsi="Arial"/>
          <w:sz w:val="16"/>
          <w:szCs w:val="16"/>
          <w:i w:val="1"/>
          <w:iCs w:val="1"/>
          <w:color w:val="auto"/>
        </w:rPr>
        <w:t>%EGFP+/cTnT+ Cells = the percentage of EGFP-expressing cells within the cTnT-expressing cardiomyocyte population, a quantification of the</w:t>
      </w:r>
    </w:p>
    <w:p>
      <w:pPr>
        <w:spacing w:after="0" w:line="5" w:lineRule="exact"/>
        <w:rPr>
          <w:sz w:val="20"/>
          <w:szCs w:val="20"/>
          <w:color w:val="auto"/>
        </w:rPr>
      </w:pPr>
    </w:p>
    <w:p>
      <w:pPr>
        <w:jc w:val="center"/>
        <w:ind w:right="-199"/>
        <w:spacing w:after="0"/>
        <w:rPr>
          <w:sz w:val="20"/>
          <w:szCs w:val="20"/>
          <w:color w:val="auto"/>
        </w:rPr>
      </w:pPr>
      <w:r>
        <w:rPr>
          <w:rFonts w:ascii="Arial" w:cs="Arial" w:eastAsia="Arial" w:hAnsi="Arial"/>
          <w:sz w:val="16"/>
          <w:szCs w:val="16"/>
          <w:i w:val="1"/>
          <w:iCs w:val="1"/>
          <w:color w:val="auto"/>
        </w:rPr>
        <w:t>transduction efficiency of the capsid for the</w:t>
      </w:r>
    </w:p>
    <w:p>
      <w:pPr>
        <w:spacing w:after="0" w:line="5" w:lineRule="exact"/>
        <w:rPr>
          <w:sz w:val="20"/>
          <w:szCs w:val="20"/>
          <w:color w:val="auto"/>
        </w:rPr>
      </w:pPr>
    </w:p>
    <w:p>
      <w:pPr>
        <w:jc w:val="center"/>
        <w:ind w:right="-199"/>
        <w:spacing w:after="0"/>
        <w:rPr>
          <w:sz w:val="20"/>
          <w:szCs w:val="20"/>
          <w:color w:val="auto"/>
        </w:rPr>
      </w:pPr>
      <w:r>
        <w:rPr>
          <w:rFonts w:ascii="Arial" w:cs="Arial" w:eastAsia="Arial" w:hAnsi="Arial"/>
          <w:sz w:val="16"/>
          <w:szCs w:val="16"/>
          <w:i w:val="1"/>
          <w:iCs w:val="1"/>
          <w:color w:val="auto"/>
        </w:rPr>
        <w:t>target cell type</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 xml:space="preserve">In a second example, we have observed that our intravitreal retina vector, 4D-R100, was significantly more efficient at transducing human retina cells </w:t>
      </w:r>
      <w:r>
        <w:rPr>
          <w:rFonts w:ascii="Arial" w:cs="Arial" w:eastAsia="Arial" w:hAnsi="Arial"/>
          <w:sz w:val="18"/>
          <w:szCs w:val="18"/>
          <w:i w:val="1"/>
          <w:iCs w:val="1"/>
          <w:color w:val="auto"/>
        </w:rPr>
        <w:t>in vitro</w:t>
      </w:r>
      <w:r>
        <w:rPr>
          <w:rFonts w:ascii="Arial" w:cs="Arial" w:eastAsia="Arial" w:hAnsi="Arial"/>
          <w:sz w:val="18"/>
          <w:szCs w:val="18"/>
          <w:color w:val="auto"/>
        </w:rPr>
        <w:t>, such as RPE cells below, than conventional AAV2, which is commonly used for retina treatment.</w:t>
      </w:r>
    </w:p>
    <w:p>
      <w:pPr>
        <w:spacing w:after="0" w:line="179" w:lineRule="exact"/>
        <w:rPr>
          <w:sz w:val="20"/>
          <w:szCs w:val="20"/>
          <w:color w:val="auto"/>
        </w:rPr>
      </w:pPr>
    </w:p>
    <w:p>
      <w:pPr>
        <w:jc w:val="center"/>
        <w:ind w:right="-359"/>
        <w:spacing w:after="0"/>
        <w:rPr>
          <w:sz w:val="20"/>
          <w:szCs w:val="20"/>
          <w:color w:val="auto"/>
        </w:rPr>
      </w:pPr>
      <w:r>
        <w:rPr>
          <w:rFonts w:ascii="Arial" w:cs="Arial" w:eastAsia="Arial" w:hAnsi="Arial"/>
          <w:sz w:val="18"/>
          <w:szCs w:val="18"/>
          <w:i w:val="1"/>
          <w:iCs w:val="1"/>
          <w:color w:val="auto"/>
        </w:rPr>
        <w:t>4D-R100 Exhibited Greater Transduction of Human Retinal Cells in Vitro</w:t>
      </w:r>
    </w:p>
    <w:p>
      <w:pPr>
        <w:spacing w:after="0" w:line="14" w:lineRule="exact"/>
        <w:rPr>
          <w:sz w:val="20"/>
          <w:szCs w:val="20"/>
          <w:color w:val="auto"/>
        </w:rPr>
      </w:pPr>
    </w:p>
    <w:p>
      <w:pPr>
        <w:jc w:val="center"/>
        <w:ind w:right="-359"/>
        <w:spacing w:after="0"/>
        <w:rPr>
          <w:sz w:val="20"/>
          <w:szCs w:val="20"/>
          <w:color w:val="auto"/>
        </w:rPr>
      </w:pPr>
      <w:r>
        <w:rPr>
          <w:rFonts w:ascii="Arial" w:cs="Arial" w:eastAsia="Arial" w:hAnsi="Arial"/>
          <w:sz w:val="18"/>
          <w:szCs w:val="18"/>
          <w:i w:val="1"/>
          <w:iCs w:val="1"/>
          <w:color w:val="auto"/>
        </w:rPr>
        <w:t>Compared to Conventional AAV2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152400</wp:posOffset>
            </wp:positionV>
            <wp:extent cx="4476750" cy="21266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476750"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59"/>
        <w:spacing w:after="0"/>
        <w:rPr>
          <w:sz w:val="20"/>
          <w:szCs w:val="20"/>
          <w:color w:val="auto"/>
        </w:rPr>
      </w:pPr>
      <w:r>
        <w:rPr>
          <w:rFonts w:ascii="Arial" w:cs="Arial" w:eastAsia="Arial" w:hAnsi="Arial"/>
          <w:sz w:val="16"/>
          <w:szCs w:val="16"/>
          <w:i w:val="1"/>
          <w:iCs w:val="1"/>
          <w:color w:val="auto"/>
        </w:rPr>
        <w:t>CAG = ubiquitous promoter comprised of CMV enhancer, chicken beta actin promoter and intron, and rabbit beta globin intron element</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6"/>
          <w:szCs w:val="16"/>
          <w:i w:val="1"/>
          <w:iCs w:val="1"/>
          <w:color w:val="auto"/>
        </w:rPr>
        <w:t>iPSC = induced pluripotent stem cell</w:t>
      </w:r>
    </w:p>
    <w:p>
      <w:pPr>
        <w:spacing w:after="0" w:line="5" w:lineRule="exact"/>
        <w:rPr>
          <w:sz w:val="20"/>
          <w:szCs w:val="20"/>
          <w:color w:val="auto"/>
        </w:rPr>
      </w:pPr>
    </w:p>
    <w:p>
      <w:pPr>
        <w:jc w:val="center"/>
        <w:ind w:right="-359"/>
        <w:spacing w:after="0"/>
        <w:rPr>
          <w:sz w:val="20"/>
          <w:szCs w:val="20"/>
          <w:color w:val="auto"/>
        </w:rPr>
      </w:pPr>
      <w:r>
        <w:rPr>
          <w:rFonts w:ascii="Arial" w:cs="Arial" w:eastAsia="Arial" w:hAnsi="Arial"/>
          <w:sz w:val="16"/>
          <w:szCs w:val="16"/>
          <w:i w:val="1"/>
          <w:iCs w:val="1"/>
          <w:color w:val="auto"/>
        </w:rPr>
        <w:t>ESC = embryonic stem cell</w:t>
      </w:r>
    </w:p>
    <w:p>
      <w:pPr>
        <w:spacing w:after="0" w:line="5" w:lineRule="exact"/>
        <w:rPr>
          <w:sz w:val="20"/>
          <w:szCs w:val="20"/>
          <w:color w:val="auto"/>
        </w:rPr>
      </w:pPr>
    </w:p>
    <w:p>
      <w:pPr>
        <w:jc w:val="center"/>
        <w:ind w:right="-359"/>
        <w:spacing w:after="0"/>
        <w:rPr>
          <w:sz w:val="20"/>
          <w:szCs w:val="20"/>
          <w:color w:val="auto"/>
        </w:rPr>
      </w:pPr>
      <w:r>
        <w:rPr>
          <w:rFonts w:ascii="Arial" w:cs="Arial" w:eastAsia="Arial" w:hAnsi="Arial"/>
          <w:sz w:val="16"/>
          <w:szCs w:val="16"/>
          <w:i w:val="1"/>
          <w:iCs w:val="1"/>
          <w:color w:val="auto"/>
        </w:rPr>
        <w:t>PMEL17 = premelanosome protein, a marker of retinal pigmented epithelial cell identity</w:t>
      </w:r>
    </w:p>
    <w:p>
      <w:pPr>
        <w:spacing w:after="0" w:line="5" w:lineRule="exact"/>
        <w:rPr>
          <w:sz w:val="20"/>
          <w:szCs w:val="20"/>
          <w:color w:val="auto"/>
        </w:rPr>
      </w:pPr>
    </w:p>
    <w:p>
      <w:pPr>
        <w:jc w:val="center"/>
        <w:ind w:right="-359"/>
        <w:spacing w:after="0"/>
        <w:rPr>
          <w:sz w:val="20"/>
          <w:szCs w:val="20"/>
          <w:color w:val="auto"/>
        </w:rPr>
      </w:pPr>
      <w:r>
        <w:rPr>
          <w:rFonts w:ascii="Arial" w:cs="Arial" w:eastAsia="Arial" w:hAnsi="Arial"/>
          <w:sz w:val="16"/>
          <w:szCs w:val="16"/>
          <w:i w:val="1"/>
          <w:iCs w:val="1"/>
          <w:color w:val="auto"/>
        </w:rPr>
        <w:t>%EGFP+/PMEL17+ Cells = the percentage of EGFP-expressing cells within the PMEL17-expressing retinal pigmented epithelia population, a</w:t>
      </w:r>
    </w:p>
    <w:p>
      <w:pPr>
        <w:spacing w:after="0" w:line="5" w:lineRule="exact"/>
        <w:rPr>
          <w:sz w:val="20"/>
          <w:szCs w:val="20"/>
          <w:color w:val="auto"/>
        </w:rPr>
      </w:pPr>
    </w:p>
    <w:p>
      <w:pPr>
        <w:jc w:val="center"/>
        <w:ind w:right="-359"/>
        <w:spacing w:after="0"/>
        <w:rPr>
          <w:sz w:val="20"/>
          <w:szCs w:val="20"/>
          <w:color w:val="auto"/>
        </w:rPr>
      </w:pPr>
      <w:r>
        <w:rPr>
          <w:rFonts w:ascii="Arial" w:cs="Arial" w:eastAsia="Arial" w:hAnsi="Arial"/>
          <w:sz w:val="16"/>
          <w:szCs w:val="16"/>
          <w:i w:val="1"/>
          <w:iCs w:val="1"/>
          <w:color w:val="auto"/>
        </w:rPr>
        <w:t>quantification of the transduction efficiency of the capsid for the target cell type</w:t>
      </w:r>
    </w:p>
    <w:p>
      <w:pPr>
        <w:spacing w:after="0" w:line="1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240" w:top="459" w:right="5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Lower Toxicity With Reduced Inflammation</w:t>
      </w:r>
    </w:p>
    <w:p>
      <w:pPr>
        <w:spacing w:after="0" w:line="122"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We select AAVs that are designed to target specific diseased cells while avoiding non-target cells. We believe that vectors selected in this way have the potential to result in less inflammation, require lower doses and lead to a lower toxicity versus conventional AAVs such as AAV9.</w:t>
      </w:r>
    </w:p>
    <w:p>
      <w:pPr>
        <w:spacing w:after="0" w:line="203" w:lineRule="exact"/>
        <w:rPr>
          <w:sz w:val="20"/>
          <w:szCs w:val="20"/>
          <w:color w:val="auto"/>
        </w:rPr>
      </w:pPr>
    </w:p>
    <w:p>
      <w:pPr>
        <w:ind w:left="200" w:right="280" w:firstLine="551"/>
        <w:spacing w:after="0" w:line="246" w:lineRule="auto"/>
        <w:rPr>
          <w:sz w:val="20"/>
          <w:szCs w:val="20"/>
          <w:color w:val="auto"/>
        </w:rPr>
      </w:pPr>
      <w:r>
        <w:rPr>
          <w:rFonts w:ascii="Arial" w:cs="Arial" w:eastAsia="Arial" w:hAnsi="Arial"/>
          <w:sz w:val="18"/>
          <w:szCs w:val="18"/>
          <w:color w:val="auto"/>
        </w:rPr>
        <w:t>As illustrated below, relative to conventional AAV9, our 4D-C102 vector was associated with lower inflammation and toxicities in NHP heart tissues after IV administration. The two vectors carried the same CAG promoter and EGFP transgene.</w:t>
      </w:r>
    </w:p>
    <w:p>
      <w:pPr>
        <w:spacing w:after="0" w:line="179" w:lineRule="exact"/>
        <w:rPr>
          <w:sz w:val="20"/>
          <w:szCs w:val="20"/>
          <w:color w:val="auto"/>
        </w:rPr>
      </w:pPr>
    </w:p>
    <w:p>
      <w:pPr>
        <w:jc w:val="center"/>
        <w:ind w:left="500"/>
        <w:spacing w:after="0" w:line="267" w:lineRule="auto"/>
        <w:rPr>
          <w:sz w:val="20"/>
          <w:szCs w:val="20"/>
          <w:color w:val="auto"/>
        </w:rPr>
      </w:pPr>
      <w:r>
        <w:rPr>
          <w:rFonts w:ascii="Arial" w:cs="Arial" w:eastAsia="Arial" w:hAnsi="Arial"/>
          <w:sz w:val="18"/>
          <w:szCs w:val="18"/>
          <w:i w:val="1"/>
          <w:iCs w:val="1"/>
          <w:color w:val="auto"/>
        </w:rPr>
        <w:t>NHP Cardiac Muscle Exhibited Reduced Inflammation After Treatment with 4D-C102 Versus AAV9 (IV Administration of Vectors Carrying the EGFP Transgene)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131445</wp:posOffset>
            </wp:positionV>
            <wp:extent cx="5213985" cy="28987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398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60"/>
          </w:cols>
          <w:pgMar w:left="240" w:top="459"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Ability to Avoid Neutralization by Pre-Existing Antibodies in Humans</w:t>
      </w:r>
    </w:p>
    <w:p>
      <w:pPr>
        <w:spacing w:after="0" w:line="230"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We can select AAVs designed for resistance to neutralization by pre-existing antibodies in the human population, which we believe may broaden our potential target patient population compared to conventional AAVs. We believe resistance to antibodies may result in less neutralization, and therefore potentially better efficacy, after patient treatment. Finally, we believe we have the potential to re-dose patients when desirable by developing product candidates with different proprietary vectors that target the same tissues; this approach would utilize a proprietary AAV whose antibodies do not cross-react with the second proprietary vector.</w:t>
      </w:r>
    </w:p>
    <w:p>
      <w:pPr>
        <w:spacing w:after="0" w:line="203" w:lineRule="exact"/>
        <w:rPr>
          <w:sz w:val="20"/>
          <w:szCs w:val="20"/>
          <w:color w:val="auto"/>
        </w:rPr>
      </w:pPr>
    </w:p>
    <w:p>
      <w:pPr>
        <w:ind w:left="200" w:right="360" w:firstLine="551"/>
        <w:spacing w:after="0" w:line="246" w:lineRule="auto"/>
        <w:rPr>
          <w:sz w:val="20"/>
          <w:szCs w:val="20"/>
          <w:color w:val="auto"/>
        </w:rPr>
      </w:pPr>
      <w:r>
        <w:rPr>
          <w:rFonts w:ascii="Arial" w:cs="Arial" w:eastAsia="Arial" w:hAnsi="Arial"/>
          <w:sz w:val="18"/>
          <w:szCs w:val="18"/>
          <w:color w:val="auto"/>
        </w:rPr>
        <w:t>For example, our proprietary AAV 4D-A101, which was designed for aerosol delivery, has shown improved antibody resistance when compared to conventional AAV1, 2, 5, 8 and 9 as demonstrated below.</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4D-A101 Showed Improved Transduction In Vitro in the Presence of Human Antibodies (IVIG) Compared with Conventional AAV Vectors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170815</wp:posOffset>
            </wp:positionV>
            <wp:extent cx="3833495" cy="258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33495"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140"/>
        <w:spacing w:after="0"/>
        <w:rPr>
          <w:sz w:val="20"/>
          <w:szCs w:val="20"/>
          <w:color w:val="auto"/>
        </w:rPr>
      </w:pPr>
      <w:r>
        <w:rPr>
          <w:rFonts w:ascii="Arial" w:cs="Arial" w:eastAsia="Arial" w:hAnsi="Arial"/>
          <w:sz w:val="16"/>
          <w:szCs w:val="16"/>
          <w:i w:val="1"/>
          <w:iCs w:val="1"/>
          <w:color w:val="auto"/>
        </w:rPr>
        <w:t>IVIG = intravenous immune globulin, a human blood-derived product that contains antibodies (including antibodies against AAV)</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Proprietary Therapeutic Vector Evolution Platform</w:t>
      </w:r>
    </w:p>
    <w:p>
      <w:pPr>
        <w:spacing w:after="0" w:line="12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Our proprietary Therapeutic Vector Evolution platform is based on directed evolution. Directed evolution is a high-throughput discovery and optimization approach harnessing the power of evolution in an effort to create biologics with new and desirable characteristics. The first step involves the generation of diverse libraries of biological variants. In the second step, these libraries can be screened to identify improved variants with the desired characteristics. This method has been successfully utilized by other researchers to generate protein therapeutics with enhanced biological activities, antibodies with enhanced binding affinity and enzymes with new specificities. The importance of this biotechnology was demonstrated when the Nobel Prize for Chemistry was awarded in 2018 for work on directed evolution performed by academic investigators; these investigators have no relationship to us.</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60"/>
          </w:cols>
          <w:pgMar w:left="240" w:top="459" w:right="4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Our co-founder, Dr. Schaffer, pioneered the use of directed evolution to create improved AAV capsids for use as gene therapy vectors at U.C. Berkeley over 15 years ago. Over the past five years, we have developed our Therapeutic Vector Evolution platform, inspired by Dr. Schaffer’s work on AAV directed evolution, to produce improved AAV capsid vectors designed for use in human therapeutic products. Since in-licensing six libraries from the UC Regents, we have created 31 new AAV capsid libraries as of September 1, 2019. In addition, we have developed significant experience in performing discovery in NHPs, with over 10 different discovery efforts completed to date. We believe the investment in our proprietary platform provides us with the largest and most diverse AAV vector library and vector sequences in the field of gene therapy.</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Proprietary AAV Vector Libraries</w:t>
      </w:r>
    </w:p>
    <w:p>
      <w:pPr>
        <w:spacing w:after="0" w:line="122"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We have 37 distinct libraries as of September 1, 2019, with an estimated over one billion vector sequences. Each library is defined by its starting material (AAV capsid gene sequences) and genetic diversification methodologies, such as mutagenesis, random peptide sequence insertions and shuffling technologies. We apply bioinformatics, emerging technologies, and experience and know-how resulting from previous discovery programs to continually improve and expand our libraries and improve our ability to select optimized vectors from those libraries.</w:t>
      </w:r>
    </w:p>
    <w:p>
      <w:pPr>
        <w:spacing w:after="0" w:line="203" w:lineRule="exact"/>
        <w:rPr>
          <w:sz w:val="20"/>
          <w:szCs w:val="20"/>
          <w:color w:val="auto"/>
        </w:rPr>
      </w:pPr>
    </w:p>
    <w:p>
      <w:pPr>
        <w:ind w:left="200" w:right="140" w:firstLine="551"/>
        <w:spacing w:after="0" w:line="246" w:lineRule="auto"/>
        <w:rPr>
          <w:sz w:val="20"/>
          <w:szCs w:val="20"/>
          <w:color w:val="auto"/>
        </w:rPr>
      </w:pPr>
      <w:r>
        <w:rPr>
          <w:rFonts w:ascii="Arial" w:cs="Arial" w:eastAsia="Arial" w:hAnsi="Arial"/>
          <w:sz w:val="18"/>
          <w:szCs w:val="18"/>
          <w:color w:val="auto"/>
        </w:rPr>
        <w:t>We believe the size and diversity of our vector libraries represent a differentiating competitive advantage for us in the field of gene therapy.</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Disease First Approach—Target Vector Profile</w:t>
      </w:r>
    </w:p>
    <w:p>
      <w:pPr>
        <w:spacing w:after="0" w:line="122" w:lineRule="exact"/>
        <w:rPr>
          <w:sz w:val="20"/>
          <w:szCs w:val="20"/>
          <w:color w:val="auto"/>
        </w:rPr>
      </w:pPr>
    </w:p>
    <w:p>
      <w:pPr>
        <w:ind w:left="200" w:right="260" w:firstLine="551"/>
        <w:spacing w:after="0" w:line="239" w:lineRule="auto"/>
        <w:rPr>
          <w:sz w:val="20"/>
          <w:szCs w:val="20"/>
          <w:color w:val="auto"/>
        </w:rPr>
      </w:pPr>
      <w:r>
        <w:rPr>
          <w:rFonts w:ascii="Arial" w:cs="Arial" w:eastAsia="Arial" w:hAnsi="Arial"/>
          <w:sz w:val="18"/>
          <w:szCs w:val="18"/>
          <w:color w:val="auto"/>
        </w:rPr>
        <w:t>We employ a rigorous approach to AAV vector selection based on what we consider an optimal product profile, which we term target vector profile (TVP). For any target disease, or set of diseases that affect the same tissues, this profile includes the following: the optimal route of administration for targeting the specific tissue(s) in humans, the optimal dose range, the desired distribution of vector transduction within the target organs, overall biodistribution and antibody resistance.</w:t>
      </w:r>
    </w:p>
    <w:p>
      <w:pPr>
        <w:spacing w:after="0" w:line="202"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 xml:space="preserve">We use our Therapeutic Vector Evolution platform to identify the unique vector variant in our libraries that best matches our TVP. We achieve this through serial rounds of “selection”, or discovery, with each round of selection filtering down to fewer and fewer capsids from the original library. This funneling process is achieved by applying selective pressures—forcing competition—among all capsid variants in the library to achieve delivery to the target cells as defined in the TVP. Each round is performed in a primate </w:t>
      </w:r>
      <w:r>
        <w:rPr>
          <w:rFonts w:ascii="Arial" w:cs="Arial" w:eastAsia="Arial" w:hAnsi="Arial"/>
          <w:sz w:val="18"/>
          <w:szCs w:val="18"/>
          <w:i w:val="1"/>
          <w:iCs w:val="1"/>
          <w:color w:val="auto"/>
        </w:rPr>
        <w:t>in vivo</w:t>
      </w:r>
      <w:r>
        <w:rPr>
          <w:rFonts w:ascii="Arial" w:cs="Arial" w:eastAsia="Arial" w:hAnsi="Arial"/>
          <w:sz w:val="18"/>
          <w:szCs w:val="18"/>
          <w:color w:val="auto"/>
        </w:rPr>
        <w:t>, sometimes in the presence of human IVIG (pooled human antibody preparation). While none of our product candidates have begun clinical trials, we believe this deliberate approach to selection in NHPs and human tissues should lead to identification of vectors with a higher likelihood of success in humans.</w:t>
      </w:r>
    </w:p>
    <w:p>
      <w:pPr>
        <w:spacing w:after="0" w:line="203" w:lineRule="exact"/>
        <w:rPr>
          <w:sz w:val="20"/>
          <w:szCs w:val="20"/>
          <w:color w:val="auto"/>
        </w:rPr>
      </w:pPr>
    </w:p>
    <w:p>
      <w:pPr>
        <w:jc w:val="both"/>
        <w:ind w:left="200" w:right="400" w:firstLine="551"/>
        <w:spacing w:after="0"/>
        <w:rPr>
          <w:sz w:val="20"/>
          <w:szCs w:val="20"/>
          <w:color w:val="auto"/>
        </w:rPr>
      </w:pPr>
      <w:r>
        <w:rPr>
          <w:rFonts w:ascii="Arial" w:cs="Arial" w:eastAsia="Arial" w:hAnsi="Arial"/>
          <w:sz w:val="18"/>
          <w:szCs w:val="18"/>
          <w:color w:val="auto"/>
        </w:rPr>
        <w:t>By the end of a typical discovery process, we will have identified approximately two to four lead capsids, or hits, based on their frequency in the final pool of capsid sequences, in addition to numerous sequences present at lower frequencies. We then file patent applications disclosing all identified gene sequences from the discovery program.</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Discovery Results to Date</w:t>
      </w:r>
    </w:p>
    <w:p>
      <w:pPr>
        <w:spacing w:after="0" w:line="122"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To date, we have completed more than 10 unique vector discovery programs or “selection processes” for specific AAV capsids with specific TVPs. We have utilized four different routes of administration, including intravitreal, intrathecal, aerosol, and intravenous administrations. We have completed discovery programs targeting a diverse array of tissue types including various retinal cell types, heart and skeletal muscle tissues, brain, dorsal root ganglia, different lung cell types, liver, and synovial joints. We have identified and filed patent applications on over 300 unique capsid sequences.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24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Characterization of Novel Vector Variant “Hits”</w:t>
      </w:r>
    </w:p>
    <w:p>
      <w:pPr>
        <w:spacing w:after="0" w:line="122"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color w:val="auto"/>
        </w:rPr>
        <w:t>Vector hits are typically characterized in three major areas: manufacturing, human cell and organotypic model transduction, and delivery to tissues in NHPs by the designated route of administration. Vector hits may also be evaluated for transduction in the presence of human antibodies. In order to perform characterization studies, vectors are armed with marker gene payloads such as EGFPs.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Development Platform: Human Cell and Disease Modeling</w:t>
      </w:r>
    </w:p>
    <w:p>
      <w:pPr>
        <w:spacing w:after="0" w:line="126" w:lineRule="exact"/>
        <w:rPr>
          <w:sz w:val="20"/>
          <w:szCs w:val="20"/>
          <w:color w:val="auto"/>
        </w:rPr>
      </w:pPr>
    </w:p>
    <w:p>
      <w:pPr>
        <w:ind w:left="200" w:right="180" w:firstLine="551"/>
        <w:spacing w:after="0" w:line="237" w:lineRule="auto"/>
        <w:rPr>
          <w:sz w:val="20"/>
          <w:szCs w:val="20"/>
          <w:color w:val="auto"/>
        </w:rPr>
      </w:pPr>
      <w:r>
        <w:rPr>
          <w:rFonts w:ascii="Arial" w:cs="Arial" w:eastAsia="Arial" w:hAnsi="Arial"/>
          <w:sz w:val="18"/>
          <w:szCs w:val="18"/>
          <w:color w:val="auto"/>
        </w:rPr>
        <w:t>With the goal of optimizing our product development programs prior to entering the clinic, we have developed a robust human cell and disease modeling platform. We evaluate vector transduction, transgene expression and function in target cells of interest in these human models. These cells can be derived from both normal donors or from patients with specific genetic diseases of interest. This approach allows us to perform head-to-head comparisons between different AAV capsids, promoter elements, and transgene payloads. We believe this approach better characterizes and informs the behavior of our vector products in the human body and their potential for clinical success.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Therapeutic Areas, Lead Vectors and Product Candidates</w:t>
      </w:r>
    </w:p>
    <w:p>
      <w:pPr>
        <w:spacing w:after="0" w:line="126" w:lineRule="exact"/>
        <w:rPr>
          <w:sz w:val="20"/>
          <w:szCs w:val="20"/>
          <w:color w:val="auto"/>
        </w:rPr>
      </w:pPr>
    </w:p>
    <w:p>
      <w:pPr>
        <w:ind w:left="200" w:right="60" w:firstLine="551"/>
        <w:spacing w:after="0"/>
        <w:rPr>
          <w:sz w:val="20"/>
          <w:szCs w:val="20"/>
          <w:color w:val="auto"/>
        </w:rPr>
      </w:pPr>
      <w:r>
        <w:rPr>
          <w:rFonts w:ascii="Arial" w:cs="Arial" w:eastAsia="Arial" w:hAnsi="Arial"/>
          <w:sz w:val="18"/>
          <w:szCs w:val="18"/>
          <w:color w:val="auto"/>
        </w:rPr>
        <w:t>Our proprietary platform has enabled broad and diverse AAV programs that we are translating into product candidates with the goal of transformative patient benefit. We currently have a product pipeline that includes product candidates in four therapeutic areas: lysosomal storage diseases, lung diseases, muscular dystrophies and ophthalmological diseases.</w:t>
      </w:r>
    </w:p>
    <w:p>
      <w:pPr>
        <w:spacing w:after="0" w:line="203" w:lineRule="exact"/>
        <w:rPr>
          <w:sz w:val="20"/>
          <w:szCs w:val="20"/>
          <w:color w:val="auto"/>
        </w:rPr>
      </w:pPr>
    </w:p>
    <w:p>
      <w:pPr>
        <w:ind w:left="200" w:right="160" w:firstLine="551"/>
        <w:spacing w:after="0"/>
        <w:rPr>
          <w:sz w:val="20"/>
          <w:szCs w:val="20"/>
          <w:color w:val="auto"/>
        </w:rPr>
      </w:pPr>
      <w:r>
        <w:rPr>
          <w:rFonts w:ascii="Arial" w:cs="Arial" w:eastAsia="Arial" w:hAnsi="Arial"/>
          <w:sz w:val="18"/>
          <w:szCs w:val="18"/>
          <w:color w:val="auto"/>
        </w:rPr>
        <w:t>For each of these therapeutic areas we have customized proprietary targeted lead vectors that were discovered using our proprietary technology platform. These lead vectors are designed for delivery by optimal clinical routes. We believe that these proprietary vectors will allow us to develop product candidate portfolios within each of these therapeutic areas.</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420" w:type="dxa"/>
            <w:vAlign w:val="bottom"/>
            <w:gridSpan w:val="3"/>
          </w:tcPr>
          <w:p>
            <w:pPr>
              <w:ind w:left="1120"/>
              <w:spacing w:after="0"/>
              <w:rPr>
                <w:sz w:val="20"/>
                <w:szCs w:val="20"/>
                <w:color w:val="auto"/>
              </w:rPr>
            </w:pPr>
            <w:r>
              <w:rPr>
                <w:rFonts w:ascii="Arial" w:cs="Arial" w:eastAsia="Arial" w:hAnsi="Arial"/>
                <w:sz w:val="14"/>
                <w:szCs w:val="14"/>
                <w:b w:val="1"/>
                <w:bCs w:val="1"/>
                <w:color w:val="auto"/>
              </w:rPr>
              <w:t>Cardiac and Skeletal Muscle</w:t>
            </w: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Lung</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Retina</w:t>
            </w:r>
          </w:p>
        </w:tc>
      </w:tr>
      <w:tr>
        <w:trPr>
          <w:trHeight w:val="156"/>
        </w:trPr>
        <w:tc>
          <w:tcPr>
            <w:tcW w:w="20" w:type="dxa"/>
            <w:vAlign w:val="bottom"/>
          </w:tcPr>
          <w:p>
            <w:pPr>
              <w:spacing w:after="0"/>
              <w:rPr>
                <w:sz w:val="13"/>
                <w:szCs w:val="13"/>
                <w:color w:val="auto"/>
              </w:rPr>
            </w:pPr>
          </w:p>
        </w:tc>
        <w:tc>
          <w:tcPr>
            <w:tcW w:w="2540" w:type="dxa"/>
            <w:vAlign w:val="bottom"/>
            <w:tcBorders>
              <w:top w:val="single" w:sz="8" w:color="E5E5E5"/>
            </w:tcBorders>
            <w:shd w:val="clear" w:color="auto" w:fill="E5E5E5"/>
          </w:tcPr>
          <w:p>
            <w:pPr>
              <w:spacing w:after="0" w:line="155" w:lineRule="exact"/>
              <w:rPr>
                <w:sz w:val="20"/>
                <w:szCs w:val="20"/>
                <w:color w:val="auto"/>
              </w:rPr>
            </w:pPr>
            <w:r>
              <w:rPr>
                <w:rFonts w:ascii="Arial" w:cs="Arial" w:eastAsia="Arial" w:hAnsi="Arial"/>
                <w:sz w:val="14"/>
                <w:szCs w:val="14"/>
                <w:b w:val="1"/>
                <w:bCs w:val="1"/>
                <w:color w:val="auto"/>
              </w:rPr>
              <w:t>Lead Vector</w:t>
            </w:r>
          </w:p>
        </w:tc>
        <w:tc>
          <w:tcPr>
            <w:tcW w:w="2100" w:type="dxa"/>
            <w:vAlign w:val="bottom"/>
            <w:tcBorders>
              <w:top w:val="single" w:sz="8" w:color="auto"/>
            </w:tcBorders>
            <w:shd w:val="clear" w:color="auto" w:fill="E5E5E5"/>
          </w:tcPr>
          <w:p>
            <w:pPr>
              <w:jc w:val="center"/>
              <w:ind w:right="48"/>
              <w:spacing w:after="0" w:line="155" w:lineRule="exact"/>
              <w:rPr>
                <w:sz w:val="20"/>
                <w:szCs w:val="20"/>
                <w:color w:val="auto"/>
              </w:rPr>
            </w:pPr>
            <w:r>
              <w:rPr>
                <w:rFonts w:ascii="Arial" w:cs="Arial" w:eastAsia="Arial" w:hAnsi="Arial"/>
                <w:sz w:val="14"/>
                <w:szCs w:val="14"/>
                <w:b w:val="1"/>
                <w:bCs w:val="1"/>
                <w:color w:val="auto"/>
              </w:rPr>
              <w:t>4D-C102</w:t>
            </w:r>
          </w:p>
        </w:tc>
        <w:tc>
          <w:tcPr>
            <w:tcW w:w="2100" w:type="dxa"/>
            <w:vAlign w:val="bottom"/>
            <w:tcBorders>
              <w:top w:val="single" w:sz="8" w:color="auto"/>
            </w:tcBorders>
            <w:shd w:val="clear" w:color="auto" w:fill="E5E5E5"/>
          </w:tcPr>
          <w:p>
            <w:pPr>
              <w:jc w:val="center"/>
              <w:ind w:left="48"/>
              <w:spacing w:after="0" w:line="155" w:lineRule="exact"/>
              <w:rPr>
                <w:sz w:val="20"/>
                <w:szCs w:val="20"/>
                <w:color w:val="auto"/>
              </w:rPr>
            </w:pPr>
            <w:r>
              <w:rPr>
                <w:rFonts w:ascii="Arial" w:cs="Arial" w:eastAsia="Arial" w:hAnsi="Arial"/>
                <w:sz w:val="14"/>
                <w:szCs w:val="14"/>
                <w:b w:val="1"/>
                <w:bCs w:val="1"/>
                <w:color w:val="auto"/>
              </w:rPr>
              <w:t>4D-STAR100</w:t>
            </w:r>
          </w:p>
        </w:tc>
        <w:tc>
          <w:tcPr>
            <w:tcW w:w="220" w:type="dxa"/>
            <w:vAlign w:val="bottom"/>
            <w:tcBorders>
              <w:top w:val="single" w:sz="8" w:color="E5E5E5"/>
            </w:tcBorders>
            <w:shd w:val="clear" w:color="auto" w:fill="E5E5E5"/>
          </w:tcPr>
          <w:p>
            <w:pPr>
              <w:spacing w:after="0"/>
              <w:rPr>
                <w:sz w:val="13"/>
                <w:szCs w:val="13"/>
                <w:color w:val="auto"/>
              </w:rPr>
            </w:pPr>
          </w:p>
        </w:tc>
        <w:tc>
          <w:tcPr>
            <w:tcW w:w="1980" w:type="dxa"/>
            <w:vAlign w:val="bottom"/>
            <w:tcBorders>
              <w:top w:val="single" w:sz="8" w:color="auto"/>
            </w:tcBorders>
            <w:shd w:val="clear" w:color="auto" w:fill="E5E5E5"/>
          </w:tcPr>
          <w:p>
            <w:pPr>
              <w:jc w:val="center"/>
              <w:spacing w:after="0" w:line="155" w:lineRule="exact"/>
              <w:rPr>
                <w:sz w:val="20"/>
                <w:szCs w:val="20"/>
                <w:color w:val="auto"/>
              </w:rPr>
            </w:pPr>
            <w:r>
              <w:rPr>
                <w:rFonts w:ascii="Arial" w:cs="Arial" w:eastAsia="Arial" w:hAnsi="Arial"/>
                <w:sz w:val="14"/>
                <w:szCs w:val="14"/>
                <w:b w:val="1"/>
                <w:bCs w:val="1"/>
                <w:color w:val="auto"/>
                <w:w w:val="99"/>
              </w:rPr>
              <w:t>4D-A101</w:t>
            </w:r>
          </w:p>
        </w:tc>
        <w:tc>
          <w:tcPr>
            <w:tcW w:w="200" w:type="dxa"/>
            <w:vAlign w:val="bottom"/>
            <w:tcBorders>
              <w:top w:val="single" w:sz="8" w:color="E5E5E5"/>
            </w:tcBorders>
            <w:shd w:val="clear" w:color="auto" w:fill="E5E5E5"/>
          </w:tcPr>
          <w:p>
            <w:pPr>
              <w:spacing w:after="0"/>
              <w:rPr>
                <w:sz w:val="13"/>
                <w:szCs w:val="13"/>
                <w:color w:val="auto"/>
              </w:rPr>
            </w:pPr>
          </w:p>
        </w:tc>
        <w:tc>
          <w:tcPr>
            <w:tcW w:w="1880" w:type="dxa"/>
            <w:vAlign w:val="bottom"/>
            <w:tcBorders>
              <w:top w:val="single" w:sz="8" w:color="auto"/>
            </w:tcBorders>
            <w:shd w:val="clear" w:color="auto" w:fill="E5E5E5"/>
          </w:tcPr>
          <w:p>
            <w:pPr>
              <w:jc w:val="center"/>
              <w:spacing w:after="0" w:line="155" w:lineRule="exact"/>
              <w:rPr>
                <w:sz w:val="20"/>
                <w:szCs w:val="20"/>
                <w:color w:val="auto"/>
              </w:rPr>
            </w:pPr>
            <w:r>
              <w:rPr>
                <w:rFonts w:ascii="Arial" w:cs="Arial" w:eastAsia="Arial" w:hAnsi="Arial"/>
                <w:sz w:val="14"/>
                <w:szCs w:val="14"/>
                <w:b w:val="1"/>
                <w:bCs w:val="1"/>
                <w:color w:val="auto"/>
              </w:rPr>
              <w:t>4D-R100</w:t>
            </w:r>
          </w:p>
        </w:tc>
      </w:tr>
      <w:tr>
        <w:trPr>
          <w:trHeight w:val="221"/>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Tissue and Cell Types Targeted</w:t>
            </w:r>
          </w:p>
        </w:tc>
        <w:tc>
          <w:tcPr>
            <w:tcW w:w="2100" w:type="dxa"/>
            <w:vAlign w:val="bottom"/>
          </w:tcPr>
          <w:p>
            <w:pPr>
              <w:jc w:val="center"/>
              <w:ind w:right="48"/>
              <w:spacing w:after="0"/>
              <w:rPr>
                <w:sz w:val="20"/>
                <w:szCs w:val="20"/>
                <w:color w:val="auto"/>
              </w:rPr>
            </w:pPr>
            <w:r>
              <w:rPr>
                <w:rFonts w:ascii="Arial" w:cs="Arial" w:eastAsia="Arial" w:hAnsi="Arial"/>
                <w:sz w:val="14"/>
                <w:szCs w:val="14"/>
                <w:color w:val="auto"/>
              </w:rPr>
              <w:t>Diffuse Regions throughout</w:t>
            </w:r>
          </w:p>
        </w:tc>
        <w:tc>
          <w:tcPr>
            <w:tcW w:w="2320" w:type="dxa"/>
            <w:vAlign w:val="bottom"/>
            <w:gridSpan w:val="2"/>
          </w:tcPr>
          <w:p>
            <w:pPr>
              <w:jc w:val="center"/>
              <w:ind w:right="100"/>
              <w:spacing w:after="0"/>
              <w:rPr>
                <w:sz w:val="20"/>
                <w:szCs w:val="20"/>
                <w:color w:val="auto"/>
              </w:rPr>
            </w:pPr>
            <w:r>
              <w:rPr>
                <w:rFonts w:ascii="Arial" w:cs="Arial" w:eastAsia="Arial" w:hAnsi="Arial"/>
                <w:sz w:val="14"/>
                <w:szCs w:val="14"/>
                <w:color w:val="auto"/>
              </w:rPr>
              <w:t>Diffuse Regions throughout</w:t>
            </w:r>
          </w:p>
        </w:tc>
        <w:tc>
          <w:tcPr>
            <w:tcW w:w="2180" w:type="dxa"/>
            <w:vAlign w:val="bottom"/>
            <w:gridSpan w:val="2"/>
          </w:tcPr>
          <w:p>
            <w:pPr>
              <w:jc w:val="center"/>
              <w:ind w:right="240"/>
              <w:spacing w:after="0"/>
              <w:rPr>
                <w:sz w:val="20"/>
                <w:szCs w:val="20"/>
                <w:color w:val="auto"/>
              </w:rPr>
            </w:pPr>
            <w:r>
              <w:rPr>
                <w:rFonts w:ascii="Arial" w:cs="Arial" w:eastAsia="Arial" w:hAnsi="Arial"/>
                <w:sz w:val="14"/>
                <w:szCs w:val="14"/>
                <w:color w:val="auto"/>
              </w:rPr>
              <w:t>Diffuse Regions throughout</w:t>
            </w:r>
          </w:p>
        </w:tc>
        <w:tc>
          <w:tcPr>
            <w:tcW w:w="1880" w:type="dxa"/>
            <w:vAlign w:val="bottom"/>
          </w:tcPr>
          <w:p>
            <w:pPr>
              <w:jc w:val="center"/>
              <w:spacing w:after="0"/>
              <w:rPr>
                <w:sz w:val="20"/>
                <w:szCs w:val="20"/>
                <w:color w:val="auto"/>
              </w:rPr>
            </w:pPr>
            <w:r>
              <w:rPr>
                <w:rFonts w:ascii="Arial" w:cs="Arial" w:eastAsia="Arial" w:hAnsi="Arial"/>
                <w:sz w:val="14"/>
                <w:szCs w:val="14"/>
                <w:color w:val="auto"/>
              </w:rPr>
              <w:t>Multiple Layers and</w:t>
            </w:r>
          </w:p>
        </w:tc>
      </w:tr>
      <w:tr>
        <w:trPr>
          <w:trHeight w:val="162"/>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100" w:type="dxa"/>
            <w:vAlign w:val="bottom"/>
          </w:tcPr>
          <w:p>
            <w:pPr>
              <w:jc w:val="center"/>
              <w:ind w:right="68"/>
              <w:spacing w:after="0"/>
              <w:rPr>
                <w:sz w:val="20"/>
                <w:szCs w:val="20"/>
                <w:color w:val="auto"/>
              </w:rPr>
            </w:pPr>
            <w:r>
              <w:rPr>
                <w:rFonts w:ascii="Arial" w:cs="Arial" w:eastAsia="Arial" w:hAnsi="Arial"/>
                <w:sz w:val="14"/>
                <w:szCs w:val="14"/>
                <w:color w:val="auto"/>
              </w:rPr>
              <w:t>Heart and Skeletal Muscle</w:t>
            </w:r>
          </w:p>
        </w:tc>
        <w:tc>
          <w:tcPr>
            <w:tcW w:w="2320" w:type="dxa"/>
            <w:vAlign w:val="bottom"/>
            <w:gridSpan w:val="2"/>
          </w:tcPr>
          <w:p>
            <w:pPr>
              <w:jc w:val="center"/>
              <w:ind w:right="120"/>
              <w:spacing w:after="0"/>
              <w:rPr>
                <w:sz w:val="20"/>
                <w:szCs w:val="20"/>
                <w:color w:val="auto"/>
              </w:rPr>
            </w:pPr>
            <w:r>
              <w:rPr>
                <w:rFonts w:ascii="Arial" w:cs="Arial" w:eastAsia="Arial" w:hAnsi="Arial"/>
                <w:sz w:val="14"/>
                <w:szCs w:val="14"/>
                <w:color w:val="auto"/>
              </w:rPr>
              <w:t>Heart and Skeletal Muscle</w:t>
            </w: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color w:val="auto"/>
              </w:rPr>
              <w:t>Lung</w:t>
            </w:r>
          </w:p>
        </w:tc>
        <w:tc>
          <w:tcPr>
            <w:tcW w:w="1880" w:type="dxa"/>
            <w:vAlign w:val="bottom"/>
          </w:tcPr>
          <w:p>
            <w:pPr>
              <w:jc w:val="center"/>
              <w:spacing w:after="0"/>
              <w:rPr>
                <w:sz w:val="20"/>
                <w:szCs w:val="20"/>
                <w:color w:val="auto"/>
              </w:rPr>
            </w:pPr>
            <w:r>
              <w:rPr>
                <w:rFonts w:ascii="Arial" w:cs="Arial" w:eastAsia="Arial" w:hAnsi="Arial"/>
                <w:sz w:val="14"/>
                <w:szCs w:val="14"/>
                <w:color w:val="auto"/>
              </w:rPr>
              <w:t>Widespread Distribution in</w:t>
            </w:r>
          </w:p>
        </w:tc>
      </w:tr>
      <w:tr>
        <w:trPr>
          <w:trHeight w:val="157"/>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jc w:val="center"/>
              <w:spacing w:after="0" w:line="157" w:lineRule="exact"/>
              <w:rPr>
                <w:sz w:val="20"/>
                <w:szCs w:val="20"/>
                <w:color w:val="auto"/>
              </w:rPr>
            </w:pPr>
            <w:r>
              <w:rPr>
                <w:rFonts w:ascii="Arial" w:cs="Arial" w:eastAsia="Arial" w:hAnsi="Arial"/>
                <w:sz w:val="14"/>
                <w:szCs w:val="14"/>
                <w:color w:val="auto"/>
              </w:rPr>
              <w:t>Retina</w:t>
            </w:r>
          </w:p>
        </w:tc>
      </w:tr>
      <w:tr>
        <w:trPr>
          <w:trHeight w:val="216"/>
        </w:trPr>
        <w:tc>
          <w:tcPr>
            <w:tcW w:w="20" w:type="dxa"/>
            <w:vAlign w:val="bottom"/>
          </w:tcPr>
          <w:p>
            <w:pPr>
              <w:spacing w:after="0"/>
              <w:rPr>
                <w:sz w:val="18"/>
                <w:szCs w:val="18"/>
                <w:color w:val="auto"/>
              </w:rPr>
            </w:pPr>
          </w:p>
        </w:tc>
        <w:tc>
          <w:tcPr>
            <w:tcW w:w="2540" w:type="dxa"/>
            <w:vAlign w:val="bottom"/>
            <w:shd w:val="clear" w:color="auto" w:fill="E5E5E5"/>
          </w:tcPr>
          <w:p>
            <w:pPr>
              <w:spacing w:after="0"/>
              <w:rPr>
                <w:sz w:val="20"/>
                <w:szCs w:val="20"/>
                <w:color w:val="auto"/>
              </w:rPr>
            </w:pPr>
            <w:r>
              <w:rPr>
                <w:rFonts w:ascii="Arial" w:cs="Arial" w:eastAsia="Arial" w:hAnsi="Arial"/>
                <w:sz w:val="14"/>
                <w:szCs w:val="14"/>
                <w:b w:val="1"/>
                <w:bCs w:val="1"/>
                <w:color w:val="auto"/>
              </w:rPr>
              <w:t>4DMT Product Candidate</w:t>
            </w:r>
          </w:p>
        </w:tc>
        <w:tc>
          <w:tcPr>
            <w:tcW w:w="2100" w:type="dxa"/>
            <w:vAlign w:val="bottom"/>
            <w:shd w:val="clear" w:color="auto" w:fill="E5E5E5"/>
          </w:tcPr>
          <w:p>
            <w:pPr>
              <w:jc w:val="center"/>
              <w:ind w:right="48"/>
              <w:spacing w:after="0"/>
              <w:rPr>
                <w:sz w:val="20"/>
                <w:szCs w:val="20"/>
                <w:color w:val="auto"/>
              </w:rPr>
            </w:pPr>
            <w:r>
              <w:rPr>
                <w:rFonts w:ascii="Arial" w:cs="Arial" w:eastAsia="Arial" w:hAnsi="Arial"/>
                <w:sz w:val="14"/>
                <w:szCs w:val="14"/>
                <w:b w:val="1"/>
                <w:bCs w:val="1"/>
                <w:color w:val="auto"/>
              </w:rPr>
              <w:t>4D-310</w:t>
            </w:r>
          </w:p>
        </w:tc>
        <w:tc>
          <w:tcPr>
            <w:tcW w:w="2320" w:type="dxa"/>
            <w:vAlign w:val="bottom"/>
            <w:gridSpan w:val="2"/>
            <w:shd w:val="clear" w:color="auto" w:fill="E5E5E5"/>
          </w:tcPr>
          <w:p>
            <w:pPr>
              <w:jc w:val="center"/>
              <w:ind w:right="120"/>
              <w:spacing w:after="0"/>
              <w:rPr>
                <w:sz w:val="20"/>
                <w:szCs w:val="20"/>
                <w:color w:val="auto"/>
              </w:rPr>
            </w:pPr>
            <w:r>
              <w:rPr>
                <w:rFonts w:ascii="Arial" w:cs="Arial" w:eastAsia="Arial" w:hAnsi="Arial"/>
                <w:sz w:val="14"/>
                <w:szCs w:val="14"/>
                <w:b w:val="1"/>
                <w:bCs w:val="1"/>
                <w:color w:val="auto"/>
              </w:rPr>
              <w:t>Lead Optimization</w:t>
            </w:r>
          </w:p>
        </w:tc>
        <w:tc>
          <w:tcPr>
            <w:tcW w:w="2180" w:type="dxa"/>
            <w:vAlign w:val="bottom"/>
            <w:gridSpan w:val="2"/>
            <w:shd w:val="clear" w:color="auto" w:fill="E5E5E5"/>
          </w:tcPr>
          <w:p>
            <w:pPr>
              <w:jc w:val="center"/>
              <w:ind w:right="220"/>
              <w:spacing w:after="0"/>
              <w:rPr>
                <w:sz w:val="20"/>
                <w:szCs w:val="20"/>
                <w:color w:val="auto"/>
              </w:rPr>
            </w:pPr>
            <w:r>
              <w:rPr>
                <w:rFonts w:ascii="Arial" w:cs="Arial" w:eastAsia="Arial" w:hAnsi="Arial"/>
                <w:sz w:val="14"/>
                <w:szCs w:val="14"/>
                <w:b w:val="1"/>
                <w:bCs w:val="1"/>
                <w:color w:val="auto"/>
              </w:rPr>
              <w:t>4D-710</w:t>
            </w:r>
          </w:p>
        </w:tc>
        <w:tc>
          <w:tcPr>
            <w:tcW w:w="1880" w:type="dxa"/>
            <w:vAlign w:val="bottom"/>
            <w:shd w:val="clear" w:color="auto" w:fill="E5E5E5"/>
          </w:tcPr>
          <w:p>
            <w:pPr>
              <w:jc w:val="center"/>
              <w:spacing w:after="0"/>
              <w:rPr>
                <w:sz w:val="20"/>
                <w:szCs w:val="20"/>
                <w:color w:val="auto"/>
              </w:rPr>
            </w:pPr>
            <w:r>
              <w:rPr>
                <w:rFonts w:ascii="Arial" w:cs="Arial" w:eastAsia="Arial" w:hAnsi="Arial"/>
                <w:sz w:val="14"/>
                <w:szCs w:val="14"/>
                <w:b w:val="1"/>
                <w:bCs w:val="1"/>
                <w:color w:val="auto"/>
              </w:rPr>
              <w:t>4D-125 / 4D-110</w:t>
            </w:r>
          </w:p>
        </w:tc>
      </w:tr>
      <w:tr>
        <w:trPr>
          <w:trHeight w:val="216"/>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Route of Administration</w:t>
            </w:r>
          </w:p>
        </w:tc>
        <w:tc>
          <w:tcPr>
            <w:tcW w:w="2100" w:type="dxa"/>
            <w:vAlign w:val="bottom"/>
          </w:tcPr>
          <w:p>
            <w:pPr>
              <w:jc w:val="center"/>
              <w:ind w:right="48"/>
              <w:spacing w:after="0"/>
              <w:rPr>
                <w:sz w:val="20"/>
                <w:szCs w:val="20"/>
                <w:color w:val="auto"/>
              </w:rPr>
            </w:pPr>
            <w:r>
              <w:rPr>
                <w:rFonts w:ascii="Arial" w:cs="Arial" w:eastAsia="Arial" w:hAnsi="Arial"/>
                <w:sz w:val="14"/>
                <w:szCs w:val="14"/>
                <w:color w:val="auto"/>
              </w:rPr>
              <w:t>Intravenous</w:t>
            </w:r>
          </w:p>
        </w:tc>
        <w:tc>
          <w:tcPr>
            <w:tcW w:w="2320" w:type="dxa"/>
            <w:vAlign w:val="bottom"/>
            <w:gridSpan w:val="2"/>
          </w:tcPr>
          <w:p>
            <w:pPr>
              <w:jc w:val="center"/>
              <w:ind w:right="120"/>
              <w:spacing w:after="0"/>
              <w:rPr>
                <w:sz w:val="20"/>
                <w:szCs w:val="20"/>
                <w:color w:val="auto"/>
              </w:rPr>
            </w:pPr>
            <w:r>
              <w:rPr>
                <w:rFonts w:ascii="Arial" w:cs="Arial" w:eastAsia="Arial" w:hAnsi="Arial"/>
                <w:sz w:val="14"/>
                <w:szCs w:val="14"/>
                <w:color w:val="auto"/>
              </w:rPr>
              <w:t>Intravenous</w:t>
            </w: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color w:val="auto"/>
              </w:rPr>
              <w:t>Aerosolized</w:t>
            </w:r>
          </w:p>
        </w:tc>
        <w:tc>
          <w:tcPr>
            <w:tcW w:w="1880" w:type="dxa"/>
            <w:vAlign w:val="bottom"/>
          </w:tcPr>
          <w:p>
            <w:pPr>
              <w:jc w:val="center"/>
              <w:spacing w:after="0"/>
              <w:rPr>
                <w:sz w:val="20"/>
                <w:szCs w:val="20"/>
                <w:color w:val="auto"/>
              </w:rPr>
            </w:pPr>
            <w:r>
              <w:rPr>
                <w:rFonts w:ascii="Arial" w:cs="Arial" w:eastAsia="Arial" w:hAnsi="Arial"/>
                <w:sz w:val="14"/>
                <w:szCs w:val="14"/>
                <w:color w:val="auto"/>
              </w:rPr>
              <w:t>Intravitreal</w:t>
            </w:r>
          </w:p>
        </w:tc>
      </w:tr>
      <w:tr>
        <w:trPr>
          <w:trHeight w:val="203"/>
        </w:trPr>
        <w:tc>
          <w:tcPr>
            <w:tcW w:w="20" w:type="dxa"/>
            <w:vAlign w:val="bottom"/>
          </w:tcPr>
          <w:p>
            <w:pPr>
              <w:spacing w:after="0"/>
              <w:rPr>
                <w:sz w:val="17"/>
                <w:szCs w:val="17"/>
                <w:color w:val="auto"/>
              </w:rPr>
            </w:pPr>
          </w:p>
        </w:tc>
        <w:tc>
          <w:tcPr>
            <w:tcW w:w="2540" w:type="dxa"/>
            <w:vAlign w:val="bottom"/>
            <w:shd w:val="clear" w:color="auto" w:fill="E5E5E5"/>
          </w:tcPr>
          <w:p>
            <w:pPr>
              <w:spacing w:after="0"/>
              <w:rPr>
                <w:sz w:val="20"/>
                <w:szCs w:val="20"/>
                <w:color w:val="auto"/>
              </w:rPr>
            </w:pPr>
            <w:r>
              <w:rPr>
                <w:rFonts w:ascii="Arial" w:cs="Arial" w:eastAsia="Arial" w:hAnsi="Arial"/>
                <w:sz w:val="14"/>
                <w:szCs w:val="14"/>
                <w:b w:val="1"/>
                <w:bCs w:val="1"/>
                <w:color w:val="auto"/>
              </w:rPr>
              <w:t>Selected for Resistance to</w:t>
            </w:r>
          </w:p>
        </w:tc>
        <w:tc>
          <w:tcPr>
            <w:tcW w:w="2100" w:type="dxa"/>
            <w:vAlign w:val="bottom"/>
            <w:shd w:val="clear" w:color="auto" w:fill="E5E5E5"/>
          </w:tcPr>
          <w:p>
            <w:pPr>
              <w:jc w:val="center"/>
              <w:ind w:right="48"/>
              <w:spacing w:after="0"/>
              <w:rPr>
                <w:sz w:val="20"/>
                <w:szCs w:val="20"/>
                <w:color w:val="auto"/>
              </w:rPr>
            </w:pPr>
            <w:r>
              <w:rPr>
                <w:rFonts w:ascii="Arial" w:cs="Arial" w:eastAsia="Arial" w:hAnsi="Arial"/>
                <w:sz w:val="14"/>
                <w:szCs w:val="14"/>
                <w:color w:val="auto"/>
                <w:w w:val="90"/>
              </w:rPr>
              <w:t>Yes</w:t>
            </w:r>
          </w:p>
        </w:tc>
        <w:tc>
          <w:tcPr>
            <w:tcW w:w="2320" w:type="dxa"/>
            <w:vAlign w:val="bottom"/>
            <w:gridSpan w:val="2"/>
            <w:shd w:val="clear" w:color="auto" w:fill="E5E5E5"/>
          </w:tcPr>
          <w:p>
            <w:pPr>
              <w:jc w:val="center"/>
              <w:ind w:right="120"/>
              <w:spacing w:after="0"/>
              <w:rPr>
                <w:sz w:val="20"/>
                <w:szCs w:val="20"/>
                <w:color w:val="auto"/>
              </w:rPr>
            </w:pPr>
            <w:r>
              <w:rPr>
                <w:rFonts w:ascii="Arial" w:cs="Arial" w:eastAsia="Arial" w:hAnsi="Arial"/>
                <w:sz w:val="14"/>
                <w:szCs w:val="14"/>
                <w:color w:val="auto"/>
                <w:w w:val="99"/>
              </w:rPr>
              <w:t>Yes</w:t>
            </w:r>
          </w:p>
        </w:tc>
        <w:tc>
          <w:tcPr>
            <w:tcW w:w="2180" w:type="dxa"/>
            <w:vAlign w:val="bottom"/>
            <w:gridSpan w:val="2"/>
            <w:shd w:val="clear" w:color="auto" w:fill="E5E5E5"/>
          </w:tcPr>
          <w:p>
            <w:pPr>
              <w:jc w:val="center"/>
              <w:ind w:right="220"/>
              <w:spacing w:after="0"/>
              <w:rPr>
                <w:sz w:val="20"/>
                <w:szCs w:val="20"/>
                <w:color w:val="auto"/>
              </w:rPr>
            </w:pPr>
            <w:r>
              <w:rPr>
                <w:rFonts w:ascii="Arial" w:cs="Arial" w:eastAsia="Arial" w:hAnsi="Arial"/>
                <w:sz w:val="14"/>
                <w:szCs w:val="14"/>
                <w:color w:val="auto"/>
                <w:w w:val="99"/>
              </w:rPr>
              <w:t>Yes</w:t>
            </w:r>
          </w:p>
        </w:tc>
        <w:tc>
          <w:tcPr>
            <w:tcW w:w="188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N/A (eye is generally</w:t>
            </w:r>
          </w:p>
        </w:tc>
      </w:tr>
      <w:tr>
        <w:trPr>
          <w:trHeight w:val="162"/>
        </w:trPr>
        <w:tc>
          <w:tcPr>
            <w:tcW w:w="20" w:type="dxa"/>
            <w:vAlign w:val="bottom"/>
          </w:tcPr>
          <w:p>
            <w:pPr>
              <w:spacing w:after="0"/>
              <w:rPr>
                <w:sz w:val="14"/>
                <w:szCs w:val="14"/>
                <w:color w:val="auto"/>
              </w:rPr>
            </w:pPr>
          </w:p>
        </w:tc>
        <w:tc>
          <w:tcPr>
            <w:tcW w:w="2540" w:type="dxa"/>
            <w:vAlign w:val="bottom"/>
            <w:shd w:val="clear" w:color="auto" w:fill="E5E5E5"/>
          </w:tcPr>
          <w:p>
            <w:pPr>
              <w:spacing w:after="0"/>
              <w:rPr>
                <w:sz w:val="20"/>
                <w:szCs w:val="20"/>
                <w:color w:val="auto"/>
              </w:rPr>
            </w:pPr>
            <w:r>
              <w:rPr>
                <w:rFonts w:ascii="Arial" w:cs="Arial" w:eastAsia="Arial" w:hAnsi="Arial"/>
                <w:sz w:val="14"/>
                <w:szCs w:val="14"/>
                <w:b w:val="1"/>
                <w:bCs w:val="1"/>
                <w:color w:val="auto"/>
              </w:rPr>
              <w:t>Pre-existing Antibodies in Human</w:t>
            </w:r>
          </w:p>
        </w:tc>
        <w:tc>
          <w:tcPr>
            <w:tcW w:w="2100" w:type="dxa"/>
            <w:vAlign w:val="bottom"/>
            <w:shd w:val="clear" w:color="auto" w:fill="E5E5E5"/>
          </w:tcPr>
          <w:p>
            <w:pPr>
              <w:spacing w:after="0"/>
              <w:rPr>
                <w:sz w:val="14"/>
                <w:szCs w:val="14"/>
                <w:color w:val="auto"/>
              </w:rPr>
            </w:pPr>
          </w:p>
        </w:tc>
        <w:tc>
          <w:tcPr>
            <w:tcW w:w="210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98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88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immune-privileged)</w:t>
            </w:r>
          </w:p>
        </w:tc>
      </w:tr>
      <w:tr>
        <w:trPr>
          <w:trHeight w:val="175"/>
        </w:trPr>
        <w:tc>
          <w:tcPr>
            <w:tcW w:w="20" w:type="dxa"/>
            <w:vAlign w:val="bottom"/>
          </w:tcPr>
          <w:p>
            <w:pPr>
              <w:spacing w:after="0"/>
              <w:rPr>
                <w:sz w:val="15"/>
                <w:szCs w:val="15"/>
                <w:color w:val="auto"/>
              </w:rPr>
            </w:pPr>
          </w:p>
        </w:tc>
        <w:tc>
          <w:tcPr>
            <w:tcW w:w="2540" w:type="dxa"/>
            <w:vAlign w:val="bottom"/>
            <w:shd w:val="clear" w:color="auto" w:fill="E5E5E5"/>
          </w:tcPr>
          <w:p>
            <w:pPr>
              <w:spacing w:after="0"/>
              <w:rPr>
                <w:sz w:val="20"/>
                <w:szCs w:val="20"/>
                <w:color w:val="auto"/>
              </w:rPr>
            </w:pPr>
            <w:r>
              <w:rPr>
                <w:rFonts w:ascii="Arial" w:cs="Arial" w:eastAsia="Arial" w:hAnsi="Arial"/>
                <w:sz w:val="14"/>
                <w:szCs w:val="14"/>
                <w:b w:val="1"/>
                <w:bCs w:val="1"/>
                <w:color w:val="auto"/>
              </w:rPr>
              <w:t>Serum</w:t>
            </w:r>
          </w:p>
        </w:tc>
        <w:tc>
          <w:tcPr>
            <w:tcW w:w="2100" w:type="dxa"/>
            <w:vAlign w:val="bottom"/>
            <w:shd w:val="clear" w:color="auto" w:fill="E5E5E5"/>
          </w:tcPr>
          <w:p>
            <w:pPr>
              <w:spacing w:after="0"/>
              <w:rPr>
                <w:sz w:val="15"/>
                <w:szCs w:val="15"/>
                <w:color w:val="auto"/>
              </w:rPr>
            </w:pPr>
          </w:p>
        </w:tc>
        <w:tc>
          <w:tcPr>
            <w:tcW w:w="21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98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880" w:type="dxa"/>
            <w:vAlign w:val="bottom"/>
            <w:shd w:val="clear" w:color="auto" w:fill="E5E5E5"/>
          </w:tcPr>
          <w:p>
            <w:pPr>
              <w:spacing w:after="0"/>
              <w:rPr>
                <w:sz w:val="15"/>
                <w:szCs w:val="15"/>
                <w:color w:val="auto"/>
              </w:rPr>
            </w:pPr>
          </w:p>
        </w:tc>
      </w:tr>
      <w:tr>
        <w:trPr>
          <w:trHeight w:val="257"/>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Conventional AAV Typically Used</w:t>
            </w:r>
          </w:p>
        </w:tc>
        <w:tc>
          <w:tcPr>
            <w:tcW w:w="2100" w:type="dxa"/>
            <w:vAlign w:val="bottom"/>
          </w:tcPr>
          <w:p>
            <w:pPr>
              <w:jc w:val="center"/>
              <w:ind w:right="48"/>
              <w:spacing w:after="0"/>
              <w:rPr>
                <w:sz w:val="20"/>
                <w:szCs w:val="20"/>
                <w:color w:val="auto"/>
              </w:rPr>
            </w:pPr>
            <w:r>
              <w:rPr>
                <w:rFonts w:ascii="Arial" w:cs="Arial" w:eastAsia="Arial" w:hAnsi="Arial"/>
                <w:sz w:val="14"/>
                <w:szCs w:val="14"/>
                <w:color w:val="auto"/>
                <w:w w:val="99"/>
              </w:rPr>
              <w:t>AAV1, AAV8, AAVrh74, AAV9</w:t>
            </w:r>
          </w:p>
        </w:tc>
        <w:tc>
          <w:tcPr>
            <w:tcW w:w="2320" w:type="dxa"/>
            <w:vAlign w:val="bottom"/>
            <w:gridSpan w:val="2"/>
          </w:tcPr>
          <w:p>
            <w:pPr>
              <w:jc w:val="center"/>
              <w:ind w:right="120"/>
              <w:spacing w:after="0"/>
              <w:rPr>
                <w:sz w:val="20"/>
                <w:szCs w:val="20"/>
                <w:color w:val="auto"/>
              </w:rPr>
            </w:pPr>
            <w:r>
              <w:rPr>
                <w:rFonts w:ascii="Arial" w:cs="Arial" w:eastAsia="Arial" w:hAnsi="Arial"/>
                <w:sz w:val="14"/>
                <w:szCs w:val="14"/>
                <w:color w:val="auto"/>
              </w:rPr>
              <w:t>AAV1, AAV8, AAVrh74, AAV9</w:t>
            </w: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color w:val="auto"/>
              </w:rPr>
              <w:t>AAV2</w:t>
            </w:r>
          </w:p>
        </w:tc>
        <w:tc>
          <w:tcPr>
            <w:tcW w:w="1880" w:type="dxa"/>
            <w:vAlign w:val="bottom"/>
          </w:tcPr>
          <w:p>
            <w:pPr>
              <w:jc w:val="center"/>
              <w:spacing w:after="0"/>
              <w:rPr>
                <w:sz w:val="20"/>
                <w:szCs w:val="20"/>
                <w:color w:val="auto"/>
              </w:rPr>
            </w:pPr>
            <w:r>
              <w:rPr>
                <w:rFonts w:ascii="Arial" w:cs="Arial" w:eastAsia="Arial" w:hAnsi="Arial"/>
                <w:sz w:val="14"/>
                <w:szCs w:val="14"/>
                <w:color w:val="auto"/>
              </w:rPr>
              <w:t>AAV2</w:t>
            </w:r>
          </w:p>
        </w:tc>
      </w:tr>
      <w:tr>
        <w:trPr>
          <w:trHeight w:val="190"/>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for Tissue Target in Humans</w:t>
            </w:r>
          </w:p>
        </w:tc>
        <w:tc>
          <w:tcPr>
            <w:tcW w:w="2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r>
    </w:tbl>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firstLine="551"/>
        <w:spacing w:after="0" w:line="238" w:lineRule="auto"/>
        <w:rPr>
          <w:sz w:val="20"/>
          <w:szCs w:val="20"/>
          <w:color w:val="auto"/>
        </w:rPr>
      </w:pPr>
      <w:r>
        <w:rPr>
          <w:rFonts w:ascii="Arial" w:cs="Arial" w:eastAsia="Arial" w:hAnsi="Arial"/>
          <w:sz w:val="18"/>
          <w:szCs w:val="18"/>
          <w:color w:val="auto"/>
        </w:rPr>
        <w:t>Our initial focus is on developing a broad pipeline of transformative gene therapy product candidates designed to treat patients suffering from lysosomal storage diseases, lung diseases, muscular dystrophies and ophthalmological diseases. We are developing a diverse pipeline of wholly-owned and partnered programs for both rare and large market diseases. We believe our AAV products are modular, in that a single vector can be armed with different transgene payloads in order to treat multiple diseases within the same tissue types or therapeutic areas. Our pipeline is represented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146685</wp:posOffset>
            </wp:positionV>
            <wp:extent cx="5213985" cy="254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3985"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0" w:hanging="316"/>
        <w:spacing w:after="0"/>
        <w:tabs>
          <w:tab w:leader="none" w:pos="52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Expected timing of milestone. FIH refers to first-in-human, Phase 1 or Phase 1/2, clinical studies.</w:t>
      </w:r>
    </w:p>
    <w:p>
      <w:pPr>
        <w:spacing w:after="0" w:line="15" w:lineRule="exact"/>
        <w:rPr>
          <w:sz w:val="20"/>
          <w:szCs w:val="20"/>
          <w:color w:val="auto"/>
        </w:rPr>
      </w:pPr>
    </w:p>
    <w:p>
      <w:pPr>
        <w:ind w:left="520" w:hanging="316"/>
        <w:spacing w:after="0"/>
        <w:tabs>
          <w:tab w:leader="none" w:pos="520" w:val="left"/>
        </w:tabs>
        <w:numPr>
          <w:ilvl w:val="0"/>
          <w:numId w:val="97"/>
        </w:numPr>
        <w:rPr>
          <w:rFonts w:ascii="Arial" w:cs="Arial" w:eastAsia="Arial" w:hAnsi="Arial"/>
          <w:sz w:val="14"/>
          <w:szCs w:val="14"/>
          <w:i w:val="1"/>
          <w:iCs w:val="1"/>
          <w:color w:val="auto"/>
        </w:rPr>
      </w:pPr>
      <w:r>
        <w:rPr>
          <w:rFonts w:ascii="Arial" w:cs="Arial" w:eastAsia="Arial" w:hAnsi="Arial"/>
          <w:sz w:val="14"/>
          <w:szCs w:val="14"/>
          <w:i w:val="1"/>
          <w:iCs w:val="1"/>
          <w:color w:val="auto"/>
        </w:rPr>
        <w:t>We are responsible for development of this product candidate and Roche has an exclusive option to assume development and commercialization at its sole cost and</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expense. Such option may be exercised at any time prior to pivotal trial initiation.</w:t>
      </w:r>
    </w:p>
    <w:p>
      <w:pPr>
        <w:spacing w:after="0" w:line="1" w:lineRule="exact"/>
        <w:rPr>
          <w:sz w:val="20"/>
          <w:szCs w:val="20"/>
          <w:color w:val="auto"/>
        </w:rPr>
      </w:pPr>
    </w:p>
    <w:p>
      <w:pPr>
        <w:ind w:left="520" w:hanging="316"/>
        <w:spacing w:after="0"/>
        <w:tabs>
          <w:tab w:leader="none" w:pos="520" w:val="left"/>
        </w:tabs>
        <w:numPr>
          <w:ilvl w:val="0"/>
          <w:numId w:val="98"/>
        </w:numPr>
        <w:rPr>
          <w:rFonts w:ascii="Arial" w:cs="Arial" w:eastAsia="Arial" w:hAnsi="Arial"/>
          <w:sz w:val="14"/>
          <w:szCs w:val="14"/>
          <w:i w:val="1"/>
          <w:iCs w:val="1"/>
          <w:color w:val="auto"/>
        </w:rPr>
      </w:pPr>
      <w:r>
        <w:rPr>
          <w:rFonts w:ascii="Arial" w:cs="Arial" w:eastAsia="Arial" w:hAnsi="Arial"/>
          <w:sz w:val="14"/>
          <w:szCs w:val="14"/>
          <w:i w:val="1"/>
          <w:iCs w:val="1"/>
          <w:color w:val="auto"/>
        </w:rPr>
        <w:t>We are independently optimizing lead assets in this field. If we elect to declare product candidates in the field specified in our collaboration and license agreement with</w:t>
      </w:r>
    </w:p>
    <w:p>
      <w:pPr>
        <w:spacing w:after="0" w:line="1" w:lineRule="exact"/>
        <w:rPr>
          <w:sz w:val="20"/>
          <w:szCs w:val="20"/>
          <w:color w:val="auto"/>
        </w:rPr>
      </w:pPr>
    </w:p>
    <w:p>
      <w:pPr>
        <w:ind w:left="520" w:right="160"/>
        <w:spacing w:after="0" w:line="241" w:lineRule="auto"/>
        <w:rPr>
          <w:sz w:val="20"/>
          <w:szCs w:val="20"/>
          <w:color w:val="auto"/>
        </w:rPr>
      </w:pPr>
      <w:r>
        <w:rPr>
          <w:rFonts w:ascii="Arial" w:cs="Arial" w:eastAsia="Arial" w:hAnsi="Arial"/>
          <w:sz w:val="14"/>
          <w:szCs w:val="14"/>
          <w:i w:val="1"/>
          <w:iCs w:val="1"/>
          <w:color w:val="auto"/>
        </w:rPr>
        <w:t>Roche, Roche could exercise the option to license, further develop and commercialize this product candidate at any time prior to pivotal trial initiation. See the section title “Business—Strategic Collaborations—Collaboration and License Agreement with F. Hoffman Ltd. and Hoffman-La Roche Inc.” for further information.</w:t>
      </w:r>
    </w:p>
    <w:p>
      <w:pPr>
        <w:spacing w:after="0" w:line="1" w:lineRule="exact"/>
        <w:rPr>
          <w:sz w:val="20"/>
          <w:szCs w:val="20"/>
          <w:color w:val="auto"/>
        </w:rPr>
      </w:pPr>
    </w:p>
    <w:p>
      <w:pPr>
        <w:ind w:left="520" w:right="240" w:hanging="316"/>
        <w:spacing w:after="0" w:line="258" w:lineRule="auto"/>
        <w:tabs>
          <w:tab w:leader="none" w:pos="52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Proof of concept studies for 4D-710 were conducted in a pig model of Cystic Fibrosis and utilized a species-specific (i.e., pig-specific) vector rather than the primate-specific 4D-A101 vector, which is the vector for Cystic Fibrosis product candidate 4D-710.</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4D-310 for the Treatment of Fabry Disease</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Target Product Profile</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 xml:space="preserve">4D-310 is our wholly-owned product candidate for the treatment of Fabry disease. 4D-310 is comprised of our proprietary vector 4D-C102, carrying a codon-optimized </w:t>
      </w:r>
      <w:r>
        <w:rPr>
          <w:rFonts w:ascii="Arial" w:cs="Arial" w:eastAsia="Arial" w:hAnsi="Arial"/>
          <w:sz w:val="18"/>
          <w:szCs w:val="18"/>
          <w:i w:val="1"/>
          <w:iCs w:val="1"/>
          <w:color w:val="auto"/>
        </w:rPr>
        <w:t>GLA</w:t>
      </w:r>
      <w:r>
        <w:rPr>
          <w:rFonts w:ascii="Arial" w:cs="Arial" w:eastAsia="Arial" w:hAnsi="Arial"/>
          <w:sz w:val="18"/>
          <w:szCs w:val="18"/>
          <w:color w:val="auto"/>
        </w:rPr>
        <w:t xml:space="preserve"> transgene. The product candidate is designed for efficient, single low dose intravenous delivery to cardiac tissue, kidney, liver and skeletal muscle tissues. The intended result is for alpha-galactosidase A (AGA) enzyme expression within cardiac tissues for cardiac disease correction, in addition to expression and secretion from other tissues within the body, such as skeletal muscle and kidney. We believe 4D-310 has the potential to treat “classic” (early onset) Fabry disease, as well as late onset Fabry disease, both of which are often associated with cardiomyopathy. To that end, we believe reducing substrate in cardiomyocytes would represent a strategic advantage and significant opportunity in the treatment of Fabry-associated cardiomyopathy, which we believe remains a significant unmet medical need.</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24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anticipate completing IND-enabling toxicology and biodistribution studies with 4D-310 in early 2020, and we expect 4D-310 to</w:t>
      </w:r>
    </w:p>
    <w:p>
      <w:pPr>
        <w:ind w:left="200"/>
        <w:spacing w:after="0"/>
        <w:tabs>
          <w:tab w:leader="none" w:pos="7420" w:val="left"/>
        </w:tabs>
        <w:rPr>
          <w:sz w:val="20"/>
          <w:szCs w:val="20"/>
          <w:color w:val="auto"/>
        </w:rPr>
      </w:pPr>
      <w:r>
        <w:rPr>
          <w:rFonts w:ascii="Arial" w:cs="Arial" w:eastAsia="Arial" w:hAnsi="Arial"/>
          <w:sz w:val="18"/>
          <w:szCs w:val="18"/>
          <w:color w:val="auto"/>
        </w:rPr>
        <w:t>enter clinical trials in the second half of 2020. We expect initial human data by</w:t>
      </w:r>
      <w:r>
        <w:rPr>
          <w:sz w:val="20"/>
          <w:szCs w:val="20"/>
          <w:color w:val="auto"/>
        </w:rPr>
        <w:tab/>
      </w:r>
      <w:r>
        <w:rPr>
          <w:rFonts w:ascii="Arial" w:cs="Arial" w:eastAsia="Arial" w:hAnsi="Arial"/>
          <w:sz w:val="18"/>
          <w:szCs w:val="18"/>
          <w:color w:val="auto"/>
        </w:rPr>
        <w:t>.</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Disease Background, Unmet Medical Need and Target Patient Population</w:t>
      </w:r>
    </w:p>
    <w:p>
      <w:pPr>
        <w:spacing w:after="0" w:line="122"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Fabry disease is a rare genetic disorder that results in the body’s inability to produce an enzyme called AGA, causing the accumulation of globotriaosylceramide-3 (Gb3) in critical organs, including the heart and kidney. Such substrate accumulation can lead to life-threatening heart failure, arrhythmias, vascular blockages, and various degrees of kidney dysfunction. Fabry disease is progressive and fatal, with an average life expectancy of approximately 50 years and cardiac complications being the leading cause of death. Progression of the disease causes significant reduction in the quality of life and significant economic burden associated with greater patient needs for supportive care. Classic Fabry disease is known to affect at least 5,000 males in the United States. However, we estimate the incidence rate may be higher as recent newborn screening suggests the total number of individuals with Fabry-related genetic mutations in the United States and EU-5 could fall between 50,000 and 70,000. Moreover, a recent multicenter study estimated that 57% of patients seen in the clinic are of the classic phenotype. Thus, we estimate the total addressable male Fabry patient population in the United States to be approximately 10,000 individuals, and including the EU-5, we estimate the total addressable male population to be approximately 18,800 individuals.</w:t>
      </w:r>
    </w:p>
    <w:p>
      <w:pPr>
        <w:spacing w:after="0" w:line="206"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Fabry disease is currently treated by regular infusions, approximately every two weeks, of replacement AGA enzyme, a class of therapies broadly referred to as ERTs. Two of these approved ERT products are Fabrazyme from Sanofi and Replagal from Takeda, both of which are administered to patients every two weeks. In addition to high burdens of therapy, patients on these ERTs may be exposed to sub-therapeutic levels of AGA for a period of time between infusions, potentially leading to recurrences of disease symptoms and complications. Furthermore, ERTs reportedly lack efficient uptake by cardiac muscle cells; hence the patients remain at risk of cardiac complications, including death. Specifically, a medical officer’s review of Fabrazyme which was conducted during the U.S. Food and Drug Administration (FDA)’s evaluation of this drug candidate indicates that consistent increases in Gb3 levels were measured in cardiomyocytes (as opposed to decreases measured in vascular endothelium). Therefore, we believe cardiac-specific treatment of Fabry disease is still an unmet medical need. Despite these shortcomings, ERT for Fabry disease does provide significant benefit for patients.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Competition and Differentiation—Viral Vector Gene Therapy including AAV for Fabry Disease</w:t>
      </w:r>
    </w:p>
    <w:p>
      <w:pPr>
        <w:spacing w:after="0" w:line="122"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A number of biotechnology companies are pursuing gene therapy solutions, including with conventional AAV vectors, to treat Fabry disease. In addition to being in early stages of development, these developmental AAV gene therapies are specifically designed to target transduction to the liver only, with liver-specific promoters, which therefore would prevent expression in cardiac muscle cells. When administered as ERT, the AGA protein does not efficiently enter cardiomyocytes; it is therefore unclear whether production of AGA from the liver would result in effective cardiac muscle cell treatment. As a result, we believe 4D-310 is the only gene therapy candidate designed specifically to express the AGA enzyme in cardiac tissues, as well as in other affected tissues in these patients, potentially addressing a major unmet medical need.</w:t>
      </w:r>
    </w:p>
    <w:p>
      <w:pPr>
        <w:spacing w:after="0" w:line="203"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We believe that a gene therapy that is specifically targeted to transduce cardiac muscles with high efficiency has the potential to significantly improve patient outcome through the synthesis of AGA directly within the heart tissues, including cardiomyocytes. Our 4D-310 program, for which we expect to initiate clinical trials in the second half of 2020, is designed to take advantage of our proprietary 4D-C102 vector for delivery of transgenes to cardiac muscle cells and other relevant tissues within the body.</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180" w:firstLine="551"/>
        <w:spacing w:after="0" w:line="239" w:lineRule="auto"/>
        <w:rPr>
          <w:sz w:val="20"/>
          <w:szCs w:val="20"/>
          <w:color w:val="auto"/>
        </w:rPr>
      </w:pPr>
      <w:r>
        <w:rPr>
          <w:rFonts w:ascii="Arial" w:cs="Arial" w:eastAsia="Arial" w:hAnsi="Arial"/>
          <w:sz w:val="18"/>
          <w:szCs w:val="18"/>
          <w:color w:val="auto"/>
        </w:rPr>
        <w:t>Finally, to our knowledge, conventional AAV gene therapy programs in development are limited to treatment of the “classic” (early onset) patient population at this time. In contrast, 4D-310 is designed for the treatment of all patient subpopulations with Fabry disease, including “late onset” and classic population patients with cardiomyopathy. The late onset sub-population is substantially larger than the early onset population.</w:t>
      </w:r>
    </w:p>
    <w:p>
      <w:pPr>
        <w:spacing w:after="0" w:line="202"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As we achieve proof-of-concept with the 4D-C102 vector, we intend to advance additional programs for lysosomal storage diseases using the same vector.</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Pharmacology and Toxicology Program</w:t>
      </w:r>
    </w:p>
    <w:p>
      <w:pPr>
        <w:spacing w:after="0" w:line="122"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In the second quarter of 2019 we initiated a GLP toxicology and biodistribution study of 4D-310 in normal mice. We previously received feedback from the FDA on our preclinical study plans in connection with a pre-IND interaction. Pharmacology studies have been performed in both Fabry disease knock-out mice and Fabry patient-derived cells, including cardiomyocytes differentiated from patient-derived stem cells. We plan to complete IND-enabling preclinical pharmacology and toxicology studies by the first quarter of 2020, and to file an IND for 4D-310 in the second half of 2020.</w:t>
      </w:r>
    </w:p>
    <w:p>
      <w:pPr>
        <w:spacing w:after="0" w:line="185" w:lineRule="exact"/>
        <w:rPr>
          <w:sz w:val="20"/>
          <w:szCs w:val="20"/>
          <w:color w:val="auto"/>
        </w:rPr>
      </w:pPr>
    </w:p>
    <w:p>
      <w:pPr>
        <w:ind w:left="200" w:right="160" w:firstLine="551"/>
        <w:spacing w:after="0" w:line="267"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with 4D-310 in Fabry patient-derived fibroblasts and cardiomyocytes we observed dose-related AGA expression and function as shown below.</w:t>
      </w:r>
    </w:p>
    <w:p>
      <w:pPr>
        <w:spacing w:after="0" w:line="161" w:lineRule="exact"/>
        <w:rPr>
          <w:sz w:val="20"/>
          <w:szCs w:val="20"/>
          <w:color w:val="auto"/>
        </w:rPr>
      </w:pPr>
    </w:p>
    <w:p>
      <w:pPr>
        <w:jc w:val="center"/>
        <w:ind w:left="480" w:right="400"/>
        <w:spacing w:after="0" w:line="267" w:lineRule="auto"/>
        <w:rPr>
          <w:sz w:val="20"/>
          <w:szCs w:val="20"/>
          <w:color w:val="auto"/>
        </w:rPr>
      </w:pPr>
      <w:r>
        <w:rPr>
          <w:rFonts w:ascii="Arial" w:cs="Arial" w:eastAsia="Arial" w:hAnsi="Arial"/>
          <w:sz w:val="18"/>
          <w:szCs w:val="18"/>
          <w:i w:val="1"/>
          <w:iCs w:val="1"/>
          <w:color w:val="auto"/>
        </w:rPr>
        <w:t>4D-310 Transduced Fibroblasts Derived from Fabry Patients. These 4D-310-Transduced Fibroblasts Expressed AGA in a Dose-Dependent Manner</w:t>
      </w:r>
    </w:p>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Panel A: Fabry-derived fibroblasts expressed AGA</w:t>
      </w:r>
    </w:p>
    <w:p>
      <w:pPr>
        <w:spacing w:after="0" w:line="14"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after treatment with 4D-310 as measured by western blot.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152400</wp:posOffset>
            </wp:positionV>
            <wp:extent cx="2521585" cy="22726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21585"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7"/>
          <w:szCs w:val="17"/>
          <w:i w:val="1"/>
          <w:iCs w:val="1"/>
          <w:color w:val="auto"/>
        </w:rPr>
        <w:t>Panel B: Fabry Patient-Derived fibroblasts expressed AGA after treatment with 4D-310 as measured by IHC. AGA is visible in red, cell</w:t>
      </w:r>
    </w:p>
    <w:p>
      <w:pPr>
        <w:spacing w:after="0" w:line="21" w:lineRule="exact"/>
        <w:rPr>
          <w:sz w:val="20"/>
          <w:szCs w:val="20"/>
          <w:color w:val="auto"/>
        </w:rPr>
      </w:pPr>
    </w:p>
    <w:p>
      <w:pPr>
        <w:jc w:val="center"/>
        <w:ind w:right="-379"/>
        <w:spacing w:after="0"/>
        <w:rPr>
          <w:sz w:val="20"/>
          <w:szCs w:val="20"/>
          <w:color w:val="auto"/>
        </w:rPr>
      </w:pPr>
      <w:r>
        <w:rPr>
          <w:rFonts w:ascii="Arial" w:cs="Arial" w:eastAsia="Arial" w:hAnsi="Arial"/>
          <w:sz w:val="18"/>
          <w:szCs w:val="18"/>
          <w:i w:val="1"/>
          <w:iCs w:val="1"/>
          <w:color w:val="auto"/>
        </w:rPr>
        <w:t>nuclei are shown in blue.A) vehicle control, B) 4D-310 low dose</w:t>
      </w:r>
    </w:p>
    <w:p>
      <w:pPr>
        <w:jc w:val="center"/>
        <w:ind w:right="-379"/>
        <w:spacing w:after="0"/>
        <w:rPr>
          <w:sz w:val="20"/>
          <w:szCs w:val="20"/>
          <w:color w:val="auto"/>
        </w:rPr>
      </w:pPr>
      <w:r>
        <w:rPr>
          <w:rFonts w:ascii="Arial" w:cs="Arial" w:eastAsia="Arial" w:hAnsi="Arial"/>
          <w:sz w:val="18"/>
          <w:szCs w:val="18"/>
          <w:i w:val="1"/>
          <w:iCs w:val="1"/>
          <w:color w:val="auto"/>
        </w:rPr>
        <w:t>(MOI 1000), C) 4D-310 medium dose (MOI 5000), and D)4D-310 high dose (MOI 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152400</wp:posOffset>
            </wp:positionV>
            <wp:extent cx="3507740" cy="254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507740"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40"/>
          </w:cols>
          <w:pgMar w:left="240" w:top="459" w:right="6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AGA Enzyme Expressed in Fabry Patient-Derived Cardiomyocytes After Treatment with 4D-310 Exhibited Enzymatic Activity.</w:t>
      </w:r>
    </w:p>
    <w:p>
      <w:pPr>
        <w:spacing w:after="0" w:line="212" w:lineRule="exact"/>
        <w:rPr>
          <w:sz w:val="20"/>
          <w:szCs w:val="20"/>
          <w:color w:val="auto"/>
        </w:rPr>
      </w:pPr>
    </w:p>
    <w:p>
      <w:pPr>
        <w:jc w:val="center"/>
        <w:ind w:left="460"/>
        <w:spacing w:after="0" w:line="267" w:lineRule="auto"/>
        <w:rPr>
          <w:sz w:val="20"/>
          <w:szCs w:val="20"/>
          <w:color w:val="auto"/>
        </w:rPr>
      </w:pPr>
      <w:r>
        <w:rPr>
          <w:rFonts w:ascii="Arial" w:cs="Arial" w:eastAsia="Arial" w:hAnsi="Arial"/>
          <w:sz w:val="18"/>
          <w:szCs w:val="18"/>
          <w:i w:val="1"/>
          <w:iCs w:val="1"/>
          <w:color w:val="auto"/>
        </w:rPr>
        <w:t>Panel A: Cardiomyocytes that were differentiated from Fabry patient-derived fibroblasts expressed functional AGA after treatment with 4D-310, as measured by western blot and flow cytometry.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131445</wp:posOffset>
            </wp:positionV>
            <wp:extent cx="4905375" cy="35502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905375" cy="355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Arial" w:cs="Arial" w:eastAsia="Arial" w:hAnsi="Arial"/>
          <w:sz w:val="16"/>
          <w:szCs w:val="16"/>
          <w:i w:val="1"/>
          <w:iCs w:val="1"/>
          <w:color w:val="auto"/>
        </w:rPr>
        <w:t>%/cTnT+/AGA+ Cells = the percentage of AGA-expressing cells within the cTnT-expressing cardiomyocyte population</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6"/>
          <w:szCs w:val="16"/>
          <w:i w:val="1"/>
          <w:iCs w:val="1"/>
          <w:color w:val="auto"/>
        </w:rPr>
        <w:t>nmol = nanomoles</w:t>
      </w:r>
    </w:p>
    <w:p>
      <w:pPr>
        <w:spacing w:after="0" w:line="5" w:lineRule="exact"/>
        <w:rPr>
          <w:sz w:val="20"/>
          <w:szCs w:val="20"/>
          <w:color w:val="auto"/>
        </w:rPr>
      </w:pPr>
    </w:p>
    <w:p>
      <w:pPr>
        <w:jc w:val="center"/>
        <w:ind w:right="-199"/>
        <w:spacing w:after="0"/>
        <w:rPr>
          <w:sz w:val="20"/>
          <w:szCs w:val="20"/>
          <w:color w:val="auto"/>
        </w:rPr>
      </w:pPr>
      <w:r>
        <w:rPr>
          <w:rFonts w:ascii="Arial" w:cs="Arial" w:eastAsia="Arial" w:hAnsi="Arial"/>
          <w:sz w:val="16"/>
          <w:szCs w:val="16"/>
          <w:i w:val="1"/>
          <w:iCs w:val="1"/>
          <w:color w:val="auto"/>
        </w:rPr>
        <w:t>GAPDH = Glyceraldehyde 3-phosphate dehydrogenase, used as a control to show equal amounts of sample are analyzed across conditions</w:t>
      </w:r>
    </w:p>
    <w:p>
      <w:pPr>
        <w:spacing w:after="0" w:line="5" w:lineRule="exact"/>
        <w:rPr>
          <w:sz w:val="20"/>
          <w:szCs w:val="20"/>
          <w:color w:val="auto"/>
        </w:rPr>
      </w:pPr>
    </w:p>
    <w:p>
      <w:pPr>
        <w:jc w:val="center"/>
        <w:ind w:right="-199"/>
        <w:spacing w:after="0"/>
        <w:rPr>
          <w:sz w:val="20"/>
          <w:szCs w:val="20"/>
          <w:color w:val="auto"/>
        </w:rPr>
      </w:pPr>
      <w:r>
        <w:rPr>
          <w:rFonts w:ascii="Arial" w:cs="Arial" w:eastAsia="Arial" w:hAnsi="Arial"/>
          <w:sz w:val="16"/>
          <w:szCs w:val="16"/>
          <w:i w:val="1"/>
          <w:iCs w:val="1"/>
          <w:color w:val="auto"/>
        </w:rPr>
        <w:t>AGA/GAPDH Density = a quantification of the amount of AGA protein expression normalized to the amount of control protein expressed by the same cells</w:t>
      </w:r>
    </w:p>
    <w:p>
      <w:pPr>
        <w:spacing w:after="0" w:line="5" w:lineRule="exact"/>
        <w:rPr>
          <w:sz w:val="20"/>
          <w:szCs w:val="20"/>
          <w:color w:val="auto"/>
        </w:rPr>
      </w:pPr>
    </w:p>
    <w:p>
      <w:pPr>
        <w:jc w:val="center"/>
        <w:ind w:right="-199"/>
        <w:spacing w:after="0"/>
        <w:rPr>
          <w:sz w:val="20"/>
          <w:szCs w:val="20"/>
          <w:color w:val="auto"/>
        </w:rPr>
      </w:pPr>
      <w:r>
        <w:rPr>
          <w:rFonts w:ascii="Arial" w:cs="Arial" w:eastAsia="Arial" w:hAnsi="Arial"/>
          <w:sz w:val="16"/>
          <w:szCs w:val="16"/>
          <w:i w:val="1"/>
          <w:iCs w:val="1"/>
          <w:color w:val="auto"/>
        </w:rPr>
        <w:t>IHC = immunohistochemistry</w:t>
      </w:r>
    </w:p>
    <w:p>
      <w:pPr>
        <w:spacing w:after="0" w:line="200" w:lineRule="exact"/>
        <w:rPr>
          <w:sz w:val="20"/>
          <w:szCs w:val="20"/>
          <w:color w:val="auto"/>
        </w:rPr>
      </w:pPr>
    </w:p>
    <w:p>
      <w:pPr>
        <w:jc w:val="center"/>
        <w:ind w:left="460" w:right="120"/>
        <w:spacing w:after="0" w:line="267" w:lineRule="auto"/>
        <w:rPr>
          <w:sz w:val="20"/>
          <w:szCs w:val="20"/>
          <w:color w:val="auto"/>
        </w:rPr>
      </w:pPr>
      <w:r>
        <w:rPr>
          <w:rFonts w:ascii="Arial" w:cs="Arial" w:eastAsia="Arial" w:hAnsi="Arial"/>
          <w:sz w:val="18"/>
          <w:szCs w:val="18"/>
          <w:i w:val="1"/>
          <w:iCs w:val="1"/>
          <w:color w:val="auto"/>
        </w:rPr>
        <w:t>Panel B: Cardiomyocytes that were differentiated from Fabry patient-derived fibroblasts expressed AGA after treatment with 4D-310, as measured by IHC.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131445</wp:posOffset>
            </wp:positionV>
            <wp:extent cx="4596765" cy="11233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596765" cy="112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200" w:right="240" w:firstLine="551"/>
        <w:spacing w:after="0" w:line="251" w:lineRule="auto"/>
        <w:rPr>
          <w:sz w:val="20"/>
          <w:szCs w:val="20"/>
          <w:color w:val="auto"/>
        </w:rPr>
      </w:pPr>
      <w:r>
        <w:rPr>
          <w:rFonts w:ascii="Arial" w:cs="Arial" w:eastAsia="Arial" w:hAnsi="Arial"/>
          <w:sz w:val="18"/>
          <w:szCs w:val="18"/>
          <w:i w:val="1"/>
          <w:iCs w:val="1"/>
          <w:color w:val="auto"/>
        </w:rPr>
        <w:t xml:space="preserve">In vivo </w:t>
      </w:r>
      <w:r>
        <w:rPr>
          <w:rFonts w:ascii="Arial" w:cs="Arial" w:eastAsia="Arial" w:hAnsi="Arial"/>
          <w:sz w:val="18"/>
          <w:szCs w:val="18"/>
          <w:color w:val="auto"/>
        </w:rPr>
        <w:t>studies with 4D-310 are currently ongoing in both normal and Fabry disease knock-out mouse models. Plasma AGA data</w:t>
      </w:r>
      <w:r>
        <w:rPr>
          <w:rFonts w:ascii="Arial" w:cs="Arial" w:eastAsia="Arial" w:hAnsi="Arial"/>
          <w:sz w:val="18"/>
          <w:szCs w:val="18"/>
          <w:i w:val="1"/>
          <w:iCs w:val="1"/>
          <w:color w:val="auto"/>
        </w:rPr>
        <w:t xml:space="preserve"> </w:t>
      </w:r>
      <w:r>
        <w:rPr>
          <w:rFonts w:ascii="Arial" w:cs="Arial" w:eastAsia="Arial" w:hAnsi="Arial"/>
          <w:sz w:val="18"/>
          <w:szCs w:val="18"/>
          <w:color w:val="auto"/>
        </w:rPr>
        <w:t>have shown that intravenous administration of 4D-310 to normal mice resulted in consistent and stable AGA expression and function as shown in the figure below.</w:t>
      </w:r>
    </w:p>
    <w:p>
      <w:pPr>
        <w:spacing w:after="0" w:line="174" w:lineRule="exact"/>
        <w:rPr>
          <w:sz w:val="20"/>
          <w:szCs w:val="20"/>
          <w:color w:val="auto"/>
        </w:rPr>
      </w:pPr>
    </w:p>
    <w:p>
      <w:pPr>
        <w:jc w:val="center"/>
        <w:ind w:left="460"/>
        <w:spacing w:after="0" w:line="251" w:lineRule="auto"/>
        <w:rPr>
          <w:sz w:val="20"/>
          <w:szCs w:val="20"/>
          <w:color w:val="auto"/>
        </w:rPr>
      </w:pPr>
      <w:r>
        <w:rPr>
          <w:rFonts w:ascii="Arial" w:cs="Arial" w:eastAsia="Arial" w:hAnsi="Arial"/>
          <w:sz w:val="18"/>
          <w:szCs w:val="18"/>
          <w:i w:val="1"/>
          <w:iCs w:val="1"/>
          <w:color w:val="auto"/>
        </w:rPr>
        <w:t>Plasma AGA Function in Normal Mice After Treatment with 4D-310 Was Measured to Be Approximately 1,200-Fold Higher Than in Control Vehicle-Treated Mice on Day 15, 29 and 43 After Treatment with 4D-310. Plasma AGA Function Was Consistently Measured at Similar Levels on Days 15, 29 and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139700</wp:posOffset>
            </wp:positionV>
            <wp:extent cx="4124960" cy="17322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124960"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20" w:firstLine="551"/>
        <w:spacing w:after="0" w:line="246" w:lineRule="auto"/>
        <w:rPr>
          <w:sz w:val="20"/>
          <w:szCs w:val="20"/>
          <w:color w:val="auto"/>
        </w:rPr>
      </w:pPr>
      <w:r>
        <w:rPr>
          <w:rFonts w:ascii="Arial" w:cs="Arial" w:eastAsia="Arial" w:hAnsi="Arial"/>
          <w:sz w:val="18"/>
          <w:szCs w:val="18"/>
          <w:color w:val="auto"/>
        </w:rPr>
        <w:t>Additionally, IHC data have shown that administration of 4D-310 to a knockout mouse model of Fabry disease resulted in AGA expression in both cardiac and kidney tissue as shown in the illustrative images below.</w:t>
      </w:r>
    </w:p>
    <w:p>
      <w:pPr>
        <w:spacing w:after="0" w:line="179" w:lineRule="exact"/>
        <w:rPr>
          <w:sz w:val="20"/>
          <w:szCs w:val="20"/>
          <w:color w:val="auto"/>
        </w:rPr>
      </w:pPr>
    </w:p>
    <w:p>
      <w:pPr>
        <w:jc w:val="center"/>
        <w:ind w:left="460" w:right="20"/>
        <w:spacing w:after="0" w:line="267" w:lineRule="auto"/>
        <w:rPr>
          <w:sz w:val="20"/>
          <w:szCs w:val="20"/>
          <w:color w:val="auto"/>
        </w:rPr>
      </w:pPr>
      <w:r>
        <w:rPr>
          <w:rFonts w:ascii="Arial" w:cs="Arial" w:eastAsia="Arial" w:hAnsi="Arial"/>
          <w:sz w:val="18"/>
          <w:szCs w:val="18"/>
          <w:i w:val="1"/>
          <w:iCs w:val="1"/>
          <w:color w:val="auto"/>
        </w:rPr>
        <w:t>AGA Expression After Intravenous Treatment with 4D-310 Was Dose-Dependent and Widespread in Both the Heart and Kidneys of Fabry Disease Model Knock-Out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131445</wp:posOffset>
            </wp:positionV>
            <wp:extent cx="2349500" cy="35077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49500" cy="350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Clinical Development Plans—Phase 1/2 Trial Design</w:t>
      </w:r>
    </w:p>
    <w:p>
      <w:pPr>
        <w:spacing w:after="0" w:line="12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Our Phase 1/2 clinical trial initiation and the treatment of our first patient is targeted for the second half of 2020. We expect this will be a single dose escalation study carried out at multiple sites within the United States with an estimated 15 to 20 patients enrolled. We expect to treat both early-onset and late-onset patients, including those with cardiomyopathy. We anticipate the primary endpoint will be safety, plus the definition of the maximum-tolerated or -feasible dose. Pharmacodynamic biomarker assessments may include cardiac MRI, a well-established non-invasive diagnostic imaging technique that allows quantitative assessment of Gb3 substrate buildup in cardiac tissues. Additional pharmacodynamic endpoints may include changes in blood levels of Gb3 and AGA.</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4D-710 for the Treatment of Cystic Fibrosis</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Target Product Profile</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 xml:space="preserve">4D-710 is our wholly-owned product candidate for the treatment of Cystic Fibrosis lung disease. 4D-710 is comprised of our proprietary vector 4D-A101, and designed for an efficient, single dose aerosol delivery to the lung airways with resistance to pre-existing antibodies. The intended result is for Cystic Fibrosis transmembrane conductance regulator (CFTR) expression within lung airway cells for lung disease correction. We believe 4D-710 has the potential to treat Cystic Fibrosis patients with a broad range of mutations. Due to the fact that the CFTR coding sequence is larger than can be packaged into AAV gene therapy vectors, we have focused our efforts on assessing codon-optimized versions of a synthetic </w:t>
      </w:r>
      <w:r>
        <w:rPr>
          <w:rFonts w:ascii="Arial" w:cs="Arial" w:eastAsia="Arial" w:hAnsi="Arial"/>
          <w:sz w:val="18"/>
          <w:szCs w:val="18"/>
          <w:i w:val="1"/>
          <w:iCs w:val="1"/>
          <w:color w:val="auto"/>
        </w:rPr>
        <w:t>CFTR</w:t>
      </w:r>
      <w:r>
        <w:rPr>
          <w:rFonts w:ascii="Arial" w:cs="Arial" w:eastAsia="Arial" w:hAnsi="Arial"/>
          <w:sz w:val="18"/>
          <w:szCs w:val="18"/>
          <w:color w:val="auto"/>
        </w:rPr>
        <w:t xml:space="preserve"> transgene </w:t>
      </w:r>
      <w:r>
        <w:rPr>
          <w:rFonts w:ascii="Arial" w:cs="Arial" w:eastAsia="Arial" w:hAnsi="Arial"/>
          <w:sz w:val="18"/>
          <w:szCs w:val="18"/>
          <w:i w:val="1"/>
          <w:iCs w:val="1"/>
          <w:color w:val="auto"/>
        </w:rPr>
        <w:t>deltaR-CFTR</w:t>
      </w:r>
      <w:r>
        <w:rPr>
          <w:rFonts w:ascii="Arial" w:cs="Arial" w:eastAsia="Arial" w:hAnsi="Arial"/>
          <w:sz w:val="18"/>
          <w:szCs w:val="18"/>
          <w:color w:val="auto"/>
        </w:rPr>
        <w:t xml:space="preserve">, which we refer to as </w:t>
      </w:r>
      <w:r>
        <w:rPr>
          <w:rFonts w:ascii="Arial" w:cs="Arial" w:eastAsia="Arial" w:hAnsi="Arial"/>
          <w:sz w:val="18"/>
          <w:szCs w:val="18"/>
          <w:i w:val="1"/>
          <w:iCs w:val="1"/>
          <w:color w:val="auto"/>
        </w:rPr>
        <w:t>microCFTR</w:t>
      </w:r>
      <w:r>
        <w:rPr>
          <w:rFonts w:ascii="Arial" w:cs="Arial" w:eastAsia="Arial" w:hAnsi="Arial"/>
          <w:sz w:val="18"/>
          <w:szCs w:val="18"/>
          <w:color w:val="auto"/>
        </w:rPr>
        <w:t xml:space="preserve">, a well-characterized and truncated variant that has shown activity in a large animal model of Cystic Fibrosis. The vector will carry </w:t>
      </w:r>
      <w:r>
        <w:rPr>
          <w:rFonts w:ascii="Arial" w:cs="Arial" w:eastAsia="Arial" w:hAnsi="Arial"/>
          <w:sz w:val="18"/>
          <w:szCs w:val="18"/>
          <w:i w:val="1"/>
          <w:iCs w:val="1"/>
          <w:color w:val="auto"/>
        </w:rPr>
        <w:t>microCFTR</w:t>
      </w:r>
      <w:r>
        <w:rPr>
          <w:rFonts w:ascii="Arial" w:cs="Arial" w:eastAsia="Arial" w:hAnsi="Arial"/>
          <w:sz w:val="18"/>
          <w:szCs w:val="18"/>
          <w:color w:val="auto"/>
        </w:rPr>
        <w:t xml:space="preserve">, a construct that retains the most critical components of the full-size </w:t>
      </w:r>
      <w:r>
        <w:rPr>
          <w:rFonts w:ascii="Arial" w:cs="Arial" w:eastAsia="Arial" w:hAnsi="Arial"/>
          <w:sz w:val="18"/>
          <w:szCs w:val="18"/>
          <w:i w:val="1"/>
          <w:iCs w:val="1"/>
          <w:color w:val="auto"/>
        </w:rPr>
        <w:t>CFTR</w:t>
      </w:r>
      <w:r>
        <w:rPr>
          <w:rFonts w:ascii="Arial" w:cs="Arial" w:eastAsia="Arial" w:hAnsi="Arial"/>
          <w:sz w:val="18"/>
          <w:szCs w:val="18"/>
          <w:color w:val="auto"/>
        </w:rPr>
        <w:t xml:space="preserve"> gene yet is small enough to fit within AAV packaging constraints.</w:t>
      </w:r>
    </w:p>
    <w:p>
      <w:pPr>
        <w:spacing w:after="0" w:line="208"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 xml:space="preserve">While we present preclinical data for components of our cystic fibrosis product candidate 4D-710 below, we have yet to conduct IND-enabling studies with 4D-710. We expect to initiate IND-enabling studies with 4D-710 in the first half of 2020. 4D-A101 is the proprietary 4DMT vector utilized in 4D-710. Its TVP was designed for relatively low dose aerosol delivery to lung in widespread fashion, with subsequent penetration of airway mucus and transduction of airway epithelial cells in the presence of human antibodies. NHP dosing with aerosolized 4D-A101 carrying the </w:t>
      </w:r>
      <w:r>
        <w:rPr>
          <w:rFonts w:ascii="Arial" w:cs="Arial" w:eastAsia="Arial" w:hAnsi="Arial"/>
          <w:sz w:val="18"/>
          <w:szCs w:val="18"/>
          <w:i w:val="1"/>
          <w:iCs w:val="1"/>
          <w:color w:val="auto"/>
        </w:rPr>
        <w:t>EGFP</w:t>
      </w:r>
      <w:r>
        <w:rPr>
          <w:rFonts w:ascii="Arial" w:cs="Arial" w:eastAsia="Arial" w:hAnsi="Arial"/>
          <w:sz w:val="18"/>
          <w:szCs w:val="18"/>
          <w:color w:val="auto"/>
        </w:rPr>
        <w:t xml:space="preserve"> transgene resulted in consistent genome delivery (48 of 48 lung sites) and GFP protein expression (48 of 48 lung sites) in 100% of proximal, medial and distal airway samples tested.</w:t>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Aerosol Delivery with 4D-A101 in NHP Resulted in Genome Localization</w:t>
      </w:r>
    </w:p>
    <w:p>
      <w:pPr>
        <w:spacing w:after="0" w:line="14"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and Transgene Protein Expression in All Lung Samples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152400</wp:posOffset>
            </wp:positionV>
            <wp:extent cx="5188585" cy="35331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88585" cy="353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80"/>
          </w:cols>
          <w:pgMar w:left="24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Aerosol Delivery of 4D-A101 Carrying The EGFP Transgene in NHP Associated With GFP Protein Detection by IHC in Lung Airway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170815</wp:posOffset>
            </wp:positionV>
            <wp:extent cx="5188585" cy="40646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88585" cy="406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Disease Background, Unmet Medical Need and Target Patient Population</w:t>
      </w:r>
    </w:p>
    <w:p>
      <w:pPr>
        <w:spacing w:after="0" w:line="104"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 xml:space="preserve">Cystic Fibrosis is the most common fatal inherited disease in the United States and results from mutations in the </w:t>
      </w:r>
      <w:r>
        <w:rPr>
          <w:rFonts w:ascii="Arial" w:cs="Arial" w:eastAsia="Arial" w:hAnsi="Arial"/>
          <w:sz w:val="18"/>
          <w:szCs w:val="18"/>
          <w:i w:val="1"/>
          <w:iCs w:val="1"/>
          <w:color w:val="auto"/>
        </w:rPr>
        <w:t>CFTR</w:t>
      </w:r>
      <w:r>
        <w:rPr>
          <w:rFonts w:ascii="Arial" w:cs="Arial" w:eastAsia="Arial" w:hAnsi="Arial"/>
          <w:sz w:val="18"/>
          <w:szCs w:val="18"/>
          <w:color w:val="auto"/>
        </w:rPr>
        <w:t xml:space="preserve"> gene. Cystic Fibrosis is a multisystem disorder affecting primarily the pulmonary, gastro-intestinal tract, pancreas and reproductive organs. Cystic Fibrosis causes impaired lung function, inflammation and bronchiectasis and is commonly associated with repeat and persistent lung infections due to the inability to clear thickened mucus from the lung, often resulting in frequent exacerbations and hospitalizations and eventual end stage respiratory failure. There is no cure for Cystic Fibrosis and the median age of death for Cystic Fibrosis patients is 39 years. Cystic Fibrosis is considered a rare, or orphan, disease by both the FDA and the EMA. According to the Cystic Fibrosis Foundation, more than 30,000 people in the United States and more than 70,000 people worldwide are living with Cystic Fibrosis, and approximately 1,000 new cases of Cystic Fibrosis are diagnosed in the United States each year. Cystic Fibrosis patients require lifelong treatment with multiple daily medications, frequent hospitalizations and, ultimately, lung transplants in some end-stage patients. The quality of life for Cystic Fibrosis patients is compromised as a result of spending significant time on self-care every day and frequent outpatient doctor visits and hospitalizations.</w:t>
      </w:r>
    </w:p>
    <w:p>
      <w:pPr>
        <w:spacing w:after="0" w:line="205" w:lineRule="exact"/>
        <w:rPr>
          <w:sz w:val="20"/>
          <w:szCs w:val="20"/>
          <w:color w:val="auto"/>
        </w:rPr>
      </w:pPr>
    </w:p>
    <w:p>
      <w:pPr>
        <w:ind w:left="200" w:right="120" w:firstLine="551"/>
        <w:spacing w:after="0" w:line="246" w:lineRule="auto"/>
        <w:rPr>
          <w:sz w:val="20"/>
          <w:szCs w:val="20"/>
          <w:color w:val="auto"/>
        </w:rPr>
      </w:pPr>
      <w:r>
        <w:rPr>
          <w:rFonts w:ascii="Arial" w:cs="Arial" w:eastAsia="Arial" w:hAnsi="Arial"/>
          <w:sz w:val="18"/>
          <w:szCs w:val="18"/>
          <w:color w:val="auto"/>
        </w:rPr>
        <w:t>Until recently, approved therapies to treat Cystic Fibrosis patients were only designed to treat the symptoms of Cystic Fibrosis, for example by preventing and controlling infections that occur in the</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60"/>
          </w:cols>
          <w:pgMar w:left="240" w:top="459"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46" w:lineRule="auto"/>
        <w:rPr>
          <w:sz w:val="20"/>
          <w:szCs w:val="20"/>
          <w:color w:val="auto"/>
        </w:rPr>
      </w:pPr>
      <w:r>
        <w:rPr>
          <w:rFonts w:ascii="Arial" w:cs="Arial" w:eastAsia="Arial" w:hAnsi="Arial"/>
          <w:sz w:val="18"/>
          <w:szCs w:val="18"/>
          <w:color w:val="auto"/>
        </w:rPr>
        <w:t>lungs, rather than addressing the underlying cause of the disease. Accordingly, antibiotics are frequently used along with mucus-thinning drugs.</w:t>
      </w:r>
    </w:p>
    <w:p>
      <w:pPr>
        <w:spacing w:after="0" w:line="197"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More recently, for patients with certain gene mutations, three therapies from Vertex have been approved for marketing in the United States and the European Union. Kalydeco (ivacaftor—a CFTR potentiator), Orkambi (ivacaftor plus lumacaftor—a CFTR corrector), and Symdeko (ivacaftor plus tezacaftor—also a CFTR corrector) were all approved based on their ability to improve lung function in genetically defined subsets of Cystic Fibrosis patients. Additionally, an NDA was recently filed by Vertex for the triple combination of VX-445 plus Symdeko (ivacaftor plus tezacaftor), which Vertex management believes would be applicable for up to 90% of Cystic Fibrosis patients, leaving at least 10% with no CFTR-targeted options. While these therapies improve lung function, they fall short of restoring it to the normal range in most patients, and these chronic therapies require daily dosing for the patient’s lifetime.</w:t>
      </w:r>
    </w:p>
    <w:p>
      <w:pPr>
        <w:spacing w:after="0" w:line="203" w:lineRule="exact"/>
        <w:rPr>
          <w:sz w:val="20"/>
          <w:szCs w:val="20"/>
          <w:color w:val="auto"/>
        </w:rPr>
      </w:pPr>
    </w:p>
    <w:p>
      <w:pPr>
        <w:ind w:left="200" w:firstLine="551"/>
        <w:spacing w:after="0" w:line="261" w:lineRule="auto"/>
        <w:rPr>
          <w:sz w:val="20"/>
          <w:szCs w:val="20"/>
          <w:color w:val="auto"/>
        </w:rPr>
      </w:pPr>
      <w:r>
        <w:rPr>
          <w:rFonts w:ascii="Arial" w:cs="Arial" w:eastAsia="Arial" w:hAnsi="Arial"/>
          <w:sz w:val="17"/>
          <w:szCs w:val="17"/>
          <w:color w:val="auto"/>
        </w:rPr>
        <w:t>We believe there is a clinical need and market opportunity for a durable aerosolized therapy delivered by breath-actuated nebulizer, that can restore normal CFTR function across all Cystic Fibrosis patient subgroups, including patients who are receiving combination CFTR-modulator therapies and/or do not have appreciable CFTR protein expression and are therefore not amenable to CFTR modulators.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Competition and Differentiation—Viral Vector Gene Therapy including AAV for Cystic Fibrosis</w:t>
      </w:r>
    </w:p>
    <w:p>
      <w:pPr>
        <w:spacing w:after="0" w:line="122"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A number of biotechnology companies have pursued gene therapy solutions to treat Cystic Fibrosis, most notably Targeted Genetics. We believe these prior attempts to deliver AAV gene therapy to the lungs of cystic fibrosis patients have failed due to an inability of conventional vectors to bypass pulmonary mucus and transduce lung cells efficiently. Moreover, the mucosal immune system actively transports large quantities of antibodies into all mucus secretions, including the lung mucosa.</w:t>
      </w:r>
    </w:p>
    <w:p>
      <w:pPr>
        <w:spacing w:after="0" w:line="202"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While a number of companies are currently pursuing other gene therapy solutions to treat Cystic Fibrosis, including with conventional AAV vectors, these product candidates are in early stages of development. Moreover, they are not, to our knowledge, comprised of AAV vectors evolved in NHP for aerosol delivery. In addition, we believe these products were not designed for resistance to pre-existing antibodies to conventional AAVs, which is potentially a key requirement for successful delivery in the lung. As a result, while we have not initiated clinical trials for 4D-710, we believe it is the only AAV gene therapy product candidate in development designed specifically with a vector selected for aerosol delivery and with antibody-resistance.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Preclinical Proof-of-Concept Studies</w:t>
      </w:r>
    </w:p>
    <w:p>
      <w:pPr>
        <w:spacing w:after="0" w:line="12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 xml:space="preserve">Our co-founder Dr. Schaffer and his academic colleagues conducted preclinical proof-of-concept (POC) studies for utilizing directed evolution to discover vectors for delivering a corrective </w:t>
      </w:r>
      <w:r>
        <w:rPr>
          <w:rFonts w:ascii="Arial" w:cs="Arial" w:eastAsia="Arial" w:hAnsi="Arial"/>
          <w:sz w:val="18"/>
          <w:szCs w:val="18"/>
          <w:i w:val="1"/>
          <w:iCs w:val="1"/>
          <w:color w:val="auto"/>
        </w:rPr>
        <w:t>CFTR</w:t>
      </w:r>
      <w:r>
        <w:rPr>
          <w:rFonts w:ascii="Arial" w:cs="Arial" w:eastAsia="Arial" w:hAnsi="Arial"/>
          <w:sz w:val="18"/>
          <w:szCs w:val="18"/>
          <w:color w:val="auto"/>
        </w:rPr>
        <w:t xml:space="preserve"> gene construct to Cystic Fibrosis lung tissue in a large animal model of Cystic Fibrosis, and in a human Cystic Fibrosis patient lung tissue model. Building on these previous POC studies, our product candidate 4D-710 will utilize a different vector (4D-A101), which has been designed to package the same </w:t>
      </w:r>
      <w:r>
        <w:rPr>
          <w:rFonts w:ascii="Arial" w:cs="Arial" w:eastAsia="Arial" w:hAnsi="Arial"/>
          <w:sz w:val="18"/>
          <w:szCs w:val="18"/>
          <w:i w:val="1"/>
          <w:iCs w:val="1"/>
          <w:color w:val="auto"/>
        </w:rPr>
        <w:t>microCFTR</w:t>
      </w:r>
      <w:r>
        <w:rPr>
          <w:rFonts w:ascii="Arial" w:cs="Arial" w:eastAsia="Arial" w:hAnsi="Arial"/>
          <w:sz w:val="18"/>
          <w:szCs w:val="18"/>
          <w:color w:val="auto"/>
        </w:rPr>
        <w:t xml:space="preserve"> gene payload in a customized vector (4D-A101) that was identified through a directed evolution process for aerosol delivery in NHP. We expect to initiate IND-enabling studies with 4D-710 in the first half of 2020.</w:t>
      </w:r>
    </w:p>
    <w:p>
      <w:pPr>
        <w:spacing w:after="0" w:line="205" w:lineRule="exact"/>
        <w:rPr>
          <w:sz w:val="20"/>
          <w:szCs w:val="20"/>
          <w:color w:val="auto"/>
        </w:rPr>
      </w:pPr>
    </w:p>
    <w:p>
      <w:pPr>
        <w:ind w:left="200" w:right="140" w:firstLine="551"/>
        <w:spacing w:after="0" w:line="261" w:lineRule="auto"/>
        <w:rPr>
          <w:sz w:val="20"/>
          <w:szCs w:val="20"/>
          <w:color w:val="auto"/>
        </w:rPr>
      </w:pPr>
      <w:r>
        <w:rPr>
          <w:rFonts w:ascii="Arial" w:cs="Arial" w:eastAsia="Arial" w:hAnsi="Arial"/>
          <w:sz w:val="17"/>
          <w:szCs w:val="17"/>
          <w:color w:val="auto"/>
        </w:rPr>
        <w:t xml:space="preserve">Dr. Schaffer and his colleagues first observed the potential to treat Cystic Fibrosis via aerosolized delivery of an evolved AAV variant (AAV2H22) in a pig model of Cystic Fibrosis. AAV2H22 was selected for highly efficient transduction of lung epithelial cells in pigs by conducting multiple rounds of directed evolution using aerosolized dosing in pigs. Aerosol delivery of microCFTR using the </w:t>
      </w:r>
      <w:r>
        <w:rPr>
          <w:rFonts w:ascii="Arial" w:cs="Arial" w:eastAsia="Arial" w:hAnsi="Arial"/>
          <w:sz w:val="17"/>
          <w:szCs w:val="17"/>
          <w:i w:val="1"/>
          <w:iCs w:val="1"/>
          <w:color w:val="auto"/>
        </w:rPr>
        <w:t>AAV2H22</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line="245" w:lineRule="auto"/>
        <w:rPr>
          <w:sz w:val="20"/>
          <w:szCs w:val="20"/>
          <w:color w:val="auto"/>
        </w:rPr>
      </w:pPr>
      <w:r>
        <w:rPr>
          <w:rFonts w:ascii="Arial" w:cs="Arial" w:eastAsia="Arial" w:hAnsi="Arial"/>
          <w:sz w:val="18"/>
          <w:szCs w:val="18"/>
          <w:i w:val="1"/>
          <w:iCs w:val="1"/>
          <w:color w:val="auto"/>
        </w:rPr>
        <w:t xml:space="preserve">vector </w:t>
      </w:r>
      <w:r>
        <w:rPr>
          <w:rFonts w:ascii="Arial" w:cs="Arial" w:eastAsia="Arial" w:hAnsi="Arial"/>
          <w:sz w:val="18"/>
          <w:szCs w:val="18"/>
          <w:color w:val="auto"/>
        </w:rPr>
        <w:t>resulted in CFTR expression in diseased pig lungs with expression patterns that resembled those observed in normal pig lungs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well as in humans (Panel A). In addition to CFTR protein expression, </w:t>
      </w:r>
      <w:r>
        <w:rPr>
          <w:rFonts w:ascii="Arial" w:cs="Arial" w:eastAsia="Arial" w:hAnsi="Arial"/>
          <w:sz w:val="18"/>
          <w:szCs w:val="18"/>
          <w:i w:val="1"/>
          <w:iCs w:val="1"/>
          <w:color w:val="auto"/>
        </w:rPr>
        <w:t>AAV2H22-CFTR</w:t>
      </w:r>
      <w:r>
        <w:rPr>
          <w:rFonts w:ascii="Arial" w:cs="Arial" w:eastAsia="Arial" w:hAnsi="Arial"/>
          <w:sz w:val="18"/>
          <w:szCs w:val="18"/>
          <w:color w:val="auto"/>
        </w:rPr>
        <w:t xml:space="preserve"> gene therapy also resulted in a significant increase in chloride ion transport (Isc) compared to untreated controls (Panel B) as well as a reduction in bacterial colonies within the lungs of treated animals (Panel C).</w:t>
      </w:r>
    </w:p>
    <w:p>
      <w:pPr>
        <w:spacing w:after="0" w:line="181"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Illustrative Images in Panel (A) Below Exhibit the Pattern of CFTR Expression Observed by Steines et al. in Normal Pigs, Untreated CF</w:t>
      </w:r>
    </w:p>
    <w:p>
      <w:pPr>
        <w:spacing w:after="0" w:line="14" w:lineRule="exact"/>
        <w:rPr>
          <w:sz w:val="20"/>
          <w:szCs w:val="20"/>
          <w:color w:val="auto"/>
        </w:rPr>
      </w:pPr>
    </w:p>
    <w:p>
      <w:pPr>
        <w:jc w:val="center"/>
        <w:ind w:left="540" w:right="40"/>
        <w:spacing w:after="0" w:line="239" w:lineRule="auto"/>
        <w:rPr>
          <w:sz w:val="20"/>
          <w:szCs w:val="20"/>
          <w:color w:val="auto"/>
        </w:rPr>
      </w:pPr>
      <w:r>
        <w:rPr>
          <w:rFonts w:ascii="Arial" w:cs="Arial" w:eastAsia="Arial" w:hAnsi="Arial"/>
          <w:sz w:val="18"/>
          <w:szCs w:val="18"/>
          <w:i w:val="1"/>
          <w:iCs w:val="1"/>
          <w:color w:val="auto"/>
        </w:rPr>
        <w:t>Pigs and CF Pigs Treated with AAV2H22 Carrying the MicroCFTR (also referred to as CFTR-deltaR) Transgene Payload (Same Transgene Utilized in 4D-710, but Different AAV Vector). The Study Involved Six Healthy Pigs, Six Untreated CF Pigs and Three AAV2H22.MicroCFTR-Treated CF Pigs. These Animals Are Represented by the Dots in Each of the Graphs (B) and (C) which Illustrate the Range of Responses Between Animals, and the Significant Difference Between Treated and Untreated CF Pigs.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146050</wp:posOffset>
            </wp:positionV>
            <wp:extent cx="5188585" cy="40563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88585" cy="405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99"/>
        <w:spacing w:after="0"/>
        <w:rPr>
          <w:sz w:val="20"/>
          <w:szCs w:val="20"/>
          <w:color w:val="auto"/>
        </w:rPr>
      </w:pPr>
      <w:r>
        <w:rPr>
          <w:rFonts w:ascii="Arial" w:cs="Arial" w:eastAsia="Arial" w:hAnsi="Arial"/>
          <w:sz w:val="14"/>
          <w:szCs w:val="14"/>
          <w:i w:val="1"/>
          <w:iCs w:val="1"/>
          <w:color w:val="auto"/>
        </w:rPr>
        <w:t>CFTR</w:t>
      </w:r>
      <w:r>
        <w:rPr>
          <w:rFonts w:ascii="Arial" w:cs="Arial" w:eastAsia="Arial" w:hAnsi="Arial"/>
          <w:sz w:val="14"/>
          <w:szCs w:val="14"/>
          <w:color w:val="auto"/>
        </w:rPr>
        <w:t>D</w:t>
      </w:r>
      <w:r>
        <w:rPr>
          <w:rFonts w:ascii="Arial" w:cs="Arial" w:eastAsia="Arial" w:hAnsi="Arial"/>
          <w:sz w:val="14"/>
          <w:szCs w:val="14"/>
          <w:i w:val="1"/>
          <w:iCs w:val="1"/>
          <w:color w:val="auto"/>
        </w:rPr>
        <w:t>R = MicroCFTR, Cystic Fibrosis transmembrane conductance regulator with removal of the R domain, a truncated version of the CFTR transgene engineered to fit</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4"/>
          <w:szCs w:val="14"/>
          <w:i w:val="1"/>
          <w:iCs w:val="1"/>
          <w:color w:val="auto"/>
        </w:rPr>
        <w:t>within the payload size limitations of AAV</w:t>
      </w:r>
    </w:p>
    <w:p>
      <w:pPr>
        <w:jc w:val="center"/>
        <w:ind w:right="-299"/>
        <w:spacing w:after="0" w:line="187" w:lineRule="auto"/>
        <w:rPr>
          <w:sz w:val="20"/>
          <w:szCs w:val="20"/>
          <w:color w:val="auto"/>
        </w:rPr>
      </w:pPr>
      <w:r>
        <w:rPr>
          <w:rFonts w:ascii="Arial" w:cs="Arial" w:eastAsia="Arial" w:hAnsi="Arial"/>
          <w:sz w:val="11"/>
          <w:szCs w:val="11"/>
          <w:i w:val="1"/>
          <w:iCs w:val="1"/>
          <w:color w:val="auto"/>
        </w:rPr>
        <w:t>Cl</w:t>
      </w:r>
      <w:r>
        <w:rPr>
          <w:rFonts w:ascii="Arial" w:cs="Arial" w:eastAsia="Arial" w:hAnsi="Arial"/>
          <w:sz w:val="18"/>
          <w:szCs w:val="18"/>
          <w:i w:val="1"/>
          <w:iCs w:val="1"/>
          <w:color w:val="auto"/>
          <w:vertAlign w:val="superscript"/>
        </w:rPr>
        <w:t>-</w:t>
      </w:r>
      <w:r>
        <w:rPr>
          <w:rFonts w:ascii="Arial" w:cs="Arial" w:eastAsia="Arial" w:hAnsi="Arial"/>
          <w:sz w:val="11"/>
          <w:szCs w:val="11"/>
          <w:i w:val="1"/>
          <w:iCs w:val="1"/>
          <w:color w:val="auto"/>
        </w:rPr>
        <w:t>= chloride ion</w:t>
      </w:r>
    </w:p>
    <w:p>
      <w:pPr>
        <w:jc w:val="center"/>
        <w:ind w:right="-299"/>
        <w:spacing w:after="0" w:line="187" w:lineRule="auto"/>
        <w:rPr>
          <w:sz w:val="20"/>
          <w:szCs w:val="20"/>
          <w:color w:val="auto"/>
        </w:rPr>
      </w:pPr>
      <w:r>
        <w:rPr>
          <w:rFonts w:ascii="Arial" w:cs="Arial" w:eastAsia="Arial" w:hAnsi="Arial"/>
          <w:sz w:val="12"/>
          <w:szCs w:val="12"/>
          <w:i w:val="1"/>
          <w:iCs w:val="1"/>
          <w:color w:val="auto"/>
        </w:rPr>
        <w:t>Isc = short circuit current, a measurement of Cl</w:t>
      </w:r>
      <w:r>
        <w:rPr>
          <w:rFonts w:ascii="Arial" w:cs="Arial" w:eastAsia="Arial" w:hAnsi="Arial"/>
          <w:sz w:val="19"/>
          <w:szCs w:val="19"/>
          <w:i w:val="1"/>
          <w:iCs w:val="1"/>
          <w:color w:val="auto"/>
          <w:vertAlign w:val="superscript"/>
        </w:rPr>
        <w:t>-</w:t>
      </w:r>
      <w:r>
        <w:rPr>
          <w:rFonts w:ascii="Arial" w:cs="Arial" w:eastAsia="Arial" w:hAnsi="Arial"/>
          <w:sz w:val="12"/>
          <w:szCs w:val="12"/>
          <w:i w:val="1"/>
          <w:iCs w:val="1"/>
          <w:color w:val="auto"/>
        </w:rPr>
        <w:t xml:space="preserve"> movement through cell membranes</w:t>
      </w:r>
    </w:p>
    <w:p>
      <w:pPr>
        <w:jc w:val="center"/>
        <w:ind w:right="-299"/>
        <w:spacing w:after="0" w:line="230" w:lineRule="auto"/>
        <w:rPr>
          <w:sz w:val="20"/>
          <w:szCs w:val="20"/>
          <w:color w:val="auto"/>
        </w:rPr>
      </w:pPr>
      <w:r>
        <w:rPr>
          <w:rFonts w:ascii="Arial" w:cs="Arial" w:eastAsia="Arial" w:hAnsi="Arial"/>
          <w:sz w:val="14"/>
          <w:szCs w:val="14"/>
          <w:i w:val="1"/>
          <w:iCs w:val="1"/>
          <w:color w:val="auto"/>
        </w:rPr>
        <w:t>µA = microAmp</w:t>
      </w:r>
    </w:p>
    <w:p>
      <w:pPr>
        <w:jc w:val="center"/>
        <w:ind w:right="-299"/>
        <w:spacing w:after="0"/>
        <w:rPr>
          <w:sz w:val="20"/>
          <w:szCs w:val="20"/>
          <w:color w:val="auto"/>
        </w:rPr>
      </w:pPr>
      <w:r>
        <w:rPr>
          <w:rFonts w:ascii="Arial" w:cs="Arial" w:eastAsia="Arial" w:hAnsi="Arial"/>
          <w:sz w:val="14"/>
          <w:szCs w:val="14"/>
          <w:i w:val="1"/>
          <w:iCs w:val="1"/>
          <w:color w:val="auto"/>
        </w:rPr>
        <w:t>cm</w:t>
      </w:r>
      <w:r>
        <w:rPr>
          <w:rFonts w:ascii="Arial" w:cs="Arial" w:eastAsia="Arial" w:hAnsi="Arial"/>
          <w:sz w:val="24"/>
          <w:szCs w:val="24"/>
          <w:i w:val="1"/>
          <w:iCs w:val="1"/>
          <w:color w:val="auto"/>
          <w:vertAlign w:val="superscript"/>
        </w:rPr>
        <w:t>2</w:t>
      </w:r>
      <w:r>
        <w:rPr>
          <w:rFonts w:ascii="Arial" w:cs="Arial" w:eastAsia="Arial" w:hAnsi="Arial"/>
          <w:sz w:val="14"/>
          <w:szCs w:val="14"/>
          <w:i w:val="1"/>
          <w:iCs w:val="1"/>
          <w:color w:val="auto"/>
        </w:rPr>
        <w:t xml:space="preserve"> = square centimeter.</w:t>
      </w:r>
    </w:p>
    <w:p>
      <w:pPr>
        <w:spacing w:after="0" w:line="3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240" w:top="459" w:right="5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firstLine="551"/>
        <w:spacing w:after="0" w:line="245" w:lineRule="auto"/>
        <w:rPr>
          <w:sz w:val="20"/>
          <w:szCs w:val="20"/>
          <w:color w:val="auto"/>
        </w:rPr>
      </w:pPr>
      <w:r>
        <w:rPr>
          <w:rFonts w:ascii="Arial" w:cs="Arial" w:eastAsia="Arial" w:hAnsi="Arial"/>
          <w:sz w:val="18"/>
          <w:szCs w:val="18"/>
          <w:color w:val="auto"/>
        </w:rPr>
        <w:t xml:space="preserve">In addition, Dr. Schaffer and colleagues used directed evolution 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human organotypic air-liquid interface model of Cystic Fibrosis lung epithelium to select AAV2.5T, which we in-licensed and termed 4D-A100. In preclinical studies, AAV2.5T carrying microCFTR transduced human lung epithelial tissue and resulted in expression of functional protein as suggested by increased chloride ion (Cl-) transport (Isc) as compared to untreated control (Panel B).</w:t>
      </w:r>
    </w:p>
    <w:p>
      <w:pPr>
        <w:spacing w:after="0" w:line="181" w:lineRule="exact"/>
        <w:rPr>
          <w:sz w:val="20"/>
          <w:szCs w:val="20"/>
          <w:color w:val="auto"/>
        </w:rPr>
      </w:pPr>
    </w:p>
    <w:p>
      <w:pPr>
        <w:jc w:val="center"/>
        <w:ind w:left="460" w:right="100"/>
        <w:spacing w:after="0" w:line="297" w:lineRule="auto"/>
        <w:rPr>
          <w:sz w:val="20"/>
          <w:szCs w:val="20"/>
          <w:color w:val="auto"/>
        </w:rPr>
      </w:pPr>
      <w:r>
        <w:rPr>
          <w:rFonts w:ascii="Arial" w:cs="Arial" w:eastAsia="Arial" w:hAnsi="Arial"/>
          <w:sz w:val="17"/>
          <w:szCs w:val="17"/>
          <w:i w:val="1"/>
          <w:iCs w:val="1"/>
          <w:color w:val="auto"/>
        </w:rPr>
        <w:t>Excoffon et al. Previously Observed Restoration of CFTR Expression and Chloride Transport in Cystic Fibrosis Patient-Derived Airway Epithelium with AAV2.5T Vector Carrying MicroCFTR Payload (Same Payload, but Different Proprietary AAV Vector, Utilized in 4D-710).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116205</wp:posOffset>
            </wp:positionV>
            <wp:extent cx="5248275" cy="3978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48275" cy="397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4"/>
          <w:szCs w:val="14"/>
          <w:i w:val="1"/>
          <w:iCs w:val="1"/>
          <w:color w:val="auto"/>
        </w:rPr>
        <w:t>CF = Cystic Fibrosis</w:t>
      </w:r>
    </w:p>
    <w:p>
      <w:pPr>
        <w:jc w:val="center"/>
        <w:ind w:right="-219"/>
        <w:spacing w:after="0" w:line="186" w:lineRule="auto"/>
        <w:rPr>
          <w:sz w:val="20"/>
          <w:szCs w:val="20"/>
          <w:color w:val="auto"/>
        </w:rPr>
      </w:pPr>
      <w:r>
        <w:rPr>
          <w:rFonts w:ascii="Arial" w:cs="Arial" w:eastAsia="Arial" w:hAnsi="Arial"/>
          <w:sz w:val="12"/>
          <w:szCs w:val="12"/>
          <w:i w:val="1"/>
          <w:iCs w:val="1"/>
          <w:color w:val="auto"/>
        </w:rPr>
        <w:t>Na</w:t>
      </w:r>
      <w:r>
        <w:rPr>
          <w:rFonts w:ascii="Arial" w:cs="Arial" w:eastAsia="Arial" w:hAnsi="Arial"/>
          <w:sz w:val="19"/>
          <w:szCs w:val="19"/>
          <w:i w:val="1"/>
          <w:iCs w:val="1"/>
          <w:color w:val="auto"/>
          <w:vertAlign w:val="superscript"/>
        </w:rPr>
        <w:t>+</w:t>
      </w:r>
      <w:r>
        <w:rPr>
          <w:rFonts w:ascii="Arial" w:cs="Arial" w:eastAsia="Arial" w:hAnsi="Arial"/>
          <w:sz w:val="12"/>
          <w:szCs w:val="12"/>
          <w:i w:val="1"/>
          <w:iCs w:val="1"/>
          <w:color w:val="auto"/>
        </w:rPr>
        <w:t xml:space="preserve"> = sodium ion</w:t>
      </w:r>
    </w:p>
    <w:p>
      <w:pPr>
        <w:jc w:val="center"/>
        <w:ind w:right="-219"/>
        <w:spacing w:after="0" w:line="186" w:lineRule="auto"/>
        <w:rPr>
          <w:sz w:val="20"/>
          <w:szCs w:val="20"/>
          <w:color w:val="auto"/>
        </w:rPr>
      </w:pPr>
      <w:r>
        <w:rPr>
          <w:rFonts w:ascii="Arial" w:cs="Arial" w:eastAsia="Arial" w:hAnsi="Arial"/>
          <w:sz w:val="12"/>
          <w:szCs w:val="12"/>
          <w:i w:val="1"/>
          <w:iCs w:val="1"/>
          <w:color w:val="auto"/>
        </w:rPr>
        <w:t>Isc</w:t>
      </w:r>
      <w:r>
        <w:rPr>
          <w:rFonts w:ascii="Arial" w:cs="Arial" w:eastAsia="Arial" w:hAnsi="Arial"/>
          <w:sz w:val="10"/>
          <w:szCs w:val="10"/>
          <w:i w:val="1"/>
          <w:iCs w:val="1"/>
          <w:color w:val="auto"/>
        </w:rPr>
        <w:t>GlyH</w:t>
      </w:r>
      <w:r>
        <w:rPr>
          <w:rFonts w:ascii="Arial" w:cs="Arial" w:eastAsia="Arial" w:hAnsi="Arial"/>
          <w:sz w:val="12"/>
          <w:szCs w:val="12"/>
          <w:i w:val="1"/>
          <w:iCs w:val="1"/>
          <w:color w:val="auto"/>
        </w:rPr>
        <w:t xml:space="preserve"> = short circuit current, a measurement of Cl</w:t>
      </w:r>
      <w:r>
        <w:rPr>
          <w:rFonts w:ascii="Arial" w:cs="Arial" w:eastAsia="Arial" w:hAnsi="Arial"/>
          <w:sz w:val="19"/>
          <w:szCs w:val="19"/>
          <w:i w:val="1"/>
          <w:iCs w:val="1"/>
          <w:color w:val="auto"/>
          <w:vertAlign w:val="superscript"/>
        </w:rPr>
        <w:t>-</w:t>
      </w:r>
      <w:r>
        <w:rPr>
          <w:rFonts w:ascii="Arial" w:cs="Arial" w:eastAsia="Arial" w:hAnsi="Arial"/>
          <w:sz w:val="12"/>
          <w:szCs w:val="12"/>
          <w:i w:val="1"/>
          <w:iCs w:val="1"/>
          <w:color w:val="auto"/>
        </w:rPr>
        <w:t xml:space="preserve"> movement through cell membranes</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i w:val="1"/>
          <w:iCs w:val="1"/>
          <w:color w:val="auto"/>
        </w:rPr>
        <w:t>µamps = microAmp</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i w:val="1"/>
          <w:iCs w:val="1"/>
          <w:color w:val="auto"/>
        </w:rPr>
        <w:t>min = minute</w:t>
      </w:r>
    </w:p>
    <w:p>
      <w:pPr>
        <w:spacing w:after="0" w:line="212" w:lineRule="exact"/>
        <w:rPr>
          <w:sz w:val="20"/>
          <w:szCs w:val="20"/>
          <w:color w:val="auto"/>
        </w:rPr>
      </w:pPr>
    </w:p>
    <w:p>
      <w:pPr>
        <w:ind w:left="200" w:right="60" w:firstLine="551"/>
        <w:spacing w:after="0"/>
        <w:rPr>
          <w:sz w:val="20"/>
          <w:szCs w:val="20"/>
          <w:color w:val="auto"/>
        </w:rPr>
      </w:pPr>
      <w:r>
        <w:rPr>
          <w:rFonts w:ascii="Arial" w:cs="Arial" w:eastAsia="Arial" w:hAnsi="Arial"/>
          <w:sz w:val="18"/>
          <w:szCs w:val="18"/>
          <w:color w:val="auto"/>
        </w:rPr>
        <w:t>We believe that these results provide evidence suggesting that the directed evolution platform enabled isolation of viral vectors that could penetrate the mucus layer of diseased Cystic Fibrosis lungs and deliver functional CFTR protein in a well-validated large animal model of the disease, as well as in human CF patient-derived organotypic lung models.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Pharmacology and Toxicology Studies</w:t>
      </w:r>
    </w:p>
    <w:p>
      <w:pPr>
        <w:spacing w:after="0" w:line="122" w:lineRule="exact"/>
        <w:rPr>
          <w:sz w:val="20"/>
          <w:szCs w:val="20"/>
          <w:color w:val="auto"/>
        </w:rPr>
      </w:pPr>
    </w:p>
    <w:p>
      <w:pPr>
        <w:jc w:val="both"/>
        <w:ind w:left="200" w:right="80" w:firstLine="551"/>
        <w:spacing w:after="0"/>
        <w:rPr>
          <w:sz w:val="20"/>
          <w:szCs w:val="20"/>
          <w:color w:val="auto"/>
        </w:rPr>
      </w:pPr>
      <w:r>
        <w:rPr>
          <w:rFonts w:ascii="Arial" w:cs="Arial" w:eastAsia="Arial" w:hAnsi="Arial"/>
          <w:sz w:val="18"/>
          <w:szCs w:val="18"/>
          <w:color w:val="auto"/>
        </w:rPr>
        <w:t>We plan to expand on these results and to conduct dose-ranging and durability studies with 4D-710, and to carry out planned GLP toxicology and biodistribution studies to enable an IND filing and clinical trials in patients. We plan to initiate IND-enabling toxicology and biodistribution studies in the first half of 2020.</w:t>
      </w:r>
    </w:p>
    <w:p>
      <w:pPr>
        <w:spacing w:after="0" w:line="289" w:lineRule="exact"/>
        <w:rPr>
          <w:sz w:val="20"/>
          <w:szCs w:val="20"/>
          <w:color w:val="auto"/>
        </w:rPr>
      </w:pPr>
    </w:p>
    <w:p>
      <w:pPr>
        <w:ind w:left="200" w:right="3000"/>
        <w:spacing w:after="0" w:line="372" w:lineRule="auto"/>
        <w:rPr>
          <w:sz w:val="20"/>
          <w:szCs w:val="20"/>
          <w:color w:val="auto"/>
        </w:rPr>
      </w:pPr>
      <w:r>
        <w:rPr>
          <w:rFonts w:ascii="Arial" w:cs="Arial" w:eastAsia="Arial" w:hAnsi="Arial"/>
          <w:sz w:val="18"/>
          <w:szCs w:val="18"/>
          <w:b w:val="1"/>
          <w:bCs w:val="1"/>
          <w:i w:val="1"/>
          <w:iCs w:val="1"/>
          <w:color w:val="auto"/>
        </w:rPr>
        <w:t xml:space="preserve">Product Candidates in Lead Optimization for the Treatment of Duchenne Muscular Dystrophy </w:t>
      </w:r>
      <w:r>
        <w:rPr>
          <w:rFonts w:ascii="Arial" w:cs="Arial" w:eastAsia="Arial" w:hAnsi="Arial"/>
          <w:sz w:val="18"/>
          <w:szCs w:val="18"/>
          <w:i w:val="1"/>
          <w:iCs w:val="1"/>
          <w:color w:val="auto"/>
        </w:rPr>
        <w:t>Target Product Profiles</w:t>
      </w:r>
    </w:p>
    <w:p>
      <w:pPr>
        <w:spacing w:after="0" w:line="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wholly-own our product candidates that are in lead optimization for muscular dystrophies, including for DMD. These product candidates are designed to treat different patient populations within DMD. We are currently in lead optimization for product candidates using our proprietary 4D-C102 vector, which is designed for efficient, low dose intravenous delivery to cardiac and skeletal muscle tissues, to have minimal toxicities, and potential resistance to pre-existing antibodies to conventional AAVs in the human patient population. A second product candidate in lead optimization has been engineered with our proprietary 4D-STAR100 vector, which is designed for resistance to pre-existing antibodies to conventional AAVs in humans. Thus, this product candidate is designed for the treatment of patients who have either been excluded from receiving AAV gene therapy treatments due to their antibody titers, or who have received prior treatment with another AAV gene therapy and we believe would potentially benefit from re-dosing. The promoter used in these product candidates has been observed to be active in both cardiac and skeletal muscle cells. We are evaluating several mini-dystrophin transgene payloads that have preclinical and/or clinical proof-of-concept.</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80"/>
          </w:cols>
          <w:pgMar w:left="24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firstLine="551"/>
        <w:spacing w:after="0"/>
        <w:rPr>
          <w:sz w:val="20"/>
          <w:szCs w:val="20"/>
          <w:color w:val="auto"/>
        </w:rPr>
      </w:pPr>
      <w:r>
        <w:rPr>
          <w:rFonts w:ascii="Arial" w:cs="Arial" w:eastAsia="Arial" w:hAnsi="Arial"/>
          <w:sz w:val="18"/>
          <w:szCs w:val="18"/>
          <w:color w:val="auto"/>
        </w:rPr>
        <w:t>Additionally, in preclinical studies 4D-C102 improved delivery to muscle cells as compared to conventional AAV vectors, and in doing so, did not increase delivery to the liver. 4D-C102 was observed to be significantly more selective for muscle tissue versus liver tissue when compared to both AAV8 and AAV9 as demonstrated below.</w:t>
      </w:r>
    </w:p>
    <w:p>
      <w:pPr>
        <w:spacing w:after="0" w:line="185" w:lineRule="exact"/>
        <w:rPr>
          <w:sz w:val="20"/>
          <w:szCs w:val="20"/>
          <w:color w:val="auto"/>
        </w:rPr>
      </w:pPr>
    </w:p>
    <w:p>
      <w:pPr>
        <w:jc w:val="center"/>
        <w:ind w:right="-619"/>
        <w:spacing w:after="0"/>
        <w:rPr>
          <w:sz w:val="20"/>
          <w:szCs w:val="20"/>
          <w:color w:val="auto"/>
        </w:rPr>
      </w:pPr>
      <w:r>
        <w:rPr>
          <w:rFonts w:ascii="Arial" w:cs="Arial" w:eastAsia="Arial" w:hAnsi="Arial"/>
          <w:sz w:val="18"/>
          <w:szCs w:val="18"/>
          <w:i w:val="1"/>
          <w:iCs w:val="1"/>
          <w:color w:val="auto"/>
        </w:rPr>
        <w:t>4D-C102 Intravenous Targeting to NHP</w:t>
      </w:r>
    </w:p>
    <w:p>
      <w:pPr>
        <w:spacing w:after="0" w:line="14" w:lineRule="exact"/>
        <w:rPr>
          <w:sz w:val="20"/>
          <w:szCs w:val="20"/>
          <w:color w:val="auto"/>
        </w:rPr>
      </w:pPr>
    </w:p>
    <w:p>
      <w:pPr>
        <w:jc w:val="center"/>
        <w:ind w:right="-619"/>
        <w:spacing w:after="0"/>
        <w:rPr>
          <w:sz w:val="20"/>
          <w:szCs w:val="20"/>
          <w:color w:val="auto"/>
        </w:rPr>
      </w:pPr>
      <w:r>
        <w:rPr>
          <w:rFonts w:ascii="Arial" w:cs="Arial" w:eastAsia="Arial" w:hAnsi="Arial"/>
          <w:sz w:val="18"/>
          <w:szCs w:val="18"/>
          <w:i w:val="1"/>
          <w:iCs w:val="1"/>
          <w:color w:val="auto"/>
        </w:rPr>
        <w:t>Skeletal Muscle and Cardiac Tissue Versus Liver Tissue was Superior to AAV8 and AAV9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152400</wp:posOffset>
            </wp:positionV>
            <wp:extent cx="5137150" cy="33020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37150"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800"/>
          </w:cols>
          <w:pgMar w:left="240" w:top="459" w:right="8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00" w:firstLine="551"/>
        <w:spacing w:after="0" w:line="246" w:lineRule="auto"/>
        <w:rPr>
          <w:sz w:val="20"/>
          <w:szCs w:val="20"/>
          <w:color w:val="auto"/>
        </w:rPr>
      </w:pPr>
      <w:r>
        <w:rPr>
          <w:rFonts w:ascii="Arial" w:cs="Arial" w:eastAsia="Arial" w:hAnsi="Arial"/>
          <w:sz w:val="18"/>
          <w:szCs w:val="18"/>
          <w:color w:val="auto"/>
        </w:rPr>
        <w:t xml:space="preserve">Moreover, 4D-C102 transduced human cardiomyocytes, as well as skeletal muscle with EGFP more efficiently than did AAV8 or AAV9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 demonstrated below.</w:t>
      </w:r>
    </w:p>
    <w:p>
      <w:pPr>
        <w:spacing w:after="0" w:line="179" w:lineRule="exact"/>
        <w:rPr>
          <w:sz w:val="20"/>
          <w:szCs w:val="20"/>
          <w:color w:val="auto"/>
        </w:rPr>
      </w:pPr>
    </w:p>
    <w:p>
      <w:pPr>
        <w:jc w:val="center"/>
        <w:ind w:left="480" w:right="100"/>
        <w:spacing w:after="0" w:line="267" w:lineRule="auto"/>
        <w:rPr>
          <w:sz w:val="20"/>
          <w:szCs w:val="20"/>
          <w:color w:val="auto"/>
        </w:rPr>
      </w:pPr>
      <w:r>
        <w:rPr>
          <w:rFonts w:ascii="Arial" w:cs="Arial" w:eastAsia="Arial" w:hAnsi="Arial"/>
          <w:sz w:val="18"/>
          <w:szCs w:val="18"/>
          <w:i w:val="1"/>
          <w:iCs w:val="1"/>
          <w:color w:val="auto"/>
        </w:rPr>
        <w:t>4D-C102 Exhibited Superior Transduction of Human Primary Skeletal Muscle in Vitro when Compared to Conventional AAV8 and AAV9 Vectors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131445</wp:posOffset>
            </wp:positionV>
            <wp:extent cx="5213985" cy="25558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13985"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480" w:right="1440"/>
        <w:spacing w:after="0" w:line="264" w:lineRule="auto"/>
        <w:rPr>
          <w:sz w:val="20"/>
          <w:szCs w:val="20"/>
          <w:color w:val="auto"/>
        </w:rPr>
      </w:pPr>
      <w:r>
        <w:rPr>
          <w:rFonts w:ascii="Arial" w:cs="Arial" w:eastAsia="Arial" w:hAnsi="Arial"/>
          <w:sz w:val="16"/>
          <w:szCs w:val="16"/>
          <w:i w:val="1"/>
          <w:iCs w:val="1"/>
          <w:color w:val="auto"/>
        </w:rPr>
        <w:t>MHC = myosin heavy chain, a marker of skeletal muscle cell identity %EGFP+/MHC+ Cells = the percentage of EGFP-expressing cells within the MHC-expressing skeletal muscle cell population, a quantification of the transduction efficiency of the capsid for the target cell type.</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Disease Background, Unmet Medical Need and Target Patient Population</w:t>
      </w:r>
    </w:p>
    <w:p>
      <w:pPr>
        <w:spacing w:after="0" w:line="230"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DMD is a progressive and fatal muscular-wasting disease, and one of the most prevalent rare genetic diseases, with an estimated prevalence of 10,000 to 15,000 cases in the United States. DMD is caused by inadequate production of functional dystrophin, a protein necessary for muscle function, as a result of mutations in the dystrophin gene. Early indicators of disease due to muscle weakness include difficulty walking or jumping, frequent falling over and becoming fatigued more easily. By approximately 12 years of age, most DMD patients will need to use a wheelchair on a regular basis. In the later stages of disease progression, life-threatening heart and respiratory conditions become common. Cardiomyopathy, heart disease due to weakened cardiac muscles, which may result in death of patients in their twenties.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Competition and Differentiation—Viral Vector Gene Therapy with Conventional AAV for DMD</w:t>
      </w:r>
    </w:p>
    <w:p>
      <w:pPr>
        <w:spacing w:after="0" w:line="104" w:lineRule="exact"/>
        <w:rPr>
          <w:sz w:val="20"/>
          <w:szCs w:val="20"/>
          <w:color w:val="auto"/>
        </w:rPr>
      </w:pPr>
    </w:p>
    <w:p>
      <w:pPr>
        <w:ind w:left="200" w:right="540" w:firstLine="551"/>
        <w:spacing w:after="0" w:line="245" w:lineRule="auto"/>
        <w:rPr>
          <w:sz w:val="20"/>
          <w:szCs w:val="20"/>
          <w:color w:val="auto"/>
        </w:rPr>
      </w:pPr>
      <w:r>
        <w:rPr>
          <w:rFonts w:ascii="Arial" w:cs="Arial" w:eastAsia="Arial" w:hAnsi="Arial"/>
          <w:sz w:val="18"/>
          <w:szCs w:val="18"/>
          <w:color w:val="auto"/>
        </w:rPr>
        <w:t xml:space="preserve">Sarepta is commercializing Exondys 51 for patients who have a confirmed mutation of the </w:t>
      </w:r>
      <w:r>
        <w:rPr>
          <w:rFonts w:ascii="Arial" w:cs="Arial" w:eastAsia="Arial" w:hAnsi="Arial"/>
          <w:sz w:val="18"/>
          <w:szCs w:val="18"/>
          <w:i w:val="1"/>
          <w:iCs w:val="1"/>
          <w:color w:val="auto"/>
        </w:rPr>
        <w:t>DMD</w:t>
      </w:r>
      <w:r>
        <w:rPr>
          <w:rFonts w:ascii="Arial" w:cs="Arial" w:eastAsia="Arial" w:hAnsi="Arial"/>
          <w:sz w:val="18"/>
          <w:szCs w:val="18"/>
          <w:color w:val="auto"/>
        </w:rPr>
        <w:t xml:space="preserve"> gene amenable to exon 51 skipping, which affects about 13% of the population with DMD. Currently, Pfizer, Sarepta and Solid Biosciences are developing AAV therapy treatments for DMD. All three are in early clinical trials in boys with DMD with products utilizing conventional AAV vectors administered by IV infusion.</w:t>
      </w:r>
    </w:p>
    <w:p>
      <w:pPr>
        <w:spacing w:after="0" w:line="199" w:lineRule="exact"/>
        <w:rPr>
          <w:sz w:val="20"/>
          <w:szCs w:val="20"/>
          <w:color w:val="auto"/>
        </w:rPr>
      </w:pPr>
    </w:p>
    <w:p>
      <w:pPr>
        <w:ind w:left="200" w:right="440" w:firstLine="551"/>
        <w:spacing w:after="0"/>
        <w:rPr>
          <w:sz w:val="20"/>
          <w:szCs w:val="20"/>
          <w:color w:val="auto"/>
        </w:rPr>
      </w:pPr>
      <w:r>
        <w:rPr>
          <w:rFonts w:ascii="Arial" w:cs="Arial" w:eastAsia="Arial" w:hAnsi="Arial"/>
          <w:sz w:val="18"/>
          <w:szCs w:val="18"/>
          <w:color w:val="auto"/>
        </w:rPr>
        <w:t>Preclinical proof-of-concept has been observed in a dog model of DMD in which a truncated version of the dystrophin gene, microdystrophin, was delivered using conventional AAV leading to stable expression and prevention of dystrophic damage in skeletal muscles; long-term effects on heart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24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function were not reported. The AAV vectors used in clinical-stage products to date are naturally-occurring conventional AAV capsids AAVrh74 (similar to AAV8) and AAV9 and therefore are not specifically targeted to human cardiac or skeletal muscle tissue. AAV gene therapy in DMD patients treated intravenously by Nationwide Children’s Hospital and Sarepta has resulted in transgene expression within skeletal muscle biopsies and a decrease in serum markers of muscle inflammation including creatine kinase. Sarepta has also reported anecdotal improvements in boys’ functional performance without signs of adverse effects after nine months. AAV gene therapies for DMD utilizing these conventional vectors have been subject to inflammation-related toxicity issues and manufacturing challenges due to the requirement for relatively high doses.</w:t>
      </w:r>
    </w:p>
    <w:p>
      <w:pPr>
        <w:spacing w:after="0" w:line="203" w:lineRule="exact"/>
        <w:rPr>
          <w:sz w:val="20"/>
          <w:szCs w:val="20"/>
          <w:color w:val="auto"/>
        </w:rPr>
      </w:pPr>
    </w:p>
    <w:p>
      <w:pPr>
        <w:ind w:left="200" w:right="240" w:firstLine="551"/>
        <w:spacing w:after="0" w:line="237" w:lineRule="auto"/>
        <w:rPr>
          <w:sz w:val="20"/>
          <w:szCs w:val="20"/>
          <w:color w:val="auto"/>
        </w:rPr>
      </w:pPr>
      <w:r>
        <w:rPr>
          <w:rFonts w:ascii="Arial" w:cs="Arial" w:eastAsia="Arial" w:hAnsi="Arial"/>
          <w:sz w:val="18"/>
          <w:szCs w:val="18"/>
          <w:color w:val="auto"/>
        </w:rPr>
        <w:t>In addition to requiring high doses, patients have been excluded from clinical trials due to significant pre-existing neutralizing antibody titers to AAVrh74 and AAV9. This antibody-based exclusion from treatment limitation increases in frequency with patient age. Finally, as patients grow and develop more muscle mass following AAV treatment, re-dosing with AAV gene therapy would likely be beneficial. AAV vectors that are not neutralized by antibodies to AAVrh74 and AAV9 would therefore be highly desirable for subsequent treatment. We believe our proprietary vectors that were selected for resistance to antibodies to conventional AAVs have potential in this clinical situation.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Pharmacology and Toxicology Programs</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expect to complete lead optimization and to identify our lead research product candidate in 2020.</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Ophthalmological Diseases</w:t>
      </w:r>
    </w:p>
    <w:p>
      <w:pPr>
        <w:spacing w:after="0" w:line="126" w:lineRule="exact"/>
        <w:rPr>
          <w:sz w:val="20"/>
          <w:szCs w:val="20"/>
          <w:color w:val="auto"/>
        </w:rPr>
      </w:pPr>
    </w:p>
    <w:p>
      <w:pPr>
        <w:ind w:left="200" w:right="160" w:firstLine="551"/>
        <w:spacing w:after="0" w:line="238" w:lineRule="auto"/>
        <w:rPr>
          <w:sz w:val="20"/>
          <w:szCs w:val="20"/>
          <w:color w:val="auto"/>
        </w:rPr>
      </w:pPr>
      <w:r>
        <w:rPr>
          <w:rFonts w:ascii="Arial" w:cs="Arial" w:eastAsia="Arial" w:hAnsi="Arial"/>
          <w:sz w:val="18"/>
          <w:szCs w:val="18"/>
          <w:color w:val="auto"/>
        </w:rPr>
        <w:t>We have a broad partnership with Roche in ophthalmology, excluding ddRNAi delivery where we retain full ownership. Roche is a leader in ophthalmology biotherapeutics development and commercialization. In the ophthalmology field, we and Roche both have the right to declare product candidates. Roche has an option to acquire rights to product candidates declared by us prior to initiation of a pivotal clinical trial by paying an option fee as well as milestone and royalty payments that are higher than for Roche-declared product candidates. If exercised, Roche will assume all commercial and development-related costs.</w:t>
      </w:r>
    </w:p>
    <w:p>
      <w:pPr>
        <w:spacing w:after="0" w:line="203" w:lineRule="exact"/>
        <w:rPr>
          <w:sz w:val="20"/>
          <w:szCs w:val="20"/>
          <w:color w:val="auto"/>
        </w:rPr>
      </w:pPr>
    </w:p>
    <w:p>
      <w:pPr>
        <w:ind w:left="200" w:right="120" w:firstLine="551"/>
        <w:spacing w:after="0" w:line="246" w:lineRule="auto"/>
        <w:rPr>
          <w:sz w:val="20"/>
          <w:szCs w:val="20"/>
          <w:color w:val="auto"/>
        </w:rPr>
      </w:pPr>
      <w:r>
        <w:rPr>
          <w:rFonts w:ascii="Arial" w:cs="Arial" w:eastAsia="Arial" w:hAnsi="Arial"/>
          <w:sz w:val="18"/>
          <w:szCs w:val="18"/>
          <w:color w:val="auto"/>
        </w:rPr>
        <w:t>Approximately 200 rare genetic diseases of the eye have been described, in addition to large market indications such as macular degeneration, diabetic retinopathy and glaucoma. The retina is an attractive tissue to target using gene therapy for the following reasons:</w:t>
      </w:r>
    </w:p>
    <w:p>
      <w:pPr>
        <w:spacing w:after="0" w:line="102" w:lineRule="exact"/>
        <w:rPr>
          <w:sz w:val="20"/>
          <w:szCs w:val="20"/>
          <w:color w:val="auto"/>
        </w:rPr>
      </w:pPr>
    </w:p>
    <w:p>
      <w:pPr>
        <w:ind w:left="960" w:hanging="216"/>
        <w:spacing w:after="0"/>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Therapeutics can be easily administered locally (with intravitreal delivered vectors only)</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small volume of retinal tissue requires minimal doses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eye is a relatively immune-privileged organ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number of clinically-validated endpoints, with rapid readouts, have been defined</w:t>
      </w:r>
    </w:p>
    <w:p>
      <w:pPr>
        <w:spacing w:after="0" w:line="212" w:lineRule="exact"/>
        <w:rPr>
          <w:sz w:val="20"/>
          <w:szCs w:val="20"/>
          <w:color w:val="auto"/>
        </w:rPr>
      </w:pPr>
    </w:p>
    <w:p>
      <w:pPr>
        <w:ind w:left="200" w:right="160" w:firstLine="551"/>
        <w:spacing w:after="0" w:line="238" w:lineRule="auto"/>
        <w:rPr>
          <w:sz w:val="20"/>
          <w:szCs w:val="20"/>
          <w:color w:val="auto"/>
        </w:rPr>
      </w:pPr>
      <w:r>
        <w:rPr>
          <w:rFonts w:ascii="Arial" w:cs="Arial" w:eastAsia="Arial" w:hAnsi="Arial"/>
          <w:sz w:val="18"/>
          <w:szCs w:val="18"/>
          <w:color w:val="auto"/>
        </w:rPr>
        <w:t>Initial AAV gene therapy products for the eye have displayed limitations associated with conventional AAVs. The eye is a complex organ composed of multiple types of cells and tissues such as retina, optic nerve, cornea and the iris. We believe gene therapies are effective only when target cells and tissues receive and express the proper transgene in a widespread fashion. Naturally-occurring conventional AAV vectors such as AAV2 do not transduce the primate retina efficiently after intravitreal injection, likely due to the inner-limiting membrane acting as a barrier to AAV.</w:t>
      </w:r>
    </w:p>
    <w:p>
      <w:pPr>
        <w:spacing w:after="0" w:line="203"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As a result, the majority of conventional AAV product candidates studied in humans, including the marketed product Luxturna (voretigene neparvovec-rzyl) from Spark Therapeutics, are administered by subretinal injection surgery, a complex procedure performed in an operating room by highly-specialized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240" w:top="460"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retinal surgeons. This route of administration, typically using AAV2, generally results in a minority “bleb” area of the retina being transduced. Investigators have reported transduction of less than 10% of the retina in primates and humans. Therefore, in most patients, the majority of retinal tissue is left untreated. In addition, retinal detachment can occur, and cataracts routinely result after subretinal injections. Finally, ophthalmic surgeons must be specially trained for this operator-dependent surgical technique, thus limiting the number of sites and ophthalmologists who can perform the surgery.</w:t>
      </w:r>
    </w:p>
    <w:p>
      <w:pPr>
        <w:spacing w:after="0" w:line="185" w:lineRule="exact"/>
        <w:rPr>
          <w:sz w:val="20"/>
          <w:szCs w:val="20"/>
          <w:color w:val="auto"/>
        </w:rPr>
      </w:pPr>
    </w:p>
    <w:p>
      <w:pPr>
        <w:jc w:val="center"/>
        <w:ind w:left="460" w:right="320"/>
        <w:spacing w:after="0" w:line="267" w:lineRule="auto"/>
        <w:rPr>
          <w:sz w:val="20"/>
          <w:szCs w:val="20"/>
          <w:color w:val="auto"/>
        </w:rPr>
      </w:pPr>
      <w:r>
        <w:rPr>
          <w:rFonts w:ascii="Arial" w:cs="Arial" w:eastAsia="Arial" w:hAnsi="Arial"/>
          <w:sz w:val="18"/>
          <w:szCs w:val="18"/>
          <w:i w:val="1"/>
          <w:iCs w:val="1"/>
          <w:color w:val="auto"/>
        </w:rPr>
        <w:t>Representative Bleb Area of the Retina (White Area Inside Black Box) as Treated by Subretinal Injection of an AAV Gene Therapy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131445</wp:posOffset>
            </wp:positionV>
            <wp:extent cx="1800860" cy="17754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800860"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We are developing a product to be administered by intravitreal injection, which includes a vector that tranduces the entire retinal surface area. Intravitreal injection is performed routinely thousands of times every day in the United States and European Union for administration of anti-VEGF protein therapeutics for Wet AMD. Procedure-related complications are uncommon, and the procedure can be carried out in the majority of out-patient eye clinics in the United States.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00"/>
          </w:cols>
          <w:pgMar w:left="24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i w:val="1"/>
          <w:iCs w:val="1"/>
          <w:color w:val="auto"/>
        </w:rPr>
        <w:t>Key Aspects of the Intravitreal and Subretinal Ocular Injection Routes Which We</w:t>
      </w:r>
    </w:p>
    <w:p>
      <w:pPr>
        <w:spacing w:after="0" w:line="14" w:lineRule="exact"/>
        <w:rPr>
          <w:sz w:val="20"/>
          <w:szCs w:val="20"/>
          <w:color w:val="auto"/>
        </w:rPr>
      </w:pPr>
    </w:p>
    <w:p>
      <w:pPr>
        <w:jc w:val="center"/>
        <w:ind w:right="-319"/>
        <w:spacing w:after="0"/>
        <w:rPr>
          <w:sz w:val="20"/>
          <w:szCs w:val="20"/>
          <w:color w:val="auto"/>
        </w:rPr>
      </w:pPr>
      <w:r>
        <w:rPr>
          <w:rFonts w:ascii="Arial" w:cs="Arial" w:eastAsia="Arial" w:hAnsi="Arial"/>
          <w:sz w:val="18"/>
          <w:szCs w:val="18"/>
          <w:i w:val="1"/>
          <w:iCs w:val="1"/>
          <w:color w:val="auto"/>
        </w:rPr>
        <w:t>Considered when Designing Our Target Product Profile Are Listed Below</w:t>
      </w:r>
    </w:p>
    <w:p>
      <w:pPr>
        <w:spacing w:after="0" w:line="217" w:lineRule="exact"/>
        <w:rPr>
          <w:sz w:val="20"/>
          <w:szCs w:val="20"/>
          <w:color w:val="auto"/>
        </w:rPr>
      </w:pPr>
    </w:p>
    <w:p>
      <w:pPr>
        <w:ind w:left="540"/>
        <w:spacing w:after="0"/>
        <w:tabs>
          <w:tab w:leader="none" w:pos="6580" w:val="left"/>
        </w:tabs>
        <w:rPr>
          <w:sz w:val="20"/>
          <w:szCs w:val="20"/>
          <w:color w:val="auto"/>
        </w:rPr>
      </w:pPr>
      <w:r>
        <w:rPr>
          <w:rFonts w:ascii="Arial" w:cs="Arial" w:eastAsia="Arial" w:hAnsi="Arial"/>
          <w:sz w:val="18"/>
          <w:szCs w:val="18"/>
          <w:b w:val="1"/>
          <w:bCs w:val="1"/>
          <w:color w:val="auto"/>
        </w:rPr>
        <w:t>subretinal</w:t>
      </w:r>
      <w:r>
        <w:rPr>
          <w:sz w:val="20"/>
          <w:szCs w:val="20"/>
          <w:color w:val="auto"/>
        </w:rPr>
        <w:tab/>
      </w:r>
      <w:r>
        <w:rPr>
          <w:rFonts w:ascii="Arial" w:cs="Arial" w:eastAsia="Arial" w:hAnsi="Arial"/>
          <w:sz w:val="18"/>
          <w:szCs w:val="18"/>
          <w:b w:val="1"/>
          <w:bCs w:val="1"/>
          <w:color w:val="auto"/>
        </w:rPr>
        <w:t>intravitreal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80010</wp:posOffset>
            </wp:positionV>
            <wp:extent cx="5866130" cy="12604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66130"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200" w:type="dxa"/>
        <w:tblCellMar>
          <w:top w:w="0" w:type="dxa"/>
          <w:left w:w="0" w:type="dxa"/>
          <w:bottom w:w="0" w:type="dxa"/>
          <w:right w:w="0" w:type="dxa"/>
        </w:tblCellMar>
      </w:tblPr>
      <w:tr>
        <w:trPr>
          <w:trHeight w:val="225"/>
        </w:trPr>
        <w:tc>
          <w:tcPr>
            <w:tcW w:w="1580" w:type="dxa"/>
            <w:vAlign w:val="bottom"/>
          </w:tcPr>
          <w:p>
            <w:pPr>
              <w:spacing w:after="0"/>
              <w:rPr>
                <w:sz w:val="20"/>
                <w:szCs w:val="20"/>
                <w:color w:val="auto"/>
              </w:rPr>
            </w:pPr>
            <w:r>
              <w:rPr>
                <w:rFonts w:ascii="Arial" w:cs="Arial" w:eastAsia="Arial" w:hAnsi="Arial"/>
                <w:sz w:val="18"/>
                <w:szCs w:val="18"/>
                <w:b w:val="1"/>
                <w:bCs w:val="1"/>
                <w:color w:val="auto"/>
              </w:rPr>
              <w:t>Retinal coverage</w:t>
            </w:r>
          </w:p>
        </w:tc>
        <w:tc>
          <w:tcPr>
            <w:tcW w:w="4580" w:type="dxa"/>
            <w:vAlign w:val="bottom"/>
          </w:tcPr>
          <w:p>
            <w:pPr>
              <w:ind w:left="60"/>
              <w:spacing w:after="0"/>
              <w:rPr>
                <w:sz w:val="20"/>
                <w:szCs w:val="20"/>
                <w:color w:val="auto"/>
              </w:rPr>
            </w:pPr>
            <w:r>
              <w:rPr>
                <w:rFonts w:ascii="Arial" w:cs="Arial" w:eastAsia="Arial" w:hAnsi="Arial"/>
                <w:sz w:val="18"/>
                <w:szCs w:val="18"/>
                <w:color w:val="auto"/>
              </w:rPr>
              <w:t>Bleb area only (estimated &lt;10% of total retina surface</w:t>
            </w:r>
          </w:p>
        </w:tc>
        <w:tc>
          <w:tcPr>
            <w:tcW w:w="3320" w:type="dxa"/>
            <w:vAlign w:val="bottom"/>
          </w:tcPr>
          <w:p>
            <w:pPr>
              <w:ind w:left="240"/>
              <w:spacing w:after="0"/>
              <w:rPr>
                <w:sz w:val="20"/>
                <w:szCs w:val="20"/>
                <w:color w:val="auto"/>
              </w:rPr>
            </w:pPr>
            <w:r>
              <w:rPr>
                <w:rFonts w:ascii="Arial" w:cs="Arial" w:eastAsia="Arial" w:hAnsi="Arial"/>
                <w:sz w:val="18"/>
                <w:szCs w:val="18"/>
                <w:color w:val="auto"/>
                <w:w w:val="99"/>
              </w:rPr>
              <w:t>Up to 100% of total retina surface area</w:t>
            </w:r>
          </w:p>
        </w:tc>
      </w:tr>
      <w:tr>
        <w:trPr>
          <w:trHeight w:val="217"/>
        </w:trPr>
        <w:tc>
          <w:tcPr>
            <w:tcW w:w="1580" w:type="dxa"/>
            <w:vAlign w:val="bottom"/>
          </w:tcPr>
          <w:p>
            <w:pPr>
              <w:spacing w:after="0"/>
              <w:rPr>
                <w:sz w:val="18"/>
                <w:szCs w:val="18"/>
                <w:color w:val="auto"/>
              </w:rPr>
            </w:pPr>
          </w:p>
        </w:tc>
        <w:tc>
          <w:tcPr>
            <w:tcW w:w="4580" w:type="dxa"/>
            <w:vAlign w:val="bottom"/>
          </w:tcPr>
          <w:p>
            <w:pPr>
              <w:ind w:left="60"/>
              <w:spacing w:after="0"/>
              <w:rPr>
                <w:sz w:val="20"/>
                <w:szCs w:val="20"/>
                <w:color w:val="auto"/>
              </w:rPr>
            </w:pPr>
            <w:r>
              <w:rPr>
                <w:rFonts w:ascii="Arial" w:cs="Arial" w:eastAsia="Arial" w:hAnsi="Arial"/>
                <w:sz w:val="18"/>
                <w:szCs w:val="18"/>
                <w:color w:val="auto"/>
              </w:rPr>
              <w:t>area)</w:t>
            </w:r>
          </w:p>
        </w:tc>
        <w:tc>
          <w:tcPr>
            <w:tcW w:w="3320" w:type="dxa"/>
            <w:vAlign w:val="bottom"/>
          </w:tcPr>
          <w:p>
            <w:pPr>
              <w:spacing w:after="0"/>
              <w:rPr>
                <w:sz w:val="18"/>
                <w:szCs w:val="18"/>
                <w:color w:val="auto"/>
              </w:rPr>
            </w:pPr>
          </w:p>
        </w:tc>
      </w:tr>
      <w:tr>
        <w:trPr>
          <w:trHeight w:val="274"/>
        </w:trPr>
        <w:tc>
          <w:tcPr>
            <w:tcW w:w="1580" w:type="dxa"/>
            <w:vAlign w:val="bottom"/>
          </w:tcPr>
          <w:p>
            <w:pPr>
              <w:spacing w:after="0"/>
              <w:rPr>
                <w:sz w:val="20"/>
                <w:szCs w:val="20"/>
                <w:color w:val="auto"/>
              </w:rPr>
            </w:pPr>
            <w:r>
              <w:rPr>
                <w:rFonts w:ascii="Arial" w:cs="Arial" w:eastAsia="Arial" w:hAnsi="Arial"/>
                <w:sz w:val="18"/>
                <w:szCs w:val="18"/>
                <w:b w:val="1"/>
                <w:bCs w:val="1"/>
                <w:color w:val="auto"/>
              </w:rPr>
              <w:t>Simultaneous</w:t>
            </w:r>
          </w:p>
        </w:tc>
        <w:tc>
          <w:tcPr>
            <w:tcW w:w="4580" w:type="dxa"/>
            <w:vAlign w:val="bottom"/>
          </w:tcPr>
          <w:p>
            <w:pPr>
              <w:ind w:left="60"/>
              <w:spacing w:after="0"/>
              <w:rPr>
                <w:sz w:val="20"/>
                <w:szCs w:val="20"/>
                <w:color w:val="auto"/>
              </w:rPr>
            </w:pPr>
            <w:r>
              <w:rPr>
                <w:rFonts w:ascii="Arial" w:cs="Arial" w:eastAsia="Arial" w:hAnsi="Arial"/>
                <w:sz w:val="18"/>
                <w:szCs w:val="18"/>
                <w:color w:val="auto"/>
              </w:rPr>
              <w:t>No</w:t>
            </w:r>
          </w:p>
        </w:tc>
        <w:tc>
          <w:tcPr>
            <w:tcW w:w="3320" w:type="dxa"/>
            <w:vAlign w:val="bottom"/>
          </w:tcPr>
          <w:p>
            <w:pPr>
              <w:ind w:left="240"/>
              <w:spacing w:after="0"/>
              <w:rPr>
                <w:sz w:val="20"/>
                <w:szCs w:val="20"/>
                <w:color w:val="auto"/>
              </w:rPr>
            </w:pPr>
            <w:r>
              <w:rPr>
                <w:rFonts w:ascii="Arial" w:cs="Arial" w:eastAsia="Arial" w:hAnsi="Arial"/>
                <w:sz w:val="18"/>
                <w:szCs w:val="18"/>
                <w:color w:val="auto"/>
              </w:rPr>
              <w:t>Yes</w:t>
            </w: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b w:val="1"/>
                <w:bCs w:val="1"/>
                <w:color w:val="auto"/>
              </w:rPr>
              <w:t>Bilateral</w:t>
            </w:r>
          </w:p>
        </w:tc>
        <w:tc>
          <w:tcPr>
            <w:tcW w:w="458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b w:val="1"/>
                <w:bCs w:val="1"/>
                <w:color w:val="auto"/>
              </w:rPr>
              <w:t>injection</w:t>
            </w:r>
          </w:p>
        </w:tc>
        <w:tc>
          <w:tcPr>
            <w:tcW w:w="458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39"/>
        </w:trPr>
        <w:tc>
          <w:tcPr>
            <w:tcW w:w="1580" w:type="dxa"/>
            <w:vAlign w:val="bottom"/>
          </w:tcPr>
          <w:p>
            <w:pPr>
              <w:spacing w:after="0"/>
              <w:rPr>
                <w:sz w:val="20"/>
                <w:szCs w:val="20"/>
                <w:color w:val="auto"/>
              </w:rPr>
            </w:pPr>
            <w:r>
              <w:rPr>
                <w:rFonts w:ascii="Arial" w:cs="Arial" w:eastAsia="Arial" w:hAnsi="Arial"/>
                <w:sz w:val="18"/>
                <w:szCs w:val="18"/>
                <w:b w:val="1"/>
                <w:bCs w:val="1"/>
                <w:color w:val="auto"/>
              </w:rPr>
              <w:t>possible</w:t>
            </w:r>
          </w:p>
        </w:tc>
        <w:tc>
          <w:tcPr>
            <w:tcW w:w="458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288"/>
        </w:trPr>
        <w:tc>
          <w:tcPr>
            <w:tcW w:w="1580" w:type="dxa"/>
            <w:vAlign w:val="bottom"/>
          </w:tcPr>
          <w:p>
            <w:pPr>
              <w:spacing w:after="0"/>
              <w:rPr>
                <w:sz w:val="20"/>
                <w:szCs w:val="20"/>
                <w:color w:val="auto"/>
              </w:rPr>
            </w:pPr>
            <w:r>
              <w:rPr>
                <w:rFonts w:ascii="Arial" w:cs="Arial" w:eastAsia="Arial" w:hAnsi="Arial"/>
                <w:sz w:val="18"/>
                <w:szCs w:val="18"/>
                <w:b w:val="1"/>
                <w:bCs w:val="1"/>
                <w:color w:val="auto"/>
              </w:rPr>
              <w:t># Injection</w:t>
            </w:r>
          </w:p>
        </w:tc>
        <w:tc>
          <w:tcPr>
            <w:tcW w:w="4580" w:type="dxa"/>
            <w:vAlign w:val="bottom"/>
          </w:tcPr>
          <w:p>
            <w:pPr>
              <w:ind w:left="60"/>
              <w:spacing w:after="0"/>
              <w:rPr>
                <w:sz w:val="20"/>
                <w:szCs w:val="20"/>
                <w:color w:val="auto"/>
              </w:rPr>
            </w:pPr>
            <w:r>
              <w:rPr>
                <w:rFonts w:ascii="Arial" w:cs="Arial" w:eastAsia="Arial" w:hAnsi="Arial"/>
                <w:sz w:val="18"/>
                <w:szCs w:val="18"/>
                <w:color w:val="auto"/>
              </w:rPr>
              <w:t>Not used in routine clinical practice</w:t>
            </w:r>
          </w:p>
        </w:tc>
        <w:tc>
          <w:tcPr>
            <w:tcW w:w="3320" w:type="dxa"/>
            <w:vAlign w:val="bottom"/>
          </w:tcPr>
          <w:p>
            <w:pPr>
              <w:ind w:left="240"/>
              <w:spacing w:after="0"/>
              <w:rPr>
                <w:sz w:val="20"/>
                <w:szCs w:val="20"/>
                <w:color w:val="auto"/>
              </w:rPr>
            </w:pPr>
            <w:r>
              <w:rPr>
                <w:rFonts w:ascii="Arial" w:cs="Arial" w:eastAsia="Arial" w:hAnsi="Arial"/>
                <w:sz w:val="18"/>
                <w:szCs w:val="18"/>
                <w:color w:val="auto"/>
              </w:rPr>
              <w:t>Estimated &gt;5,000 per day</w:t>
            </w: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b w:val="1"/>
                <w:bCs w:val="1"/>
                <w:color w:val="auto"/>
              </w:rPr>
              <w:t>procedures</w:t>
            </w:r>
          </w:p>
        </w:tc>
        <w:tc>
          <w:tcPr>
            <w:tcW w:w="458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b w:val="1"/>
                <w:bCs w:val="1"/>
                <w:color w:val="auto"/>
              </w:rPr>
              <w:t>performed in U.S.</w:t>
            </w:r>
          </w:p>
        </w:tc>
        <w:tc>
          <w:tcPr>
            <w:tcW w:w="458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39"/>
        </w:trPr>
        <w:tc>
          <w:tcPr>
            <w:tcW w:w="1580" w:type="dxa"/>
            <w:vAlign w:val="bottom"/>
          </w:tcPr>
          <w:p>
            <w:pPr>
              <w:spacing w:after="0"/>
              <w:rPr>
                <w:sz w:val="20"/>
                <w:szCs w:val="20"/>
                <w:color w:val="auto"/>
              </w:rPr>
            </w:pPr>
            <w:r>
              <w:rPr>
                <w:rFonts w:ascii="Arial" w:cs="Arial" w:eastAsia="Arial" w:hAnsi="Arial"/>
                <w:sz w:val="18"/>
                <w:szCs w:val="18"/>
                <w:b w:val="1"/>
                <w:bCs w:val="1"/>
                <w:color w:val="auto"/>
              </w:rPr>
              <w:t>(daily)</w:t>
            </w:r>
          </w:p>
        </w:tc>
        <w:tc>
          <w:tcPr>
            <w:tcW w:w="458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288"/>
        </w:trPr>
        <w:tc>
          <w:tcPr>
            <w:tcW w:w="1580" w:type="dxa"/>
            <w:vAlign w:val="bottom"/>
          </w:tcPr>
          <w:p>
            <w:pPr>
              <w:spacing w:after="0"/>
              <w:rPr>
                <w:sz w:val="20"/>
                <w:szCs w:val="20"/>
                <w:color w:val="auto"/>
              </w:rPr>
            </w:pPr>
            <w:r>
              <w:rPr>
                <w:rFonts w:ascii="Arial" w:cs="Arial" w:eastAsia="Arial" w:hAnsi="Arial"/>
                <w:sz w:val="18"/>
                <w:szCs w:val="18"/>
                <w:b w:val="1"/>
                <w:bCs w:val="1"/>
                <w:color w:val="auto"/>
              </w:rPr>
              <w:t>Operating room</w:t>
            </w:r>
          </w:p>
        </w:tc>
        <w:tc>
          <w:tcPr>
            <w:tcW w:w="4580" w:type="dxa"/>
            <w:vAlign w:val="bottom"/>
          </w:tcPr>
          <w:p>
            <w:pPr>
              <w:ind w:left="60"/>
              <w:spacing w:after="0"/>
              <w:rPr>
                <w:sz w:val="20"/>
                <w:szCs w:val="20"/>
                <w:color w:val="auto"/>
              </w:rPr>
            </w:pPr>
            <w:r>
              <w:rPr>
                <w:rFonts w:ascii="Arial" w:cs="Arial" w:eastAsia="Arial" w:hAnsi="Arial"/>
                <w:sz w:val="18"/>
                <w:szCs w:val="18"/>
                <w:color w:val="auto"/>
              </w:rPr>
              <w:t>Yes</w:t>
            </w:r>
          </w:p>
        </w:tc>
        <w:tc>
          <w:tcPr>
            <w:tcW w:w="3320" w:type="dxa"/>
            <w:vAlign w:val="bottom"/>
          </w:tcPr>
          <w:p>
            <w:pPr>
              <w:ind w:left="240"/>
              <w:spacing w:after="0"/>
              <w:rPr>
                <w:sz w:val="20"/>
                <w:szCs w:val="20"/>
                <w:color w:val="auto"/>
              </w:rPr>
            </w:pPr>
            <w:r>
              <w:rPr>
                <w:rFonts w:ascii="Arial" w:cs="Arial" w:eastAsia="Arial" w:hAnsi="Arial"/>
                <w:sz w:val="18"/>
                <w:szCs w:val="18"/>
                <w:color w:val="auto"/>
              </w:rPr>
              <w:t>No</w:t>
            </w:r>
          </w:p>
        </w:tc>
      </w:tr>
      <w:tr>
        <w:trPr>
          <w:trHeight w:val="239"/>
        </w:trPr>
        <w:tc>
          <w:tcPr>
            <w:tcW w:w="1580" w:type="dxa"/>
            <w:vAlign w:val="bottom"/>
          </w:tcPr>
          <w:p>
            <w:pPr>
              <w:spacing w:after="0"/>
              <w:rPr>
                <w:sz w:val="20"/>
                <w:szCs w:val="20"/>
                <w:color w:val="auto"/>
              </w:rPr>
            </w:pPr>
            <w:r>
              <w:rPr>
                <w:rFonts w:ascii="Arial" w:cs="Arial" w:eastAsia="Arial" w:hAnsi="Arial"/>
                <w:sz w:val="18"/>
                <w:szCs w:val="18"/>
                <w:b w:val="1"/>
                <w:bCs w:val="1"/>
                <w:color w:val="auto"/>
              </w:rPr>
              <w:t>required</w:t>
            </w:r>
          </w:p>
        </w:tc>
        <w:tc>
          <w:tcPr>
            <w:tcW w:w="458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274"/>
        </w:trPr>
        <w:tc>
          <w:tcPr>
            <w:tcW w:w="1580" w:type="dxa"/>
            <w:vAlign w:val="bottom"/>
          </w:tcPr>
          <w:p>
            <w:pPr>
              <w:spacing w:after="0"/>
              <w:rPr>
                <w:sz w:val="20"/>
                <w:szCs w:val="20"/>
                <w:color w:val="auto"/>
              </w:rPr>
            </w:pPr>
            <w:r>
              <w:rPr>
                <w:rFonts w:ascii="Arial" w:cs="Arial" w:eastAsia="Arial" w:hAnsi="Arial"/>
                <w:sz w:val="18"/>
                <w:szCs w:val="18"/>
                <w:b w:val="1"/>
                <w:bCs w:val="1"/>
                <w:color w:val="auto"/>
              </w:rPr>
              <w:t>Routine</w:t>
            </w:r>
          </w:p>
        </w:tc>
        <w:tc>
          <w:tcPr>
            <w:tcW w:w="4580" w:type="dxa"/>
            <w:vAlign w:val="bottom"/>
          </w:tcPr>
          <w:p>
            <w:pPr>
              <w:ind w:left="60"/>
              <w:spacing w:after="0"/>
              <w:rPr>
                <w:sz w:val="20"/>
                <w:szCs w:val="20"/>
                <w:color w:val="auto"/>
              </w:rPr>
            </w:pPr>
            <w:r>
              <w:rPr>
                <w:rFonts w:ascii="Arial" w:cs="Arial" w:eastAsia="Arial" w:hAnsi="Arial"/>
                <w:sz w:val="18"/>
                <w:szCs w:val="18"/>
                <w:color w:val="auto"/>
              </w:rPr>
              <w:t>No</w:t>
            </w:r>
          </w:p>
        </w:tc>
        <w:tc>
          <w:tcPr>
            <w:tcW w:w="3320" w:type="dxa"/>
            <w:vAlign w:val="bottom"/>
          </w:tcPr>
          <w:p>
            <w:pPr>
              <w:ind w:left="240"/>
              <w:spacing w:after="0"/>
              <w:rPr>
                <w:sz w:val="20"/>
                <w:szCs w:val="20"/>
                <w:color w:val="auto"/>
              </w:rPr>
            </w:pPr>
            <w:r>
              <w:rPr>
                <w:rFonts w:ascii="Arial" w:cs="Arial" w:eastAsia="Arial" w:hAnsi="Arial"/>
                <w:sz w:val="18"/>
                <w:szCs w:val="18"/>
                <w:color w:val="auto"/>
              </w:rPr>
              <w:t>Yes</w:t>
            </w: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b w:val="1"/>
                <w:bCs w:val="1"/>
                <w:color w:val="auto"/>
              </w:rPr>
              <w:t>out-patient</w:t>
            </w:r>
          </w:p>
        </w:tc>
        <w:tc>
          <w:tcPr>
            <w:tcW w:w="458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39"/>
        </w:trPr>
        <w:tc>
          <w:tcPr>
            <w:tcW w:w="1580" w:type="dxa"/>
            <w:vAlign w:val="bottom"/>
          </w:tcPr>
          <w:p>
            <w:pPr>
              <w:spacing w:after="0"/>
              <w:rPr>
                <w:sz w:val="20"/>
                <w:szCs w:val="20"/>
                <w:color w:val="auto"/>
              </w:rPr>
            </w:pPr>
            <w:r>
              <w:rPr>
                <w:rFonts w:ascii="Arial" w:cs="Arial" w:eastAsia="Arial" w:hAnsi="Arial"/>
                <w:sz w:val="18"/>
                <w:szCs w:val="18"/>
                <w:b w:val="1"/>
                <w:bCs w:val="1"/>
                <w:color w:val="auto"/>
              </w:rPr>
              <w:t>procedure</w:t>
            </w:r>
          </w:p>
        </w:tc>
        <w:tc>
          <w:tcPr>
            <w:tcW w:w="458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288"/>
        </w:trPr>
        <w:tc>
          <w:tcPr>
            <w:tcW w:w="1580" w:type="dxa"/>
            <w:vAlign w:val="bottom"/>
          </w:tcPr>
          <w:p>
            <w:pPr>
              <w:spacing w:after="0"/>
              <w:rPr>
                <w:sz w:val="20"/>
                <w:szCs w:val="20"/>
                <w:color w:val="auto"/>
              </w:rPr>
            </w:pPr>
            <w:r>
              <w:rPr>
                <w:rFonts w:ascii="Arial" w:cs="Arial" w:eastAsia="Arial" w:hAnsi="Arial"/>
                <w:sz w:val="18"/>
                <w:szCs w:val="18"/>
                <w:b w:val="1"/>
                <w:bCs w:val="1"/>
                <w:color w:val="auto"/>
              </w:rPr>
              <w:t>Cataract</w:t>
            </w:r>
          </w:p>
        </w:tc>
        <w:tc>
          <w:tcPr>
            <w:tcW w:w="4580" w:type="dxa"/>
            <w:vAlign w:val="bottom"/>
          </w:tcPr>
          <w:p>
            <w:pPr>
              <w:ind w:left="60"/>
              <w:spacing w:after="0"/>
              <w:rPr>
                <w:sz w:val="20"/>
                <w:szCs w:val="20"/>
                <w:color w:val="auto"/>
              </w:rPr>
            </w:pPr>
            <w:r>
              <w:rPr>
                <w:rFonts w:ascii="Arial" w:cs="Arial" w:eastAsia="Arial" w:hAnsi="Arial"/>
                <w:sz w:val="18"/>
                <w:szCs w:val="18"/>
                <w:color w:val="auto"/>
              </w:rPr>
              <w:t>~80%</w:t>
            </w:r>
          </w:p>
        </w:tc>
        <w:tc>
          <w:tcPr>
            <w:tcW w:w="3320" w:type="dxa"/>
            <w:vAlign w:val="bottom"/>
          </w:tcPr>
          <w:p>
            <w:pPr>
              <w:ind w:left="240"/>
              <w:spacing w:after="0"/>
              <w:rPr>
                <w:sz w:val="20"/>
                <w:szCs w:val="20"/>
                <w:color w:val="auto"/>
              </w:rPr>
            </w:pPr>
            <w:r>
              <w:rPr>
                <w:rFonts w:ascii="Arial" w:cs="Arial" w:eastAsia="Arial" w:hAnsi="Arial"/>
                <w:sz w:val="18"/>
                <w:szCs w:val="18"/>
                <w:color w:val="auto"/>
              </w:rPr>
              <w:t>N/A</w:t>
            </w: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b w:val="1"/>
                <w:bCs w:val="1"/>
                <w:color w:val="auto"/>
              </w:rPr>
              <w:t>development risk</w:t>
            </w:r>
          </w:p>
        </w:tc>
        <w:tc>
          <w:tcPr>
            <w:tcW w:w="458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b w:val="1"/>
                <w:bCs w:val="1"/>
                <w:color w:val="auto"/>
              </w:rPr>
              <w:t>due to</w:t>
            </w:r>
          </w:p>
        </w:tc>
        <w:tc>
          <w:tcPr>
            <w:tcW w:w="458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b w:val="1"/>
                <w:bCs w:val="1"/>
                <w:color w:val="auto"/>
              </w:rPr>
              <w:t>associated</w:t>
            </w:r>
          </w:p>
        </w:tc>
        <w:tc>
          <w:tcPr>
            <w:tcW w:w="458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39"/>
        </w:trPr>
        <w:tc>
          <w:tcPr>
            <w:tcW w:w="1580" w:type="dxa"/>
            <w:vAlign w:val="bottom"/>
          </w:tcPr>
          <w:p>
            <w:pPr>
              <w:spacing w:after="0"/>
              <w:rPr>
                <w:sz w:val="20"/>
                <w:szCs w:val="20"/>
                <w:color w:val="auto"/>
              </w:rPr>
            </w:pPr>
            <w:r>
              <w:rPr>
                <w:rFonts w:ascii="Arial" w:cs="Arial" w:eastAsia="Arial" w:hAnsi="Arial"/>
                <w:sz w:val="18"/>
                <w:szCs w:val="18"/>
                <w:b w:val="1"/>
                <w:bCs w:val="1"/>
                <w:color w:val="auto"/>
              </w:rPr>
              <w:t>vitrectomy</w:t>
            </w:r>
          </w:p>
        </w:tc>
        <w:tc>
          <w:tcPr>
            <w:tcW w:w="4580" w:type="dxa"/>
            <w:vAlign w:val="bottom"/>
          </w:tcPr>
          <w:p>
            <w:pPr>
              <w:spacing w:after="0"/>
              <w:rPr>
                <w:sz w:val="20"/>
                <w:szCs w:val="20"/>
                <w:color w:val="auto"/>
              </w:rPr>
            </w:pPr>
          </w:p>
        </w:tc>
        <w:tc>
          <w:tcPr>
            <w:tcW w:w="3320" w:type="dxa"/>
            <w:vAlign w:val="bottom"/>
          </w:tcPr>
          <w:p>
            <w:pPr>
              <w:spacing w:after="0"/>
              <w:rPr>
                <w:sz w:val="20"/>
                <w:szCs w:val="20"/>
                <w:color w:val="auto"/>
              </w:rPr>
            </w:pPr>
          </w:p>
        </w:tc>
      </w:tr>
    </w:tbl>
    <w:p>
      <w:pPr>
        <w:spacing w:after="0" w:line="215"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We utilized our Therapeutic Vector Evolution platform to create and discover proprietary vectors we believed to be suitable for intravitreal injection and transduction of the retina. Assuming our preclinical results are substantiated by our planned clinical trials, we believe the use of intravitreal injection will result both in a more accessible mode of administration and a higher percentage of retinal cells that express our proprietary vectors.</w:t>
      </w:r>
    </w:p>
    <w:p>
      <w:pPr>
        <w:spacing w:after="0" w:line="1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00"/>
          </w:cols>
          <w:pgMar w:left="240" w:top="459" w:right="5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40" w:right="220"/>
        <w:spacing w:after="0" w:line="267" w:lineRule="auto"/>
        <w:rPr>
          <w:sz w:val="20"/>
          <w:szCs w:val="20"/>
          <w:color w:val="auto"/>
        </w:rPr>
      </w:pPr>
      <w:r>
        <w:rPr>
          <w:rFonts w:ascii="Arial" w:cs="Arial" w:eastAsia="Arial" w:hAnsi="Arial"/>
          <w:sz w:val="18"/>
          <w:szCs w:val="18"/>
          <w:i w:val="1"/>
          <w:iCs w:val="1"/>
          <w:color w:val="auto"/>
        </w:rPr>
        <w:t>Widespread, Robust Retinal Transduction and Transgene Expression (EGFP) in NHP Retina Observed Following Administration of 4D-R100 Over Time (Heidelberg Spectralis Images, in Life. EGFP Represented 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131445</wp:posOffset>
            </wp:positionV>
            <wp:extent cx="5213985" cy="17494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213985"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540" w:right="40"/>
        <w:spacing w:after="0" w:line="267" w:lineRule="auto"/>
        <w:rPr>
          <w:sz w:val="20"/>
          <w:szCs w:val="20"/>
          <w:color w:val="auto"/>
        </w:rPr>
      </w:pPr>
      <w:r>
        <w:rPr>
          <w:rFonts w:ascii="Arial" w:cs="Arial" w:eastAsia="Arial" w:hAnsi="Arial"/>
          <w:sz w:val="18"/>
          <w:szCs w:val="18"/>
          <w:i w:val="1"/>
          <w:iCs w:val="1"/>
          <w:color w:val="auto"/>
        </w:rPr>
        <w:t>4D-R100 Transduced Multiple Layers of NHP Retina, Including Retinal Pigmental Epithelial Cells, Photoreceptors and Retinal Ganglion Cells, as Exhibited in the Representative Image Below. EGFP Transgene Protein Expression Is Represented in 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131445</wp:posOffset>
            </wp:positionV>
            <wp:extent cx="5188585" cy="33020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88585"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4D-125 for the Treatment of XLRP</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Target Product Profile</w:t>
      </w:r>
    </w:p>
    <w:p>
      <w:pPr>
        <w:spacing w:after="0" w:line="122" w:lineRule="exact"/>
        <w:rPr>
          <w:sz w:val="20"/>
          <w:szCs w:val="20"/>
          <w:color w:val="auto"/>
        </w:rPr>
      </w:pPr>
    </w:p>
    <w:p>
      <w:pPr>
        <w:jc w:val="both"/>
        <w:ind w:left="200" w:firstLine="551"/>
        <w:spacing w:after="0"/>
        <w:rPr>
          <w:sz w:val="20"/>
          <w:szCs w:val="20"/>
          <w:color w:val="auto"/>
        </w:rPr>
      </w:pPr>
      <w:r>
        <w:rPr>
          <w:rFonts w:ascii="Arial" w:cs="Arial" w:eastAsia="Arial" w:hAnsi="Arial"/>
          <w:sz w:val="18"/>
          <w:szCs w:val="18"/>
          <w:color w:val="auto"/>
        </w:rPr>
        <w:t xml:space="preserve">We are developing 4D-125 for the treatment of XLRP. This product candidate is comprised of our proprietary intravitreal vector 4D-R100 carrying a codon-optimized </w:t>
      </w:r>
      <w:r>
        <w:rPr>
          <w:rFonts w:ascii="Arial" w:cs="Arial" w:eastAsia="Arial" w:hAnsi="Arial"/>
          <w:sz w:val="18"/>
          <w:szCs w:val="18"/>
          <w:i w:val="1"/>
          <w:iCs w:val="1"/>
          <w:color w:val="auto"/>
        </w:rPr>
        <w:t>RPGR</w:t>
      </w:r>
      <w:r>
        <w:rPr>
          <w:rFonts w:ascii="Arial" w:cs="Arial" w:eastAsia="Arial" w:hAnsi="Arial"/>
          <w:sz w:val="18"/>
          <w:szCs w:val="18"/>
          <w:color w:val="auto"/>
        </w:rPr>
        <w:t xml:space="preserve"> transgene and designed to address all stages of XLRP. In non-human primate models, we have observed widespread</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240" w:top="459" w:right="5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320"/>
        <w:spacing w:after="0"/>
        <w:rPr>
          <w:sz w:val="20"/>
          <w:szCs w:val="20"/>
          <w:color w:val="auto"/>
        </w:rPr>
      </w:pPr>
      <w:r>
        <w:rPr>
          <w:rFonts w:ascii="Arial" w:cs="Arial" w:eastAsia="Arial" w:hAnsi="Arial"/>
          <w:sz w:val="18"/>
          <w:szCs w:val="18"/>
          <w:color w:val="auto"/>
        </w:rPr>
        <w:t>transduction and transgene expression across the entire retinal surface, in contrast to localized results with subretinal injection of AAV vectors. IND-enabling studies with 4D-125 are expected to be completed in 2019, and 4D-125 is expected to enter clinical trials in mid-2020.</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Disease Background, Unmet Medical Need and Target Patient Population</w:t>
      </w:r>
    </w:p>
    <w:p>
      <w:pPr>
        <w:spacing w:after="0" w:line="12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 xml:space="preserve">XLRP is a rare inherited X-linked recessive genetic disorder, which causes progressive vision loss and blindness in boys and young men. It is characterized by dysfunction and degeneration of photoreceptors in the retina. Seventy percent of cases are caused by mutations in the </w:t>
      </w:r>
      <w:r>
        <w:rPr>
          <w:rFonts w:ascii="Arial" w:cs="Arial" w:eastAsia="Arial" w:hAnsi="Arial"/>
          <w:sz w:val="18"/>
          <w:szCs w:val="18"/>
          <w:i w:val="1"/>
          <w:iCs w:val="1"/>
          <w:color w:val="auto"/>
        </w:rPr>
        <w:t>retinitis pigmentosa GTPase regulator</w:t>
      </w:r>
      <w:r>
        <w:rPr>
          <w:rFonts w:ascii="Arial" w:cs="Arial" w:eastAsia="Arial" w:hAnsi="Arial"/>
          <w:sz w:val="18"/>
          <w:szCs w:val="18"/>
          <w:color w:val="auto"/>
        </w:rPr>
        <w:t xml:space="preserve"> (RPGR) gene. Loss of RPGR function in retinal cells causes the progressive loss of rod and cone photoreceptors, leading to the loss of vision experienced by patients. Symptoms of XLRP are initially characterized by night blindness, followed by loss of peripheral visual field, decreasing visual acuity and eventually blindness. Males are usually the most affected with symptoms starting in the early years of life. The estimated worldwide prevalence of XLRP due to RPGR variants is approximately one in 40,000 people, which represents approximately 20,000 patients in the United States and European Union.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Competition and Differentiation—Viral Vector Gene Therapy including AAV for XLRP</w:t>
      </w:r>
    </w:p>
    <w:p>
      <w:pPr>
        <w:spacing w:after="0" w:line="104"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 xml:space="preserve">Conventional AAV gene therapy approaches are being developed to treat XLRP by delivering a functional copy of the </w:t>
      </w:r>
      <w:r>
        <w:rPr>
          <w:rFonts w:ascii="Arial" w:cs="Arial" w:eastAsia="Arial" w:hAnsi="Arial"/>
          <w:sz w:val="18"/>
          <w:szCs w:val="18"/>
          <w:i w:val="1"/>
          <w:iCs w:val="1"/>
          <w:color w:val="auto"/>
        </w:rPr>
        <w:t>RPGR</w:t>
      </w:r>
      <w:r>
        <w:rPr>
          <w:rFonts w:ascii="Arial" w:cs="Arial" w:eastAsia="Arial" w:hAnsi="Arial"/>
          <w:sz w:val="18"/>
          <w:szCs w:val="18"/>
          <w:color w:val="auto"/>
        </w:rPr>
        <w:t xml:space="preserve"> gene by subretinal injection. Similar to treatment of other rare retinal diseases with AAV gene therapy, these XLRP therapies require delivery by subretinal injections; thus, only a small fraction of the retina is transduced and treated directly. Nightstar Therapeutics, recently acquired by Biogen, is developing NSR-RPGR for XLRP. Investigators reported interim Phase 1 clinical trial data in September 2018. Investigators concluded that microperimetry endpoints, which measure visual field function, improved in a subset of patients; they stated that “clinical proof-of-concept” was achieved with this data on visual improvement. AGTC and MeiraGTx are also developing AAV gene therapy product candidates for XLRP to be administered by subretinal injection.</w:t>
      </w:r>
    </w:p>
    <w:p>
      <w:pPr>
        <w:spacing w:after="0" w:line="185" w:lineRule="exact"/>
        <w:rPr>
          <w:sz w:val="20"/>
          <w:szCs w:val="20"/>
          <w:color w:val="auto"/>
        </w:rPr>
      </w:pPr>
    </w:p>
    <w:p>
      <w:pPr>
        <w:jc w:val="both"/>
        <w:ind w:left="200" w:right="660" w:firstLine="551"/>
        <w:spacing w:after="0" w:line="251" w:lineRule="auto"/>
        <w:rPr>
          <w:sz w:val="20"/>
          <w:szCs w:val="20"/>
          <w:color w:val="auto"/>
        </w:rPr>
      </w:pPr>
      <w:r>
        <w:rPr>
          <w:rFonts w:ascii="Arial" w:cs="Arial" w:eastAsia="Arial" w:hAnsi="Arial"/>
          <w:sz w:val="18"/>
          <w:szCs w:val="18"/>
          <w:color w:val="auto"/>
        </w:rPr>
        <w:t xml:space="preserve">While 4D-125 also expresses the </w:t>
      </w:r>
      <w:r>
        <w:rPr>
          <w:rFonts w:ascii="Arial" w:cs="Arial" w:eastAsia="Arial" w:hAnsi="Arial"/>
          <w:sz w:val="18"/>
          <w:szCs w:val="18"/>
          <w:i w:val="1"/>
          <w:iCs w:val="1"/>
          <w:color w:val="auto"/>
        </w:rPr>
        <w:t>RPGR</w:t>
      </w:r>
      <w:r>
        <w:rPr>
          <w:rFonts w:ascii="Arial" w:cs="Arial" w:eastAsia="Arial" w:hAnsi="Arial"/>
          <w:sz w:val="18"/>
          <w:szCs w:val="18"/>
          <w:color w:val="auto"/>
        </w:rPr>
        <w:t xml:space="preserve"> transgene, in contrast it is designed for intravitreal delivery. In addition, we believe intravitreal dosing may allow for treatment of patients earlier in their disease course, prior to loss of visual field, than those who are typically included in subretinal injection trials. In this patient population, our goal will be to prevent vision loss.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Pharmacology and Toxicology Studies</w:t>
      </w:r>
    </w:p>
    <w:p>
      <w:pPr>
        <w:spacing w:after="0" w:line="122" w:lineRule="exact"/>
        <w:rPr>
          <w:sz w:val="20"/>
          <w:szCs w:val="20"/>
          <w:color w:val="auto"/>
        </w:rPr>
      </w:pPr>
    </w:p>
    <w:p>
      <w:pPr>
        <w:jc w:val="both"/>
        <w:ind w:left="200" w:right="360" w:firstLine="551"/>
        <w:spacing w:after="0" w:line="239" w:lineRule="auto"/>
        <w:rPr>
          <w:sz w:val="20"/>
          <w:szCs w:val="20"/>
          <w:color w:val="auto"/>
        </w:rPr>
      </w:pPr>
      <w:r>
        <w:rPr>
          <w:rFonts w:ascii="Arial" w:cs="Arial" w:eastAsia="Arial" w:hAnsi="Arial"/>
          <w:sz w:val="18"/>
          <w:szCs w:val="18"/>
          <w:color w:val="auto"/>
        </w:rPr>
        <w:t>In 2019, we initiated and expect to complete 4D-125 IND-enabling toxicology and biodistribution studies in NHP. We utilized the same GLP toxicology study design that we submitted in the IND application for 4D-110. We plan to complete pharmacology studies in XLRP patient-derived stem cells and photoreceptor cells in 2019; results to date demonstrate RPGR expression and function in XLRP patient-derived cells.</w:t>
      </w:r>
    </w:p>
    <w:p>
      <w:pPr>
        <w:spacing w:after="0" w:line="202"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The below images of photoreceptors that were differentiated from fibroblast-derived induced pluripotent stem cells demonstrate that 4D-R100 (the 4D-125 capsid) carrying the CAG promoter and EGFP transgene transduced these photoreceptors to express the EGFP protein.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40"/>
        <w:spacing w:after="0" w:line="251" w:lineRule="auto"/>
        <w:rPr>
          <w:sz w:val="20"/>
          <w:szCs w:val="20"/>
          <w:color w:val="auto"/>
        </w:rPr>
      </w:pPr>
      <w:r>
        <w:rPr>
          <w:rFonts w:ascii="Arial" w:cs="Arial" w:eastAsia="Arial" w:hAnsi="Arial"/>
          <w:sz w:val="18"/>
          <w:szCs w:val="18"/>
          <w:i w:val="1"/>
          <w:iCs w:val="1"/>
          <w:color w:val="auto"/>
        </w:rPr>
        <w:t>Human Fibroblast-Induced Pluripotent Stem Cell-Derived Photoreceptor Cultures Were Transduced With 4D-R100.CAG-EGFP (Green). Transduction of Recoverin Positive Cells (Red) – a Marker for Photoreceptors – Following R100.CAG-EGFP Infection at a MOI 10,000 is Shown as Imaged Fourteen Days After Treatment. Cell Nuclei Are Stained in Blue.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139700</wp:posOffset>
            </wp:positionV>
            <wp:extent cx="3567430" cy="12350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567430"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In an in vitro model of the disease, XLRP patient photoreceptors were derived from XLRP diseased fibroblasts which had been reprogrammed into induced pluripotent stem cells. Diseased photoreceptors were transduced with 4D-125 at a MOI of 50,000 and protein lysates were harvested 30 days post transduction. 4D-125 transduced cells expressed significantly more hRPGRorf15 than control cells as illustrated in the figures below. Moreover, this expressed protein was shown to be active as measured by glutamylation (GT335). Additional pharmacology studies in XLRP patient-derived cells are currently ongoing.</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240" w:top="459"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spacing w:after="0" w:line="250" w:lineRule="auto"/>
        <w:rPr>
          <w:sz w:val="20"/>
          <w:szCs w:val="20"/>
          <w:color w:val="auto"/>
        </w:rPr>
      </w:pPr>
      <w:r>
        <w:rPr>
          <w:rFonts w:ascii="Arial" w:cs="Arial" w:eastAsia="Arial" w:hAnsi="Arial"/>
          <w:sz w:val="18"/>
          <w:szCs w:val="18"/>
          <w:i w:val="1"/>
          <w:iCs w:val="1"/>
          <w:color w:val="auto"/>
        </w:rPr>
        <w:t>4D-125 Treatment-Induced Increase in hRPGRorf15 Protein and Glutamylation of hRPGRorf15 (GT335) Compared to Untreated Controls Was Observed Via Western Blot (Panel A). Quantification of Blot Band Intensity Indicated a Significant Increase (p</w:t>
      </w:r>
      <w:r>
        <w:rPr>
          <w:rFonts w:ascii="Arial" w:cs="Arial" w:eastAsia="Arial" w:hAnsi="Arial"/>
          <w:sz w:val="18"/>
          <w:szCs w:val="18"/>
          <w:color w:val="auto"/>
        </w:rPr>
        <w:t>£</w:t>
      </w:r>
      <w:r>
        <w:rPr>
          <w:rFonts w:ascii="Arial" w:cs="Arial" w:eastAsia="Arial" w:hAnsi="Arial"/>
          <w:sz w:val="18"/>
          <w:szCs w:val="18"/>
          <w:i w:val="1"/>
          <w:iCs w:val="1"/>
          <w:color w:val="auto"/>
        </w:rPr>
        <w:t>0.05) in hRPGRorf15 Protein and Functionality of the Expressed Protein as Measured by Glutamylation (GT335) of hRPGRorf15 for 4D-125 Versus the Control (Panel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141605</wp:posOffset>
            </wp:positionV>
            <wp:extent cx="4236720" cy="4116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23672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Clinical Development Plans- Phase 1/2 Clinical Trial Design</w:t>
      </w:r>
    </w:p>
    <w:p>
      <w:pPr>
        <w:spacing w:after="0" w:line="122" w:lineRule="exact"/>
        <w:rPr>
          <w:sz w:val="20"/>
          <w:szCs w:val="20"/>
          <w:color w:val="auto"/>
        </w:rPr>
      </w:pPr>
    </w:p>
    <w:p>
      <w:pPr>
        <w:ind w:left="200" w:right="20" w:firstLine="551"/>
        <w:spacing w:after="0" w:line="234" w:lineRule="auto"/>
        <w:rPr>
          <w:sz w:val="20"/>
          <w:szCs w:val="20"/>
          <w:color w:val="auto"/>
        </w:rPr>
      </w:pPr>
      <w:r>
        <w:rPr>
          <w:rFonts w:ascii="Arial" w:cs="Arial" w:eastAsia="Arial" w:hAnsi="Arial"/>
          <w:sz w:val="18"/>
          <w:szCs w:val="18"/>
          <w:color w:val="auto"/>
        </w:rPr>
        <w:t xml:space="preserve">We are targeting initiation of our planned 4D-125 Phase 1/2 clinical trial in mid-2020. We expect the Phase 1/2 clinical trial will be a single ascending dose trial of intravitreal injection with 4D-125 in patients with clinically-significant XLRP due to </w:t>
      </w:r>
      <w:r>
        <w:rPr>
          <w:rFonts w:ascii="Arial" w:cs="Arial" w:eastAsia="Arial" w:hAnsi="Arial"/>
          <w:sz w:val="18"/>
          <w:szCs w:val="18"/>
          <w:i w:val="1"/>
          <w:iCs w:val="1"/>
          <w:color w:val="auto"/>
        </w:rPr>
        <w:t>RPGR</w:t>
      </w:r>
      <w:r>
        <w:rPr>
          <w:rFonts w:ascii="Arial" w:cs="Arial" w:eastAsia="Arial" w:hAnsi="Arial"/>
          <w:sz w:val="18"/>
          <w:szCs w:val="18"/>
          <w:color w:val="auto"/>
        </w:rPr>
        <w:t xml:space="preserve"> gene mutation. We anticipate the primary endpoint will be safety through six months after treatment, and definition of the maximum-tolerated or -feasible dose. We plan to assess efficacy based on functional visual field of the retina (e.g. with microperimetry) within three to six months after treatment. In addition, changes in retina field area over time will be measured by optical coherence tomography (OCT). Additional efficacy endpoints may include changes in functional endpoints including visual acuity. We expect that the earliest biomarker readouts from the</w:t>
      </w:r>
    </w:p>
    <w:p>
      <w:pPr>
        <w:spacing w:after="0" w:line="5" w:lineRule="exact"/>
        <w:rPr>
          <w:sz w:val="20"/>
          <w:szCs w:val="20"/>
          <w:color w:val="auto"/>
        </w:rPr>
      </w:pPr>
    </w:p>
    <w:p>
      <w:pPr>
        <w:ind w:left="200"/>
        <w:spacing w:after="0"/>
        <w:tabs>
          <w:tab w:leader="none" w:pos="4880" w:val="left"/>
        </w:tabs>
        <w:rPr>
          <w:sz w:val="20"/>
          <w:szCs w:val="20"/>
          <w:color w:val="auto"/>
        </w:rPr>
      </w:pPr>
      <w:r>
        <w:rPr>
          <w:rFonts w:ascii="Arial" w:cs="Arial" w:eastAsia="Arial" w:hAnsi="Arial"/>
          <w:sz w:val="18"/>
          <w:szCs w:val="18"/>
          <w:color w:val="auto"/>
        </w:rPr>
        <w:t>Phase 1/2 clinical trial could be obtained by</w:t>
      </w:r>
      <w:r>
        <w:rPr>
          <w:sz w:val="20"/>
          <w:szCs w:val="20"/>
          <w:color w:val="auto"/>
        </w:rPr>
        <w:tab/>
      </w:r>
      <w:r>
        <w:rPr>
          <w:rFonts w:ascii="Arial" w:cs="Arial" w:eastAsia="Arial" w:hAnsi="Arial"/>
          <w:sz w:val="18"/>
          <w:szCs w:val="18"/>
          <w:color w:val="auto"/>
        </w:rPr>
        <w:t>.</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80"/>
          </w:cols>
          <w:pgMar w:left="24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4D-110 for the treatment of Choroideremia</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Target Product Profile</w:t>
      </w:r>
    </w:p>
    <w:p>
      <w:pPr>
        <w:spacing w:after="0" w:line="12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 xml:space="preserve">We are developing 4D-110, based on our proprietary intravitreal vector 4D-R100, for the treatment of the rare blinding disease Choroideremia. 4D-110 is designed to deliver the </w:t>
      </w:r>
      <w:r>
        <w:rPr>
          <w:rFonts w:ascii="Arial" w:cs="Arial" w:eastAsia="Arial" w:hAnsi="Arial"/>
          <w:sz w:val="18"/>
          <w:szCs w:val="18"/>
          <w:i w:val="1"/>
          <w:iCs w:val="1"/>
          <w:color w:val="auto"/>
        </w:rPr>
        <w:t>CHM</w:t>
      </w:r>
      <w:r>
        <w:rPr>
          <w:rFonts w:ascii="Arial" w:cs="Arial" w:eastAsia="Arial" w:hAnsi="Arial"/>
          <w:sz w:val="18"/>
          <w:szCs w:val="18"/>
          <w:color w:val="auto"/>
        </w:rPr>
        <w:t xml:space="preserve"> transgene, the dysfunctional gene in Choroideremia, to RPE cells. We have partnered this program with Roche. We are responsible for filing and maintaining the IND, and for conducting the Phase 1/2 clinical trial(s). We filed an IND application for 4D-110 in 2019. The FDA did not identify any hold issue and the IND was allowed to proceed. Roche will be responsible for conducting any pivotal clinical trials and commercialization, if approved. Our Choroideremia program is also supported by the Choroideremia Research Foundation. We plan to initiate a Phase 1/2 clinical trial in Choroideremia patients in the second half of 2020.</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Disease Background, Unmet Medical Need and Target Patient Population</w:t>
      </w:r>
    </w:p>
    <w:p>
      <w:pPr>
        <w:spacing w:after="0" w:line="122"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 xml:space="preserve">Choroideremia is an X-linked, slowly-progressive, degenerative disease of the retina and choroid of the eye caused exclusively by mutations in the </w:t>
      </w:r>
      <w:r>
        <w:rPr>
          <w:rFonts w:ascii="Arial" w:cs="Arial" w:eastAsia="Arial" w:hAnsi="Arial"/>
          <w:sz w:val="18"/>
          <w:szCs w:val="18"/>
          <w:i w:val="1"/>
          <w:iCs w:val="1"/>
          <w:color w:val="auto"/>
        </w:rPr>
        <w:t>CHM</w:t>
      </w:r>
      <w:r>
        <w:rPr>
          <w:rFonts w:ascii="Arial" w:cs="Arial" w:eastAsia="Arial" w:hAnsi="Arial"/>
          <w:sz w:val="18"/>
          <w:szCs w:val="18"/>
          <w:color w:val="auto"/>
        </w:rPr>
        <w:t xml:space="preserve"> gene which codes for the REP1 protein. It is estimated approximately 10,000 individuals in the United States and the European Union have Choroideremia, with similar prevalence rates globally. While Choroideremia primarily affects men, some heterozygous females also suffer variable visual loss from the condition. No products are approved currently for the treatment of this disease in the United States or European Union.</w:t>
      </w:r>
    </w:p>
    <w:p>
      <w:pPr>
        <w:spacing w:after="0" w:line="203"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Choroideremia initially manifests as night-blindness and peripheral visual field defects, usually starting in the first two decades of life. As the disease progresses, the visual field begins to constrict relatively early in the disease’s progression, which hinders patients’ ability to conduct daily activities. Many Choroideremia patients are blind by the middle decades of life. A patient with advanced disease will be legally blind by virtue of poor visual acuity and minimal preserved visual field.</w:t>
      </w:r>
    </w:p>
    <w:p>
      <w:pPr>
        <w:spacing w:after="0" w:line="184" w:lineRule="exact"/>
        <w:rPr>
          <w:sz w:val="20"/>
          <w:szCs w:val="20"/>
          <w:color w:val="auto"/>
        </w:rPr>
      </w:pPr>
    </w:p>
    <w:p>
      <w:pPr>
        <w:ind w:left="200" w:right="280" w:firstLine="551"/>
        <w:spacing w:after="0" w:line="267" w:lineRule="auto"/>
        <w:rPr>
          <w:sz w:val="20"/>
          <w:szCs w:val="20"/>
          <w:color w:val="auto"/>
        </w:rPr>
      </w:pPr>
      <w:r>
        <w:rPr>
          <w:rFonts w:ascii="Arial" w:cs="Arial" w:eastAsia="Arial" w:hAnsi="Arial"/>
          <w:sz w:val="18"/>
          <w:szCs w:val="18"/>
          <w:color w:val="auto"/>
        </w:rPr>
        <w:t xml:space="preserve">Almost all mutations in the </w:t>
      </w:r>
      <w:r>
        <w:rPr>
          <w:rFonts w:ascii="Arial" w:cs="Arial" w:eastAsia="Arial" w:hAnsi="Arial"/>
          <w:sz w:val="18"/>
          <w:szCs w:val="18"/>
          <w:i w:val="1"/>
          <w:iCs w:val="1"/>
          <w:color w:val="auto"/>
        </w:rPr>
        <w:t>CHM</w:t>
      </w:r>
      <w:r>
        <w:rPr>
          <w:rFonts w:ascii="Arial" w:cs="Arial" w:eastAsia="Arial" w:hAnsi="Arial"/>
          <w:sz w:val="18"/>
          <w:szCs w:val="18"/>
          <w:color w:val="auto"/>
        </w:rPr>
        <w:t xml:space="preserve"> gene result in production of a non-functional REP1, protein. REP1 is essential for the activation (prenylation) of Ras-associated binding (Rab) proteins involved in intracellular vesicle trafficking.</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Competition and Differentiation—Viral Vector Gene Therapy including AAV for Choroideremia</w:t>
      </w:r>
    </w:p>
    <w:p>
      <w:pPr>
        <w:spacing w:after="0" w:line="122"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Conventional AAV gene therapy approaches are being developed to treat Choroideremia. Similar to treatment of other rare retinal diseases with AAV gene therapy, these Choroideremia therapies require delivery by subretinal injection; thus, only a small fraction of the retina is transduced and treated directly. Nightstar Therapeutics, recently acquired by Biogen, is developing a product candidate for Choroideremia called NSR-REP1. In 2018, data was reported from a Phase 1/2 clinical trial in patients with end stage Choroideremia, with reduced visual acuity. In this trial, investigators concluded that best corrected visual acuity improved in a subset of patients. A pivotal randomized Phase 3 clinical trial was initiated in 2018; this trial is enrolling patients with advanced disease with decreased visual acuity.</w:t>
      </w:r>
    </w:p>
    <w:p>
      <w:pPr>
        <w:spacing w:after="0" w:line="187" w:lineRule="exact"/>
        <w:rPr>
          <w:sz w:val="20"/>
          <w:szCs w:val="20"/>
          <w:color w:val="auto"/>
        </w:rPr>
      </w:pPr>
    </w:p>
    <w:p>
      <w:pPr>
        <w:ind w:left="200" w:right="60" w:firstLine="551"/>
        <w:spacing w:after="0" w:line="245" w:lineRule="auto"/>
        <w:rPr>
          <w:sz w:val="20"/>
          <w:szCs w:val="20"/>
          <w:color w:val="auto"/>
        </w:rPr>
      </w:pPr>
      <w:r>
        <w:rPr>
          <w:rFonts w:ascii="Arial" w:cs="Arial" w:eastAsia="Arial" w:hAnsi="Arial"/>
          <w:sz w:val="18"/>
          <w:szCs w:val="18"/>
          <w:color w:val="auto"/>
        </w:rPr>
        <w:t xml:space="preserve">4D-110, which has not yet begun clinical trials, also expresses the </w:t>
      </w:r>
      <w:r>
        <w:rPr>
          <w:rFonts w:ascii="Arial" w:cs="Arial" w:eastAsia="Arial" w:hAnsi="Arial"/>
          <w:sz w:val="18"/>
          <w:szCs w:val="18"/>
          <w:i w:val="1"/>
          <w:iCs w:val="1"/>
          <w:color w:val="auto"/>
        </w:rPr>
        <w:t>CHM</w:t>
      </w:r>
      <w:r>
        <w:rPr>
          <w:rFonts w:ascii="Arial" w:cs="Arial" w:eastAsia="Arial" w:hAnsi="Arial"/>
          <w:sz w:val="18"/>
          <w:szCs w:val="18"/>
          <w:color w:val="auto"/>
        </w:rPr>
        <w:t xml:space="preserve"> transgene. We believe the product candidate’s intravitreal delivery data, which showed widespread transduction of the retina in NHPs, suggests that intravitreal treatment of Choroideremia patients with 4D-110 may result in better outcomes than can be achieved with subretinal approaches utilizing conventional AAV vectors. In addition, we believe intravitreal dosing may allow for treatment of earlier stage patients than is typical with subretinal injection trials.</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00"/>
          </w:cols>
          <w:pgMar w:left="24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Pharmacology and Toxicology Program</w:t>
      </w:r>
    </w:p>
    <w:p>
      <w:pPr>
        <w:spacing w:after="0" w:line="122"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 xml:space="preserve">A total of 43 NHPs have been treated with the 4D-R100 vector, including 30 which were treated with 4D-110 (4D-R100 vector carrying the transgene insert for the </w:t>
      </w:r>
      <w:r>
        <w:rPr>
          <w:rFonts w:ascii="Arial" w:cs="Arial" w:eastAsia="Arial" w:hAnsi="Arial"/>
          <w:sz w:val="18"/>
          <w:szCs w:val="18"/>
          <w:i w:val="1"/>
          <w:iCs w:val="1"/>
          <w:color w:val="auto"/>
        </w:rPr>
        <w:t>CHM</w:t>
      </w:r>
      <w:r>
        <w:rPr>
          <w:rFonts w:ascii="Arial" w:cs="Arial" w:eastAsia="Arial" w:hAnsi="Arial"/>
          <w:sz w:val="18"/>
          <w:szCs w:val="18"/>
          <w:color w:val="auto"/>
        </w:rPr>
        <w:t xml:space="preserve"> gene). In all 13 animals treated with 4D-R100 containing an EGFP gene construct (dose range 1E10 to 1E12 vg/eye), widespread and dose-dependent retinal GFP-induced fluorescence was detected in retinal pigmented epithelia, photoreceptors, and retinal ganglion cells across central, macula and peripheral regions of the retina. EGFP was detected as early as one week following vector administration and persisted through to study completion at six months. No meaningful toxicities were reported.</w:t>
      </w:r>
    </w:p>
    <w:p>
      <w:pPr>
        <w:spacing w:after="0" w:line="203" w:lineRule="exact"/>
        <w:rPr>
          <w:sz w:val="20"/>
          <w:szCs w:val="20"/>
          <w:color w:val="auto"/>
        </w:rPr>
      </w:pPr>
    </w:p>
    <w:p>
      <w:pPr>
        <w:ind w:left="200" w:right="160" w:firstLine="551"/>
        <w:spacing w:after="0" w:line="237" w:lineRule="auto"/>
        <w:rPr>
          <w:sz w:val="20"/>
          <w:szCs w:val="20"/>
          <w:color w:val="auto"/>
        </w:rPr>
      </w:pPr>
      <w:r>
        <w:rPr>
          <w:rFonts w:ascii="Arial" w:cs="Arial" w:eastAsia="Arial" w:hAnsi="Arial"/>
          <w:sz w:val="18"/>
          <w:szCs w:val="18"/>
          <w:color w:val="auto"/>
        </w:rPr>
        <w:t>In 2018, we completed an IND-enabling toxicology and biodistribution study in 27 NHPs with 4D-110. 4D-110 was administered at doses of 1E11 vg/eye or 1E12 vg/eye by intravitreal injection. Animals were sacrificed at three weeks, three months or six months. No meaningful toxicities were reported, and retinal transduction and transgene expression was observed at both dose levels. No retinal toxicity was noted; typically mild, transient corticosteroid-responsive anterior uveitis was reported in a minority of treated NHP. In animals treated with 4D-110, we detected vector genomes and CHM/REP1 transgene RNA expression in all non-human primate retinas; the genome and RNA levels were higher in the high dose animals.</w:t>
      </w:r>
    </w:p>
    <w:p>
      <w:pPr>
        <w:spacing w:after="0" w:line="187" w:lineRule="exact"/>
        <w:rPr>
          <w:sz w:val="20"/>
          <w:szCs w:val="20"/>
          <w:color w:val="auto"/>
        </w:rPr>
      </w:pPr>
    </w:p>
    <w:p>
      <w:pPr>
        <w:ind w:left="200" w:firstLine="551"/>
        <w:spacing w:after="0" w:line="258" w:lineRule="auto"/>
        <w:rPr>
          <w:sz w:val="20"/>
          <w:szCs w:val="20"/>
          <w:color w:val="auto"/>
        </w:rPr>
      </w:pPr>
      <w:r>
        <w:rPr>
          <w:rFonts w:ascii="Arial" w:cs="Arial" w:eastAsia="Arial" w:hAnsi="Arial"/>
          <w:sz w:val="17"/>
          <w:szCs w:val="17"/>
          <w:color w:val="auto"/>
        </w:rPr>
        <w:t xml:space="preserve">Moreover, in preclinical studies involving human CHM patient-derived RPE cells, 4D-110 delivered the </w:t>
      </w:r>
      <w:r>
        <w:rPr>
          <w:rFonts w:ascii="Arial" w:cs="Arial" w:eastAsia="Arial" w:hAnsi="Arial"/>
          <w:sz w:val="17"/>
          <w:szCs w:val="17"/>
          <w:i w:val="1"/>
          <w:iCs w:val="1"/>
          <w:color w:val="auto"/>
        </w:rPr>
        <w:t>CHM</w:t>
      </w:r>
      <w:r>
        <w:rPr>
          <w:rFonts w:ascii="Arial" w:cs="Arial" w:eastAsia="Arial" w:hAnsi="Arial"/>
          <w:sz w:val="17"/>
          <w:szCs w:val="17"/>
          <w:color w:val="auto"/>
        </w:rPr>
        <w:t xml:space="preserve"> gene resulting in REP1 protein expression as shown in green in the right panel below. Moreover, this expressed REP1 protein functionally corrected RAB27A trafficking from the cytoplasm to the cell membrane. In similar fashion to normal RPE cells in the leftmost panel below, 4D-110-treated CHM cells in the rightmost panel had RAB27A protein associated with their cell membranes as shown in red in both panels; this finding confirms the functionality of the REP1 protein expressed from 4D-110. By contrast, untreated diseased CHM cells in the center panel did not exhibit a pattern of cell membrane associated RAB27A. In these cells, RAB27A was instead seen diffusely throughout the cytoplasm.</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4D-110-Transduced RPE Cells Expressed Functional REP1 and Exhibited Corrected Trafficking of</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RAB27A</w:t>
      </w:r>
    </w:p>
    <w:p>
      <w:pPr>
        <w:jc w:val="center"/>
        <w:ind w:right="-199"/>
        <w:spacing w:after="0" w:line="234" w:lineRule="auto"/>
        <w:rPr>
          <w:sz w:val="20"/>
          <w:szCs w:val="20"/>
          <w:color w:val="auto"/>
        </w:rPr>
      </w:pPr>
      <w:r>
        <w:rPr>
          <w:rFonts w:ascii="Arial" w:cs="Arial" w:eastAsia="Arial" w:hAnsi="Arial"/>
          <w:sz w:val="18"/>
          <w:szCs w:val="18"/>
          <w:i w:val="1"/>
          <w:iCs w:val="1"/>
          <w:color w:val="auto"/>
        </w:rPr>
        <w:t>Left Panel: Healthy Human RPE Cells Exhibited Normal REP1 Expression in Green and Trafficking of</w:t>
      </w:r>
    </w:p>
    <w:p>
      <w:pPr>
        <w:jc w:val="center"/>
        <w:ind w:right="-199"/>
        <w:spacing w:after="0" w:line="235" w:lineRule="auto"/>
        <w:rPr>
          <w:sz w:val="20"/>
          <w:szCs w:val="20"/>
          <w:color w:val="auto"/>
        </w:rPr>
      </w:pPr>
      <w:r>
        <w:rPr>
          <w:rFonts w:ascii="Arial" w:cs="Arial" w:eastAsia="Arial" w:hAnsi="Arial"/>
          <w:sz w:val="18"/>
          <w:szCs w:val="18"/>
          <w:i w:val="1"/>
          <w:iCs w:val="1"/>
          <w:color w:val="auto"/>
        </w:rPr>
        <w:t>RAB27A to the Cell Membrane in Red</w:t>
      </w:r>
    </w:p>
    <w:p>
      <w:pPr>
        <w:jc w:val="center"/>
        <w:ind w:right="-199"/>
        <w:spacing w:after="0" w:line="235" w:lineRule="auto"/>
        <w:rPr>
          <w:sz w:val="20"/>
          <w:szCs w:val="20"/>
          <w:color w:val="auto"/>
        </w:rPr>
      </w:pPr>
      <w:r>
        <w:rPr>
          <w:rFonts w:ascii="Arial" w:cs="Arial" w:eastAsia="Arial" w:hAnsi="Arial"/>
          <w:sz w:val="18"/>
          <w:szCs w:val="18"/>
          <w:i w:val="1"/>
          <w:iCs w:val="1"/>
          <w:color w:val="auto"/>
        </w:rPr>
        <w:t>Center Panel: Un-transduced CHM Patient-Derived RPE Cells Exhibited No Visible REP1</w:t>
      </w:r>
    </w:p>
    <w:p>
      <w:pPr>
        <w:spacing w:after="0" w:line="1" w:lineRule="exact"/>
        <w:rPr>
          <w:sz w:val="20"/>
          <w:szCs w:val="20"/>
          <w:color w:val="auto"/>
        </w:rPr>
      </w:pPr>
    </w:p>
    <w:p>
      <w:pPr>
        <w:jc w:val="center"/>
        <w:ind w:left="460" w:right="1600"/>
        <w:spacing w:after="0"/>
        <w:rPr>
          <w:sz w:val="20"/>
          <w:szCs w:val="20"/>
          <w:color w:val="auto"/>
        </w:rPr>
      </w:pPr>
      <w:r>
        <w:rPr>
          <w:rFonts w:ascii="Arial" w:cs="Arial" w:eastAsia="Arial" w:hAnsi="Arial"/>
          <w:sz w:val="18"/>
          <w:szCs w:val="18"/>
          <w:i w:val="1"/>
          <w:iCs w:val="1"/>
          <w:color w:val="auto"/>
        </w:rPr>
        <w:t>(i.e. No Visible Green Staining) and Un-trafficked RAB17A Diffusely Throughout the Cell in Red. Right Panel: 4D-110-Transduced RPE Cells Exhibited Clear REP1 Expression in Green as well as Corrected RAB17A Trafficking to the Cell Membrane in 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223520</wp:posOffset>
            </wp:positionV>
            <wp:extent cx="4116705" cy="13462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11670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Clinical Development Plans—Natural History Patient “Run-In” Study</w:t>
      </w:r>
    </w:p>
    <w:p>
      <w:pPr>
        <w:spacing w:after="0" w:line="122" w:lineRule="exact"/>
        <w:rPr>
          <w:sz w:val="20"/>
          <w:szCs w:val="20"/>
          <w:color w:val="auto"/>
        </w:rPr>
      </w:pPr>
    </w:p>
    <w:p>
      <w:pPr>
        <w:ind w:left="200" w:right="220" w:firstLine="551"/>
        <w:spacing w:after="0" w:line="246" w:lineRule="auto"/>
        <w:rPr>
          <w:sz w:val="20"/>
          <w:szCs w:val="20"/>
          <w:color w:val="auto"/>
        </w:rPr>
      </w:pPr>
      <w:r>
        <w:rPr>
          <w:rFonts w:ascii="Arial" w:cs="Arial" w:eastAsia="Arial" w:hAnsi="Arial"/>
          <w:sz w:val="18"/>
          <w:szCs w:val="18"/>
          <w:color w:val="auto"/>
        </w:rPr>
        <w:t>We have fully enrolled a natural history trial of approximately 50 patients with CHM to document the rate of visual and anatomical decline, and to identify candidates who are most likely to benefit from</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rPr>
          <w:sz w:val="20"/>
          <w:szCs w:val="20"/>
          <w:color w:val="auto"/>
        </w:rPr>
      </w:pPr>
      <w:r>
        <w:rPr>
          <w:rFonts w:ascii="Arial" w:cs="Arial" w:eastAsia="Arial" w:hAnsi="Arial"/>
          <w:sz w:val="18"/>
          <w:szCs w:val="18"/>
          <w:color w:val="auto"/>
        </w:rPr>
        <w:t>participation in our planned Phase 1/2 clinical trial. Patients have been followed for up to two years in most cases; consistent and statistically-significant decreases in OCT and visual function endpoints have been reported by investigators over six and 12 months. We expect that some of these subjects will enroll in our planned Phase 1/2 clinical trial or other future trials we may conduct.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Clinical Development Plans—Phase 1/2 Trial Design</w:t>
      </w:r>
    </w:p>
    <w:p>
      <w:pPr>
        <w:spacing w:after="0" w:line="122"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 xml:space="preserve">We plan to initiate a Phase 1/2 clinical trial for 4D-110 in the second half of 2020. The trial will be a single ascending dose trial of intravitreal injection with 4D-110 in patients with clinically-significant CHM due to </w:t>
      </w:r>
      <w:r>
        <w:rPr>
          <w:rFonts w:ascii="Arial" w:cs="Arial" w:eastAsia="Arial" w:hAnsi="Arial"/>
          <w:sz w:val="18"/>
          <w:szCs w:val="18"/>
          <w:i w:val="1"/>
          <w:iCs w:val="1"/>
          <w:color w:val="auto"/>
        </w:rPr>
        <w:t>CHM</w:t>
      </w:r>
      <w:r>
        <w:rPr>
          <w:rFonts w:ascii="Arial" w:cs="Arial" w:eastAsia="Arial" w:hAnsi="Arial"/>
          <w:sz w:val="18"/>
          <w:szCs w:val="18"/>
          <w:color w:val="auto"/>
        </w:rPr>
        <w:t xml:space="preserve"> gene mutation. The primary endpoints will be safety through six months after treatment, and definition of the maximum-tolerated or -feasible dose. Efficacy will be assessed by measuring changes over time in both best corrected visual acuity as well as OCT endpoints. Endpoint changes over time before treatment will be compared to endpoint changes after 4D-110 treatment in the same patients whenever possible.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Candidates for the Treatment of Wet AMD</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Target Product Profiles</w:t>
      </w:r>
    </w:p>
    <w:p>
      <w:pPr>
        <w:spacing w:after="0" w:line="122"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 xml:space="preserve">In addition to rare ophthalmic diseases, we are also evaluating AAV gene therapy candidates for large market diseases. We have constructed product candidates in lead optimization, using the 4D-R100 vector, designed to deliver various </w:t>
      </w:r>
      <w:r>
        <w:rPr>
          <w:rFonts w:ascii="Arial" w:cs="Arial" w:eastAsia="Arial" w:hAnsi="Arial"/>
          <w:sz w:val="18"/>
          <w:szCs w:val="18"/>
          <w:i w:val="1"/>
          <w:iCs w:val="1"/>
          <w:color w:val="auto"/>
        </w:rPr>
        <w:t>anti-VEGF</w:t>
      </w:r>
      <w:r>
        <w:rPr>
          <w:rFonts w:ascii="Arial" w:cs="Arial" w:eastAsia="Arial" w:hAnsi="Arial"/>
          <w:sz w:val="18"/>
          <w:szCs w:val="18"/>
          <w:color w:val="auto"/>
        </w:rPr>
        <w:t xml:space="preserve"> transgene candidates to treat Wet AMD and other related disorders. We believe these </w:t>
      </w:r>
      <w:r>
        <w:rPr>
          <w:rFonts w:ascii="Arial" w:cs="Arial" w:eastAsia="Arial" w:hAnsi="Arial"/>
          <w:sz w:val="18"/>
          <w:szCs w:val="18"/>
          <w:i w:val="1"/>
          <w:iCs w:val="1"/>
          <w:color w:val="auto"/>
        </w:rPr>
        <w:t>anti-VEGF</w:t>
      </w:r>
      <w:r>
        <w:rPr>
          <w:rFonts w:ascii="Arial" w:cs="Arial" w:eastAsia="Arial" w:hAnsi="Arial"/>
          <w:sz w:val="18"/>
          <w:szCs w:val="18"/>
          <w:color w:val="auto"/>
        </w:rPr>
        <w:t xml:space="preserve"> transgene candidates express proteins that have a high degree of similarity to approved anti-VEGF protein therapeutics, which we believe may increase the likelihood of technical success with these product candidates.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Disease Background, Unmet Medical Need and Target Patient Population</w:t>
      </w:r>
    </w:p>
    <w:p>
      <w:pPr>
        <w:spacing w:after="0" w:line="122"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Wet AMD is a type of macular degeneration where abnormal blood vessels (choroidal neovascularization) grow into the macula of the retina. As a consequence, retina swelling (edema) and bleeding can occur and cause visual distortion and reduced acuity. The proliferation of abnormal blood vessels in the retina is stimulated by VEGF. This process distorts and can potentially destroy central vision, and may progress to blindness without treatment. There are on average 200,000 new incidences of Wet AMD per year in the United States alone. Wet AMD accounts for 10% of all diagnosed cases of AMD, but it results in 90% of the legal blindness caused by all types of AMD. High expression levels of VEGF appear to play a causal role in the symptoms of Wet AMD.</w:t>
      </w:r>
    </w:p>
    <w:p>
      <w:pPr>
        <w:spacing w:after="0" w:line="205"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The current treatment paradigm for Wet AMD is intravitreal injection of patients with anti-VEGF proteins which inhibit the proliferation of new blood vessels, reducing edema and bleeding and some visual acuity to be recovered. Most anti-VEGF therapies require repeated intravitreal injections every few months to obtain full efficacy. However, based on current clinical experience, after several years of treatment, the early vision gains are frequently lost and acuity declines are observed for reasons that may include variable treatment regimens and patient compliance.</w:t>
      </w:r>
    </w:p>
    <w:p>
      <w:pPr>
        <w:spacing w:after="0" w:line="203"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We believe Wet AMD is an ideal candidate application for gene therapy. There are multiple products on the market that validate the anti-vascular endothelial growth factor or anti-VEGF therapeutic approach. Delivering intravitreal gene therapies to the eye is straightforward, and there is an advantage for a single dose therapy that can provide long-term efficacy in patients for whom compliance, or treatment resistance, is a problem.</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Competition and Differentiation—Viral Vector Gene Therapy including AAV for Wet AMD</w:t>
      </w:r>
    </w:p>
    <w:p>
      <w:pPr>
        <w:spacing w:after="0" w:line="104" w:lineRule="exact"/>
        <w:rPr>
          <w:sz w:val="20"/>
          <w:szCs w:val="20"/>
          <w:color w:val="auto"/>
        </w:rPr>
      </w:pPr>
    </w:p>
    <w:p>
      <w:pPr>
        <w:ind w:left="200" w:firstLine="551"/>
        <w:spacing w:after="0" w:line="267" w:lineRule="auto"/>
        <w:rPr>
          <w:sz w:val="20"/>
          <w:szCs w:val="20"/>
          <w:color w:val="auto"/>
        </w:rPr>
      </w:pPr>
      <w:r>
        <w:rPr>
          <w:rFonts w:ascii="Arial" w:cs="Arial" w:eastAsia="Arial" w:hAnsi="Arial"/>
          <w:sz w:val="18"/>
          <w:szCs w:val="18"/>
          <w:color w:val="auto"/>
        </w:rPr>
        <w:t xml:space="preserve">Conventional AAV gene therapy approaches are being developed to treat Wet AMD by delivering a functional copy of an </w:t>
      </w:r>
      <w:r>
        <w:rPr>
          <w:rFonts w:ascii="Arial" w:cs="Arial" w:eastAsia="Arial" w:hAnsi="Arial"/>
          <w:sz w:val="18"/>
          <w:szCs w:val="18"/>
          <w:i w:val="1"/>
          <w:iCs w:val="1"/>
          <w:color w:val="auto"/>
        </w:rPr>
        <w:t>anti-VEGF</w:t>
      </w:r>
      <w:r>
        <w:rPr>
          <w:rFonts w:ascii="Arial" w:cs="Arial" w:eastAsia="Arial" w:hAnsi="Arial"/>
          <w:sz w:val="18"/>
          <w:szCs w:val="18"/>
          <w:color w:val="auto"/>
        </w:rPr>
        <w:t xml:space="preserve"> gene by either subretinal injection or intravitreal administration. To</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00"/>
          </w:cols>
          <w:pgMar w:left="24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46" w:lineRule="auto"/>
        <w:rPr>
          <w:sz w:val="20"/>
          <w:szCs w:val="20"/>
          <w:color w:val="auto"/>
        </w:rPr>
      </w:pPr>
      <w:r>
        <w:rPr>
          <w:rFonts w:ascii="Arial" w:cs="Arial" w:eastAsia="Arial" w:hAnsi="Arial"/>
          <w:sz w:val="18"/>
          <w:szCs w:val="18"/>
          <w:color w:val="auto"/>
        </w:rPr>
        <w:t>our knowledge, these assets are in Phase 1 or Phase 1/2 clinical trials. To our knowledge, our product candidate would be the only one to utilize an intravitreal vector (4D-R100) discovered through directed evolution in NHP.</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Pharmacology and Toxicology Program</w:t>
      </w:r>
    </w:p>
    <w:p>
      <w:pPr>
        <w:spacing w:after="0" w:line="104" w:lineRule="exact"/>
        <w:rPr>
          <w:sz w:val="20"/>
          <w:szCs w:val="20"/>
          <w:color w:val="auto"/>
        </w:rPr>
      </w:pPr>
    </w:p>
    <w:p>
      <w:pPr>
        <w:jc w:val="both"/>
        <w:ind w:left="200" w:right="100" w:firstLine="551"/>
        <w:spacing w:after="0" w:line="251" w:lineRule="auto"/>
        <w:rPr>
          <w:sz w:val="20"/>
          <w:szCs w:val="20"/>
          <w:color w:val="auto"/>
        </w:rPr>
      </w:pPr>
      <w:r>
        <w:rPr>
          <w:rFonts w:ascii="Arial" w:cs="Arial" w:eastAsia="Arial" w:hAnsi="Arial"/>
          <w:sz w:val="18"/>
          <w:szCs w:val="18"/>
          <w:color w:val="auto"/>
        </w:rPr>
        <w:t xml:space="preserve">To date, we have engineered at least four research candidates with potential for anti-VEGF activity.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have shown expression of the therapeutic transgenes from treated RPE cells, which resulted in VEGF binding and neutralization. We expect to complete pharmacology and pilot toxicology studies for research candidates utilizing 4D-R100 in NHP in 2020.</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Promoter Discovery Platform: Directed Evolution</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are generating next-generation optimized promoter elements through directed evolution. Currently-available promoters may lack sufficient strength of expression and selectivity for clinical benefit of AAV gene therapies. In addition, for some AAV gene therapy products a smaller promoter region may be essential for the gene payload to fit in the AAV. Therefore, we believe there is a need for better promoters for many AAV products to enable or enhance their therapeutic benefit. We generate Target Promoter Profiles for any given product and disease target. This promoter profile includes target cell specificity and strength in order to maximize safety and/or efficacy, as well as any necessary size constraints. Under one of the SRAs with the UC Regents, we are working with our co-founder Dr. Schaffer to create customized and proprietary promoters for use in our products. Libraries of novel and diverse synthetic promoters have been engineered, currently comprising approximately five million unique sequences, and promoter selections will be applied to identify the best promoters within the libraries for any Target Promoter Profile.</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Human Cell and Disease Modeling</w:t>
      </w:r>
    </w:p>
    <w:p>
      <w:pPr>
        <w:spacing w:after="0" w:line="12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 xml:space="preserve">In order to fulfill our strategy to extensively characterize our vectors and products prior to treatment in patients, we have designed and developed a robust in-house human cell and disease modeling platform. Our group of scientists is experienced in the use of induced pluripotent stem (iPS) cell and embryonic stem (ES) cell techniques to generate and characterize human cell models to evaluate vector transduction, transgene expression and transgene product function. This core resource allows us to perform detailed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pharmacology and toxicology evaluations together with head-to-head comparisons between different AAV capsids, promoter elements and transgene payloads. We have differentiated and characterized the following human cell types: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Cell Cultures:</w:t>
      </w:r>
    </w:p>
    <w:p>
      <w:pPr>
        <w:spacing w:after="0" w:line="135" w:lineRule="exact"/>
        <w:rPr>
          <w:sz w:val="20"/>
          <w:szCs w:val="20"/>
          <w:color w:val="auto"/>
        </w:rPr>
      </w:pPr>
    </w:p>
    <w:p>
      <w:pPr>
        <w:ind w:left="960" w:hanging="216"/>
        <w:spacing w:after="0"/>
        <w:tabs>
          <w:tab w:leader="none" w:pos="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Ventricular phenotype cardiomyocytes (cardiac muscle cells)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Skeletal muscle myofibers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Lung epithelial cells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Retinal cells: RPE, photoreceptors and ganglion cells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Hepatocytes (liver cells)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Neural cells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Endothelial cells</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Tissue Cultures and Organotypic Tissues:</w:t>
      </w:r>
    </w:p>
    <w:p>
      <w:pPr>
        <w:spacing w:after="0" w:line="135" w:lineRule="exact"/>
        <w:rPr>
          <w:sz w:val="20"/>
          <w:szCs w:val="20"/>
          <w:color w:val="auto"/>
        </w:rPr>
      </w:pPr>
    </w:p>
    <w:p>
      <w:pPr>
        <w:ind w:left="960" w:hanging="216"/>
        <w:spacing w:after="0"/>
        <w:tabs>
          <w:tab w:leader="none" w:pos="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Lung Air Liquid Interface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Optic vesicles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60"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Of note, these cells and models can be derived from both normal human donors and from patients with specific genetic diseases of interest. Patient-derived cells used in our preclinical pharmacology studies include RPE cells from Choroideremia patients, retinal cells from patients with XLRP and cardiomyocytes, fibroblasts and endothelial cells from patients with Fabry disease.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Manufacturing</w:t>
      </w:r>
    </w:p>
    <w:p>
      <w:pPr>
        <w:spacing w:after="0" w:line="126"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In order to fulfill our strategy to maximize the robustness and internal control of our manufacturing processes from discovery and process development through to clinical-grade cGMP manufacturing, we have designed and are continually developing a robust in-house manufacturing platform. Some companies in the field in-license clinical trial material or manufacturing technologies from other companies or academic manufacturing centers. In contrast, our manufacturing processes were developed internally using internal technology transfers from our own process development labs. Our current in-house manufacturing capabilities include GLP production capabilities for IND-enabling studies and GMP production for early stage clinical trials. We intend to further scale these capabilities to support later stage programs and indications requiring higher doses. In addition to our internal activities, we also work with CMOs with person-in-plant CMO production oversight, with work currently ongoing at Paragon.</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Process and Capabilities</w:t>
      </w:r>
    </w:p>
    <w:p>
      <w:pPr>
        <w:spacing w:after="0" w:line="12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We use robust, scalable and transferable manufacturing unit operations throughout the vector characterization process and product development, which are both platform and product-specific. The upstream manufacturing step involves triple plasmid transfections in an adherent HEK293 mammalian production cell line. Downstream manufacturing steps for purification and concentration include multiple orthogonal column chromatography steps and tangential flow filtration. The columns used in our process are from stable sources including General Electric. Using internally developed manufacturing processes and testing, we characterize our novel capsids and payloads. In addition, leveraging internal expertise and capabilities, we package and test our novel capsids with payloads using non-GLP manufacturing processes.</w:t>
      </w:r>
    </w:p>
    <w:p>
      <w:pPr>
        <w:spacing w:after="0" w:line="203"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Our team has extensive experience with the manufacturing and analytical testing of numerous unique AAV capsids. We have developed and qualified assays for characterization, in-process testing and release and stability testing of our internally-manufactured novel AAV vectors. To date, our team has internally manufactured approximately 50 unique AAV vector capsids, including both proprietary evolved 4DMT capsid variants and naturally-occurring capsids. Our team has manufactured over 100 total lots of AAV vectors. This total includes 9 lots of material for GLP toxicology and biodistribution studies. We initiated our first in-house manufacturing run for clinical trial material for use in patients, according to cGMP, in 2019. Leveraging internal testing capabilities in addition to qualified contract testing laboratories, we fully test and release our GLP and GMP lots used for toxicology and clinical trials studies, respectively.</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Facilities</w:t>
      </w:r>
    </w:p>
    <w:p>
      <w:pPr>
        <w:spacing w:after="0" w:line="122"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Our manufacturing facilities are on site at company headquarters in Emeryville, California and include a process development lab, an analytical development lab, and a larger-scale manufacturing facility. Our manufacturing facility is approximately 800 square feet, and we intend to build a second cGMP facility that is approximately 8,000 square feet. In this new facility, we expect to utilize large-scale bioreactors that are designed to enable higher titer clinical trial material lots for clinical trials. These manufacturing facilities are also designed for production of material for GLP toxicology and biodistribution studies.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00"/>
          </w:cols>
          <w:pgMar w:left="240" w:top="460"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Team</w:t>
      </w:r>
    </w:p>
    <w:p>
      <w:pPr>
        <w:spacing w:after="0" w:line="122"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Our team of approximately 20 highly-trained individuals is led by our Chief Technical Officer, Dr. Kamal. Collectively, they have significant experience in viral vector manufacturing, chemistry-manufacturing-controls (CMC), regulatory affairs, analytical and process development, and quality assurance and controls. Our team also has experience with manufacturing multiple AAV vectors from preclinical studies through to multiple Phase 3 trials. For example, Dr. Kamal helped to write and compile the AAV gene therapy BLA for AVXS-101 or Zolgensma (Novartis).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6" w:lineRule="exact"/>
        <w:rPr>
          <w:sz w:val="20"/>
          <w:szCs w:val="20"/>
          <w:color w:val="auto"/>
        </w:rPr>
      </w:pPr>
    </w:p>
    <w:p>
      <w:pPr>
        <w:ind w:left="200" w:right="160" w:firstLine="551"/>
        <w:spacing w:after="0" w:line="237" w:lineRule="auto"/>
        <w:rPr>
          <w:sz w:val="20"/>
          <w:szCs w:val="20"/>
          <w:color w:val="auto"/>
        </w:rPr>
      </w:pPr>
      <w:r>
        <w:rPr>
          <w:rFonts w:ascii="Arial" w:cs="Arial" w:eastAsia="Arial" w:hAnsi="Arial"/>
          <w:sz w:val="18"/>
          <w:szCs w:val="18"/>
          <w:color w:val="auto"/>
        </w:rPr>
        <w:t>Our commercial success depends in part on our ability to obtain and maintain proprietary protection for our product candidates, manufacturing and process discoveries, and other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and implementation of our business. We also rely on trade secrets, know-how, continuing technological innovation and potential in-licensing opportunities to develop and maintain our proprietary position.</w:t>
      </w:r>
    </w:p>
    <w:p>
      <w:pPr>
        <w:spacing w:after="0" w:line="205"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Our product and lead optimization candidates were discovered by us utilizing our proprietary technology. We have filed several non-provisional and provisional patent applications, all owned by us, relating to our product and lead optimization candidates in the United States, certain foreign countries, and the World Intellectual Property Organization that are directed to compositions-of-matter, dosage unit forms, methods-of-treatment and medical use. We have also licensed several non-provisional patent applications, granted patents and international patent applications relating to our product and lead optimization candidates from U.C. Berkeley.</w:t>
      </w:r>
    </w:p>
    <w:p>
      <w:pPr>
        <w:spacing w:after="0" w:line="203" w:lineRule="exact"/>
        <w:rPr>
          <w:sz w:val="20"/>
          <w:szCs w:val="20"/>
          <w:color w:val="auto"/>
        </w:rPr>
      </w:pPr>
    </w:p>
    <w:p>
      <w:pPr>
        <w:ind w:left="200" w:right="160" w:firstLine="551"/>
        <w:spacing w:after="0" w:line="237" w:lineRule="auto"/>
        <w:rPr>
          <w:sz w:val="20"/>
          <w:szCs w:val="20"/>
          <w:color w:val="auto"/>
        </w:rPr>
      </w:pPr>
      <w:r>
        <w:rPr>
          <w:rFonts w:ascii="Arial" w:cs="Arial" w:eastAsia="Arial" w:hAnsi="Arial"/>
          <w:sz w:val="18"/>
          <w:szCs w:val="18"/>
          <w:color w:val="auto"/>
        </w:rPr>
        <w:t>Our solely owned patent portfolio includes one pending U.S. non-provisional application, thirty-one pending foreign applications, one of which has been allowed, one granted foreign patent and two pending international applications. We expect that United States and European patents and the patent applications in this portfolio, if issued, would expire between May 12, 2037 and November 26, 2038, excluding any additional term from patent term adjustment or patent term extension if appropriate maintenance and other governmental fees are paid. Additional patent term for the presently-issued or later issued U.S. patents may be awarded as a result of the patent term extension provision of the Hatch-Waxman Amendments of 1984. In the European Union member countries, a supplementary protection certificate, if obtained, provides a maximum five years of market exclusivity.</w:t>
      </w:r>
    </w:p>
    <w:p>
      <w:pPr>
        <w:spacing w:after="0" w:line="203" w:lineRule="exact"/>
        <w:rPr>
          <w:sz w:val="20"/>
          <w:szCs w:val="20"/>
          <w:color w:val="auto"/>
        </w:rPr>
      </w:pPr>
    </w:p>
    <w:p>
      <w:pPr>
        <w:ind w:left="200" w:right="140" w:firstLine="551"/>
        <w:spacing w:after="0" w:line="236" w:lineRule="auto"/>
        <w:rPr>
          <w:sz w:val="20"/>
          <w:szCs w:val="20"/>
          <w:color w:val="auto"/>
        </w:rPr>
      </w:pPr>
      <w:r>
        <w:rPr>
          <w:rFonts w:ascii="Arial" w:cs="Arial" w:eastAsia="Arial" w:hAnsi="Arial"/>
          <w:sz w:val="18"/>
          <w:szCs w:val="18"/>
          <w:color w:val="auto"/>
        </w:rPr>
        <w:t>In other jurisdictions (currently, Australia, Bahrain, Brazil, Canada, Chile, China, Colombia, Costa Rica, Egypt, India, Indonesia, Iran, Israel, Japan, Korea, Kuwait, Malaysia, Mexico, New Zealand, Oman, Peru, Philippines, Qatar, Russia, Saudi Arabia, Singapore, Thailand, United Arab Emirates, Ukraine, Vietnam and South Africa), the patent applications relating to our product and lead optimization candidates, including composition of matter and various other patents, including dosage unit form, method-of-treatment and medical use patents, where applicable, are expected to expire between May 12, 2037 and November 26, 2038, if the appropriate maintenance, renewal, annuity, and other government fees are paid. These patents and patent applications (if applicable), depending on the national laws, may benefit from extension of patent term in individual countries if regulatory approval of any of our product or lead optimization candidates is obtained in those countries. For example, in Japan, the term of a patent may be extended by a maximum of five years in certain circumstances.</w:t>
      </w:r>
    </w:p>
    <w:p>
      <w:pPr>
        <w:spacing w:after="0" w:line="207" w:lineRule="exact"/>
        <w:rPr>
          <w:sz w:val="20"/>
          <w:szCs w:val="20"/>
          <w:color w:val="auto"/>
        </w:rPr>
      </w:pPr>
    </w:p>
    <w:p>
      <w:pPr>
        <w:ind w:left="200" w:right="720" w:firstLine="551"/>
        <w:spacing w:after="0" w:line="246" w:lineRule="auto"/>
        <w:rPr>
          <w:sz w:val="20"/>
          <w:szCs w:val="20"/>
          <w:color w:val="auto"/>
        </w:rPr>
      </w:pPr>
      <w:r>
        <w:rPr>
          <w:rFonts w:ascii="Arial" w:cs="Arial" w:eastAsia="Arial" w:hAnsi="Arial"/>
          <w:sz w:val="18"/>
          <w:szCs w:val="18"/>
          <w:color w:val="auto"/>
        </w:rPr>
        <w:t>Our in-licensed patent portfolio includes four granted U.S. patents and six granted foreign patents; each of these patents is expected to expire between June 28, 2024. and June 13, 2029. Our</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line="246" w:lineRule="auto"/>
        <w:rPr>
          <w:sz w:val="20"/>
          <w:szCs w:val="20"/>
          <w:color w:val="auto"/>
        </w:rPr>
      </w:pPr>
      <w:r>
        <w:rPr>
          <w:rFonts w:ascii="Arial" w:cs="Arial" w:eastAsia="Arial" w:hAnsi="Arial"/>
          <w:sz w:val="18"/>
          <w:szCs w:val="18"/>
          <w:color w:val="auto"/>
        </w:rPr>
        <w:t>in-licensed patent portfolio also includes three pending U.S. non-provisional patent applications, five pending foreign patent applications and one pending international patent application.</w:t>
      </w:r>
    </w:p>
    <w:p>
      <w:pPr>
        <w:spacing w:after="0" w:line="197"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In other jurisdictions (currently, Canada, China, France, Germany, Great Britain, Hong Kong, Japan and Italy), the term and patent applications relating to our product and lead optimization candidates, including composition of matter and various other patents, including dosage unit form, method-of-treatment and medical use patents, where applicable, are expected to expire between June 29, 2024 and June 28, 2038, if the appropriate maintenance, renewal, annuity, and other government fees are paid. These patents and patent applications (if applicable), depending on the national laws, may benefit from extension of patent term in individual countries if regulatory approval of any of our product or lead optimization candidates is obtained in those countries. For example, in Japan, the term of a patent may be extended by a maximum of five years in certain circumstances.</w:t>
      </w:r>
    </w:p>
    <w:p>
      <w:pPr>
        <w:spacing w:after="0" w:line="20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effective for 20 years from the earliest effective non-provisional filing date. In addition, in certain instances, a patent term can be extended to recapture a portion of the U.S. Patent and Trademark Office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207"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203"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Our commercial success will also depend in part on not infringing the proprietary rights of third parties. It is uncertain whether the issuance of any third-party patent would require us to alter our development or commercial strategies, alter our drugs or processes, obtain licenses or cease certain activities. Our breach of any license agreements or failure to obtain a license to proprietary rights that we may require to develop or commercialize our future drugs may have a material adverse impact on us.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Strategic Collaborations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Collaboration and License Agreement with F. Hoffmann-La Roche Ltd and Hoffmann-La Roche Inc.</w:t>
      </w:r>
    </w:p>
    <w:p>
      <w:pPr>
        <w:spacing w:after="0" w:line="126" w:lineRule="exact"/>
        <w:rPr>
          <w:sz w:val="20"/>
          <w:szCs w:val="20"/>
          <w:color w:val="auto"/>
        </w:rPr>
      </w:pPr>
    </w:p>
    <w:p>
      <w:pPr>
        <w:ind w:left="200" w:right="260" w:firstLine="551"/>
        <w:spacing w:after="0" w:line="239" w:lineRule="auto"/>
        <w:rPr>
          <w:sz w:val="20"/>
          <w:szCs w:val="20"/>
          <w:color w:val="auto"/>
        </w:rPr>
      </w:pPr>
      <w:r>
        <w:rPr>
          <w:rFonts w:ascii="Arial" w:cs="Arial" w:eastAsia="Arial" w:hAnsi="Arial"/>
          <w:sz w:val="18"/>
          <w:szCs w:val="18"/>
          <w:color w:val="auto"/>
        </w:rPr>
        <w:t>In November 2017, we entered into a Collaboration and License Agreement (the Roche Agreement), with F. Hoffmann-La Roche Ltd and Hoffmann-La Roche Inc., collectively referred to as Roche. Under the Roche Agreement, we granted Roche an exclusive, sublicenseable, worldwide license under certain intellectual property rights to research, develop, make, use, import, export, and sell products and constructs using our proprietary AAV vectors to treat ophthalmological diseases and</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spacing w:after="0" w:line="246" w:lineRule="auto"/>
        <w:rPr>
          <w:sz w:val="20"/>
          <w:szCs w:val="20"/>
          <w:color w:val="auto"/>
        </w:rPr>
      </w:pPr>
      <w:r>
        <w:rPr>
          <w:rFonts w:ascii="Arial" w:cs="Arial" w:eastAsia="Arial" w:hAnsi="Arial"/>
          <w:sz w:val="18"/>
          <w:szCs w:val="18"/>
          <w:color w:val="auto"/>
        </w:rPr>
        <w:t>disorders, excluding treatment and prevention of cancer and central nervous system conditions (but not retinal nerves) and delivery of DNA-directed RNA interference (the Roche Field).</w:t>
      </w:r>
    </w:p>
    <w:p>
      <w:pPr>
        <w:spacing w:after="0" w:line="197"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Under the terms of the Roche Agreement, we and Roche will engage in collaboration programs to develop one or more products, and Choroideremia has been designated as the first collaboration program. We are primarily responsible for the initial development of such collaboration programs and Roche agreed to reimburse us for our development costs and expenses in accordance with the terms of the agreement. Upon completion of such initial development, we will transfer data, know-how and regulatory filings to the applicable collaboration program to Roche and Roche will be responsible for the development and commercialization of such program at its own cost and expense.</w:t>
      </w:r>
    </w:p>
    <w:p>
      <w:pPr>
        <w:spacing w:after="0" w:line="205"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Subject to the terms of the Roche Agreement, either party may also develop one or more programs in the Roche Field independent of the other party at such party’s own cost and expense. Roche has an option to elect one or more of the programs that we may independently develop under the agreement, including XLRP, which we have designated as our initial independent program. If Roche exercises its option, and subject to its payment of the applicable option exercise fee, we will transfer our data, know-how and regulatory filings related to such programs. If Roche does not exercise its option within the applicable option period, we will have the sole right to commercialization of such product. Each party agreed to various diligence obligations under the agreement.</w:t>
      </w:r>
    </w:p>
    <w:p>
      <w:pPr>
        <w:spacing w:after="0" w:line="205"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Pursuant to the Roche Agreement, we received an upfront payment from Roche of $21.0 million. In addition, we are entitled to contingent payments including (i) $1.0 million for each Roche nominated product beyond the first three, (ii) up to $30.0 million upon exercise of the option to convert a product we nominated and developed prior to pivotal clinical studies, (iii) up to $223.0 million in specified development milestones in connection with the licensed products, $86.0 million of which relate to Choroideremia; and (iv) sales-based milestones of up to $123.0 million based on worldwide calendar year net sales in connection with licensed products. On a product-by-product basis, Roche will also be required to pay us tiered royalties for worldwide calendar year net sales of products at percentages ranging from the mid-single digit to mid-teens, in each case subject to reductions in accordance with the terms of the agreement. The royalties are payable on a product-by-product and country-by-country basis until the later of ten years after the date of first commercial sale of such product in such country and the expiration of the last-to-expire licensed patent right covering such product.</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Roche Agreement will expire on the later of expiration of all payment obligations and the date when no products are actively developed by either party or both parties in accordance with the terms of the agreement. Either party may terminate the agreement in its entirety or on a country-by-country basis if the other party fails to cure its material breach within 90 days of receiving notice. Roche may terminate the agreement in its entirety, on a product-by-product basis or on a country-by-country basis upon 90 days’ prior written notice. If we terminate the agreement for Roche’s material breach or if Roche terminates the agreement without cause, the rights to the products generally revert back us. If we commercialize reverted products after such termination, we may be required to pay Roche tiered royalties for worldwide calendar year net sales of such products at percentages ranging from zero to the low-teens, in each case subject to reductions in accordance with the terms of the agreement. If Roche terminates the agreement for our material breach, Roche may retain its rights under the license that we grant to Roche under our intellectual property rights and Roche’s payment obligations will survive.</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Collaboration and Option Agreement with AstraZeneca (previously MedImmune).</w:t>
      </w:r>
    </w:p>
    <w:p>
      <w:pPr>
        <w:spacing w:after="0" w:line="126"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In December 2017, we entered into a Collaboration and Option Agreement (the MedImmune Agreement), with MedImmune, LLC (MedImmune). Under the MedImmune Agreement, we and MedImmune will collaborate to optimize AAV capsid variants for the delivery of certain genes to the lung for the treatment of chronic lung disease (the MedImmune Field), using our AAV technology. We are primarily responsible for the initial optimization and MedImmune has an option to select up to 3 capsid variants.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00"/>
          </w:cols>
          <w:pgMar w:left="24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Upon MedImmune’s exercise of its option, and subject to its payment of the applicable option exercise fee, we will automatically grant MedImmune an exclusive, sublicenseable, worldwide license under certain of our intellectual property rights to make, use, sell, import, export or otherwise utilize the selected capsid variants and products containing such selected capsid variants and certain genes in the MedImmune Field. Following the exercise of its option, MedImmune will be responsible for the development and commercialization of the licensed products and has agreed to certain diligence obligations.</w:t>
      </w:r>
    </w:p>
    <w:p>
      <w:pPr>
        <w:spacing w:after="0" w:line="203"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We received an upfront payment from MedImmune of $1.5 million. Upon MedImmune’s exercise of its option, it will be required to pay us a one-time option exercise fee of $2 million. Upon the achievement of specified development milestones, MedImmune will be required to pay us up to $45.0 million on a licensed product-by-licensed product basis. MedImmune will be required to pay us tiered royalties on worldwide annual net sales of licensed products between low-single digit and mid-single digit percentage rates, subject to certain specified reductions. These royalties are payable on a product-by-product and country-by-country basis until the later of ten years after the date of first commercial sale of such licensed product in such country and the expiration of the last-to-expire licensed patent right covering such licensed product (the MedImmune Royalty Term).</w:t>
      </w:r>
    </w:p>
    <w:p>
      <w:pPr>
        <w:spacing w:after="0" w:line="203"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The MedImmune Agreement will expire on a product-by-product basis on the earlier of the expiration of the option period if the option for such product is unexercised by MedImmune or the MedImmune Royalty Term for the product. Either party may terminate the agreement in its entirety if the other party fails to cure its material breach within 90 days of receiving notice, subject to additional cure period in accordance with the terms of the agreement. Prior to its option exercise, MedImmune may terminate the agreement upon 30 days’ prior written notice. Following its option exercise, MedImmune may terminate the agreement in its entirety or on a licensed product-by-licensed product basis upon 90 days’ prior written notice.</w:t>
      </w:r>
    </w:p>
    <w:p>
      <w:pPr>
        <w:spacing w:after="0" w:line="205" w:lineRule="exact"/>
        <w:rPr>
          <w:sz w:val="20"/>
          <w:szCs w:val="20"/>
          <w:color w:val="auto"/>
        </w:rPr>
      </w:pPr>
    </w:p>
    <w:p>
      <w:pPr>
        <w:ind w:left="200" w:right="100" w:firstLine="551"/>
        <w:spacing w:after="0" w:line="239" w:lineRule="auto"/>
        <w:rPr>
          <w:sz w:val="20"/>
          <w:szCs w:val="20"/>
          <w:color w:val="auto"/>
        </w:rPr>
      </w:pPr>
      <w:r>
        <w:rPr>
          <w:rFonts w:ascii="Arial" w:cs="Arial" w:eastAsia="Arial" w:hAnsi="Arial"/>
          <w:sz w:val="18"/>
          <w:szCs w:val="18"/>
          <w:color w:val="auto"/>
        </w:rPr>
        <w:t>If we terminate the agreement for MedImmune’s material breach or if MedImmune terminates the agreement for convenience, our rights to the licensed products generally revert back to us. If MedImmune terminates the agreement for our material breach, MedImmune may retain its rights under the license that we grant to MedImmune under our intellectual property rights and MedImmune’s payment obligations will survive.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Collaboration and License Agreements with uniQure biopharma B.V.</w:t>
      </w:r>
    </w:p>
    <w:p>
      <w:pPr>
        <w:spacing w:after="0" w:line="126" w:lineRule="exact"/>
        <w:rPr>
          <w:sz w:val="20"/>
          <w:szCs w:val="20"/>
          <w:color w:val="auto"/>
        </w:rPr>
      </w:pPr>
    </w:p>
    <w:p>
      <w:pPr>
        <w:ind w:left="200" w:right="320" w:firstLine="551"/>
        <w:spacing w:after="0"/>
        <w:rPr>
          <w:sz w:val="20"/>
          <w:szCs w:val="20"/>
          <w:color w:val="auto"/>
        </w:rPr>
      </w:pPr>
      <w:r>
        <w:rPr>
          <w:rFonts w:ascii="Arial" w:cs="Arial" w:eastAsia="Arial" w:hAnsi="Arial"/>
          <w:sz w:val="18"/>
          <w:szCs w:val="18"/>
          <w:color w:val="auto"/>
        </w:rPr>
        <w:t>In August 2019, we entered into an Amended and Restated Collaboration and License Agreement (the Amended and Restated uniQure Agreement) with uniQure biopharma B.V., now uniQure N.V. (uniQure), which amended and restated the Collaboration and License Agreement that we entered into with uniQure in January 2014.</w:t>
      </w:r>
    </w:p>
    <w:p>
      <w:pPr>
        <w:spacing w:after="0" w:line="203"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Under the Amended and Restated uniQure Agreement, we granted uniQure an exclusive, sublicenseable, worldwide license under certain of our intellectual property rights, and other rights, to research, develop, make, use, and commercialize pre-selected AAV capsid variants (Selected Variants), and compounds and products containing such Selected Variants, using our proprietary AAV technology for delivery of gene therapy constructs to cells in the central nervous system and the liver (the uniQure Field). uniQure is solely responsible, at its cost and expense, to develop and commercialize the compounds and products containing the Selected Variants in accordance with the terms of the Amended and Restated uniQure Agreement. We retain all rights to all other AAV capsid variants, and compounds and products containing such AAV capsid variants, in the uniQure Field.</w:t>
      </w:r>
    </w:p>
    <w:p>
      <w:pPr>
        <w:spacing w:after="0" w:line="203"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Also in August 2019, we entered into a separate Collaboration and License Agreement with uniQure (Second uniQure Agreement). Under the Second uniQure Agreement, the parties agreed to research and develop new AAV capsid variants that are not Selected Variants (New Variants) using our proprietary AAV technology for delivery of transgene constructs that affect certain targets (uniQure Targets) in the uniQure Field. We are responsible for the research of the New Variants, and uniQure is</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60"/>
          </w:cols>
          <w:pgMar w:left="240" w:top="460"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responsible for the development and commercialization of a certain number of compounds and products containing New Variants, that affect the uniQure Targets (Licensed Products). We granted uniQure an exclusive, sublicenseable, worldwide license under certain of our intellectual property rights, and other rights, to research, develop, make, use, and commercialize the Licensed Products. We retain all rights to New Variants in the uniQure Field that affect targets other than the uniQure Targets. We also retain all rights to any new AAV capsid variants developed under the agreements that are not New Variants, and compounds and products containing such variants.</w:t>
      </w:r>
    </w:p>
    <w:p>
      <w:pPr>
        <w:spacing w:after="0" w:line="20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Under both the Amended and Restated uniQure Agreement and the Second uniQure Agreement, uniQure will be required to pay us royalties on worldwide annual net sales of licensed products at a mid-single digit percentage rate, subject to certain specified reductions. These royalties are payable on a product-by-product and country-by-country basis until the latest of ten years after the date of the first commercial sale of such product in such country, the expiration of the last-to-expire licensed patent right covering such product in such country, and the expiration of any applicable exclusivity granted by a regulatory authority in such country for such product (the uniQure Royalty Term). uniQure will also be required to pay us a portion of the amounts it receives for licensing or sublicensing to third parties our intellectual property rights licensed or other rights otherwise granted under the Amended and Restated uniQure Agreement, and a portion of the amounts it receives for licensing to third parties our intellectual property rights granted under the or the Second uniQure Agreement, each at a rate between mid-single digit to mid-twenties percentages, depending on the stage of development at which such third party grant occurs.</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Under both the Amended and Restated uniQure Agreement and the Second uniQure Agreement, under certain circumstances, we may propose to uniQure, and uniQure may grant to us, a non-exclusive right for us to develop and commercialize certain licensed products based on Selected Variants in the uniQure Field, or the New Variants in the uniQure Field to deliver transgene constructs that affect the uniQure Targets (4DMT Proposed Products). Pursuant to the Second uniQure Agreement, under certain circumstances, uniQure may propose to us, and we may grant to uniQuire a non-exclusive right for uniQure to develop and commercialize certain licensed products using any new AAV capsid variants developed under the agreement that are not New Variants in the uniQure Field to deliver transgene constructs that affect targets other than the uniQure Targets (uniQure Proposed Products). If either party obtains the rights to develop and commercialize a 4DMT Proposed Product or a uniQure Proposed Product, as applicable, such party will be required to pay the other party royalties on worldwide annual net sales of such products at a mid-single digit percentage rate, subject to specified reductions. These royalties will be payable on a product-by-product basis during the uniQure Royalty Term for such products. The party receiving such license will also be required to pay the other party a portion of the amounts that it may receive for licensing or sublicensing to third parties rights for such 4DMT Proposed Products or uniQure Proposed Products, as applicable, at a rate between mid-single digit to mid-twenties percentages depending on the stage of development at which the sublicense is granted.</w:t>
      </w:r>
    </w:p>
    <w:p>
      <w:pPr>
        <w:spacing w:after="0" w:line="204"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Each of the Amended and Restated uniQure Agreement and the Second uniQure Agreement will expire on the expiration of all payment obligations of the parties under such agreement. Each party may terminate either agreement for the other party’s insolvency or bankruptcy. Each party may also terminate either agreement in its entirety in some circumstances or on an indication-by-indication basis if the other party fails to cure its material breach under the applicable agreement within 90 days of receiving notice, subject to an additional cure period in accordance with the terms of such agreement. uniQure may terminate either agreement upon 90 days’ prior written notice. In addition, uniQure may terminate the Second uniQure Agreement at any point prior to the first anniversary of the effective date if the joint research committee determines that it would be futile to continue the research program under the agreement, including if such committee determines that certain agreed-upon development</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success criteria will not be able to be met, or if we are not making bona fide efforts to achieve the mutually agreed timelines set forth in the research plan. If we terminate either agreement for uniQure’s material breach, insolvency or bankruptcy or if uniQure terminates either agreement for convenience or due to its determination of futility, the rights to the Selected Variants, and compounds and products containing such Selected Variants, or the uniQure New Variants, and compounds and products containing such uniQure New Variants, as applicable, generally revert back to us. If uniQure terminates either agreement for our material breach under the applicable agreement, insolvency or bankruptcy, uniQure may retain its rights to the intellectual property license grant under such agreement and uniQure’s payment obligations will survive.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Exclusive License and Bailment Agreements with The Regents of the University of California</w:t>
      </w:r>
    </w:p>
    <w:p>
      <w:pPr>
        <w:spacing w:after="0" w:line="126"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In December 2013, we entered into two Exclusive License and Bailment Agreements (the UC Agreements) with The Regents of the University of California (the UC Regents). Under both UC Agreements, the UC Regents granted us an exclusive, sublicenseable license under certain patent rights to make, use, sell, offer to sell, and import products and services, and to practice methods in the United States and foreign countries where the licensed patent rights exist. The license grant under one UC Agreement is in all fields of use and the license grant under the other UC Agreement is in all fields of use, with the exception of the ophthalmic field. We agreed to certain general and specific diligence obligations under both UC Agreements in connection with the development, manufacture and sales of the licensed products, services and methods, in accordance with the terms of the UC Agreements.</w:t>
      </w:r>
    </w:p>
    <w:p>
      <w:pPr>
        <w:spacing w:after="0" w:line="203" w:lineRule="exact"/>
        <w:rPr>
          <w:sz w:val="20"/>
          <w:szCs w:val="20"/>
          <w:color w:val="auto"/>
        </w:rPr>
      </w:pPr>
    </w:p>
    <w:p>
      <w:pPr>
        <w:ind w:left="200" w:firstLine="551"/>
        <w:spacing w:after="0" w:line="250" w:lineRule="auto"/>
        <w:rPr>
          <w:sz w:val="20"/>
          <w:szCs w:val="20"/>
          <w:color w:val="auto"/>
        </w:rPr>
      </w:pPr>
      <w:r>
        <w:rPr>
          <w:rFonts w:ascii="Arial" w:cs="Arial" w:eastAsia="Arial" w:hAnsi="Arial"/>
          <w:sz w:val="17"/>
          <w:szCs w:val="17"/>
          <w:color w:val="auto"/>
        </w:rPr>
        <w:t>Under each UC Agreement, we paid the UC Regents an upfront payment of $5,000. Further, at the closing of our Series A financing that was a qualified financing pursuant to the UC Agreements, we issued 311,812 shares of our common stock in aggregate under both agreements. Under each UC Agreement, we agreed to pay the UC Regents a specified annual license maintenance fee in each year in which we do not owe royalties to the UC Regents. We also agreed to pay the UC Regents a mid-teens to mid-twenties percentage range of any consideration, including royalties (Sublicense Consideration), we receive for the grant of a sublicense under the licensed patent rights under each UC Agreement, with the consideration payable to the UC Regents to not exceed such percentage range in the aggregate under both UC Agreements for the same sublicense grant. We may reduce any Sublicense Consideration if we sublicense any of our own or third party patent rights under the sublicense grant based on the relative value of the sublicensed patents. Upon the achievement of specified development and regulatory milestones by the first licensed product or method, we will be required to pay the UC Regents up to $3.1 million under each UC Agreement. We will also be required to pay the UC Regents a royalty on net sales of licensed products, services and methods covered by the patents licensed under the UC Agreements at a percentage in the low single-digit percentage rate, subject to certain specified reductions. Under the UC Agreements, a specified minimum annual royalty will also be due to the UC Regents beginning the first calendar year after the year in which any net sales of a licensed product first occur, such minimum royalty amount to increase on an annual basis, but not to exceed $0.1 million in the aggregate under both UC Agreements. Under each UC Agreement, royalties are payable until the expiration of the last-to-expire licensed patent right covering the licensed product, service or method (the UC Royalty Term). Milestone, royalty and sublicense revenue payments will be due to the UC Regents under only one of the UC Agreements covering any licensed product, regardless of the number of patents covering a given licensed product.</w:t>
      </w:r>
    </w:p>
    <w:p>
      <w:pPr>
        <w:spacing w:after="0" w:line="200" w:lineRule="exact"/>
        <w:rPr>
          <w:sz w:val="20"/>
          <w:szCs w:val="20"/>
          <w:color w:val="auto"/>
        </w:rPr>
      </w:pPr>
    </w:p>
    <w:p>
      <w:pPr>
        <w:spacing w:after="0" w:line="202" w:lineRule="exact"/>
        <w:rPr>
          <w:sz w:val="20"/>
          <w:szCs w:val="20"/>
          <w:color w:val="auto"/>
        </w:rPr>
      </w:pPr>
    </w:p>
    <w:p>
      <w:pPr>
        <w:ind w:left="200" w:right="180" w:firstLine="551"/>
        <w:spacing w:after="0" w:line="238" w:lineRule="auto"/>
        <w:rPr>
          <w:sz w:val="20"/>
          <w:szCs w:val="20"/>
          <w:color w:val="auto"/>
        </w:rPr>
      </w:pPr>
      <w:r>
        <w:rPr>
          <w:rFonts w:ascii="Arial" w:cs="Arial" w:eastAsia="Arial" w:hAnsi="Arial"/>
          <w:sz w:val="18"/>
          <w:szCs w:val="18"/>
          <w:color w:val="auto"/>
        </w:rPr>
        <w:t>Each UC Agreement will expire at the end of the UC Royalty Term. The UC Regents may terminate each of the UC Agreements if we fail to cure a breach of such UC Agreement within 60 days of notice. If we fail to meet our diligence obligations, the UC Regents has the right to either terminate the UC Agreement or to reduce our exclusive license to a non-exclusive license, after giving us 60 days to cure or request arbitration. We may terminate either UC Agreement at-will in its entirety or with respect to any portion of the licensed patent rights upon 90 days prior written notice. Each UC</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46" w:lineRule="auto"/>
        <w:rPr>
          <w:sz w:val="20"/>
          <w:szCs w:val="20"/>
          <w:color w:val="auto"/>
        </w:rPr>
      </w:pPr>
      <w:r>
        <w:rPr>
          <w:rFonts w:ascii="Arial" w:cs="Arial" w:eastAsia="Arial" w:hAnsi="Arial"/>
          <w:sz w:val="18"/>
          <w:szCs w:val="18"/>
          <w:color w:val="auto"/>
        </w:rPr>
        <w:t>Agreement will terminate immediately if we or a third party on our behalf files a claim asserting that the licensed patent rights are invalid or unenforceable.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126"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biological product candidates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applicable federal, state, local and foreign statutes and regulations require the expenditure of substantial time and financial resources.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Biologics Regulation</w:t>
      </w:r>
    </w:p>
    <w:p>
      <w:pPr>
        <w:spacing w:after="0" w:line="126" w:lineRule="exact"/>
        <w:rPr>
          <w:sz w:val="20"/>
          <w:szCs w:val="20"/>
          <w:color w:val="auto"/>
        </w:rPr>
      </w:pPr>
    </w:p>
    <w:p>
      <w:pPr>
        <w:ind w:left="200" w:right="180" w:firstLine="551"/>
        <w:spacing w:after="0" w:line="246" w:lineRule="auto"/>
        <w:rPr>
          <w:sz w:val="20"/>
          <w:szCs w:val="20"/>
          <w:color w:val="auto"/>
        </w:rPr>
      </w:pPr>
      <w:r>
        <w:rPr>
          <w:rFonts w:ascii="Arial" w:cs="Arial" w:eastAsia="Arial" w:hAnsi="Arial"/>
          <w:sz w:val="18"/>
          <w:szCs w:val="18"/>
          <w:color w:val="auto"/>
        </w:rPr>
        <w:t>The process required by the FDA before biologic product candidates may be marketed in the United States generally involves the following:</w:t>
      </w:r>
    </w:p>
    <w:p>
      <w:pPr>
        <w:spacing w:after="0" w:line="102" w:lineRule="exact"/>
        <w:rPr>
          <w:sz w:val="20"/>
          <w:szCs w:val="20"/>
          <w:color w:val="auto"/>
        </w:rPr>
      </w:pPr>
    </w:p>
    <w:p>
      <w:pPr>
        <w:ind w:left="960" w:hanging="216"/>
        <w:spacing w:after="0"/>
        <w:tabs>
          <w:tab w:leader="none" w:pos="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GLPs;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approval by an IRB or ethics committee at each clinical site before the trial is commenced;</w:t>
      </w:r>
    </w:p>
    <w:p>
      <w:pPr>
        <w:spacing w:after="0" w:line="117" w:lineRule="exact"/>
        <w:rPr>
          <w:rFonts w:ascii="Arial" w:cs="Arial" w:eastAsia="Arial" w:hAnsi="Arial"/>
          <w:sz w:val="18"/>
          <w:szCs w:val="18"/>
          <w:color w:val="auto"/>
        </w:rPr>
      </w:pPr>
    </w:p>
    <w:p>
      <w:pPr>
        <w:ind w:left="960" w:right="420" w:hanging="216"/>
        <w:spacing w:after="0" w:line="246" w:lineRule="auto"/>
        <w:tabs>
          <w:tab w:leader="none" w:pos="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17" w:lineRule="exact"/>
        <w:rPr>
          <w:rFonts w:ascii="Arial" w:cs="Arial" w:eastAsia="Arial" w:hAnsi="Arial"/>
          <w:sz w:val="18"/>
          <w:szCs w:val="18"/>
          <w:color w:val="auto"/>
        </w:rPr>
      </w:pPr>
    </w:p>
    <w:p>
      <w:pPr>
        <w:ind w:left="960" w:hanging="216"/>
        <w:spacing w:after="0" w:line="239" w:lineRule="auto"/>
        <w:tabs>
          <w:tab w:leader="none" w:pos="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 sites to assess compliance with Good Clinical Practices (GCPs); and</w:t>
      </w:r>
    </w:p>
    <w:p>
      <w:pPr>
        <w:spacing w:after="0" w:line="107" w:lineRule="exact"/>
        <w:rPr>
          <w:rFonts w:ascii="Arial" w:cs="Arial" w:eastAsia="Arial" w:hAnsi="Arial"/>
          <w:sz w:val="18"/>
          <w:szCs w:val="18"/>
          <w:color w:val="auto"/>
        </w:rPr>
      </w:pPr>
    </w:p>
    <w:p>
      <w:pPr>
        <w:ind w:left="960" w:right="20" w:hanging="216"/>
        <w:spacing w:after="0" w:line="246" w:lineRule="auto"/>
        <w:tabs>
          <w:tab w:leader="none" w:pos="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w:t>
      </w:r>
    </w:p>
    <w:p>
      <w:pPr>
        <w:spacing w:after="0" w:line="197" w:lineRule="exact"/>
        <w:rPr>
          <w:sz w:val="20"/>
          <w:szCs w:val="20"/>
          <w:color w:val="auto"/>
        </w:rPr>
      </w:pPr>
    </w:p>
    <w:p>
      <w:pPr>
        <w:ind w:left="200" w:right="120" w:firstLine="551"/>
        <w:spacing w:after="0" w:line="236" w:lineRule="auto"/>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studies assessing the toxicology, pharmacokinetics, pharmacology, and pharmacodynamic characteristics of the product; chemistry,</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In addition to the submission of an IND to the FDA, supervision of certain human gene transfer trials may also require evaluation and assessment by an institutional biosafety committee (IBC), a local institutional committee that reviews and oversees research utilizing recombinant or synthetic nucleic acid molecules at that institution. The IBC assesses the safety of the research and identifies any potential risk to the public health or the environment, and such assessment may result in some delay before initiation of a clinical trial.</w:t>
      </w:r>
    </w:p>
    <w:p>
      <w:pPr>
        <w:spacing w:after="0" w:line="202" w:lineRule="exact"/>
        <w:rPr>
          <w:sz w:val="20"/>
          <w:szCs w:val="20"/>
          <w:color w:val="auto"/>
        </w:rPr>
      </w:pPr>
    </w:p>
    <w:p>
      <w:pPr>
        <w:ind w:left="200" w:right="220" w:firstLine="551"/>
        <w:spacing w:after="0" w:line="234"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w:t>
      </w:r>
    </w:p>
    <w:p>
      <w:pPr>
        <w:spacing w:after="0" w:line="4" w:lineRule="exact"/>
        <w:rPr>
          <w:sz w:val="20"/>
          <w:szCs w:val="20"/>
          <w:color w:val="auto"/>
        </w:rPr>
      </w:pPr>
    </w:p>
    <w:p>
      <w:pPr>
        <w:ind w:left="200"/>
        <w:spacing w:after="0" w:line="252" w:lineRule="auto"/>
        <w:rPr>
          <w:sz w:val="20"/>
          <w:szCs w:val="20"/>
          <w:color w:val="auto"/>
        </w:rPr>
      </w:pPr>
      <w:r>
        <w:rPr>
          <w:rFonts w:ascii="Arial" w:cs="Arial" w:eastAsia="Arial" w:hAnsi="Arial"/>
          <w:sz w:val="17"/>
          <w:szCs w:val="17"/>
          <w:color w:val="auto"/>
        </w:rPr>
        <w:t>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95" w:lineRule="exact"/>
        <w:rPr>
          <w:sz w:val="20"/>
          <w:szCs w:val="20"/>
          <w:color w:val="auto"/>
        </w:rPr>
      </w:pPr>
    </w:p>
    <w:p>
      <w:pPr>
        <w:ind w:left="200" w:right="500" w:firstLine="551"/>
        <w:spacing w:after="0" w:line="246" w:lineRule="auto"/>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 or be combined:</w:t>
      </w:r>
    </w:p>
    <w:p>
      <w:pPr>
        <w:spacing w:after="0" w:line="102" w:lineRule="exact"/>
        <w:rPr>
          <w:sz w:val="20"/>
          <w:szCs w:val="20"/>
          <w:color w:val="auto"/>
        </w:rPr>
      </w:pPr>
    </w:p>
    <w:p>
      <w:pPr>
        <w:ind w:left="960" w:right="180" w:hanging="216"/>
        <w:spacing w:after="0" w:line="239" w:lineRule="auto"/>
        <w:tabs>
          <w:tab w:leader="none" w:pos="9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07" w:lineRule="exact"/>
        <w:rPr>
          <w:rFonts w:ascii="Arial" w:cs="Arial" w:eastAsia="Arial" w:hAnsi="Arial"/>
          <w:sz w:val="18"/>
          <w:szCs w:val="18"/>
          <w:color w:val="auto"/>
        </w:rPr>
      </w:pPr>
    </w:p>
    <w:p>
      <w:pPr>
        <w:ind w:left="960" w:right="40" w:hanging="216"/>
        <w:spacing w:after="0" w:line="239" w:lineRule="auto"/>
        <w:tabs>
          <w:tab w:leader="none" w:pos="9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07" w:lineRule="exact"/>
        <w:rPr>
          <w:rFonts w:ascii="Arial" w:cs="Arial" w:eastAsia="Arial" w:hAnsi="Arial"/>
          <w:sz w:val="18"/>
          <w:szCs w:val="18"/>
          <w:color w:val="auto"/>
        </w:rPr>
      </w:pPr>
    </w:p>
    <w:p>
      <w:pPr>
        <w:ind w:left="960" w:right="200" w:hanging="216"/>
        <w:spacing w:after="0" w:line="239" w:lineRule="auto"/>
        <w:tabs>
          <w:tab w:leader="none" w:pos="9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202" w:lineRule="exact"/>
        <w:rPr>
          <w:sz w:val="20"/>
          <w:szCs w:val="20"/>
          <w:color w:val="auto"/>
        </w:rPr>
      </w:pPr>
    </w:p>
    <w:p>
      <w:pPr>
        <w:ind w:left="200" w:right="220" w:firstLine="551"/>
        <w:spacing w:after="0" w:line="246"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4 studies may also be made a condition to approval of the BLA.</w:t>
      </w:r>
    </w:p>
    <w:p>
      <w:pPr>
        <w:spacing w:after="0" w:line="197" w:lineRule="exact"/>
        <w:rPr>
          <w:sz w:val="20"/>
          <w:szCs w:val="20"/>
          <w:color w:val="auto"/>
        </w:rPr>
      </w:pPr>
    </w:p>
    <w:p>
      <w:pPr>
        <w:ind w:left="200" w:right="400" w:firstLine="551"/>
        <w:spacing w:after="0" w:line="246" w:lineRule="auto"/>
        <w:rPr>
          <w:sz w:val="20"/>
          <w:szCs w:val="20"/>
          <w:color w:val="auto"/>
        </w:rPr>
      </w:pPr>
      <w:r>
        <w:rPr>
          <w:rFonts w:ascii="Arial" w:cs="Arial" w:eastAsia="Arial" w:hAnsi="Arial"/>
          <w:sz w:val="18"/>
          <w:szCs w:val="18"/>
          <w:color w:val="auto"/>
        </w:rPr>
        <w:t>Concurrent with clinical trials, companies may complete additional animal studies and develop additional information about the biological characteristics of the product candidate, and must finalize a</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00"/>
          </w:cols>
          <w:pgMar w:left="240" w:top="460"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process for manufacturing the product in commercial quantities in accordance with cGMP.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126"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FDA, and the sponsor of an approved BLA is also subject to an annual program fee. A waiver of user fees may be obtained under certain limited circumstances. Additionally, no user fees are assessed on BLAs for products designated as orphan drugs, unless the product also includes a non-orphan indication.</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Once a BLA has been submitted, the FDA’s goal is to review standard applications within ten months after it accepts the application for filing, or, if the application qualifies for priority review, six months after the FDA accepts the application for filing. Priority review designation will direct overall attention and resources to the evaluation of applications for products that, if approved, would be significant improvements in the safety or effectiveness of the treatment, diagnosis, or prevention of serious conditions.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also convene an advisory committee to provide clinical insight on application review questions. The FDA is not bound by recommendations of an advisory committee, but it considers such recommendations when making decisions regarding approval.</w:t>
      </w:r>
    </w:p>
    <w:p>
      <w:pPr>
        <w:spacing w:after="0" w:line="207"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Before approving a BLA,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03"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00"/>
          </w:cols>
          <w:pgMar w:left="240" w:top="460"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203"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IV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 sponsor may seek approval of its product candidate under programs designed to accelerate FDA’s review and approval of new drugs and biological products that meet certain criteria. Specifically, new drugs and biological products are eligible for fast track designation if they are intended to treat a serious or life-threatening disease or condition and demonstrate the potential to address unmet medical needs for the disease or condition. For a fast track product, the FDA may consider sections of the BLA for review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A fast track designated product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disease or condition. If criteria are not met for priority review, the application is subject to the standard FDA review period of 10 months after FDA accepts the application for filing. Priority review designation does not change the scientific/medical standard for approval or the quality of evidence necessary to support approval.</w:t>
      </w:r>
    </w:p>
    <w:p>
      <w:pPr>
        <w:spacing w:after="0" w:line="205" w:lineRule="exact"/>
        <w:rPr>
          <w:sz w:val="20"/>
          <w:szCs w:val="20"/>
          <w:color w:val="auto"/>
        </w:rPr>
      </w:pPr>
    </w:p>
    <w:p>
      <w:pPr>
        <w:ind w:left="200" w:right="100" w:firstLine="551"/>
        <w:spacing w:after="0" w:line="253" w:lineRule="auto"/>
        <w:rPr>
          <w:sz w:val="20"/>
          <w:szCs w:val="20"/>
          <w:color w:val="auto"/>
        </w:rPr>
      </w:pPr>
      <w:r>
        <w:rPr>
          <w:rFonts w:ascii="Arial" w:cs="Arial" w:eastAsia="Arial" w:hAnsi="Arial"/>
          <w:sz w:val="17"/>
          <w:szCs w:val="17"/>
          <w:color w:val="auto"/>
        </w:rPr>
        <w:t>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biologic’s clinical benefit in relationship to the surrogate endpoint or ultimate outcome in relationship to the clinical benefit. In addition, the FDA currently requires as a condition for accelerated approval pre-</w:t>
      </w:r>
    </w:p>
    <w:p>
      <w:pPr>
        <w:spacing w:after="0" w:line="1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24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spacing w:after="0"/>
        <w:rPr>
          <w:sz w:val="20"/>
          <w:szCs w:val="20"/>
          <w:color w:val="auto"/>
        </w:rPr>
      </w:pPr>
      <w:r>
        <w:rPr>
          <w:rFonts w:ascii="Arial" w:cs="Arial" w:eastAsia="Arial" w:hAnsi="Arial"/>
          <w:sz w:val="18"/>
          <w:szCs w:val="18"/>
          <w:color w:val="auto"/>
        </w:rPr>
        <w:t>approval of promotional materials, which could adversely impact the timing of the commercial launch of the product. FDA may withdraw approval of a drug or indication approved under accelerated approval if, for example, the confirmatory trial fails to verify the predicted clinical benefit of the product.</w:t>
      </w:r>
    </w:p>
    <w:p>
      <w:pPr>
        <w:spacing w:after="0" w:line="203"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In addition,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If the FDA designates a product as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therapy designation comes with all of the benefits of fast track designation.</w:t>
      </w:r>
    </w:p>
    <w:p>
      <w:pPr>
        <w:spacing w:after="0" w:line="204"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26" w:lineRule="exact"/>
        <w:rPr>
          <w:sz w:val="20"/>
          <w:szCs w:val="20"/>
          <w:color w:val="auto"/>
        </w:rPr>
      </w:pPr>
    </w:p>
    <w:p>
      <w:pPr>
        <w:ind w:left="200" w:right="160" w:firstLine="551"/>
        <w:spacing w:after="0" w:line="237"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or biologic in the United States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w:t>
      </w:r>
    </w:p>
    <w:p>
      <w:pPr>
        <w:spacing w:after="0" w:line="205"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user fee.</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60"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A designated orphan drug many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the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 We have obtained orphan drug designation for 4D-110 for the treatment of Chroideremia, and we plan to seek additional orphan drug designations for some or all of our product candidates in specific orphan indications in which there is a medically plausible basis for the use of these products.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205"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11" w:lineRule="exact"/>
        <w:rPr>
          <w:sz w:val="20"/>
          <w:szCs w:val="20"/>
          <w:color w:val="auto"/>
        </w:rPr>
      </w:pPr>
    </w:p>
    <w:p>
      <w:pPr>
        <w:ind w:left="960" w:right="380" w:hanging="216"/>
        <w:spacing w:after="0" w:line="246" w:lineRule="auto"/>
        <w:tabs>
          <w:tab w:leader="none" w:pos="9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clinical holds on clinical studies;</w:t>
      </w:r>
    </w:p>
    <w:p>
      <w:pPr>
        <w:spacing w:after="0" w:line="117" w:lineRule="exact"/>
        <w:rPr>
          <w:rFonts w:ascii="Arial" w:cs="Arial" w:eastAsia="Arial" w:hAnsi="Arial"/>
          <w:sz w:val="18"/>
          <w:szCs w:val="18"/>
          <w:color w:val="auto"/>
        </w:rPr>
      </w:pPr>
    </w:p>
    <w:p>
      <w:pPr>
        <w:ind w:left="960" w:right="400" w:hanging="216"/>
        <w:spacing w:after="0" w:line="246" w:lineRule="auto"/>
        <w:tabs>
          <w:tab w:leader="none" w:pos="9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24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80" w:hanging="216"/>
        <w:spacing w:after="0" w:line="246" w:lineRule="auto"/>
        <w:tabs>
          <w:tab w:leader="none" w:pos="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Affordable Care Act, signed into law in 2010, includes a subtitle called the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206"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208" w:lineRule="exact"/>
        <w:rPr>
          <w:sz w:val="20"/>
          <w:szCs w:val="20"/>
          <w:color w:val="auto"/>
        </w:rPr>
      </w:pPr>
    </w:p>
    <w:p>
      <w:pPr>
        <w:ind w:left="200" w:right="140" w:firstLine="551"/>
        <w:spacing w:after="0" w:line="239" w:lineRule="auto"/>
        <w:rPr>
          <w:sz w:val="20"/>
          <w:szCs w:val="20"/>
          <w:color w:val="auto"/>
        </w:rPr>
      </w:pPr>
      <w:r>
        <w:rPr>
          <w:rFonts w:ascii="Arial" w:cs="Arial" w:eastAsia="Arial" w:hAnsi="Arial"/>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202" w:lineRule="exact"/>
        <w:rPr>
          <w:sz w:val="20"/>
          <w:szCs w:val="20"/>
          <w:color w:val="auto"/>
        </w:rPr>
      </w:pPr>
    </w:p>
    <w:p>
      <w:pPr>
        <w:ind w:left="200" w:right="500" w:firstLine="551"/>
        <w:spacing w:after="0" w:line="246" w:lineRule="auto"/>
        <w:rPr>
          <w:sz w:val="20"/>
          <w:szCs w:val="20"/>
          <w:color w:val="auto"/>
        </w:rPr>
      </w:pPr>
      <w:r>
        <w:rPr>
          <w:rFonts w:ascii="Arial" w:cs="Arial" w:eastAsia="Arial" w:hAnsi="Arial"/>
          <w:sz w:val="18"/>
          <w:szCs w:val="18"/>
          <w:color w:val="auto"/>
        </w:rPr>
        <w:t>The BPCIA is complex and continues to be interpreted and implemented by the FDA. In addition, government proposals have sought to reduce the 12-year reference product exclusivity period. Other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spacing w:after="0" w:line="246" w:lineRule="auto"/>
        <w:rPr>
          <w:sz w:val="20"/>
          <w:szCs w:val="20"/>
          <w:color w:val="auto"/>
        </w:rPr>
      </w:pPr>
      <w:r>
        <w:rPr>
          <w:rFonts w:ascii="Arial" w:cs="Arial" w:eastAsia="Arial" w:hAnsi="Arial"/>
          <w:sz w:val="18"/>
          <w:szCs w:val="18"/>
          <w:color w:val="auto"/>
        </w:rPr>
        <w:t>aspects of the BPCIA, some of which may impact the BPCIA exclusivity provisions, have also been the subject of recent litigation. As a result, the ultimate impact, implementation, and impact of the BPCIA is subject to significant uncertainty.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26" w:lineRule="exact"/>
        <w:rPr>
          <w:sz w:val="20"/>
          <w:szCs w:val="20"/>
          <w:color w:val="auto"/>
        </w:rPr>
      </w:pPr>
    </w:p>
    <w:p>
      <w:pPr>
        <w:ind w:left="200" w:firstLine="551"/>
        <w:spacing w:after="0" w:line="235"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pricing reporting, data privacy and security, and transparency laws and regulations as well as similar foreign laws in the jurisdictions outside the U.S. For example, 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entity does not need to have actual knowledge of this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 and the civil monetary penalties statute. The federal civil and criminal false claims laws, including the civil False Claims Act, prohibit, among other things, any individual or entity from knowingly presenting, or causing to be presented, a false claim for payment to the federal government or knowingly making, using or causing to be made or used a false record or statement material to a false or fraudulent claim to the federal government. The federal Health Insurance Portability and Accountability Act of 1996 (HIPAA), created additional federal civil and criminal statutes that prohibit, among other things, knowingly and willfully executing a scheme to defraud any healthcare benefit program. Similar to the U.S. federal Anti-Kickback Statute, a person or entity does not need to have actual knowledge of the healthcare fraud statute implemented under HIPAA or specific intent to violate it in order to have committed a violation. 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teaching hospitals, and applicable manufacturers and applicable group purchasing organizations to report annually to CMS ownership and investment interests held by physicians and their immediate family members.</w:t>
      </w:r>
    </w:p>
    <w:p>
      <w:pPr>
        <w:spacing w:after="0" w:line="21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governmental healthcare programs and imprisonment.</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00"/>
          </w:cols>
          <w:pgMar w:left="240" w:top="460"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126" w:lineRule="exact"/>
        <w:rPr>
          <w:sz w:val="20"/>
          <w:szCs w:val="20"/>
          <w:color w:val="auto"/>
        </w:rPr>
      </w:pPr>
    </w:p>
    <w:p>
      <w:pPr>
        <w:ind w:left="200" w:firstLine="551"/>
        <w:spacing w:after="0" w:line="235" w:lineRule="auto"/>
        <w:rPr>
          <w:sz w:val="20"/>
          <w:szCs w:val="20"/>
          <w:color w:val="auto"/>
        </w:rPr>
      </w:pPr>
      <w:r>
        <w:rPr>
          <w:rFonts w:ascii="Arial" w:cs="Arial" w:eastAsia="Arial" w:hAnsi="Arial"/>
          <w:sz w:val="18"/>
          <w:szCs w:val="18"/>
          <w:color w:val="auto"/>
        </w:rPr>
        <w:t>Pharmaceutical companies may be subject to domestic and foreign privacy, security and data breach notification laws, which are rapidly evolving in many jurisdictions worldwide. In the United States, federal and state health information laws may govern the collection, use, disclosure and protection of health-related and other personal information. HIPAA, as amended by the Health Information Technology for Economic and Clinical Health Act of 2009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Additionally, HITECH created four new tiers of civil monetary penalties, amended HIPAA to make civil and criminal penalties directly applicable to business associates, and gave state attorneys general new authority to file civil actions for damages or injunctions in U.S. federal courts to enforce HIPAA and seek attorneys’ fees and costs associated with pursuing federal civil actions. State laws may be more stringent, broader in scope or offer greater individual rights with respect to protected health information (PHI) than HIPAA and state laws may differ from each other, which may complicate compliance efforts. For example, California enacted the California Consumer Privacy Act (the CCPA) on June 28, 2018, which takes effect on January 1, 2020 and has been dubbed the first “GDPR-like” law in the United States (referring to the EU’s General Data Protection Regulation, described below). The CCPA gives California residents expanded rights regarding their personal information. Although CCPA contains a HIPAA exemption, uncertainties over how it applies and how our treatment of non-PHI personal information may be interpreted mean that the CCPA may ultimately increase our compliance costs and potential liability. Entities that are found to be in violation of HIPAA as the result of a breach of unsecured PHI, a complaint about privacy practices or an audit by the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21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European Union member states, the United Kingdom, Switzerland and other jurisdictions have also adopted data protection laws and regulations, which impose significant compliance obligations. In the EEA and the United Kingdom, the collection and use of personal data, including clinical trial data, is governed by the provisions of the General Data Protection Regulation (GDPR). The GDPR became effective on May 25, 2018, repealing its predecessor directive and increasing responsibility and liability of pharmaceutical companies in relation to the processing of personal data of European Union data subjects. The GDPR, together with national legislation, regulations and guidelines of the European Union member states and the United Kingdom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European Economic Area (EEA) or the United Kingdom, security breach notifications, security and confidentiality of the personal data and imposition of substantial potential fines for breaches of the data protection obligations. European data protection authorities may interpret the GDPR and national laws differently and impose additional requirements, which add to the complexity of processing personal data in or from the EEA or United Kingdom. Guidance on implementation and compliance practices are often updated or otherwise revised.</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26" w:lineRule="exact"/>
        <w:rPr>
          <w:sz w:val="20"/>
          <w:szCs w:val="20"/>
          <w:color w:val="auto"/>
        </w:rPr>
      </w:pPr>
    </w:p>
    <w:p>
      <w:pPr>
        <w:ind w:left="200" w:right="360" w:firstLine="551"/>
        <w:spacing w:after="0" w:line="246"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24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commercial insurance and managed healthcare organizations, and the level of reimbursement for such product by third-party payors. Significant uncertainty exists as to the coverage and reimbursement status of any newly approved product, particularly for gene therapy products where the Centers for Medicare &amp; Medicaid Services (CMS) and other third-party payors in the United States have not yet established a uniform policy of coverage and reimbursement. Therefore, decisions.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manufactures to provide scientific and clinical support for the use of a product to each payor separately and can be a time-consuming process,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206"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In addition, third-party payors are increasingly reducing reimbursements for pharmaceutical products and services. The U.S. government and state legislatures have continued implementing cost-containment programs, including price controls, restrictions on coverage and reimbursement and requirements for substitution of generic products. Third-party payors are more and more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203"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us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2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(collectively the ACA) was signed into law, which substantially changed the way healthcare is financed by both governmental and private insurers in the United States. The ACA contains a number of provisions, including those governing enrollment in federal healthcare programs, reimbursement adjustments and fraud and abuse changes. Additionally, the ACA increased the minimum level of Medicaid rebates payable by manufacturers of brand name drugs from 15.1% to 23.1%; required collection of rebates for drugs paid by Medicaid managed care organizations; imposed</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potentially including prescription drug spending.</w:t>
      </w:r>
    </w:p>
    <w:p>
      <w:pPr>
        <w:spacing w:after="0" w:line="203"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For example, in 2017, Congress enacted the Tax Cuts and Jobs Act, which eliminated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(the Texas District Court Judge), ruled that the individual mandate is a critical and inseverable feature of the ACA, and therefore, because it was repealed as part of the Tax Cuts and Jobs Act, the remaining provisions of the ACA are invalid as well. While the Texas U.S. District Court Judge, as well as the Trump Administration and CMS, have stated that the ruling will have no immediate effect, and on December 30, 2018 the Texas District Court Judge issued an order staying the judgment pending appeal, it is unclear how this decision, subsequent appeals, and other efforts to repeal and replace the ACA will impact the ACA.</w:t>
      </w:r>
    </w:p>
    <w:p>
      <w:pPr>
        <w:spacing w:after="0" w:line="207" w:lineRule="exact"/>
        <w:rPr>
          <w:sz w:val="20"/>
          <w:szCs w:val="20"/>
          <w:color w:val="auto"/>
        </w:rPr>
      </w:pPr>
    </w:p>
    <w:p>
      <w:pPr>
        <w:ind w:left="200" w:firstLine="551"/>
        <w:spacing w:after="0" w:line="235" w:lineRule="auto"/>
        <w:rPr>
          <w:sz w:val="20"/>
          <w:szCs w:val="20"/>
          <w:color w:val="auto"/>
        </w:rPr>
      </w:pPr>
      <w:r>
        <w:rPr>
          <w:rFonts w:ascii="Arial" w:cs="Arial" w:eastAsia="Arial" w:hAnsi="Arial"/>
          <w:sz w:val="18"/>
          <w:szCs w:val="18"/>
          <w:color w:val="auto"/>
        </w:rPr>
        <w:t>Other legislative changes have been proposed and adopted since the ACA was enacted, including aggregate reductions of Medicare payments to providers of 2% per fiscal year and reduced payments to several types of Medicare providers, which will remain in effect through 2027 absent additional congressional action.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At the federal level, the Trump administration’s budget proposals for fiscal years 2019 and 2020 contain further drug price control measures that could be enacted during the budget process or in other future legislation. Further, the Trump administration released a “Blueprint”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While some existing measures may require additional authorization to become effective, Congress and the Trump administration have each indicated that it will continue to seek new legislative and/or administrative measures to control drug costs.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 party payors and governmental authorities in reference pricing systems and publication of discounts and list prices.</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6" w:lineRule="exact"/>
        <w:rPr>
          <w:sz w:val="20"/>
          <w:szCs w:val="20"/>
          <w:color w:val="auto"/>
        </w:rPr>
      </w:pPr>
    </w:p>
    <w:p>
      <w:pPr>
        <w:ind w:left="200" w:right="280" w:firstLine="551"/>
        <w:spacing w:after="0"/>
        <w:rPr>
          <w:sz w:val="20"/>
          <w:szCs w:val="20"/>
          <w:color w:val="auto"/>
        </w:rPr>
      </w:pPr>
      <w:r>
        <w:rPr>
          <w:rFonts w:ascii="Arial" w:cs="Arial" w:eastAsia="Arial" w:hAnsi="Arial"/>
          <w:sz w:val="18"/>
          <w:szCs w:val="18"/>
          <w:color w:val="auto"/>
        </w:rPr>
        <w:t>As of June 30, 2019, we had 57 full-time employees. Of these employees, 46 are engaged in research and development. Our employees are not represented by labor unions or covered by collective bargaining agreements. We consider our relationship with our employees to be good.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26" w:lineRule="exact"/>
        <w:rPr>
          <w:sz w:val="20"/>
          <w:szCs w:val="20"/>
          <w:color w:val="auto"/>
        </w:rPr>
      </w:pPr>
    </w:p>
    <w:p>
      <w:pPr>
        <w:ind w:left="200" w:right="100" w:firstLine="551"/>
        <w:spacing w:after="0"/>
        <w:rPr>
          <w:sz w:val="20"/>
          <w:szCs w:val="20"/>
          <w:color w:val="auto"/>
        </w:rPr>
      </w:pPr>
      <w:r>
        <w:rPr>
          <w:rFonts w:ascii="Arial" w:cs="Arial" w:eastAsia="Arial" w:hAnsi="Arial"/>
          <w:sz w:val="18"/>
          <w:szCs w:val="18"/>
          <w:color w:val="auto"/>
        </w:rPr>
        <w:t>We lease approximately 51,000 square feet of office and laboratory space in Emeryville, California under leases that expire in September 2026 and December 2029. We believe that our facilities are adequate to meet our current needs, and that suitable additional alternative spaces will be available in the future on commercially reasonable terms, if required.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are not currently a party to any material legal proceedings. We may, however, in the ordinary course of business face various claims brought by third parties and we may, from time to time, make claims or take legal actions to assert our rights, including intellectual property rights as well as claims relating to employment matters and the safety or efficacy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operations, cash flows and financial position. Additionally, any such claims, whether or not successful, could damage our reputation and business.</w:t>
      </w:r>
    </w:p>
    <w:p>
      <w:pPr>
        <w:spacing w:after="0" w:line="1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240" w:top="460" w:right="5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June 30, 2019:</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gridSpan w:val="2"/>
          </w:tcPr>
          <w:p>
            <w:pPr>
              <w:jc w:val="center"/>
              <w:ind w:left="332"/>
              <w:spacing w:after="0"/>
              <w:rPr>
                <w:sz w:val="20"/>
                <w:szCs w:val="20"/>
                <w:color w:val="auto"/>
              </w:rPr>
            </w:pPr>
            <w:r>
              <w:rPr>
                <w:rFonts w:ascii="Arial" w:cs="Arial" w:eastAsia="Arial" w:hAnsi="Arial"/>
                <w:sz w:val="14"/>
                <w:szCs w:val="14"/>
                <w:b w:val="1"/>
                <w:bCs w:val="1"/>
                <w:color w:val="auto"/>
              </w:rPr>
              <w:t>Age</w:t>
            </w:r>
          </w:p>
        </w:tc>
        <w:tc>
          <w:tcPr>
            <w:tcW w:w="6160" w:type="dxa"/>
            <w:vAlign w:val="bottom"/>
            <w:gridSpan w:val="3"/>
          </w:tcPr>
          <w:p>
            <w:pPr>
              <w:ind w:left="282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Executive Officers and Employee Directors</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David Kirn, M.D.</w:t>
            </w:r>
          </w:p>
        </w:tc>
        <w:tc>
          <w:tcPr>
            <w:tcW w:w="740" w:type="dxa"/>
            <w:vAlign w:val="bottom"/>
            <w:gridSpan w:val="2"/>
          </w:tcPr>
          <w:p>
            <w:pPr>
              <w:jc w:val="center"/>
              <w:ind w:left="372"/>
              <w:spacing w:after="0" w:line="202" w:lineRule="exact"/>
              <w:rPr>
                <w:sz w:val="20"/>
                <w:szCs w:val="20"/>
                <w:color w:val="auto"/>
              </w:rPr>
            </w:pPr>
            <w:r>
              <w:rPr>
                <w:rFonts w:ascii="Arial" w:cs="Arial" w:eastAsia="Arial" w:hAnsi="Arial"/>
                <w:sz w:val="18"/>
                <w:szCs w:val="18"/>
                <w:color w:val="auto"/>
                <w:w w:val="99"/>
              </w:rPr>
              <w:t>57</w:t>
            </w:r>
          </w:p>
        </w:tc>
        <w:tc>
          <w:tcPr>
            <w:tcW w:w="6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August Moretti</w:t>
            </w:r>
          </w:p>
        </w:tc>
        <w:tc>
          <w:tcPr>
            <w:tcW w:w="740" w:type="dxa"/>
            <w:vAlign w:val="bottom"/>
            <w:gridSpan w:val="2"/>
            <w:shd w:val="clear" w:color="auto" w:fill="CCEEFF"/>
          </w:tcPr>
          <w:p>
            <w:pPr>
              <w:jc w:val="center"/>
              <w:ind w:left="372"/>
              <w:spacing w:after="0" w:line="202" w:lineRule="exact"/>
              <w:rPr>
                <w:sz w:val="20"/>
                <w:szCs w:val="20"/>
                <w:color w:val="auto"/>
              </w:rPr>
            </w:pPr>
            <w:r>
              <w:rPr>
                <w:rFonts w:ascii="Arial" w:cs="Arial" w:eastAsia="Arial" w:hAnsi="Arial"/>
                <w:sz w:val="18"/>
                <w:szCs w:val="18"/>
                <w:color w:val="auto"/>
                <w:w w:val="99"/>
              </w:rPr>
              <w:t>68</w:t>
            </w:r>
          </w:p>
        </w:tc>
        <w:tc>
          <w:tcPr>
            <w:tcW w:w="6160" w:type="dxa"/>
            <w:vAlign w:val="bottom"/>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Theresa Janke</w:t>
            </w:r>
          </w:p>
        </w:tc>
        <w:tc>
          <w:tcPr>
            <w:tcW w:w="740" w:type="dxa"/>
            <w:vAlign w:val="bottom"/>
            <w:gridSpan w:val="2"/>
          </w:tcPr>
          <w:p>
            <w:pPr>
              <w:jc w:val="center"/>
              <w:ind w:left="372"/>
              <w:spacing w:after="0" w:line="202" w:lineRule="exact"/>
              <w:rPr>
                <w:sz w:val="20"/>
                <w:szCs w:val="20"/>
                <w:color w:val="auto"/>
              </w:rPr>
            </w:pPr>
            <w:r>
              <w:rPr>
                <w:rFonts w:ascii="Arial" w:cs="Arial" w:eastAsia="Arial" w:hAnsi="Arial"/>
                <w:sz w:val="18"/>
                <w:szCs w:val="18"/>
                <w:color w:val="auto"/>
                <w:w w:val="99"/>
              </w:rPr>
              <w:t>44</w:t>
            </w:r>
          </w:p>
        </w:tc>
        <w:tc>
          <w:tcPr>
            <w:tcW w:w="6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Peter Francis, M.D., Ph.D.</w:t>
            </w:r>
          </w:p>
        </w:tc>
        <w:tc>
          <w:tcPr>
            <w:tcW w:w="740" w:type="dxa"/>
            <w:vAlign w:val="bottom"/>
            <w:gridSpan w:val="2"/>
            <w:shd w:val="clear" w:color="auto" w:fill="CCEEFF"/>
          </w:tcPr>
          <w:p>
            <w:pPr>
              <w:jc w:val="center"/>
              <w:ind w:left="372"/>
              <w:spacing w:after="0" w:line="202" w:lineRule="exact"/>
              <w:rPr>
                <w:sz w:val="20"/>
                <w:szCs w:val="20"/>
                <w:color w:val="auto"/>
              </w:rPr>
            </w:pPr>
            <w:r>
              <w:rPr>
                <w:rFonts w:ascii="Arial" w:cs="Arial" w:eastAsia="Arial" w:hAnsi="Arial"/>
                <w:sz w:val="18"/>
                <w:szCs w:val="18"/>
                <w:color w:val="auto"/>
                <w:w w:val="99"/>
              </w:rPr>
              <w:t>50</w:t>
            </w:r>
          </w:p>
        </w:tc>
        <w:tc>
          <w:tcPr>
            <w:tcW w:w="6160" w:type="dxa"/>
            <w:vAlign w:val="bottom"/>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Fred Kamal, Ph.D.</w:t>
            </w:r>
          </w:p>
        </w:tc>
        <w:tc>
          <w:tcPr>
            <w:tcW w:w="740" w:type="dxa"/>
            <w:vAlign w:val="bottom"/>
            <w:gridSpan w:val="2"/>
          </w:tcPr>
          <w:p>
            <w:pPr>
              <w:jc w:val="center"/>
              <w:ind w:left="372"/>
              <w:spacing w:after="0" w:line="202" w:lineRule="exact"/>
              <w:rPr>
                <w:sz w:val="20"/>
                <w:szCs w:val="20"/>
                <w:color w:val="auto"/>
              </w:rPr>
            </w:pPr>
            <w:r>
              <w:rPr>
                <w:rFonts w:ascii="Arial" w:cs="Arial" w:eastAsia="Arial" w:hAnsi="Arial"/>
                <w:sz w:val="18"/>
                <w:szCs w:val="18"/>
                <w:color w:val="auto"/>
                <w:w w:val="99"/>
              </w:rPr>
              <w:t>56</w:t>
            </w:r>
          </w:p>
        </w:tc>
        <w:tc>
          <w:tcPr>
            <w:tcW w:w="6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Chief Technical Officer, Head of Regulatory and Quality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Non-Employee Directors</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David Schaffer, Ph.D.</w:t>
            </w:r>
          </w:p>
        </w:tc>
        <w:tc>
          <w:tcPr>
            <w:tcW w:w="740" w:type="dxa"/>
            <w:vAlign w:val="bottom"/>
            <w:gridSpan w:val="2"/>
          </w:tcPr>
          <w:p>
            <w:pPr>
              <w:jc w:val="center"/>
              <w:ind w:left="372"/>
              <w:spacing w:after="0" w:line="202" w:lineRule="exact"/>
              <w:rPr>
                <w:sz w:val="20"/>
                <w:szCs w:val="20"/>
                <w:color w:val="auto"/>
              </w:rPr>
            </w:pPr>
            <w:r>
              <w:rPr>
                <w:rFonts w:ascii="Arial" w:cs="Arial" w:eastAsia="Arial" w:hAnsi="Arial"/>
                <w:sz w:val="18"/>
                <w:szCs w:val="18"/>
                <w:color w:val="auto"/>
                <w:w w:val="99"/>
              </w:rPr>
              <w:t>48</w:t>
            </w:r>
          </w:p>
        </w:tc>
        <w:tc>
          <w:tcPr>
            <w:tcW w:w="6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Director, Chief Scientific Advisor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William Burkoth, MBA</w:t>
            </w:r>
          </w:p>
        </w:tc>
        <w:tc>
          <w:tcPr>
            <w:tcW w:w="740" w:type="dxa"/>
            <w:vAlign w:val="bottom"/>
            <w:gridSpan w:val="2"/>
            <w:shd w:val="clear" w:color="auto" w:fill="CCEEFF"/>
          </w:tcPr>
          <w:p>
            <w:pPr>
              <w:jc w:val="center"/>
              <w:ind w:left="372"/>
              <w:spacing w:after="0" w:line="202" w:lineRule="exact"/>
              <w:rPr>
                <w:sz w:val="20"/>
                <w:szCs w:val="20"/>
                <w:color w:val="auto"/>
              </w:rPr>
            </w:pPr>
            <w:r>
              <w:rPr>
                <w:rFonts w:ascii="Arial" w:cs="Arial" w:eastAsia="Arial" w:hAnsi="Arial"/>
                <w:sz w:val="18"/>
                <w:szCs w:val="18"/>
                <w:color w:val="auto"/>
                <w:w w:val="99"/>
              </w:rPr>
              <w:t>42</w:t>
            </w:r>
          </w:p>
        </w:tc>
        <w:tc>
          <w:tcPr>
            <w:tcW w:w="6160" w:type="dxa"/>
            <w:vAlign w:val="bottom"/>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Jacob Chacko, M.D., MBA</w:t>
            </w:r>
          </w:p>
        </w:tc>
        <w:tc>
          <w:tcPr>
            <w:tcW w:w="740" w:type="dxa"/>
            <w:vAlign w:val="bottom"/>
            <w:gridSpan w:val="2"/>
          </w:tcPr>
          <w:p>
            <w:pPr>
              <w:jc w:val="center"/>
              <w:ind w:left="372"/>
              <w:spacing w:after="0" w:line="202" w:lineRule="exact"/>
              <w:rPr>
                <w:sz w:val="20"/>
                <w:szCs w:val="20"/>
                <w:color w:val="auto"/>
              </w:rPr>
            </w:pPr>
            <w:r>
              <w:rPr>
                <w:rFonts w:ascii="Arial" w:cs="Arial" w:eastAsia="Arial" w:hAnsi="Arial"/>
                <w:sz w:val="18"/>
                <w:szCs w:val="18"/>
                <w:color w:val="auto"/>
                <w:w w:val="99"/>
              </w:rPr>
              <w:t>41</w:t>
            </w:r>
          </w:p>
        </w:tc>
        <w:tc>
          <w:tcPr>
            <w:tcW w:w="6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Charles Theuer, M.D., Ph.D.</w:t>
            </w:r>
          </w:p>
        </w:tc>
        <w:tc>
          <w:tcPr>
            <w:tcW w:w="740" w:type="dxa"/>
            <w:vAlign w:val="bottom"/>
            <w:gridSpan w:val="2"/>
            <w:shd w:val="clear" w:color="auto" w:fill="CCEEFF"/>
          </w:tcPr>
          <w:p>
            <w:pPr>
              <w:jc w:val="center"/>
              <w:ind w:left="372"/>
              <w:spacing w:after="0" w:line="202" w:lineRule="exact"/>
              <w:rPr>
                <w:sz w:val="20"/>
                <w:szCs w:val="20"/>
                <w:color w:val="auto"/>
              </w:rPr>
            </w:pPr>
            <w:r>
              <w:rPr>
                <w:rFonts w:ascii="Arial" w:cs="Arial" w:eastAsia="Arial" w:hAnsi="Arial"/>
                <w:sz w:val="18"/>
                <w:szCs w:val="18"/>
                <w:color w:val="auto"/>
                <w:w w:val="99"/>
              </w:rPr>
              <w:t>55</w:t>
            </w:r>
          </w:p>
        </w:tc>
        <w:tc>
          <w:tcPr>
            <w:tcW w:w="6160" w:type="dxa"/>
            <w:vAlign w:val="bottom"/>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Tony Yao, M.D., Ph.D.</w:t>
            </w:r>
          </w:p>
        </w:tc>
        <w:tc>
          <w:tcPr>
            <w:tcW w:w="740" w:type="dxa"/>
            <w:vAlign w:val="bottom"/>
            <w:gridSpan w:val="2"/>
          </w:tcPr>
          <w:p>
            <w:pPr>
              <w:jc w:val="center"/>
              <w:ind w:left="372"/>
              <w:spacing w:after="0"/>
              <w:rPr>
                <w:sz w:val="20"/>
                <w:szCs w:val="20"/>
                <w:color w:val="auto"/>
              </w:rPr>
            </w:pPr>
            <w:r>
              <w:rPr>
                <w:rFonts w:ascii="Arial" w:cs="Arial" w:eastAsia="Arial" w:hAnsi="Arial"/>
                <w:sz w:val="18"/>
                <w:szCs w:val="18"/>
                <w:color w:val="auto"/>
                <w:w w:val="99"/>
              </w:rPr>
              <w:t>47</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9" w:lineRule="exact"/>
        <w:rPr>
          <w:sz w:val="20"/>
          <w:szCs w:val="20"/>
          <w:color w:val="auto"/>
        </w:rPr>
      </w:pPr>
    </w:p>
    <w:p>
      <w:pPr>
        <w:ind w:left="640" w:hanging="436"/>
        <w:spacing w:after="0"/>
        <w:tabs>
          <w:tab w:leader="none" w:pos="6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Member of compensation committee.</w:t>
      </w:r>
    </w:p>
    <w:p>
      <w:pPr>
        <w:spacing w:after="0" w:line="1" w:lineRule="exact"/>
        <w:rPr>
          <w:rFonts w:ascii="Arial" w:cs="Arial" w:eastAsia="Arial" w:hAnsi="Arial"/>
          <w:sz w:val="14"/>
          <w:szCs w:val="14"/>
          <w:color w:val="auto"/>
        </w:rPr>
      </w:pPr>
    </w:p>
    <w:p>
      <w:pPr>
        <w:ind w:left="640" w:hanging="436"/>
        <w:spacing w:after="0"/>
        <w:tabs>
          <w:tab w:leader="none" w:pos="6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Member of audit committee.</w:t>
      </w:r>
    </w:p>
    <w:p>
      <w:pPr>
        <w:spacing w:after="0" w:line="1" w:lineRule="exact"/>
        <w:rPr>
          <w:rFonts w:ascii="Arial" w:cs="Arial" w:eastAsia="Arial" w:hAnsi="Arial"/>
          <w:sz w:val="14"/>
          <w:szCs w:val="14"/>
          <w:color w:val="auto"/>
        </w:rPr>
      </w:pPr>
    </w:p>
    <w:p>
      <w:pPr>
        <w:ind w:left="640" w:hanging="436"/>
        <w:spacing w:after="0"/>
        <w:tabs>
          <w:tab w:leader="none" w:pos="6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Member of nominating and corporate governance committee.</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Employee Directors</w:t>
      </w:r>
    </w:p>
    <w:p>
      <w:pPr>
        <w:spacing w:after="0" w:line="216"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i w:val="1"/>
          <w:iCs w:val="1"/>
          <w:color w:val="auto"/>
        </w:rPr>
        <w:t xml:space="preserve">David Kirn, M.D., </w:t>
      </w:r>
      <w:r>
        <w:rPr>
          <w:rFonts w:ascii="Arial" w:cs="Arial" w:eastAsia="Arial" w:hAnsi="Arial"/>
          <w:sz w:val="18"/>
          <w:szCs w:val="18"/>
          <w:color w:val="auto"/>
        </w:rPr>
        <w:t>is our co-founder and has served as our Chief Executive Officer and Chairman of our board of directors since our</w:t>
      </w:r>
      <w:r>
        <w:rPr>
          <w:rFonts w:ascii="Arial" w:cs="Arial" w:eastAsia="Arial" w:hAnsi="Arial"/>
          <w:sz w:val="18"/>
          <w:szCs w:val="18"/>
          <w:i w:val="1"/>
          <w:iCs w:val="1"/>
          <w:color w:val="auto"/>
        </w:rPr>
        <w:t xml:space="preserve"> </w:t>
      </w:r>
      <w:r>
        <w:rPr>
          <w:rFonts w:ascii="Arial" w:cs="Arial" w:eastAsia="Arial" w:hAnsi="Arial"/>
          <w:sz w:val="18"/>
          <w:szCs w:val="18"/>
          <w:color w:val="auto"/>
        </w:rPr>
        <w:t>inception in 2013. Dr. Kirn is an Adjunct Professor of Bioengineering at U.C. Berkeley. He currently serves as Executive Chairman of the board of the following privately held company: Ignite Immunotherapy Inc., where he is a co-founder. Dr. Kirn held senior development positions at Onyx Pharmaceuticals and Celgene, and he was a senior advisor on viral vector gene therapeutics and cancer immunotherapy for over 10 years with numerous companies, including Biogen Idec, Novartis, Cell Genesys, Pfizer and Bayer. Dr. Kirn received a B.A. in Physiology (Departmental Citation; Phi Beta Kappa) from U.C. Berkeley in 1985, an M.D. (Alpha Omega Alpha) from U.C. San Francisco Medical School in 1989 and completed internal medicine residency training at Harvard Medical School, Brigham and Women’s Hospital (including a term as Chief Medical Resident at affiliated VA hospital). He has also completed hematology-oncology and clinical research fellowships at U.C. San Francisco and completed a certificate of business excellence from the Haas Business School at U.C. Berkeley. In 2013, he was awarded the Johnson &amp; Johnson Entrepreneur Innovator award from the J&amp;J Innovation Center. We believe that Dr. Kirn is qualified to serve as a member of our board of directors based on his perspective and the experience he brings as one of our founders and Chief Executive Officer, and because of his extensive experience at other life science companies.</w:t>
      </w:r>
    </w:p>
    <w:p>
      <w:pPr>
        <w:spacing w:after="0" w:line="184" w:lineRule="exact"/>
        <w:rPr>
          <w:sz w:val="20"/>
          <w:szCs w:val="20"/>
          <w:color w:val="auto"/>
        </w:rPr>
      </w:pPr>
    </w:p>
    <w:p>
      <w:pPr>
        <w:ind w:left="200" w:right="540" w:firstLine="551"/>
        <w:spacing w:after="0" w:line="245" w:lineRule="auto"/>
        <w:rPr>
          <w:sz w:val="20"/>
          <w:szCs w:val="20"/>
          <w:color w:val="auto"/>
        </w:rPr>
      </w:pPr>
      <w:r>
        <w:rPr>
          <w:rFonts w:ascii="Arial" w:cs="Arial" w:eastAsia="Arial" w:hAnsi="Arial"/>
          <w:sz w:val="18"/>
          <w:szCs w:val="18"/>
          <w:i w:val="1"/>
          <w:iCs w:val="1"/>
          <w:color w:val="auto"/>
        </w:rPr>
        <w:t xml:space="preserve">August Moretti </w:t>
      </w:r>
      <w:r>
        <w:rPr>
          <w:rFonts w:ascii="Arial" w:cs="Arial" w:eastAsia="Arial" w:hAnsi="Arial"/>
          <w:sz w:val="18"/>
          <w:szCs w:val="18"/>
          <w:color w:val="auto"/>
        </w:rPr>
        <w:t>has served as our Chief Financial Officer since January 2019. Mr. Moretti previously served as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at Assertio Therapeutics (formerly Depomed, Inc.), a publicly held specialty pharmaceuticals company focused in pain and neurology, from January 2012 until August 2018. Mr. Moretti received his B.A. in Economics from Princeton University in 1972. He received his J.D. from Harvard Law School in 1975.</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240" w:top="460" w:right="4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80" w:firstLine="551"/>
        <w:spacing w:after="0" w:line="255" w:lineRule="auto"/>
        <w:rPr>
          <w:sz w:val="20"/>
          <w:szCs w:val="20"/>
          <w:color w:val="auto"/>
        </w:rPr>
      </w:pPr>
      <w:r>
        <w:rPr>
          <w:rFonts w:ascii="Arial" w:cs="Arial" w:eastAsia="Arial" w:hAnsi="Arial"/>
          <w:sz w:val="17"/>
          <w:szCs w:val="17"/>
          <w:i w:val="1"/>
          <w:iCs w:val="1"/>
          <w:color w:val="auto"/>
        </w:rPr>
        <w:t xml:space="preserve">Theresa Janke </w:t>
      </w:r>
      <w:r>
        <w:rPr>
          <w:rFonts w:ascii="Arial" w:cs="Arial" w:eastAsia="Arial" w:hAnsi="Arial"/>
          <w:sz w:val="17"/>
          <w:szCs w:val="17"/>
          <w:color w:val="auto"/>
        </w:rPr>
        <w:t>is a co-founder and has served in positions of increasing responsibility since our inception. She has served as our</w:t>
      </w:r>
      <w:r>
        <w:rPr>
          <w:rFonts w:ascii="Arial" w:cs="Arial" w:eastAsia="Arial" w:hAnsi="Arial"/>
          <w:sz w:val="17"/>
          <w:szCs w:val="17"/>
          <w:i w:val="1"/>
          <w:iCs w:val="1"/>
          <w:color w:val="auto"/>
        </w:rPr>
        <w:t xml:space="preserve"> </w:t>
      </w:r>
      <w:r>
        <w:rPr>
          <w:rFonts w:ascii="Arial" w:cs="Arial" w:eastAsia="Arial" w:hAnsi="Arial"/>
          <w:sz w:val="17"/>
          <w:szCs w:val="17"/>
          <w:color w:val="auto"/>
        </w:rPr>
        <w:t>Chief Operating Officer since April 2018. Ms. Janke previously served in various consulting roles in 2013-2014 including: Senior Director of Corporate Projects &amp; Alliance Management at SillaJen, Inc. (formerly Jennerex Biotherapeutics Inc.), a biotech company focused on engineering and developing oncolytic immunotherapeutics, and Director, Clinical Research &amp; Development—Strategy and Alliances at Celgene Corporation, a global biopharmaceutical company. Prior to that, she served in positions of increasing responsibility, including Director of Clinical Operations, at Jennerex Biotherapeutics Inc., an oncolytic immunotherapy biotech company, from 2007 through 2013. She is a co-founder and currently serves on the board of directors of Ignite Immunotherapy Inc., a private biotech company focused on oncolytic cancer vaccine discovery and development. Ms. Janke received a B.S. in Biopsychology from the U.C. Santa Barbara in 1996.</w:t>
      </w:r>
    </w:p>
    <w:p>
      <w:pPr>
        <w:spacing w:after="0" w:line="175" w:lineRule="exact"/>
        <w:rPr>
          <w:sz w:val="20"/>
          <w:szCs w:val="20"/>
          <w:color w:val="auto"/>
        </w:rPr>
      </w:pPr>
    </w:p>
    <w:p>
      <w:pPr>
        <w:ind w:left="200" w:right="120" w:firstLine="551"/>
        <w:spacing w:after="0" w:line="241" w:lineRule="auto"/>
        <w:rPr>
          <w:sz w:val="20"/>
          <w:szCs w:val="20"/>
          <w:color w:val="auto"/>
        </w:rPr>
      </w:pPr>
      <w:r>
        <w:rPr>
          <w:rFonts w:ascii="Arial" w:cs="Arial" w:eastAsia="Arial" w:hAnsi="Arial"/>
          <w:sz w:val="18"/>
          <w:szCs w:val="18"/>
          <w:i w:val="1"/>
          <w:iCs w:val="1"/>
          <w:color w:val="auto"/>
        </w:rPr>
        <w:t>Peter Francis, M.D., Ph.D.</w:t>
      </w:r>
      <w:r>
        <w:rPr>
          <w:rFonts w:ascii="Arial" w:cs="Arial" w:eastAsia="Arial" w:hAnsi="Arial"/>
          <w:sz w:val="18"/>
          <w:szCs w:val="18"/>
          <w:color w:val="auto"/>
        </w:rPr>
        <w:t>, has served as our Chief Medical Officer since January 2019. Dr. Francis previously served as our</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 Clinical Translational R&amp;D, and Retina Therapeutic Area Head from August 2018 to January 2019. Dr. Francis previously served as Chief Medical Officer at RetroSense Therapeutics from February 2012 until August 2016 when it was purchased by Allergan Inc. Dr. Francis practices as a physician at Orion Eye Center. Dr. Francis received his B.Sc. in Molecular Cell Biology from the University of Southampton, England in 1991. He earned his M.D. from the University of Southampton, England in 1992. He earned his Ph.D. in ophthalmic genetics from University College, London in 2000.</w:t>
      </w:r>
    </w:p>
    <w:p>
      <w:pPr>
        <w:spacing w:after="0" w:line="184" w:lineRule="exact"/>
        <w:rPr>
          <w:sz w:val="20"/>
          <w:szCs w:val="20"/>
          <w:color w:val="auto"/>
        </w:rPr>
      </w:pPr>
    </w:p>
    <w:p>
      <w:pPr>
        <w:ind w:left="200" w:right="40" w:firstLine="551"/>
        <w:spacing w:after="0" w:line="241" w:lineRule="auto"/>
        <w:rPr>
          <w:sz w:val="20"/>
          <w:szCs w:val="20"/>
          <w:color w:val="auto"/>
        </w:rPr>
      </w:pPr>
      <w:r>
        <w:rPr>
          <w:rFonts w:ascii="Arial" w:cs="Arial" w:eastAsia="Arial" w:hAnsi="Arial"/>
          <w:sz w:val="18"/>
          <w:szCs w:val="18"/>
          <w:i w:val="1"/>
          <w:iCs w:val="1"/>
          <w:color w:val="auto"/>
        </w:rPr>
        <w:t xml:space="preserve">Fred Kamal, Ph.D., </w:t>
      </w:r>
      <w:r>
        <w:rPr>
          <w:rFonts w:ascii="Arial" w:cs="Arial" w:eastAsia="Arial" w:hAnsi="Arial"/>
          <w:sz w:val="18"/>
          <w:szCs w:val="18"/>
          <w:color w:val="auto"/>
        </w:rPr>
        <w:t>has served as our Chief Technical Officer since October 2018. Dr. Kamal previously served 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Quality and Regulatory CMC for AveXis Inc., a gene therapy company, from May 2017 through August 2018. Prior to AveXis, Dr. Kamal served as the Vice President of Quality for Juno Therapeutics from May 2015 through April 2017 and prior to that Dr. Kamal served as the Vice President of Quality and Regulatory CMC for Intermune Inc. from January 2013 through March 2015. Dr. Kamal received his B.S. in Chemistry from San Jose State University in 1986. Dr. Kamal received his M.Sc. in Chemistry from The American University in 2000. He received his Ph.D. in Chemistry from The American University in 2003.</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Directors</w:t>
      </w:r>
    </w:p>
    <w:p>
      <w:pPr>
        <w:spacing w:after="0" w:line="108"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i w:val="1"/>
          <w:iCs w:val="1"/>
          <w:color w:val="auto"/>
        </w:rPr>
        <w:t xml:space="preserve">David Schaffer, Ph.D. </w:t>
      </w:r>
      <w:r>
        <w:rPr>
          <w:rFonts w:ascii="Arial" w:cs="Arial" w:eastAsia="Arial" w:hAnsi="Arial"/>
          <w:sz w:val="18"/>
          <w:szCs w:val="18"/>
          <w:color w:val="auto"/>
        </w:rPr>
        <w:t>is our co-founder and has served as our Chief Scientific Advisor and a member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since our inception in 2013. Dr. Schaffer has served as a Professor of Chemical and Biomolecular Engineering, Bioengineering, Molecular and Cell Biology, and the Helen Wills Neuroscience Institute at the U.C. Berkeley since 1999 and has served as the Director of the Berkeley Stem Cell Center since 2011. He current serves on the board of directors of the following publicly-held company: uniQure NV since January 2014. Dr. Schaffer received a B.S. in Chemical Engineering from Stanford University in 1993. He earned his Ph.D. in Chemical Engineering from the Massachusetts Institute of Technology in 1998. We believe Dr. Schaffer is qualified to serve as a member of our board of directors based on his prospective and the experience he brings as one of our founders, and because of his scientific expertise and leading work in directed evolution.</w:t>
      </w:r>
    </w:p>
    <w:p>
      <w:pPr>
        <w:spacing w:after="0" w:line="188"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i w:val="1"/>
          <w:iCs w:val="1"/>
          <w:color w:val="auto"/>
        </w:rPr>
        <w:t xml:space="preserve">William Burkoth, MBA, </w:t>
      </w:r>
      <w:r>
        <w:rPr>
          <w:rFonts w:ascii="Arial" w:cs="Arial" w:eastAsia="Arial" w:hAnsi="Arial"/>
          <w:sz w:val="18"/>
          <w:szCs w:val="18"/>
          <w:color w:val="auto"/>
        </w:rPr>
        <w:t>has served as a member of our board of directors since March 2019. Mr. Burkoth has served on the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team of Pfizer Inc. since 2004 and is currently Executive Director at Pfizer Inc. and Senior Partner at Pfizer Ventures (US) LLC. Mr. Burkoth worked in business development at Galileo Pharmaceuticals, Inc. and at IntraBiotics Pharmaceuticals, Inc. from 2002 to 2004. Mr. Burkoth worked as an analyst at Bay City Capital, a life sciences venture capital firm, from 1999 to 2002. He previously served on the board of directors of the following publicly-held company: NovoCure Limited from July 2009 to May 2019. Mr. Burkoth received a B.A. in Chemistry from Whitman College in 1999 and an M.B.A. from Columbia Business School in 2011. We believe Mr. Burkoth is qualified to serve as a member of our board of directors based on his finance background and his extensive investment experience in the life science industry.</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60"/>
          </w:cols>
          <w:pgMar w:left="240" w:top="460" w:right="4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i w:val="1"/>
          <w:iCs w:val="1"/>
          <w:color w:val="auto"/>
        </w:rPr>
        <w:t>Jacob Chacko, M.D., MBA</w:t>
      </w:r>
      <w:r>
        <w:rPr>
          <w:rFonts w:ascii="Arial" w:cs="Arial" w:eastAsia="Arial" w:hAnsi="Arial"/>
          <w:sz w:val="18"/>
          <w:szCs w:val="18"/>
          <w:color w:val="auto"/>
        </w:rPr>
        <w:t>, has served as a member of our board of directors since March 2019. Dr. Chacko has served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ORIC Pharmaceuticals, Inc., a clinical-stage oncology company focused on discovery and development of novel therapies against treatment-resistant cancers, since May 2018. Prior to ORIC, Dr. Chacko served as Chief Financial Officer of Ignyta, Inc., a publicly traded precision oncology company, from May 2014 until February 2018 when Ignyta was acquired by Roche Holdings, Inc. Prior to Ignyta, Dr. Chacko was Vice President at TPG Capital from August 2008 until May 2014. From 2002 until 2003, Dr. Chacko was a consultant serving healthcare clients at McKinsey &amp; Company. Dr. Chacko currently serves on the board of directors of Turning Point Therapeutics, Inc., a publicly-traded biotechnology company, from November 2018. Dr. Chacko served on the board of directors of RentPath Inc., a digital media company, from 2011 until 2014, Envision Pharmaceutical Services, LLC from 2013 until 2014, Bonti, Inc., a biotechnology company, from February 2018 until October 2018 and the Packard Children’s Health Alliance at the Lucile Packard Children’s Hospital Stanford from 2013 until June 2017. Dr. Chacko currently chairs the Western Regional Selection Committee for the Marshall Scholarship. Dr. Chacko concurrently received his M.D. from the U.C. Los Angeles and his M.B.A. from Harvard Business School. Dr. Chacko received a M.Sc. from Oxford University as a Marshall Scholar. We believe Dr. Chacko is qualified to serve as a member of our board of directors based on his medical and finance background, his experience in investing in life science companies and his service on the boards of public and private companies.</w:t>
      </w:r>
    </w:p>
    <w:p>
      <w:pPr>
        <w:spacing w:after="0" w:line="191"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i w:val="1"/>
          <w:iCs w:val="1"/>
          <w:color w:val="auto"/>
        </w:rPr>
        <w:t>Charles Theuer, M.D., Ph.D.</w:t>
      </w:r>
      <w:r>
        <w:rPr>
          <w:rFonts w:ascii="Arial" w:cs="Arial" w:eastAsia="Arial" w:hAnsi="Arial"/>
          <w:sz w:val="18"/>
          <w:szCs w:val="18"/>
          <w:color w:val="auto"/>
        </w:rPr>
        <w:t>, has served as a member of our board of directors since December 2015. Dr. Theuer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Executive Officer at Tracon Pharmaceuticals, Inc., since June 2006. He previously served as Chief Medical Officer at TargeGen Pharmaceuticals, Inc. until June 2006. He current serves on the board of directors of the following publicly-held companies: Tracon Pharmaceuticals Inc., since June 2006 and Oncternal Therapeutics Inc. since May 2018, where he serves on the Science and Development and Nominating and Corporate Governance committees. Dr. Theuer received a B.S. in Life Sciences from the Massachusetts Institute of Technology in 1985. He received his M.D. from U.C. San Francisco in 1989. He received his Ph.D. in Environmental Health Science from U.C. Irvine in 2002. We believe that Dr. Theuer is qualified to serve as a member of our board of directors based on his medical and scientific background and because of his experience in leading and serving on the boards of public and private life science companies.</w:t>
      </w:r>
    </w:p>
    <w:p>
      <w:pPr>
        <w:spacing w:after="0" w:line="184" w:lineRule="exact"/>
        <w:rPr>
          <w:sz w:val="20"/>
          <w:szCs w:val="20"/>
          <w:color w:val="auto"/>
        </w:rPr>
      </w:pPr>
    </w:p>
    <w:p>
      <w:pPr>
        <w:ind w:left="200" w:right="20" w:firstLine="551"/>
        <w:spacing w:after="0" w:line="241" w:lineRule="auto"/>
        <w:rPr>
          <w:sz w:val="20"/>
          <w:szCs w:val="20"/>
          <w:color w:val="auto"/>
        </w:rPr>
      </w:pPr>
      <w:r>
        <w:rPr>
          <w:rFonts w:ascii="Arial" w:cs="Arial" w:eastAsia="Arial" w:hAnsi="Arial"/>
          <w:sz w:val="18"/>
          <w:szCs w:val="18"/>
          <w:i w:val="1"/>
          <w:iCs w:val="1"/>
          <w:color w:val="auto"/>
        </w:rPr>
        <w:t xml:space="preserve">Tony Yao, M.D., Ph.D. </w:t>
      </w:r>
      <w:r>
        <w:rPr>
          <w:rFonts w:ascii="Arial" w:cs="Arial" w:eastAsia="Arial" w:hAnsi="Arial"/>
          <w:sz w:val="18"/>
          <w:szCs w:val="18"/>
          <w:color w:val="auto"/>
        </w:rPr>
        <w:t>has served as a member of our board of directors since August 2018. Dr. Yao has served as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life science strategy at ArrowMark Partners since April 2012. He previously served as an equity analyst at Janus Capital Group until March 2012. He currently serves on the board of directors of the following publicly-held company: Precision Biosciences since June 2018, where he serves on the compensation and audit committee. Dr. Yao received a B.S. in biochemistry from Brown University in 1994. He earned an M.D. and a Ph.D. in Immunology from Stanford University in 2002. We believe that Dr. Yao is qualified to serve as a member of our board of directors based on his scientific background and his extensive experience in investing in life science companies.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Family Relationships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Composition</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26"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Our board of directors currently consists of six members. Our board of directors has determined that all of our directors, other than Dr. Kirn, qualify as “independent” directors in accordance with The</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60"/>
          </w:cols>
          <w:pgMar w:left="240" w:top="459"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Nasdaq Global Market listing requirements. Dr. Kirn is not considered independent because he is an employee. The Nasdaq Global Market’s independence definition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The Nasdaq Global Market rules, our board of directors has made a subjective determination as to each independent director that no relationships exists that,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26" w:lineRule="exact"/>
        <w:rPr>
          <w:sz w:val="20"/>
          <w:szCs w:val="20"/>
          <w:color w:val="auto"/>
        </w:rPr>
      </w:pPr>
    </w:p>
    <w:p>
      <w:pPr>
        <w:ind w:left="200" w:right="180" w:firstLine="551"/>
        <w:spacing w:after="0" w:line="238" w:lineRule="auto"/>
        <w:rPr>
          <w:sz w:val="20"/>
          <w:szCs w:val="20"/>
          <w:color w:val="auto"/>
        </w:rPr>
      </w:pPr>
      <w:r>
        <w:rPr>
          <w:rFonts w:ascii="Arial" w:cs="Arial" w:eastAsia="Arial" w:hAnsi="Arial"/>
          <w:sz w:val="18"/>
          <w:szCs w:val="18"/>
          <w:color w:val="auto"/>
        </w:rPr>
        <w:t>In accordance with our amended and restated certificate of incorporation to be in effect immediately prior to the consummation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consummation of this offering, we expect that our directors will be divided among the three classes as follows:</w:t>
      </w:r>
    </w:p>
    <w:p>
      <w:pPr>
        <w:sectPr>
          <w:pgSz w:w="11900" w:h="16838" w:orient="portrait"/>
          <w:cols w:equalWidth="0" w:num="1">
            <w:col w:w="11220"/>
          </w:cols>
          <w:pgMar w:left="240" w:top="459" w:right="439" w:bottom="1440" w:gutter="0" w:footer="0" w:header="0"/>
        </w:sectPr>
      </w:pPr>
    </w:p>
    <w:p>
      <w:pPr>
        <w:spacing w:after="0" w:line="108" w:lineRule="exact"/>
        <w:rPr>
          <w:sz w:val="20"/>
          <w:szCs w:val="20"/>
          <w:color w:val="auto"/>
        </w:rPr>
      </w:pPr>
    </w:p>
    <w:p>
      <w:pPr>
        <w:ind w:left="740"/>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Class I directors will be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 and their terms will expire at the annual meeting of stockholders to be held</w:t>
      </w:r>
    </w:p>
    <w:p>
      <w:pPr>
        <w:spacing w:after="0" w:line="21" w:lineRule="exact"/>
        <w:rPr>
          <w:sz w:val="20"/>
          <w:szCs w:val="20"/>
          <w:color w:val="auto"/>
        </w:rPr>
      </w:pPr>
    </w:p>
    <w:p>
      <w:pPr>
        <w:sectPr>
          <w:pgSz w:w="11900" w:h="16838" w:orient="portrait"/>
          <w:cols w:equalWidth="0" w:num="3">
            <w:col w:w="3240" w:space="720"/>
            <w:col w:w="420" w:space="720"/>
            <w:col w:w="6120"/>
          </w:cols>
          <w:pgMar w:left="240" w:top="459" w:right="439" w:bottom="1440" w:gutter="0" w:footer="0" w:header="0"/>
          <w:type w:val="continuous"/>
        </w:sectPr>
      </w:pPr>
    </w:p>
    <w:p>
      <w:pPr>
        <w:ind w:left="960"/>
        <w:spacing w:after="0"/>
        <w:rPr>
          <w:sz w:val="20"/>
          <w:szCs w:val="20"/>
          <w:color w:val="auto"/>
        </w:rPr>
      </w:pPr>
      <w:r>
        <w:rPr>
          <w:rFonts w:ascii="Arial" w:cs="Arial" w:eastAsia="Arial" w:hAnsi="Arial"/>
          <w:sz w:val="17"/>
          <w:szCs w:val="17"/>
          <w:color w:val="auto"/>
        </w:rPr>
        <w:t>in 2020;</w:t>
      </w:r>
    </w:p>
    <w:p>
      <w:pPr>
        <w:sectPr>
          <w:pgSz w:w="11900" w:h="16838" w:orient="portrait"/>
          <w:cols w:equalWidth="0" w:num="1">
            <w:col w:w="11220"/>
          </w:cols>
          <w:pgMar w:left="240" w:top="459" w:right="439" w:bottom="1440" w:gutter="0" w:footer="0" w:header="0"/>
          <w:type w:val="continuous"/>
        </w:sectPr>
      </w:pPr>
    </w:p>
    <w:p>
      <w:pPr>
        <w:spacing w:after="0" w:line="114" w:lineRule="exact"/>
        <w:rPr>
          <w:sz w:val="20"/>
          <w:szCs w:val="20"/>
          <w:color w:val="auto"/>
        </w:rPr>
      </w:pPr>
    </w:p>
    <w:p>
      <w:pPr>
        <w:ind w:left="740"/>
        <w:spacing w:after="0"/>
        <w:tabs>
          <w:tab w:leader="none" w:pos="940" w:val="left"/>
        </w:tabs>
        <w:rPr>
          <w:sz w:val="20"/>
          <w:szCs w:val="20"/>
          <w:color w:val="auto"/>
        </w:rPr>
      </w:pPr>
      <w:r>
        <w:rPr>
          <w:rFonts w:ascii="Arial" w:cs="Arial" w:eastAsia="Arial" w:hAnsi="Arial"/>
          <w:sz w:val="18"/>
          <w:szCs w:val="18"/>
          <w:color w:val="auto"/>
        </w:rPr>
        <w:t>•</w:t>
        <w:tab/>
        <w:t>the Class II directors will be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 and their terms will expire at the annual meeting of stockholders to be held</w:t>
      </w:r>
    </w:p>
    <w:p>
      <w:pPr>
        <w:spacing w:after="0" w:line="17" w:lineRule="exact"/>
        <w:rPr>
          <w:sz w:val="20"/>
          <w:szCs w:val="20"/>
          <w:color w:val="auto"/>
        </w:rPr>
      </w:pPr>
    </w:p>
    <w:p>
      <w:pPr>
        <w:sectPr>
          <w:pgSz w:w="11900" w:h="16838" w:orient="portrait"/>
          <w:cols w:equalWidth="0" w:num="3">
            <w:col w:w="3280" w:space="720"/>
            <w:col w:w="440" w:space="720"/>
            <w:col w:w="6060"/>
          </w:cols>
          <w:pgMar w:left="240" w:top="459" w:right="439" w:bottom="1440" w:gutter="0" w:footer="0" w:header="0"/>
          <w:type w:val="continuous"/>
        </w:sectPr>
      </w:pPr>
    </w:p>
    <w:p>
      <w:pPr>
        <w:ind w:left="960"/>
        <w:spacing w:after="0"/>
        <w:rPr>
          <w:sz w:val="20"/>
          <w:szCs w:val="20"/>
          <w:color w:val="auto"/>
        </w:rPr>
      </w:pPr>
      <w:r>
        <w:rPr>
          <w:rFonts w:ascii="Arial" w:cs="Arial" w:eastAsia="Arial" w:hAnsi="Arial"/>
          <w:sz w:val="18"/>
          <w:szCs w:val="18"/>
          <w:color w:val="auto"/>
        </w:rPr>
        <w:t>in 2021; and</w:t>
      </w:r>
    </w:p>
    <w:p>
      <w:pPr>
        <w:sectPr>
          <w:pgSz w:w="11900" w:h="16838" w:orient="portrait"/>
          <w:cols w:equalWidth="0" w:num="1">
            <w:col w:w="11220"/>
          </w:cols>
          <w:pgMar w:left="240" w:top="459" w:right="439" w:bottom="1440" w:gutter="0" w:footer="0" w:header="0"/>
          <w:type w:val="continuous"/>
        </w:sectPr>
      </w:pPr>
    </w:p>
    <w:p>
      <w:pPr>
        <w:spacing w:after="0" w:line="107" w:lineRule="exact"/>
        <w:rPr>
          <w:sz w:val="20"/>
          <w:szCs w:val="20"/>
          <w:color w:val="auto"/>
        </w:rPr>
      </w:pPr>
    </w:p>
    <w:p>
      <w:pPr>
        <w:ind w:left="740"/>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Class III directors will be</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and their terms will expire at the annual meeting of stockholders to be</w:t>
      </w:r>
    </w:p>
    <w:p>
      <w:pPr>
        <w:spacing w:after="0" w:line="6" w:lineRule="exact"/>
        <w:rPr>
          <w:sz w:val="20"/>
          <w:szCs w:val="20"/>
          <w:color w:val="auto"/>
        </w:rPr>
      </w:pPr>
    </w:p>
    <w:p>
      <w:pPr>
        <w:sectPr>
          <w:pgSz w:w="11900" w:h="16838" w:orient="portrait"/>
          <w:cols w:equalWidth="0" w:num="3">
            <w:col w:w="3340" w:space="720"/>
            <w:col w:w="420" w:space="720"/>
            <w:col w:w="6020"/>
          </w:cols>
          <w:pgMar w:left="240" w:top="459" w:right="439" w:bottom="1440" w:gutter="0" w:footer="0" w:header="0"/>
          <w:type w:val="continuous"/>
        </w:sectPr>
      </w:pPr>
    </w:p>
    <w:p>
      <w:pPr>
        <w:ind w:left="960"/>
        <w:spacing w:after="0"/>
        <w:rPr>
          <w:sz w:val="20"/>
          <w:szCs w:val="20"/>
          <w:color w:val="auto"/>
        </w:rPr>
      </w:pPr>
      <w:r>
        <w:rPr>
          <w:rFonts w:ascii="Arial" w:cs="Arial" w:eastAsia="Arial" w:hAnsi="Arial"/>
          <w:sz w:val="18"/>
          <w:szCs w:val="18"/>
          <w:color w:val="auto"/>
        </w:rPr>
        <w:t>held in 2022.</w:t>
      </w:r>
    </w:p>
    <w:p>
      <w:pPr>
        <w:sectPr>
          <w:pgSz w:w="11900" w:h="16838" w:orient="portrait"/>
          <w:cols w:equalWidth="0" w:num="1">
            <w:col w:w="11220"/>
          </w:cols>
          <w:pgMar w:left="240" w:top="459" w:right="439" w:bottom="1440" w:gutter="0" w:footer="0" w:header="0"/>
          <w:type w:val="continuous"/>
        </w:sectPr>
      </w:pPr>
    </w:p>
    <w:p>
      <w:pPr>
        <w:spacing w:after="0" w:line="202"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Our amended and restated certificate of incorporation will provide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board of directors or a change in control.</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 Arrangements</w:t>
      </w:r>
    </w:p>
    <w:p>
      <w:pPr>
        <w:spacing w:after="0" w:line="126" w:lineRule="exact"/>
        <w:rPr>
          <w:sz w:val="20"/>
          <w:szCs w:val="20"/>
          <w:color w:val="auto"/>
        </w:rPr>
      </w:pPr>
    </w:p>
    <w:p>
      <w:pPr>
        <w:jc w:val="both"/>
        <w:ind w:left="200" w:right="700" w:firstLine="551"/>
        <w:spacing w:after="0" w:line="239" w:lineRule="auto"/>
        <w:rPr>
          <w:sz w:val="20"/>
          <w:szCs w:val="20"/>
          <w:color w:val="auto"/>
        </w:rPr>
      </w:pPr>
      <w:r>
        <w:rPr>
          <w:rFonts w:ascii="Arial" w:cs="Arial" w:eastAsia="Arial" w:hAnsi="Arial"/>
          <w:sz w:val="18"/>
          <w:szCs w:val="18"/>
          <w:color w:val="auto"/>
        </w:rPr>
        <w:t>The election of the members of our board of directors is governed by the Second Amended and Restated Investors’ Rights Agreement, dated as of August 27, 2018, that we entered into with certain holders of our common stock and certain holders of our redeemable convertible preferred stock (the Investors’ Rights Agreement) and the related provisions of our amended and restated certificate of incorporation.</w:t>
      </w:r>
    </w:p>
    <w:p>
      <w:pPr>
        <w:spacing w:after="0" w:line="202" w:lineRule="exact"/>
        <w:rPr>
          <w:sz w:val="20"/>
          <w:szCs w:val="20"/>
          <w:color w:val="auto"/>
        </w:rPr>
      </w:pPr>
    </w:p>
    <w:p>
      <w:pPr>
        <w:jc w:val="both"/>
        <w:ind w:left="200" w:firstLine="551"/>
        <w:spacing w:after="0"/>
        <w:rPr>
          <w:sz w:val="20"/>
          <w:szCs w:val="20"/>
          <w:color w:val="auto"/>
        </w:rPr>
      </w:pPr>
      <w:r>
        <w:rPr>
          <w:rFonts w:ascii="Arial" w:cs="Arial" w:eastAsia="Arial" w:hAnsi="Arial"/>
          <w:sz w:val="18"/>
          <w:szCs w:val="18"/>
          <w:color w:val="auto"/>
        </w:rPr>
        <w:t>Pursuant to the Investors’ Rights Agreement, the holders of our common stock and redeemable convertible preferred stock who are parties to the Investors’ Rights Agreement are obligated to vote for the election of certain designees of our board of directors which are as follows:</w:t>
      </w:r>
    </w:p>
    <w:p>
      <w:pPr>
        <w:spacing w:after="0" w:line="108" w:lineRule="exact"/>
        <w:rPr>
          <w:sz w:val="20"/>
          <w:szCs w:val="20"/>
          <w:color w:val="auto"/>
        </w:rPr>
      </w:pPr>
    </w:p>
    <w:p>
      <w:pPr>
        <w:ind w:left="960" w:hanging="216"/>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one member designated by Pfizer, for which Mr. Burkoth has been designated;</w:t>
      </w:r>
    </w:p>
    <w:p>
      <w:pPr>
        <w:spacing w:after="0" w:line="117" w:lineRule="exact"/>
        <w:rPr>
          <w:rFonts w:ascii="Arial" w:cs="Arial" w:eastAsia="Arial" w:hAnsi="Arial"/>
          <w:sz w:val="18"/>
          <w:szCs w:val="18"/>
          <w:color w:val="auto"/>
        </w:rPr>
      </w:pPr>
    </w:p>
    <w:p>
      <w:pPr>
        <w:ind w:left="960" w:right="200" w:hanging="216"/>
        <w:spacing w:after="0" w:line="246" w:lineRule="auto"/>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one member designated by the holders of a majority of our Series B redeemable convertible preferred stock, voting exclusively and as a separate class, for which Dr. Yao has been designated; and</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240" w:top="459" w:right="439" w:bottom="1440" w:gutter="0" w:footer="0" w:header="0"/>
          <w:type w:val="continuous"/>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80" w:hanging="216"/>
        <w:spacing w:after="0"/>
        <w:tabs>
          <w:tab w:leader="none" w:pos="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two members designated by the holders of a majority of our common stock (other than any common stock issued or issuable upon the conversion of the redeemable convertible preferred stock), voting exclusively and together as a single class, for which Dr. Kirn and Dr. Shaffer have been designated; and</w:t>
      </w:r>
    </w:p>
    <w:p>
      <w:pPr>
        <w:spacing w:after="0" w:line="108" w:lineRule="exact"/>
        <w:rPr>
          <w:rFonts w:ascii="Arial" w:cs="Arial" w:eastAsia="Arial" w:hAnsi="Arial"/>
          <w:sz w:val="18"/>
          <w:szCs w:val="18"/>
          <w:color w:val="auto"/>
        </w:rPr>
      </w:pPr>
    </w:p>
    <w:p>
      <w:pPr>
        <w:ind w:left="960" w:hanging="216"/>
        <w:spacing w:after="0" w:line="253" w:lineRule="auto"/>
        <w:tabs>
          <w:tab w:leader="none" w:pos="9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three members, who are not otherwise affiliated with any of our investors, the first of whom shall be mutually agreed upon by a majority of the other members of our board of directors, which is currently vacant; the second of whom shall be proposed by our management subject to the approval of a majority of the members of our board of directors, for which Dr. Theuer has been designated; and the third of whom shall be an individual that satisfies the independence, financial literacy and financial expertise requirements to serve as an audit committee chairperson pursuant to relevant SEC and Nasdaq laws and regulations, and mutually acceptable to a majority of the other members of our board of directors, for which Jacob Chacko has been designated.</w:t>
      </w:r>
    </w:p>
    <w:p>
      <w:pPr>
        <w:spacing w:after="0" w:line="195" w:lineRule="exact"/>
        <w:rPr>
          <w:sz w:val="20"/>
          <w:szCs w:val="20"/>
          <w:color w:val="auto"/>
        </w:rPr>
      </w:pPr>
    </w:p>
    <w:p>
      <w:pPr>
        <w:ind w:left="200" w:right="100" w:firstLine="551"/>
        <w:spacing w:after="0" w:line="239" w:lineRule="auto"/>
        <w:rPr>
          <w:sz w:val="20"/>
          <w:szCs w:val="20"/>
          <w:color w:val="auto"/>
        </w:rPr>
      </w:pPr>
      <w:r>
        <w:rPr>
          <w:rFonts w:ascii="Arial" w:cs="Arial" w:eastAsia="Arial" w:hAnsi="Arial"/>
          <w:sz w:val="18"/>
          <w:szCs w:val="18"/>
          <w:color w:val="auto"/>
        </w:rPr>
        <w:t>The above provisions of Investors’ Rights Agreement will terminate upon the consummation of this offering and our amended and restated certificate of incorporation will be amended and restated, after which there will be no further contractual obligations or charter provisions regarding the election of our directors. Our directors hold office until their successors have been elected and qualified or appointed, or the earlier of their death, resignation or removal.</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Leadership Structure of our Board</w:t>
      </w:r>
    </w:p>
    <w:p>
      <w:pPr>
        <w:spacing w:after="0" w:line="234" w:lineRule="exact"/>
        <w:rPr>
          <w:sz w:val="20"/>
          <w:szCs w:val="20"/>
          <w:color w:val="auto"/>
        </w:rPr>
      </w:pPr>
    </w:p>
    <w:p>
      <w:pPr>
        <w:ind w:left="200" w:right="200" w:firstLine="551"/>
        <w:spacing w:after="0" w:line="238" w:lineRule="auto"/>
        <w:rPr>
          <w:sz w:val="20"/>
          <w:szCs w:val="20"/>
          <w:color w:val="auto"/>
        </w:rPr>
      </w:pPr>
      <w:r>
        <w:rPr>
          <w:rFonts w:ascii="Arial" w:cs="Arial" w:eastAsia="Arial" w:hAnsi="Arial"/>
          <w:sz w:val="18"/>
          <w:szCs w:val="18"/>
          <w:color w:val="auto"/>
        </w:rPr>
        <w:t>Our amended and restated bylaws and corporate governance guidelines will provide our board of directors with flexibility to combine or separate the positions of Chairman of our board of directors and Chief Executive Officer and to implement a lead director in accordance with its determination that utilizing one or the other structure would be in our best interest. Dr. Kirn currently serves as the chairman of our board of directors. In that role, Dr. Kirn presides over the executive sessions of our board of directors and as a liaison between management and our board of directors.</w:t>
      </w:r>
    </w:p>
    <w:p>
      <w:pPr>
        <w:spacing w:after="0" w:line="203" w:lineRule="exact"/>
        <w:rPr>
          <w:sz w:val="20"/>
          <w:szCs w:val="20"/>
          <w:color w:val="auto"/>
        </w:rPr>
      </w:pPr>
    </w:p>
    <w:p>
      <w:pPr>
        <w:ind w:left="200" w:right="180" w:firstLine="551"/>
        <w:spacing w:after="0" w:line="246" w:lineRule="auto"/>
        <w:rPr>
          <w:sz w:val="20"/>
          <w:szCs w:val="20"/>
          <w:color w:val="auto"/>
        </w:rPr>
      </w:pPr>
      <w:r>
        <w:rPr>
          <w:rFonts w:ascii="Arial" w:cs="Arial" w:eastAsia="Arial" w:hAnsi="Arial"/>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Role of our Board in Risk Oversight Process</w:t>
      </w:r>
    </w:p>
    <w:p>
      <w:pPr>
        <w:spacing w:after="0" w:line="234"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our board of directors at regular board meetings as part of management presentations that focus on particular business functions, operations or strategies, and presents the steps taken by management to mitigate or eliminate such risks.</w:t>
      </w:r>
    </w:p>
    <w:p>
      <w:pPr>
        <w:spacing w:after="0" w:line="203"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our major financial risk</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40"/>
          </w:cols>
          <w:pgMar w:left="240" w:top="460" w:right="5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w:t>
      </w:r>
    </w:p>
    <w:p>
      <w:pPr>
        <w:spacing w:after="0" w:line="234" w:lineRule="exact"/>
        <w:rPr>
          <w:sz w:val="20"/>
          <w:szCs w:val="20"/>
          <w:color w:val="auto"/>
        </w:rPr>
      </w:pPr>
    </w:p>
    <w:p>
      <w:pPr>
        <w:ind w:left="200" w:right="300" w:firstLine="551"/>
        <w:spacing w:after="0"/>
        <w:rPr>
          <w:sz w:val="20"/>
          <w:szCs w:val="20"/>
          <w:color w:val="auto"/>
        </w:rPr>
      </w:pPr>
      <w:r>
        <w:rPr>
          <w:rFonts w:ascii="Arial" w:cs="Arial" w:eastAsia="Arial" w:hAnsi="Arial"/>
          <w:sz w:val="18"/>
          <w:szCs w:val="18"/>
          <w:color w:val="auto"/>
        </w:rPr>
        <w:t>Our board of directors has the following standing committees: an audit committee, a compensation committee and a nominating and corporate governance committee. Our board of directors may establish other committees to facilitate the management of our business. The composition and functions of each committee are described below.</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Our audit committee oversees our corporate accounting and financial reporting process. Among other matters, the audit committee:</w:t>
      </w:r>
    </w:p>
    <w:p>
      <w:pPr>
        <w:spacing w:after="0" w:line="129" w:lineRule="exact"/>
        <w:rPr>
          <w:sz w:val="20"/>
          <w:szCs w:val="20"/>
          <w:color w:val="auto"/>
        </w:rPr>
      </w:pPr>
    </w:p>
    <w:p>
      <w:pPr>
        <w:ind w:left="960" w:hanging="216"/>
        <w:spacing w:after="0"/>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appoints our independent registered public accounting firm;</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evaluates the independent registered public accounting firm’s qualifications, independence and performance;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determines the engagement of the independent registered public accounting firm;</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reviews and approves the scope of the annual audit and pre-approves the audit and non-audit fees and services;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reviews and approves all related party transactions on an ongoing basis;</w:t>
      </w:r>
    </w:p>
    <w:p>
      <w:pPr>
        <w:spacing w:after="0" w:line="117" w:lineRule="exact"/>
        <w:rPr>
          <w:rFonts w:ascii="Arial" w:cs="Arial" w:eastAsia="Arial" w:hAnsi="Arial"/>
          <w:sz w:val="18"/>
          <w:szCs w:val="18"/>
          <w:color w:val="auto"/>
        </w:rPr>
      </w:pPr>
    </w:p>
    <w:p>
      <w:pPr>
        <w:ind w:left="960" w:right="540" w:hanging="216"/>
        <w:spacing w:after="0" w:line="246"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establishes procedures for the receipt, retention and treatment of complaints received by us regarding accounting, internal accounting controls or auditing matters</w:t>
      </w:r>
    </w:p>
    <w:p>
      <w:pPr>
        <w:spacing w:after="0" w:line="102" w:lineRule="exact"/>
        <w:rPr>
          <w:rFonts w:ascii="Arial" w:cs="Arial" w:eastAsia="Arial" w:hAnsi="Arial"/>
          <w:sz w:val="18"/>
          <w:szCs w:val="18"/>
          <w:color w:val="auto"/>
        </w:rPr>
      </w:pPr>
    </w:p>
    <w:p>
      <w:pPr>
        <w:ind w:left="960" w:right="20" w:hanging="216"/>
        <w:spacing w:after="0" w:line="246"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discusses with management and the independent registered public accounting firm the results of the annual audit and the review of our quarterly financial statements;</w:t>
      </w:r>
    </w:p>
    <w:p>
      <w:pPr>
        <w:spacing w:after="0" w:line="102" w:lineRule="exact"/>
        <w:rPr>
          <w:rFonts w:ascii="Arial" w:cs="Arial" w:eastAsia="Arial" w:hAnsi="Arial"/>
          <w:sz w:val="18"/>
          <w:szCs w:val="18"/>
          <w:color w:val="auto"/>
        </w:rPr>
      </w:pPr>
    </w:p>
    <w:p>
      <w:pPr>
        <w:ind w:left="960" w:right="500" w:hanging="216"/>
        <w:spacing w:after="0" w:line="246"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approves the retention of the independent registered public accounting firm to perform any proposed permissible non-audit services;</w:t>
      </w:r>
    </w:p>
    <w:p>
      <w:pPr>
        <w:spacing w:after="0" w:line="102" w:lineRule="exact"/>
        <w:rPr>
          <w:rFonts w:ascii="Arial" w:cs="Arial" w:eastAsia="Arial" w:hAnsi="Arial"/>
          <w:sz w:val="18"/>
          <w:szCs w:val="18"/>
          <w:color w:val="auto"/>
        </w:rPr>
      </w:pPr>
    </w:p>
    <w:p>
      <w:pPr>
        <w:ind w:left="960" w:right="280" w:hanging="216"/>
        <w:spacing w:after="0" w:line="246"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monitors the rotation of partners of the independent registered public accounting firm on our engagement team in accordance with requirements established by the SEC;</w:t>
      </w:r>
    </w:p>
    <w:p>
      <w:pPr>
        <w:spacing w:after="0" w:line="102" w:lineRule="exact"/>
        <w:rPr>
          <w:rFonts w:ascii="Arial" w:cs="Arial" w:eastAsia="Arial" w:hAnsi="Arial"/>
          <w:sz w:val="18"/>
          <w:szCs w:val="18"/>
          <w:color w:val="auto"/>
        </w:rPr>
      </w:pPr>
    </w:p>
    <w:p>
      <w:pPr>
        <w:ind w:left="960" w:right="100" w:hanging="216"/>
        <w:spacing w:after="0" w:line="246"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discusses on a periodic basis, or as appropriate, with management our policies and procedures with respect to risk assessment and risk management;</w:t>
      </w:r>
    </w:p>
    <w:p>
      <w:pPr>
        <w:spacing w:after="0" w:line="102" w:lineRule="exact"/>
        <w:rPr>
          <w:rFonts w:ascii="Arial" w:cs="Arial" w:eastAsia="Arial" w:hAnsi="Arial"/>
          <w:sz w:val="18"/>
          <w:szCs w:val="18"/>
          <w:color w:val="auto"/>
        </w:rPr>
      </w:pPr>
    </w:p>
    <w:p>
      <w:pPr>
        <w:ind w:left="960" w:right="260" w:hanging="216"/>
        <w:spacing w:after="0" w:line="246"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 responsible for reviewing our financial statements and our management’s discussion and analysis of financial condition and results of operations to be included in our annual and quarterly reports to be filed with the SEC;</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annually reviews and assesses internal controls and treasury functions including cash management procedures;</w:t>
      </w:r>
    </w:p>
    <w:p>
      <w:pPr>
        <w:spacing w:after="0" w:line="117" w:lineRule="exact"/>
        <w:rPr>
          <w:rFonts w:ascii="Arial" w:cs="Arial" w:eastAsia="Arial" w:hAnsi="Arial"/>
          <w:sz w:val="18"/>
          <w:szCs w:val="18"/>
          <w:color w:val="auto"/>
        </w:rPr>
      </w:pPr>
    </w:p>
    <w:p>
      <w:pPr>
        <w:ind w:left="960" w:right="160" w:hanging="216"/>
        <w:spacing w:after="0" w:line="246"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investigates any reports received through the ethics helpline and report to our board of directors periodically with respect to the information received through the ethics helpline and any related investigations;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reviews our critical accounting policies and estimates;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reviews the audit committee charter and the committee’s performance at least annually.</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00"/>
          </w:cols>
          <w:pgMar w:left="240" w:top="460"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60"/>
        <w:spacing w:after="0"/>
        <w:tabs>
          <w:tab w:leader="none" w:pos="8960" w:val="left"/>
          <w:tab w:leader="none" w:pos="9860" w:val="left"/>
        </w:tabs>
        <w:rPr>
          <w:sz w:val="20"/>
          <w:szCs w:val="20"/>
          <w:color w:val="auto"/>
        </w:rPr>
      </w:pPr>
      <w:r>
        <w:rPr>
          <w:rFonts w:ascii="Arial" w:cs="Arial" w:eastAsia="Arial" w:hAnsi="Arial"/>
          <w:sz w:val="18"/>
          <w:szCs w:val="18"/>
          <w:color w:val="auto"/>
        </w:rPr>
        <w:t>Effective upon the consummation of this offering, the members of our audit committee will be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and</w:t>
      </w:r>
    </w:p>
    <w:p>
      <w:pPr>
        <w:jc w:val="both"/>
        <w:ind w:left="200" w:right="280" w:firstLine="804"/>
        <w:spacing w:after="0" w:line="234" w:lineRule="auto"/>
        <w:tabs>
          <w:tab w:leader="none" w:pos="1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will serve as the chairperson of the committee. All members of our audit committee will meet the requirements for financial literacy under the applicable rules and regulations of the SEC and The Nasdaq Global Market. Our board of directors will have</w:t>
      </w:r>
    </w:p>
    <w:p>
      <w:pPr>
        <w:spacing w:after="0" w:line="2" w:lineRule="exact"/>
        <w:rPr>
          <w:sz w:val="20"/>
          <w:szCs w:val="20"/>
          <w:color w:val="auto"/>
        </w:rPr>
      </w:pPr>
    </w:p>
    <w:p>
      <w:pPr>
        <w:ind w:left="200" w:right="240"/>
        <w:spacing w:after="0" w:line="234" w:lineRule="auto"/>
        <w:rPr>
          <w:sz w:val="20"/>
          <w:szCs w:val="20"/>
          <w:color w:val="auto"/>
        </w:rPr>
      </w:pPr>
      <w:r>
        <w:rPr>
          <w:rFonts w:ascii="Arial" w:cs="Arial" w:eastAsia="Arial" w:hAnsi="Arial"/>
          <w:sz w:val="18"/>
          <w:szCs w:val="18"/>
          <w:color w:val="auto"/>
        </w:rPr>
        <w:t>determined that is an audit committee financial expert as defined under the applicable rules of the SEC and has the requisite financial sophistication as defined under the applicable rules and regulations of The Nasdaq Global Market. Under the rules of the SEC, members of the audit committee must also meet heightened independence standards. Our board of directors will have determined that</w:t>
      </w:r>
    </w:p>
    <w:p>
      <w:pPr>
        <w:spacing w:after="0" w:line="2" w:lineRule="exact"/>
        <w:rPr>
          <w:sz w:val="20"/>
          <w:szCs w:val="20"/>
          <w:color w:val="auto"/>
        </w:rPr>
      </w:pPr>
    </w:p>
    <w:p>
      <w:pPr>
        <w:jc w:val="both"/>
        <w:ind w:left="200" w:right="240"/>
        <w:spacing w:after="0" w:line="246" w:lineRule="auto"/>
        <w:rPr>
          <w:sz w:val="20"/>
          <w:szCs w:val="20"/>
          <w:color w:val="auto"/>
        </w:rPr>
      </w:pPr>
      <w:r>
        <w:rPr>
          <w:rFonts w:ascii="Arial" w:cs="Arial" w:eastAsia="Arial" w:hAnsi="Arial"/>
          <w:sz w:val="18"/>
          <w:szCs w:val="18"/>
          <w:color w:val="auto"/>
        </w:rPr>
        <w:t>each of , and are independent under the applicable rules of the SEC and The Nasdaq Global Market. The audit committee will operate under a written charter that satisfies the applicable standards of the SEC and The Nasdaq Global Market.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6"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Our compensation committee oversees policies relating to compensation and benefits of our officers and employees. The compensation committee reviews and approves or recommends corporate goals and objectives relevant to compensation of our executive officers (other than our Chief Executive Officer), evaluates the performance of these officers in light of those goals and objectives and approves the compensation of these officers based on such evaluations. The compensation committee also reviews and approves or makes recommendations to our board of directors regarding the issuance of stock options and other awards under our stock plans to our executive officers (other than our Chief Executive Officer). The compensation committee reviews the performance of our Chief Executive Officer and makes recommendations to our board of directors with respect to his compensation and our board of directors retains the authority to make compensation decisions relative to our Chief Executive Officer. The compensation committee will review and evaluate, at least annually, the performance of the compensation committee and its members, including compliance by the compensation committee with its charter.</w:t>
      </w:r>
    </w:p>
    <w:p>
      <w:pPr>
        <w:spacing w:after="0" w:line="202" w:lineRule="exact"/>
        <w:rPr>
          <w:sz w:val="20"/>
          <w:szCs w:val="20"/>
          <w:color w:val="auto"/>
        </w:rPr>
      </w:pPr>
    </w:p>
    <w:p>
      <w:pPr>
        <w:ind w:left="760"/>
        <w:spacing w:after="0"/>
        <w:tabs>
          <w:tab w:leader="none" w:pos="9680" w:val="left"/>
          <w:tab w:leader="none" w:pos="10580" w:val="left"/>
        </w:tabs>
        <w:rPr>
          <w:sz w:val="20"/>
          <w:szCs w:val="20"/>
          <w:color w:val="auto"/>
        </w:rPr>
      </w:pPr>
      <w:r>
        <w:rPr>
          <w:rFonts w:ascii="Arial" w:cs="Arial" w:eastAsia="Arial" w:hAnsi="Arial"/>
          <w:sz w:val="18"/>
          <w:szCs w:val="18"/>
          <w:color w:val="auto"/>
        </w:rPr>
        <w:t>Effective upon the consummation of this offering, the members of our compensation committee will be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and</w:t>
      </w:r>
    </w:p>
    <w:p>
      <w:pPr>
        <w:ind w:left="200" w:right="380" w:firstLine="804"/>
        <w:spacing w:after="0" w:line="238" w:lineRule="auto"/>
        <w:tabs>
          <w:tab w:leader="none" w:pos="1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will serve as the chairman of the committee. Each of the members of our compensation committee will be independent under the applicable rules and regulations of The Nasdaq Global Market, will be a “non-employee director” as defined in Rule 16b-3 promulgated under the Exchange Act and will be an “outside director” as that term is defined in Section 162(m) of the U.S. Internal Revenue Code of 1986, as amended (Section 162(m)). The compensation committee will operate under a written charter that satisfies the applicable standards of the SEC and The Nasdaq Global Market.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6"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reporting and making recommendations to our board of directors concerning governance matters.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Effective upon the consummation of this offering, the members of our nominating and corporate governance committee will be</w:t>
      </w:r>
    </w:p>
    <w:p>
      <w:pPr>
        <w:ind w:left="200" w:right="100" w:firstLine="800"/>
        <w:spacing w:after="0" w:line="239" w:lineRule="auto"/>
        <w:rPr>
          <w:sz w:val="20"/>
          <w:szCs w:val="20"/>
          <w:color w:val="auto"/>
        </w:rPr>
      </w:pPr>
      <w:r>
        <w:rPr>
          <w:rFonts w:ascii="Arial" w:cs="Arial" w:eastAsia="Arial" w:hAnsi="Arial"/>
          <w:sz w:val="18"/>
          <w:szCs w:val="18"/>
          <w:color w:val="auto"/>
        </w:rPr>
        <w:t>, and . will serve as the chairman of the committee. Each of the members of our nominating and corporate governance committee will be an independent director under the applicable rules and regulations of The Nasdaq Global Market relating to nominating and corporate governance committee independence. The nominating and corporate governance committee will operate under a written charter that satisfies the applicable standards of the SEC and The Nasdaq Global Market.</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240" w:top="460"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4"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During the year ended December 31, 2018, our compensation committee consisted of Dr. Margi McLoughlin, who resigned from our board of directors on March 20, 2019, Dr. Huh, who resigned from our board of directors on December 31, 2018 and Dr. Theuer. None of the members of our compensation committee during 2018 nor any of the current members of our compensation committee has at any time been one of our officers or employees. None of our executive officers currently serves, or in the past fiscal year has served, as a member of our board of directors or compensation committee of any entity that has one or more executive officers on our board of directors or compensation committee.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Diversity</w:t>
      </w:r>
    </w:p>
    <w:p>
      <w:pPr>
        <w:spacing w:after="0" w:line="234"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Upon consummation of this offering, our nominating and corporate governance committee will be responsible for reviewing with our board of directors, on an annual basis, the appropriate characteristics, skills and experience required for our board of directors as a whole and its individual members. In evaluating the suitability of individual candidates (both new candidates and current members), the nominating and corporate governance committee, in recommending candidates for election, and our board of directors, in approving (and, in the case of vacancies, appointing) such candidates, may take into account many factors, including but not limited to the following:</w:t>
      </w:r>
    </w:p>
    <w:p>
      <w:pPr>
        <w:spacing w:after="0" w:line="108" w:lineRule="exact"/>
        <w:rPr>
          <w:sz w:val="20"/>
          <w:szCs w:val="20"/>
          <w:color w:val="auto"/>
        </w:rPr>
      </w:pPr>
    </w:p>
    <w:p>
      <w:pPr>
        <w:ind w:left="960" w:hanging="216"/>
        <w:spacing w:after="0"/>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ethics and values;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 held company;</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experience in the industries in which we compete;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experience as a board member or executive officer of another publicly held company;</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conflicts of interest;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practical and mature business judgment.</w:t>
      </w:r>
    </w:p>
    <w:p>
      <w:pPr>
        <w:spacing w:after="0" w:line="212" w:lineRule="exact"/>
        <w:rPr>
          <w:sz w:val="20"/>
          <w:szCs w:val="20"/>
          <w:color w:val="auto"/>
        </w:rPr>
      </w:pPr>
    </w:p>
    <w:p>
      <w:pPr>
        <w:ind w:left="200" w:right="80" w:firstLine="551"/>
        <w:spacing w:after="0" w:line="261" w:lineRule="auto"/>
        <w:rPr>
          <w:sz w:val="20"/>
          <w:szCs w:val="20"/>
          <w:color w:val="auto"/>
        </w:rPr>
      </w:pPr>
      <w:r>
        <w:rPr>
          <w:rFonts w:ascii="Arial" w:cs="Arial" w:eastAsia="Arial" w:hAnsi="Arial"/>
          <w:sz w:val="17"/>
          <w:szCs w:val="17"/>
          <w:color w:val="auto"/>
        </w:rPr>
        <w:t>Currently, our board of directors evaluates, and following the consummation of this offering will evaluate, each individual in the context of our board of directors as a whole, with the objective of assembling a group that can best maximize the success of the business and represent stockholder interests through the exercise of sound judgment using its diversity of experience in these various areas.</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4" w:lineRule="exact"/>
        <w:rPr>
          <w:sz w:val="20"/>
          <w:szCs w:val="20"/>
          <w:color w:val="auto"/>
        </w:rPr>
      </w:pPr>
    </w:p>
    <w:p>
      <w:pPr>
        <w:ind w:left="200" w:right="100" w:firstLine="551"/>
        <w:spacing w:after="0" w:line="239" w:lineRule="auto"/>
        <w:rPr>
          <w:sz w:val="20"/>
          <w:szCs w:val="20"/>
          <w:color w:val="auto"/>
        </w:rPr>
      </w:pPr>
      <w:r>
        <w:rPr>
          <w:rFonts w:ascii="Arial" w:cs="Arial" w:eastAsia="Arial" w:hAnsi="Arial"/>
          <w:sz w:val="18"/>
          <w:szCs w:val="18"/>
          <w:color w:val="auto"/>
        </w:rPr>
        <w:t>Prior to the consummation of this offering, we will adopt a code of business conduct and ethics that will apply to all of our employees, officers and directors, including those officers responsible for financial reporting. Following the consummation of this offering, the code of business conduct and ethics will be available on our website. We expect that any amendments to the code, or any waivers of its requirements, will be disclosed on our website.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234" w:lineRule="exact"/>
        <w:rPr>
          <w:sz w:val="20"/>
          <w:szCs w:val="20"/>
          <w:color w:val="auto"/>
        </w:rPr>
      </w:pPr>
    </w:p>
    <w:p>
      <w:pPr>
        <w:ind w:left="200" w:right="220" w:firstLine="551"/>
        <w:spacing w:after="0" w:line="246" w:lineRule="auto"/>
        <w:rPr>
          <w:sz w:val="20"/>
          <w:szCs w:val="20"/>
          <w:color w:val="auto"/>
        </w:rPr>
      </w:pPr>
      <w:r>
        <w:rPr>
          <w:rFonts w:ascii="Arial" w:cs="Arial" w:eastAsia="Arial" w:hAnsi="Arial"/>
          <w:sz w:val="18"/>
          <w:szCs w:val="18"/>
          <w:color w:val="auto"/>
        </w:rPr>
        <w:t>Our amended and restated certificate of incorporation, which will become effective immediately prior to the consummation of this offering, will contain provisions that limit the liability of our directors</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80"/>
          </w:cols>
          <w:pgMar w:left="240" w:top="459"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46" w:lineRule="auto"/>
        <w:rPr>
          <w:sz w:val="20"/>
          <w:szCs w:val="20"/>
          <w:color w:val="auto"/>
        </w:rPr>
      </w:pPr>
      <w:r>
        <w:rPr>
          <w:rFonts w:ascii="Arial" w:cs="Arial" w:eastAsia="Arial" w:hAnsi="Arial"/>
          <w:sz w:val="18"/>
          <w:szCs w:val="18"/>
          <w:color w:val="auto"/>
        </w:rPr>
        <w:t>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02" w:lineRule="exact"/>
        <w:rPr>
          <w:sz w:val="20"/>
          <w:szCs w:val="20"/>
          <w:color w:val="auto"/>
        </w:rPr>
      </w:pPr>
    </w:p>
    <w:p>
      <w:pPr>
        <w:ind w:left="960" w:hanging="216"/>
        <w:spacing w:after="0"/>
        <w:tabs>
          <w:tab w:leader="none" w:pos="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960" w:right="600" w:hanging="216"/>
        <w:spacing w:after="0" w:line="246" w:lineRule="auto"/>
        <w:tabs>
          <w:tab w:leader="none" w:pos="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1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Each of our amended and restated certificate of incorporation and amended and restated bylaws, which will become effective immediately prior to the consummation of this offering, will provide that we are required to indemnify our directors and officers, in each case to the fullest extent permitted by Delaware law. Our amended and restated bylaws will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206" w:lineRule="exact"/>
        <w:rPr>
          <w:sz w:val="20"/>
          <w:szCs w:val="20"/>
          <w:color w:val="auto"/>
        </w:rPr>
      </w:pPr>
    </w:p>
    <w:p>
      <w:pPr>
        <w:ind w:left="200" w:right="180" w:firstLine="551"/>
        <w:spacing w:after="0" w:line="238"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234" w:lineRule="exact"/>
        <w:rPr>
          <w:sz w:val="20"/>
          <w:szCs w:val="20"/>
          <w:color w:val="auto"/>
        </w:rPr>
      </w:pPr>
    </w:p>
    <w:p>
      <w:pPr>
        <w:ind w:left="200" w:right="200" w:firstLine="551"/>
        <w:spacing w:after="0" w:line="234" w:lineRule="auto"/>
        <w:rPr>
          <w:sz w:val="20"/>
          <w:szCs w:val="20"/>
          <w:color w:val="auto"/>
        </w:rPr>
      </w:pPr>
      <w:r>
        <w:rPr>
          <w:rFonts w:ascii="Arial" w:cs="Arial" w:eastAsia="Arial" w:hAnsi="Arial"/>
          <w:sz w:val="18"/>
          <w:szCs w:val="18"/>
          <w:color w:val="auto"/>
        </w:rPr>
        <w:t>Historically, we have not had a formalized non-employee director compensation program. However, we have generally adopted a practice of paying director fees of $35,000 per year and issuing options to purchase shares of our common stock targeted at certain percentages of our fully diluted capitalization to our independent directors. We paid director fees in the amount of $35,000 to both of our independent directors, Dr. Theuer and Dr. Huh, for their board service in fiscal year 2018. In addition, during April 2018, we issued to Dr. Theuer two options to purchase 13,684 shares of our common stock each, with per share exercise prices of $3.19, one of which was vested as to 100% of its shares at time of grant, and the other of which vested as to 100% of its shares in March 2019, subject to</w:t>
      </w:r>
    </w:p>
    <w:p>
      <w:pPr>
        <w:spacing w:after="0" w:line="5"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Dr. Theuer’s continued service to us through such date. In addition, during April 2018, we issued to Dr. Huh two options to purchase 13,684 shares of our common stock each, with per share exercise prices of $3.19, one of which was vested as to 100% of its shares in at time of grant, and the other of which vested as to 100% of its shares in March 2019, subject to Dr. Huh’s continued service to us through such date. All unvested options accelerate in full on a change in control. We did not make any other equity grants to our non-employee directors in 2018. In addition, we paid consulting fees in the amount of $50,000 to Dr. Schaffer for research services he provided to us in addition to his service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240" w:top="460"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20"/>
        <w:spacing w:after="0" w:line="246" w:lineRule="auto"/>
        <w:rPr>
          <w:sz w:val="20"/>
          <w:szCs w:val="20"/>
          <w:color w:val="auto"/>
        </w:rPr>
      </w:pPr>
      <w:r>
        <w:rPr>
          <w:rFonts w:ascii="Arial" w:cs="Arial" w:eastAsia="Arial" w:hAnsi="Arial"/>
          <w:sz w:val="18"/>
          <w:szCs w:val="18"/>
          <w:color w:val="auto"/>
        </w:rPr>
        <w:t>as a member of the board of directors. We also provide reimbursement to our non-employee directors for their reasonable expenses incurred in attending meetings of our board of directors and committees of our board of directors.</w:t>
      </w:r>
    </w:p>
    <w:p>
      <w:pPr>
        <w:spacing w:after="0" w:line="197" w:lineRule="exact"/>
        <w:rPr>
          <w:sz w:val="20"/>
          <w:szCs w:val="20"/>
          <w:color w:val="auto"/>
        </w:rPr>
      </w:pPr>
    </w:p>
    <w:p>
      <w:pPr>
        <w:ind w:left="200" w:right="200" w:firstLine="551"/>
        <w:spacing w:after="0"/>
        <w:rPr>
          <w:sz w:val="20"/>
          <w:szCs w:val="20"/>
          <w:color w:val="auto"/>
        </w:rPr>
      </w:pPr>
      <w:r>
        <w:rPr>
          <w:rFonts w:ascii="Arial" w:cs="Arial" w:eastAsia="Arial" w:hAnsi="Arial"/>
          <w:sz w:val="18"/>
          <w:szCs w:val="18"/>
          <w:color w:val="auto"/>
        </w:rPr>
        <w:t>We intend to approve and implement a compensation policy for our non-employee directors, or the Director Compensation Program, to be effective in connection with the consummation of this offering. Pursuant to the Director Compensation Program, our non-employee directors, other than Mr. Burkoth, will receive cash compensation as follows:</w:t>
      </w:r>
    </w:p>
    <w:p>
      <w:pPr>
        <w:spacing w:after="0" w:line="108" w:lineRule="exact"/>
        <w:rPr>
          <w:sz w:val="20"/>
          <w:szCs w:val="20"/>
          <w:color w:val="auto"/>
        </w:rPr>
      </w:pPr>
    </w:p>
    <w:p>
      <w:pPr>
        <w:ind w:left="960" w:hanging="216"/>
        <w:spacing w:after="0"/>
        <w:tabs>
          <w:tab w:leader="none" w:pos="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non-employee director will receive an annual cash retainer in the amount of $40,000 per year.</w:t>
      </w:r>
    </w:p>
    <w:p>
      <w:pPr>
        <w:spacing w:after="0" w:line="117" w:lineRule="exact"/>
        <w:rPr>
          <w:rFonts w:ascii="Arial" w:cs="Arial" w:eastAsia="Arial" w:hAnsi="Arial"/>
          <w:sz w:val="18"/>
          <w:szCs w:val="18"/>
          <w:color w:val="auto"/>
        </w:rPr>
      </w:pPr>
    </w:p>
    <w:p>
      <w:pPr>
        <w:jc w:val="both"/>
        <w:ind w:left="960" w:right="120" w:hanging="216"/>
        <w:spacing w:after="0"/>
        <w:tabs>
          <w:tab w:leader="none" w:pos="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chairperson of the audit committee will receive additional annual cash compensation in the amount of $20,000 per year for such chairperson’s service on the audit committee. Each non-chairperson member of the audit committee will receive additional annual cash compensation in the amount of $10,000 per year for such member’s service on the audit committee.</w:t>
      </w:r>
    </w:p>
    <w:p>
      <w:pPr>
        <w:spacing w:after="0" w:line="108" w:lineRule="exact"/>
        <w:rPr>
          <w:rFonts w:ascii="Arial" w:cs="Arial" w:eastAsia="Arial" w:hAnsi="Arial"/>
          <w:sz w:val="18"/>
          <w:szCs w:val="18"/>
          <w:color w:val="auto"/>
        </w:rPr>
      </w:pPr>
    </w:p>
    <w:p>
      <w:pPr>
        <w:ind w:left="960" w:right="120" w:hanging="216"/>
        <w:spacing w:after="0" w:line="239" w:lineRule="auto"/>
        <w:tabs>
          <w:tab w:leader="none" w:pos="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chairperson of the compensation committee will receive additional annual cash compensation in the amount of $12,000 per year for such chairperson’s service on the compensation committee. Each non-chairperson member of the compensation committee will receive additional annual cash compensation in the amount of $6,000 per year for such member’s service on the compensation committee.</w:t>
      </w:r>
    </w:p>
    <w:p>
      <w:pPr>
        <w:spacing w:after="0" w:line="107" w:lineRule="exact"/>
        <w:rPr>
          <w:rFonts w:ascii="Arial" w:cs="Arial" w:eastAsia="Arial" w:hAnsi="Arial"/>
          <w:sz w:val="18"/>
          <w:szCs w:val="18"/>
          <w:color w:val="auto"/>
        </w:rPr>
      </w:pPr>
    </w:p>
    <w:p>
      <w:pPr>
        <w:ind w:left="960" w:right="20" w:hanging="216"/>
        <w:spacing w:after="0" w:line="239" w:lineRule="auto"/>
        <w:tabs>
          <w:tab w:leader="none" w:pos="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chairperson of the nominating and corporate governance committee will receive additional annual cash compensation in the amount of $10,000 per year for such chairperson’s service on the nominating and corporate governance committee. Each non-chairperson member of the nominating and corporate governance committee will receive additional annual cash compensation in the amount of $5,000 per year for such member’s service on the nominating and corporate governance committee.</w:t>
      </w:r>
    </w:p>
    <w:p>
      <w:pPr>
        <w:spacing w:after="0" w:line="20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Under the Director Compensation Program, each non-employee director, other than Dr. Schaffer, will automatically be granted an option to purchase 9,106 shares of our common stock upon the director’s initial appointment or election to our board of directors, referred to as the Initial Grant, and an option to purchase 4,553 shares of our common stock automatically on the date of each annual shareholder meeting thereafter, referred to as the Annual Grant, provided that the non-employee director has, for at least 120 days, been serving on the board of directors as of the date of the shareholder meeting. The Initial Grant will vest as to 1/36th of the underlying shares on a monthly basis over three years, subject to continued service through each applicable vesting date. The Annual Grant will vest on the earlier of the first anniversary of the date of grant or immediately prior to the next annual stockholder’s meeting to the extent unvested as of such date, subject to continued service through each applicable vesting date. The exercise price per share of director options is equal to the fair market value of a share of our common stock on the grant date, and the director options will vest in full upon the consummation of a change in control. Upon a change in control (as defined in the 2019 Plan), all outstanding equity awards granted under the 2019 Plan or any other equity incentive plan we maintain that are held by non-employee directors shall become fully vested and/or exercisable, irrespective of any other provisions of the non-employee director’s award agreement.</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20"/>
          </w:cols>
          <w:pgMar w:left="240" w:top="460"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00" w:firstLine="551"/>
        <w:spacing w:after="0" w:line="246" w:lineRule="auto"/>
        <w:rPr>
          <w:sz w:val="20"/>
          <w:szCs w:val="20"/>
          <w:color w:val="auto"/>
        </w:rPr>
      </w:pPr>
      <w:r>
        <w:rPr>
          <w:rFonts w:ascii="Arial" w:cs="Arial" w:eastAsia="Arial" w:hAnsi="Arial"/>
          <w:sz w:val="18"/>
          <w:szCs w:val="18"/>
          <w:color w:val="auto"/>
        </w:rPr>
        <w:t>The following table summarizes the total compensation earned during the year ended December 31, 2018 for our non-employee directors.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Fees</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Earned</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or Paid</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Option</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in Cash</w:t>
            </w:r>
          </w:p>
        </w:tc>
        <w:tc>
          <w:tcPr>
            <w:tcW w:w="88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Awards</w:t>
            </w:r>
          </w:p>
        </w:tc>
        <w:tc>
          <w:tcPr>
            <w:tcW w:w="130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rPr>
              <w:t>Compensation</w:t>
            </w:r>
          </w:p>
        </w:tc>
        <w:tc>
          <w:tcPr>
            <w:tcW w:w="700" w:type="dxa"/>
            <w:vAlign w:val="bottom"/>
            <w:gridSpan w:val="2"/>
          </w:tcPr>
          <w:p>
            <w:pPr>
              <w:ind w:left="14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7280" w:type="dxa"/>
            <w:vAlign w:val="bottom"/>
            <w:gridSpan w:val="3"/>
            <w:vMerge w:val="continue"/>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60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280" w:type="dxa"/>
            <w:vAlign w:val="bottom"/>
          </w:tcPr>
          <w:p>
            <w:pPr>
              <w:spacing w:after="0"/>
              <w:rPr>
                <w:sz w:val="14"/>
                <w:szCs w:val="14"/>
                <w:color w:val="auto"/>
              </w:rPr>
            </w:pPr>
          </w:p>
        </w:tc>
        <w:tc>
          <w:tcPr>
            <w:tcW w:w="104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26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2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David Schaffer, Ph.D.</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gridSpan w:val="2"/>
          </w:tcPr>
          <w:p>
            <w:pPr>
              <w:spacing w:after="0" w:line="202" w:lineRule="exact"/>
              <w:rPr>
                <w:sz w:val="20"/>
                <w:szCs w:val="20"/>
                <w:color w:val="auto"/>
              </w:rPr>
            </w:pPr>
            <w:r>
              <w:rPr>
                <w:rFonts w:ascii="Arial" w:cs="Arial" w:eastAsia="Arial" w:hAnsi="Arial"/>
                <w:sz w:val="18"/>
                <w:szCs w:val="18"/>
                <w:color w:val="auto"/>
              </w:rPr>
              <w:t>Charles Theuer, M.D., Ph.D.</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35,000</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60,757</w:t>
            </w: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95,757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Jacob Chacko, M.D.</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gridSpan w:val="2"/>
          </w:tcPr>
          <w:p>
            <w:pPr>
              <w:spacing w:after="0" w:line="202" w:lineRule="exact"/>
              <w:rPr>
                <w:sz w:val="20"/>
                <w:szCs w:val="20"/>
                <w:color w:val="auto"/>
              </w:rPr>
            </w:pPr>
            <w:r>
              <w:rPr>
                <w:rFonts w:ascii="Arial" w:cs="Arial" w:eastAsia="Arial" w:hAnsi="Arial"/>
                <w:sz w:val="18"/>
                <w:szCs w:val="18"/>
                <w:color w:val="auto"/>
              </w:rPr>
              <w:t>Hoyoung Huh, M.D., Ph.D.</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35,000</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60,757</w:t>
            </w: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95,757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Tony Yao, M.D., Ph.D.</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William Burkoth</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9" w:lineRule="exact"/>
        <w:rPr>
          <w:sz w:val="20"/>
          <w:szCs w:val="20"/>
          <w:color w:val="auto"/>
        </w:rPr>
      </w:pPr>
    </w:p>
    <w:p>
      <w:pPr>
        <w:ind w:left="640" w:right="220" w:hanging="436"/>
        <w:spacing w:after="0" w:line="241" w:lineRule="auto"/>
        <w:tabs>
          <w:tab w:leader="none" w:pos="6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Amounts shown represent the grant date fair value of options granted during fiscal year 2018 as calculated in accordance with ASC Topic 718. See Note 12 of the financial statements included in this prospectus for the assumptions used in calculating this amount. As of December 31, 2018, Dr. Theuer held options to purchase 23,017 shares of our common stock, Dr. Huh held options to purchase 101,351 shares of our common stock and no other non-employee directors held any outstanding options or other equity awards.</w:t>
      </w:r>
    </w:p>
    <w:p>
      <w:pPr>
        <w:spacing w:after="0" w:line="1" w:lineRule="exact"/>
        <w:rPr>
          <w:rFonts w:ascii="Arial" w:cs="Arial" w:eastAsia="Arial" w:hAnsi="Arial"/>
          <w:sz w:val="14"/>
          <w:szCs w:val="14"/>
          <w:color w:val="auto"/>
        </w:rPr>
      </w:pPr>
    </w:p>
    <w:p>
      <w:pPr>
        <w:ind w:left="640" w:hanging="436"/>
        <w:spacing w:after="0"/>
        <w:tabs>
          <w:tab w:leader="none" w:pos="6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Amount represents $50,000 consulting payments paid to Dr. Schaffer in consideration for research services provided us in 2018.</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34"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The following is a discussion and analysis of compensation arrangements of our named executive officers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205" w:lineRule="exact"/>
        <w:rPr>
          <w:sz w:val="20"/>
          <w:szCs w:val="20"/>
          <w:color w:val="auto"/>
        </w:rPr>
      </w:pPr>
    </w:p>
    <w:p>
      <w:pPr>
        <w:ind w:left="200" w:right="120" w:firstLine="551"/>
        <w:spacing w:after="0"/>
        <w:rPr>
          <w:sz w:val="20"/>
          <w:szCs w:val="20"/>
          <w:color w:val="auto"/>
        </w:rPr>
      </w:pPr>
      <w:r>
        <w:rPr>
          <w:rFonts w:ascii="Arial" w:cs="Arial" w:eastAsia="Arial" w:hAnsi="Arial"/>
          <w:sz w:val="18"/>
          <w:szCs w:val="18"/>
          <w:color w:val="auto"/>
        </w:rPr>
        <w:t>We seek to ensure that the total compensation paid to our executive officers is reasonable and competitive. Compensation of our executives is structured around the achievement of individual performance and near-term corporate targets as well as long-term business objectives.</w:t>
      </w:r>
    </w:p>
    <w:p>
      <w:pPr>
        <w:spacing w:after="0" w:line="3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NEOs for fiscal year 2018 were as follows:</w:t>
      </w:r>
    </w:p>
    <w:p>
      <w:pPr>
        <w:spacing w:after="0" w:line="117" w:lineRule="exact"/>
        <w:rPr>
          <w:sz w:val="20"/>
          <w:szCs w:val="20"/>
          <w:color w:val="auto"/>
        </w:rPr>
      </w:pPr>
    </w:p>
    <w:p>
      <w:pPr>
        <w:ind w:left="960" w:hanging="216"/>
        <w:spacing w:after="0"/>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David Kirn, M.D., our Chief Executive Officer;</w:t>
      </w:r>
    </w:p>
    <w:p>
      <w:pPr>
        <w:spacing w:after="0" w:line="117" w:lineRule="exact"/>
        <w:rPr>
          <w:rFonts w:ascii="Arial" w:cs="Arial" w:eastAsia="Arial" w:hAnsi="Arial"/>
          <w:sz w:val="18"/>
          <w:szCs w:val="18"/>
          <w:color w:val="auto"/>
        </w:rPr>
      </w:pPr>
    </w:p>
    <w:p>
      <w:pPr>
        <w:ind w:left="960" w:right="720" w:hanging="216"/>
        <w:spacing w:after="0" w:line="246" w:lineRule="auto"/>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Peter Francis, M.D., Ph.D., our Chief Medical Officer (and formerly our Senior Vice President, Clinical Translational R&amp;D Program Leader, Retina Therapeutic Area for the entirety of fiscal year 2018); and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Fred Kamal, Ph.D., our Chief Technical Officer.</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Summary Compensation Table</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information concerning the compensation of our NEOs for the year ended December 31, 2018.</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Non-Equity</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Incentive</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Option</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Plan</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All Other</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ind w:left="140"/>
              <w:spacing w:after="0" w:line="159" w:lineRule="exact"/>
              <w:rPr>
                <w:sz w:val="20"/>
                <w:szCs w:val="20"/>
                <w:color w:val="auto"/>
              </w:rPr>
            </w:pPr>
            <w:r>
              <w:rPr>
                <w:rFonts w:ascii="Arial" w:cs="Arial" w:eastAsia="Arial" w:hAnsi="Arial"/>
                <w:sz w:val="14"/>
                <w:szCs w:val="14"/>
                <w:b w:val="1"/>
                <w:bCs w:val="1"/>
                <w:color w:val="auto"/>
              </w:rPr>
              <w:t>Salary</w:t>
            </w:r>
          </w:p>
        </w:tc>
        <w:tc>
          <w:tcPr>
            <w:tcW w:w="78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Bonus</w:t>
            </w:r>
          </w:p>
        </w:tc>
        <w:tc>
          <w:tcPr>
            <w:tcW w:w="106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Awards</w:t>
            </w:r>
          </w:p>
        </w:tc>
        <w:tc>
          <w:tcPr>
            <w:tcW w:w="120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rPr>
              <w:t>Compensation</w:t>
            </w:r>
          </w:p>
        </w:tc>
        <w:tc>
          <w:tcPr>
            <w:tcW w:w="120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Compensation</w:t>
            </w:r>
          </w:p>
        </w:tc>
        <w:tc>
          <w:tcPr>
            <w:tcW w:w="980" w:type="dxa"/>
            <w:vAlign w:val="bottom"/>
            <w:gridSpan w:val="2"/>
          </w:tcPr>
          <w:p>
            <w:pPr>
              <w:ind w:left="28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740" w:type="dxa"/>
            <w:vAlign w:val="bottom"/>
          </w:tcPr>
          <w:p>
            <w:pPr>
              <w:jc w:val="right"/>
              <w:ind w:right="140"/>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160" w:type="dxa"/>
            <w:vAlign w:val="bottom"/>
          </w:tcPr>
          <w:p>
            <w:pPr>
              <w:spacing w:after="0"/>
              <w:rPr>
                <w:sz w:val="16"/>
                <w:szCs w:val="16"/>
                <w:color w:val="auto"/>
              </w:rPr>
            </w:pPr>
          </w:p>
        </w:tc>
        <w:tc>
          <w:tcPr>
            <w:tcW w:w="620" w:type="dxa"/>
            <w:vAlign w:val="bottom"/>
          </w:tcPr>
          <w:p>
            <w:pPr>
              <w:jc w:val="right"/>
              <w:ind w:right="80"/>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(7)</w:t>
            </w:r>
          </w:p>
        </w:tc>
        <w:tc>
          <w:tcPr>
            <w:tcW w:w="160" w:type="dxa"/>
            <w:vAlign w:val="bottom"/>
          </w:tcPr>
          <w:p>
            <w:pPr>
              <w:spacing w:after="0"/>
              <w:rPr>
                <w:sz w:val="16"/>
                <w:szCs w:val="16"/>
                <w:color w:val="auto"/>
              </w:rPr>
            </w:pPr>
          </w:p>
        </w:tc>
        <w:tc>
          <w:tcPr>
            <w:tcW w:w="90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160" w:type="dxa"/>
            <w:vAlign w:val="bottom"/>
          </w:tcPr>
          <w:p>
            <w:pPr>
              <w:spacing w:after="0"/>
              <w:rPr>
                <w:sz w:val="16"/>
                <w:szCs w:val="16"/>
                <w:color w:val="auto"/>
              </w:rPr>
            </w:pPr>
          </w:p>
        </w:tc>
        <w:tc>
          <w:tcPr>
            <w:tcW w:w="104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(3)</w:t>
            </w:r>
          </w:p>
        </w:tc>
        <w:tc>
          <w:tcPr>
            <w:tcW w:w="160" w:type="dxa"/>
            <w:vAlign w:val="bottom"/>
          </w:tcPr>
          <w:p>
            <w:pPr>
              <w:spacing w:after="0"/>
              <w:rPr>
                <w:sz w:val="16"/>
                <w:szCs w:val="16"/>
                <w:color w:val="auto"/>
              </w:rPr>
            </w:pPr>
          </w:p>
        </w:tc>
        <w:tc>
          <w:tcPr>
            <w:tcW w:w="104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(4)</w:t>
            </w:r>
          </w:p>
        </w:tc>
        <w:tc>
          <w:tcPr>
            <w:tcW w:w="160" w:type="dxa"/>
            <w:vAlign w:val="bottom"/>
          </w:tcPr>
          <w:p>
            <w:pPr>
              <w:spacing w:after="0"/>
              <w:rPr>
                <w:sz w:val="16"/>
                <w:szCs w:val="16"/>
                <w:color w:val="auto"/>
              </w:rPr>
            </w:pPr>
          </w:p>
        </w:tc>
        <w:tc>
          <w:tcPr>
            <w:tcW w:w="900" w:type="dxa"/>
            <w:vAlign w:val="bottom"/>
          </w:tcPr>
          <w:p>
            <w:pPr>
              <w:jc w:val="right"/>
              <w:ind w:right="277"/>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David Kirn, M.D.</w:t>
            </w:r>
          </w:p>
        </w:tc>
        <w:tc>
          <w:tcPr>
            <w:tcW w:w="2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ind w:left="60"/>
              <w:spacing w:after="0" w:line="170" w:lineRule="exact"/>
              <w:rPr>
                <w:sz w:val="20"/>
                <w:szCs w:val="20"/>
                <w:color w:val="auto"/>
              </w:rPr>
            </w:pPr>
            <w:r>
              <w:rPr>
                <w:rFonts w:ascii="Arial" w:cs="Arial" w:eastAsia="Arial" w:hAnsi="Arial"/>
                <w:sz w:val="18"/>
                <w:szCs w:val="18"/>
                <w:color w:val="auto"/>
                <w:w w:val="94"/>
              </w:rPr>
              <w:t>2018</w:t>
            </w:r>
          </w:p>
        </w:tc>
        <w:tc>
          <w:tcPr>
            <w:tcW w:w="1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396,445</w:t>
            </w:r>
          </w:p>
        </w:tc>
        <w:tc>
          <w:tcPr>
            <w:tcW w:w="16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w:t>
            </w:r>
          </w:p>
        </w:tc>
        <w:tc>
          <w:tcPr>
            <w:tcW w:w="1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w:t>
            </w:r>
          </w:p>
        </w:tc>
        <w:tc>
          <w:tcPr>
            <w:tcW w:w="1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137,700</w:t>
            </w:r>
          </w:p>
        </w:tc>
        <w:tc>
          <w:tcPr>
            <w:tcW w:w="1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12,250</w:t>
            </w:r>
          </w:p>
        </w:tc>
        <w:tc>
          <w:tcPr>
            <w:tcW w:w="1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546,395</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Chief Executive Officer</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gridSpan w:val="2"/>
          </w:tcPr>
          <w:p>
            <w:pPr>
              <w:spacing w:after="0" w:line="183" w:lineRule="exact"/>
              <w:rPr>
                <w:sz w:val="20"/>
                <w:szCs w:val="20"/>
                <w:color w:val="auto"/>
              </w:rPr>
            </w:pPr>
            <w:r>
              <w:rPr>
                <w:rFonts w:ascii="Arial" w:cs="Arial" w:eastAsia="Arial" w:hAnsi="Arial"/>
                <w:sz w:val="18"/>
                <w:szCs w:val="18"/>
                <w:color w:val="auto"/>
              </w:rPr>
              <w:t>Peter Francis, M.D., Ph.D.</w:t>
            </w:r>
          </w:p>
        </w:tc>
        <w:tc>
          <w:tcPr>
            <w:tcW w:w="560" w:type="dxa"/>
            <w:vAlign w:val="bottom"/>
            <w:gridSpan w:val="2"/>
          </w:tcPr>
          <w:p>
            <w:pPr>
              <w:ind w:left="160"/>
              <w:spacing w:after="0" w:line="183" w:lineRule="exact"/>
              <w:rPr>
                <w:sz w:val="20"/>
                <w:szCs w:val="20"/>
                <w:color w:val="auto"/>
              </w:rPr>
            </w:pPr>
            <w:r>
              <w:rPr>
                <w:rFonts w:ascii="Arial" w:cs="Arial" w:eastAsia="Arial" w:hAnsi="Arial"/>
                <w:sz w:val="18"/>
                <w:szCs w:val="18"/>
                <w:color w:val="auto"/>
                <w:w w:val="94"/>
              </w:rPr>
              <w:t>2018</w:t>
            </w:r>
          </w:p>
        </w:tc>
        <w:tc>
          <w:tcPr>
            <w:tcW w:w="16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8"/>
                <w:szCs w:val="18"/>
                <w:color w:val="auto"/>
              </w:rPr>
              <w:t>270,000</w:t>
            </w:r>
          </w:p>
        </w:tc>
        <w:tc>
          <w:tcPr>
            <w:tcW w:w="16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8"/>
                <w:szCs w:val="18"/>
                <w:color w:val="auto"/>
              </w:rPr>
              <w:t>24,300</w:t>
            </w:r>
          </w:p>
        </w:tc>
        <w:tc>
          <w:tcPr>
            <w:tcW w:w="16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8"/>
                <w:szCs w:val="18"/>
                <w:color w:val="auto"/>
              </w:rPr>
              <w:t>200,024</w:t>
            </w:r>
          </w:p>
        </w:tc>
        <w:tc>
          <w:tcPr>
            <w:tcW w:w="16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8"/>
                <w:szCs w:val="18"/>
                <w:color w:val="auto"/>
              </w:rPr>
              <w:t>65,610</w:t>
            </w:r>
          </w:p>
        </w:tc>
        <w:tc>
          <w:tcPr>
            <w:tcW w:w="16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8"/>
                <w:szCs w:val="18"/>
                <w:color w:val="auto"/>
              </w:rPr>
              <w:t>46,204</w:t>
            </w:r>
          </w:p>
        </w:tc>
        <w:tc>
          <w:tcPr>
            <w:tcW w:w="16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8"/>
                <w:szCs w:val="18"/>
                <w:color w:val="auto"/>
              </w:rPr>
              <w:t>606,138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Medical Officer</w:t>
            </w:r>
            <w:r>
              <w:rPr>
                <w:rFonts w:ascii="Arial" w:cs="Arial" w:eastAsia="Arial" w:hAnsi="Arial"/>
                <w:sz w:val="15"/>
                <w:szCs w:val="15"/>
                <w:i w:val="1"/>
                <w:iCs w:val="1"/>
                <w:color w:val="auto"/>
              </w:rPr>
              <w:t>(5)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Fred Kamal, Ph.D.</w:t>
            </w:r>
          </w:p>
        </w:tc>
        <w:tc>
          <w:tcPr>
            <w:tcW w:w="560" w:type="dxa"/>
            <w:vAlign w:val="bottom"/>
            <w:gridSpan w:val="2"/>
            <w:shd w:val="clear" w:color="auto" w:fill="CCEEFF"/>
          </w:tcPr>
          <w:p>
            <w:pPr>
              <w:ind w:left="160"/>
              <w:spacing w:after="0" w:line="183" w:lineRule="exact"/>
              <w:rPr>
                <w:sz w:val="20"/>
                <w:szCs w:val="20"/>
                <w:color w:val="auto"/>
              </w:rPr>
            </w:pPr>
            <w:r>
              <w:rPr>
                <w:rFonts w:ascii="Arial" w:cs="Arial" w:eastAsia="Arial" w:hAnsi="Arial"/>
                <w:sz w:val="18"/>
                <w:szCs w:val="18"/>
                <w:color w:val="auto"/>
                <w:w w:val="94"/>
              </w:rPr>
              <w:t>2018</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70,303</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9,552</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1,855,340</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19,931</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9,439</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1,964,565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Chief Technical Officer</w:t>
            </w:r>
            <w:r>
              <w:rPr>
                <w:rFonts w:ascii="Arial" w:cs="Arial" w:eastAsia="Arial" w:hAnsi="Arial"/>
                <w:sz w:val="15"/>
                <w:szCs w:val="15"/>
                <w:i w:val="1"/>
                <w:iCs w:val="1"/>
                <w:color w:val="auto"/>
              </w:rPr>
              <w:t>(6)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4" w:lineRule="exact"/>
        <w:rPr>
          <w:sz w:val="20"/>
          <w:szCs w:val="20"/>
          <w:color w:val="auto"/>
        </w:rPr>
      </w:pPr>
    </w:p>
    <w:p>
      <w:pPr>
        <w:ind w:left="640" w:right="40" w:hanging="436"/>
        <w:spacing w:after="0" w:line="241" w:lineRule="auto"/>
        <w:tabs>
          <w:tab w:leader="none" w:pos="6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Amounts represent (i) for Dr. Kirn, $382,500 base salary earned in 2018 and $13,945 paid to him in 2018 in consideration for accrued vacation benefits lost as a result of a decrease in the maximum amount of vacation benefits that employees are able to accrue; (ii) for Dr. Francis, $157,500 consulting fee for services performed in 2018 prior to Dr. Francis’ hire as a full-time employee in August 2018 and $112,500 base salary earned by Dr. Francis in 2018 as a full-time employee; and (iii) for Dr. Kamal, $70,303 base salary earned in 2018.</w:t>
      </w:r>
    </w:p>
    <w:p>
      <w:pPr>
        <w:spacing w:after="0" w:line="1" w:lineRule="exact"/>
        <w:rPr>
          <w:rFonts w:ascii="Arial" w:cs="Arial" w:eastAsia="Arial" w:hAnsi="Arial"/>
          <w:sz w:val="14"/>
          <w:szCs w:val="14"/>
          <w:color w:val="auto"/>
        </w:rPr>
      </w:pPr>
    </w:p>
    <w:p>
      <w:pPr>
        <w:ind w:left="640" w:right="240" w:hanging="436"/>
        <w:spacing w:after="0" w:line="241" w:lineRule="auto"/>
        <w:tabs>
          <w:tab w:leader="none" w:pos="6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Amounts shown represents the grant date fair value of options granted during fiscal year 2018 as calculated in accordance with ASC Topic 718. See Note 12 of the financial statements included in this registration statement for the assumptions used in calculating this amount.</w:t>
      </w:r>
    </w:p>
    <w:p>
      <w:pPr>
        <w:ind w:left="640" w:right="140" w:hanging="436"/>
        <w:spacing w:after="0" w:line="241" w:lineRule="auto"/>
        <w:tabs>
          <w:tab w:leader="none" w:pos="6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Amounts represent the annual performance-based cash bonuses earned by our NEOs based on the achievement of certain corporate performance objectives during 2018. These amounts were paid to the NEOs in early 2019. Please see the descriptions of the annual performance bonuses paid to our named executive officers under “2018 Bonuses” below.</w:t>
      </w:r>
    </w:p>
    <w:p>
      <w:pPr>
        <w:spacing w:after="0" w:line="1" w:lineRule="exact"/>
        <w:rPr>
          <w:rFonts w:ascii="Arial" w:cs="Arial" w:eastAsia="Arial" w:hAnsi="Arial"/>
          <w:sz w:val="14"/>
          <w:szCs w:val="14"/>
          <w:color w:val="auto"/>
        </w:rPr>
      </w:pPr>
    </w:p>
    <w:p>
      <w:pPr>
        <w:ind w:left="640" w:right="340" w:hanging="436"/>
        <w:spacing w:after="0" w:line="241" w:lineRule="auto"/>
        <w:tabs>
          <w:tab w:leader="none" w:pos="6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Amounts represent: (i) for Dr. Kirn, $12,250 for matching contributions made by us under our 401(k) plan; (ii) for Dr. Francis, $43,069 for reimbursements of travel expenses and $3,135 for matching contributions made by us under our 401(k) plan; and (iii) for Dr. Kamal, $9,439 for relocation expenses.</w:t>
      </w:r>
    </w:p>
    <w:p>
      <w:pPr>
        <w:ind w:left="640" w:hanging="436"/>
        <w:spacing w:after="0"/>
        <w:tabs>
          <w:tab w:leader="none" w:pos="6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Dr. Francis commenced employment with us in August 2018, and prior to such time served as a consultant to us.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240" w:top="460" w:right="4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40" w:hanging="436"/>
        <w:spacing w:after="0"/>
        <w:tabs>
          <w:tab w:leader="none" w:pos="6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Dr. Kamal commenced employment with us in October 2018.</w:t>
      </w:r>
    </w:p>
    <w:p>
      <w:pPr>
        <w:spacing w:after="0" w:line="1" w:lineRule="exact"/>
        <w:rPr>
          <w:rFonts w:ascii="Arial" w:cs="Arial" w:eastAsia="Arial" w:hAnsi="Arial"/>
          <w:sz w:val="14"/>
          <w:szCs w:val="14"/>
          <w:color w:val="auto"/>
        </w:rPr>
      </w:pPr>
    </w:p>
    <w:p>
      <w:pPr>
        <w:ind w:left="640" w:hanging="436"/>
        <w:spacing w:after="0"/>
        <w:tabs>
          <w:tab w:leader="none" w:pos="6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Amounts represents discretionary, one-time cash bonuses paid to Drs. Francis and Kamal in late 2018 and early 2019 for their performance during 2018.</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2018 Fiscal Year End</w:t>
      </w:r>
    </w:p>
    <w:p>
      <w:pPr>
        <w:spacing w:after="0" w:line="234" w:lineRule="exact"/>
        <w:rPr>
          <w:sz w:val="20"/>
          <w:szCs w:val="20"/>
          <w:color w:val="auto"/>
        </w:rPr>
      </w:pPr>
    </w:p>
    <w:p>
      <w:pPr>
        <w:ind w:left="200" w:right="540" w:firstLine="551"/>
        <w:spacing w:after="0" w:line="246" w:lineRule="auto"/>
        <w:rPr>
          <w:sz w:val="20"/>
          <w:szCs w:val="20"/>
          <w:color w:val="auto"/>
        </w:rPr>
      </w:pPr>
      <w:r>
        <w:rPr>
          <w:rFonts w:ascii="Arial" w:cs="Arial" w:eastAsia="Arial" w:hAnsi="Arial"/>
          <w:sz w:val="18"/>
          <w:szCs w:val="18"/>
          <w:color w:val="auto"/>
        </w:rPr>
        <w:t>The following table lists all outstanding equity awards held by our NEOs as of December 31, 2018. Dr. Kirn does not hold any outstanding equity awards as of December 31, 2018.</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Option Awards</w:t>
            </w:r>
          </w:p>
        </w:tc>
        <w:tc>
          <w:tcPr>
            <w:tcW w:w="9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2"/>
                <w:szCs w:val="12"/>
                <w:color w:val="auto"/>
              </w:rPr>
            </w:pPr>
          </w:p>
        </w:tc>
        <w:tc>
          <w:tcPr>
            <w:tcW w:w="9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center"/>
              <w:ind w:left="141"/>
              <w:spacing w:after="0"/>
              <w:rPr>
                <w:sz w:val="20"/>
                <w:szCs w:val="20"/>
                <w:color w:val="auto"/>
              </w:rPr>
            </w:pPr>
            <w:r>
              <w:rPr>
                <w:rFonts w:ascii="Arial" w:cs="Arial" w:eastAsia="Arial" w:hAnsi="Arial"/>
                <w:sz w:val="14"/>
                <w:szCs w:val="14"/>
                <w:b w:val="1"/>
                <w:bCs w:val="1"/>
                <w:color w:val="auto"/>
              </w:rPr>
              <w:t>of Securities</w:t>
            </w:r>
          </w:p>
        </w:tc>
        <w:tc>
          <w:tcPr>
            <w:tcW w:w="4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Of Securities</w:t>
            </w: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4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center"/>
              <w:ind w:left="141"/>
              <w:spacing w:after="0"/>
              <w:rPr>
                <w:sz w:val="20"/>
                <w:szCs w:val="20"/>
                <w:color w:val="auto"/>
              </w:rPr>
            </w:pPr>
            <w:r>
              <w:rPr>
                <w:rFonts w:ascii="Arial" w:cs="Arial" w:eastAsia="Arial" w:hAnsi="Arial"/>
                <w:sz w:val="14"/>
                <w:szCs w:val="14"/>
                <w:b w:val="1"/>
                <w:bCs w:val="1"/>
                <w:color w:val="auto"/>
              </w:rPr>
              <w:t>Unexercised</w:t>
            </w:r>
          </w:p>
        </w:tc>
        <w:tc>
          <w:tcPr>
            <w:tcW w:w="4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460" w:type="dxa"/>
            <w:vAlign w:val="bottom"/>
          </w:tcPr>
          <w:p>
            <w:pPr>
              <w:spacing w:after="0"/>
              <w:rPr>
                <w:sz w:val="14"/>
                <w:szCs w:val="14"/>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Option</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gridSpan w:val="2"/>
          </w:tcPr>
          <w:p>
            <w:pPr>
              <w:jc w:val="center"/>
              <w:ind w:right="343"/>
              <w:spacing w:after="0"/>
              <w:rPr>
                <w:sz w:val="20"/>
                <w:szCs w:val="20"/>
                <w:color w:val="auto"/>
              </w:rPr>
            </w:pPr>
            <w:r>
              <w:rPr>
                <w:rFonts w:ascii="Arial" w:cs="Arial" w:eastAsia="Arial" w:hAnsi="Arial"/>
                <w:sz w:val="14"/>
                <w:szCs w:val="14"/>
                <w:b w:val="1"/>
                <w:bCs w:val="1"/>
                <w:color w:val="auto"/>
              </w:rPr>
              <w:t>Vesting</w:t>
            </w:r>
          </w:p>
        </w:tc>
        <w:tc>
          <w:tcPr>
            <w:tcW w:w="2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4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15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Exercise</w:t>
            </w: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59"/>
        </w:trPr>
        <w:tc>
          <w:tcPr>
            <w:tcW w:w="3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700" w:type="dxa"/>
            <w:vAlign w:val="bottom"/>
            <w:gridSpan w:val="3"/>
          </w:tcPr>
          <w:p>
            <w:pPr>
              <w:jc w:val="center"/>
              <w:ind w:left="656"/>
              <w:spacing w:after="0" w:line="159" w:lineRule="exact"/>
              <w:rPr>
                <w:sz w:val="20"/>
                <w:szCs w:val="20"/>
                <w:color w:val="auto"/>
              </w:rPr>
            </w:pPr>
            <w:r>
              <w:rPr>
                <w:rFonts w:ascii="Arial" w:cs="Arial" w:eastAsia="Arial" w:hAnsi="Arial"/>
                <w:sz w:val="14"/>
                <w:szCs w:val="14"/>
                <w:b w:val="1"/>
                <w:bCs w:val="1"/>
                <w:color w:val="auto"/>
              </w:rPr>
              <w:t>Commencement</w:t>
            </w:r>
          </w:p>
        </w:tc>
        <w:tc>
          <w:tcPr>
            <w:tcW w:w="240" w:type="dxa"/>
            <w:vAlign w:val="bottom"/>
          </w:tcPr>
          <w:p>
            <w:pPr>
              <w:spacing w:after="0"/>
              <w:rPr>
                <w:sz w:val="13"/>
                <w:szCs w:val="13"/>
                <w:color w:val="auto"/>
              </w:rPr>
            </w:pPr>
          </w:p>
        </w:tc>
        <w:tc>
          <w:tcPr>
            <w:tcW w:w="8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Exercisable</w:t>
            </w:r>
          </w:p>
        </w:tc>
        <w:tc>
          <w:tcPr>
            <w:tcW w:w="1440" w:type="dxa"/>
            <w:vAlign w:val="bottom"/>
            <w:gridSpan w:val="2"/>
          </w:tcPr>
          <w:p>
            <w:pPr>
              <w:jc w:val="center"/>
              <w:ind w:left="379"/>
              <w:spacing w:after="0" w:line="159" w:lineRule="exact"/>
              <w:rPr>
                <w:sz w:val="20"/>
                <w:szCs w:val="20"/>
                <w:color w:val="auto"/>
              </w:rPr>
            </w:pPr>
            <w:r>
              <w:rPr>
                <w:rFonts w:ascii="Arial" w:cs="Arial" w:eastAsia="Arial" w:hAnsi="Arial"/>
                <w:sz w:val="14"/>
                <w:szCs w:val="14"/>
                <w:b w:val="1"/>
                <w:bCs w:val="1"/>
                <w:color w:val="auto"/>
              </w:rPr>
              <w:t>Unexercisable</w:t>
            </w:r>
          </w:p>
        </w:tc>
        <w:tc>
          <w:tcPr>
            <w:tcW w:w="460" w:type="dxa"/>
            <w:vAlign w:val="bottom"/>
          </w:tcPr>
          <w:p>
            <w:pPr>
              <w:spacing w:after="0"/>
              <w:rPr>
                <w:sz w:val="13"/>
                <w:szCs w:val="13"/>
                <w:color w:val="auto"/>
              </w:rPr>
            </w:pPr>
          </w:p>
        </w:tc>
        <w:tc>
          <w:tcPr>
            <w:tcW w:w="1060" w:type="dxa"/>
            <w:vAlign w:val="bottom"/>
            <w:gridSpan w:val="2"/>
          </w:tcPr>
          <w:p>
            <w:pPr>
              <w:jc w:val="center"/>
              <w:ind w:right="460"/>
              <w:spacing w:after="0" w:line="159" w:lineRule="exact"/>
              <w:rPr>
                <w:sz w:val="20"/>
                <w:szCs w:val="20"/>
                <w:color w:val="auto"/>
              </w:rPr>
            </w:pPr>
            <w:r>
              <w:rPr>
                <w:rFonts w:ascii="Arial" w:cs="Arial" w:eastAsia="Arial" w:hAnsi="Arial"/>
                <w:sz w:val="14"/>
                <w:szCs w:val="14"/>
                <w:b w:val="1"/>
                <w:bCs w:val="1"/>
                <w:color w:val="auto"/>
              </w:rPr>
              <w:t>Price</w:t>
            </w:r>
          </w:p>
        </w:tc>
        <w:tc>
          <w:tcPr>
            <w:tcW w:w="102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65"/>
        </w:trPr>
        <w:tc>
          <w:tcPr>
            <w:tcW w:w="3260" w:type="dxa"/>
            <w:vAlign w:val="bottom"/>
            <w:gridSpan w:val="3"/>
            <w:vMerge w:val="continue"/>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gridSpan w:val="2"/>
          </w:tcPr>
          <w:p>
            <w:pPr>
              <w:jc w:val="center"/>
              <w:ind w:right="343"/>
              <w:spacing w:after="0" w:line="165" w:lineRule="exact"/>
              <w:rPr>
                <w:sz w:val="20"/>
                <w:szCs w:val="20"/>
                <w:color w:val="auto"/>
              </w:rPr>
            </w:pPr>
            <w:r>
              <w:rPr>
                <w:rFonts w:ascii="Arial" w:cs="Arial" w:eastAsia="Arial" w:hAnsi="Arial"/>
                <w:sz w:val="12"/>
                <w:szCs w:val="12"/>
                <w:b w:val="1"/>
                <w:bCs w:val="1"/>
                <w:color w:val="auto"/>
              </w:rPr>
              <w:t>Date</w:t>
            </w:r>
            <w:r>
              <w:rPr>
                <w:rFonts w:ascii="Arial" w:cs="Arial" w:eastAsia="Arial" w:hAnsi="Arial"/>
                <w:sz w:val="19"/>
                <w:szCs w:val="19"/>
                <w:b w:val="1"/>
                <w:bCs w:val="1"/>
                <w:color w:val="auto"/>
                <w:vertAlign w:val="superscript"/>
              </w:rPr>
              <w:t>(1)</w:t>
            </w:r>
          </w:p>
        </w:tc>
        <w:tc>
          <w:tcPr>
            <w:tcW w:w="1100" w:type="dxa"/>
            <w:vAlign w:val="bottom"/>
            <w:gridSpan w:val="2"/>
          </w:tcPr>
          <w:p>
            <w:pPr>
              <w:jc w:val="center"/>
              <w:ind w:left="141"/>
              <w:spacing w:after="0"/>
              <w:rPr>
                <w:sz w:val="20"/>
                <w:szCs w:val="20"/>
                <w:color w:val="auto"/>
              </w:rPr>
            </w:pPr>
            <w:r>
              <w:rPr>
                <w:rFonts w:ascii="Arial" w:cs="Arial" w:eastAsia="Arial" w:hAnsi="Arial"/>
                <w:sz w:val="14"/>
                <w:szCs w:val="14"/>
                <w:b w:val="1"/>
                <w:bCs w:val="1"/>
                <w:color w:val="auto"/>
                <w:w w:val="93"/>
              </w:rPr>
              <w:t>(#)</w:t>
            </w:r>
          </w:p>
        </w:tc>
        <w:tc>
          <w:tcPr>
            <w:tcW w:w="1440" w:type="dxa"/>
            <w:vAlign w:val="bottom"/>
            <w:gridSpan w:val="2"/>
          </w:tcPr>
          <w:p>
            <w:pPr>
              <w:jc w:val="center"/>
              <w:ind w:left="379"/>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center"/>
              <w:ind w:left="359"/>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2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Peter Francis, M.D., Ph.D.</w:t>
            </w:r>
          </w:p>
        </w:tc>
        <w:tc>
          <w:tcPr>
            <w:tcW w:w="1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9/30/2016</w:t>
            </w:r>
          </w:p>
        </w:tc>
        <w:tc>
          <w:tcPr>
            <w:tcW w:w="420" w:type="dxa"/>
            <w:vAlign w:val="bottom"/>
            <w:shd w:val="clear" w:color="auto" w:fill="CCEEFF"/>
          </w:tcPr>
          <w:p>
            <w:pPr>
              <w:jc w:val="right"/>
              <w:ind w:right="163"/>
              <w:spacing w:after="0" w:line="168" w:lineRule="exact"/>
              <w:rPr>
                <w:sz w:val="20"/>
                <w:szCs w:val="20"/>
                <w:color w:val="auto"/>
              </w:rPr>
            </w:pPr>
            <w:r>
              <w:rPr>
                <w:rFonts w:ascii="Arial" w:cs="Arial" w:eastAsia="Arial" w:hAnsi="Arial"/>
                <w:sz w:val="15"/>
                <w:szCs w:val="15"/>
                <w:color w:val="auto"/>
                <w:w w:val="87"/>
              </w:rPr>
              <w:t>(2)</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37,830</w:t>
            </w: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37,170</w:t>
            </w:r>
          </w:p>
        </w:tc>
        <w:tc>
          <w:tcPr>
            <w:tcW w:w="4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3.19</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4/19/2028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gridSpan w:val="2"/>
          </w:tcPr>
          <w:p>
            <w:pPr>
              <w:spacing w:after="0" w:line="201" w:lineRule="exact"/>
              <w:rPr>
                <w:sz w:val="20"/>
                <w:szCs w:val="20"/>
                <w:color w:val="auto"/>
              </w:rPr>
            </w:pPr>
            <w:r>
              <w:rPr>
                <w:rFonts w:ascii="Arial" w:cs="Arial" w:eastAsia="Arial" w:hAnsi="Arial"/>
                <w:sz w:val="18"/>
                <w:szCs w:val="18"/>
                <w:color w:val="auto"/>
              </w:rPr>
              <w:t>Fred Kamal, Ph.D.</w:t>
            </w:r>
          </w:p>
        </w:tc>
        <w:tc>
          <w:tcPr>
            <w:tcW w:w="22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10/11/2018</w:t>
            </w:r>
          </w:p>
        </w:tc>
        <w:tc>
          <w:tcPr>
            <w:tcW w:w="420" w:type="dxa"/>
            <w:vAlign w:val="bottom"/>
          </w:tcPr>
          <w:p>
            <w:pPr>
              <w:spacing w:after="0"/>
              <w:rPr>
                <w:sz w:val="17"/>
                <w:szCs w:val="17"/>
                <w:color w:val="auto"/>
              </w:rPr>
            </w:pP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w:t>
            </w:r>
          </w:p>
        </w:tc>
        <w:tc>
          <w:tcPr>
            <w:tcW w:w="14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214,887</w:t>
            </w: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8.27</w:t>
            </w:r>
          </w:p>
        </w:tc>
        <w:tc>
          <w:tcPr>
            <w:tcW w:w="4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10/11/2028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10/11/2018</w:t>
            </w:r>
          </w:p>
        </w:tc>
        <w:tc>
          <w:tcPr>
            <w:tcW w:w="4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71,930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8.27</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12/19/2028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7632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3" w:lineRule="exact"/>
        <w:rPr>
          <w:sz w:val="20"/>
          <w:szCs w:val="20"/>
          <w:color w:val="auto"/>
        </w:rPr>
      </w:pPr>
    </w:p>
    <w:p>
      <w:pPr>
        <w:ind w:left="640" w:right="180" w:hanging="436"/>
        <w:spacing w:after="0" w:line="198" w:lineRule="auto"/>
        <w:tabs>
          <w:tab w:leader="none" w:pos="6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Except as otherwise noted, options vest as to 25% of the shares on the one year anniversary of the vesting commencement date and vest as to 1/48</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of the shares monthly thereafter, such that all awards will be vested on the four year anniversary of the vesting commencement date, subject to the holder continuing to provide services to us through such vesting date.</w:t>
      </w:r>
    </w:p>
    <w:p>
      <w:pPr>
        <w:ind w:left="640" w:right="160" w:hanging="436"/>
        <w:spacing w:after="0" w:line="258" w:lineRule="auto"/>
        <w:tabs>
          <w:tab w:leader="none" w:pos="6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options vested as to 11,280 of the shares on the one year anniversary of the vesting commencement date and vest as to 1,770 of the remaining shares monthly thereafter, subject to the holder continuing to provide services through such vesting date.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Salaries</w:t>
      </w:r>
    </w:p>
    <w:p>
      <w:pPr>
        <w:spacing w:after="0" w:line="126" w:lineRule="exact"/>
        <w:rPr>
          <w:sz w:val="20"/>
          <w:szCs w:val="20"/>
          <w:color w:val="auto"/>
        </w:rPr>
      </w:pPr>
    </w:p>
    <w:p>
      <w:pPr>
        <w:ind w:left="200" w:right="60" w:firstLine="551"/>
        <w:spacing w:after="0" w:line="275" w:lineRule="auto"/>
        <w:rPr>
          <w:sz w:val="20"/>
          <w:szCs w:val="20"/>
          <w:color w:val="auto"/>
        </w:rPr>
      </w:pPr>
      <w:r>
        <w:rPr>
          <w:rFonts w:ascii="Arial" w:cs="Arial" w:eastAsia="Arial" w:hAnsi="Arial"/>
          <w:sz w:val="17"/>
          <w:szCs w:val="17"/>
          <w:color w:val="auto"/>
        </w:rPr>
        <w:t>Our NEOs each receive a base salary to compensate them for services rendered to our company. The base salary payable to each NEO is intended to provide a fixed component of compensation reflecting the executive’s skill set, experience, role and responsibilities.</w:t>
      </w:r>
    </w:p>
    <w:p>
      <w:pPr>
        <w:spacing w:after="0" w:line="173" w:lineRule="exact"/>
        <w:rPr>
          <w:sz w:val="20"/>
          <w:szCs w:val="20"/>
          <w:color w:val="auto"/>
        </w:rPr>
      </w:pPr>
    </w:p>
    <w:p>
      <w:pPr>
        <w:ind w:left="200" w:right="480" w:firstLine="551"/>
        <w:spacing w:after="0"/>
        <w:rPr>
          <w:sz w:val="20"/>
          <w:szCs w:val="20"/>
          <w:color w:val="auto"/>
        </w:rPr>
      </w:pPr>
      <w:r>
        <w:rPr>
          <w:rFonts w:ascii="Arial" w:cs="Arial" w:eastAsia="Arial" w:hAnsi="Arial"/>
          <w:sz w:val="18"/>
          <w:szCs w:val="18"/>
          <w:color w:val="auto"/>
        </w:rPr>
        <w:t>For fiscal year 2018, Dr. Kirn’s annual base salary was $375,000 from January 1, 2018 to March 31, 2018, and $385,000 from April 1, 2018 to December 31, 2018. Drs. Francis’ and Kamal’s base salaries were prorated for their start dates in August 2018 and October 2018, respectively.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Bonuses</w:t>
      </w:r>
    </w:p>
    <w:p>
      <w:pPr>
        <w:spacing w:after="0" w:line="126"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We maintain an annual performance-based cash bonus program in which each of our NEOs participated in 2018. Each NEO’s target bonus is expressed as a percentage of base salary which can be achieved by meeting company goals at target level. The 2018 annual bonuses for Drs. Kirn, Francis and Kamal were targeted at 40%, 30% and 35%, respectively, of their respective base salaries. Our board of directors has historically reviewed these target percentages to ensure they are adequate, but does not follow a formula. Instead, our board of directors set these rates based on each NEO’s experience in their role with us and the level of responsibility held by the NEO, which we believe directly correlates to their ability to influence corporate results.</w:t>
      </w:r>
    </w:p>
    <w:p>
      <w:pPr>
        <w:spacing w:after="0" w:line="205" w:lineRule="exact"/>
        <w:rPr>
          <w:sz w:val="20"/>
          <w:szCs w:val="20"/>
          <w:color w:val="auto"/>
        </w:rPr>
      </w:pPr>
    </w:p>
    <w:p>
      <w:pPr>
        <w:ind w:left="200" w:right="80" w:firstLine="551"/>
        <w:spacing w:after="0" w:line="275" w:lineRule="auto"/>
        <w:rPr>
          <w:sz w:val="20"/>
          <w:szCs w:val="20"/>
          <w:color w:val="auto"/>
        </w:rPr>
      </w:pPr>
      <w:r>
        <w:rPr>
          <w:rFonts w:ascii="Arial" w:cs="Arial" w:eastAsia="Arial" w:hAnsi="Arial"/>
          <w:sz w:val="17"/>
          <w:szCs w:val="17"/>
          <w:color w:val="auto"/>
        </w:rPr>
        <w:t>For determining performance bonus amounts, our board of directors set certain corporate performance goals after receiving input from our Chief Executive Officer. The performance goals generally relate to product development and other goals relating to our business.</w:t>
      </w:r>
    </w:p>
    <w:p>
      <w:pPr>
        <w:spacing w:after="0" w:line="173"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Following its review and determinations of corporate performance for 2018, our board of directors determined an achievement level of 90% for each NEO. The actual amount of the cash bonuses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240" w:top="459" w:right="4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60"/>
        <w:spacing w:after="0" w:line="246" w:lineRule="auto"/>
        <w:rPr>
          <w:sz w:val="20"/>
          <w:szCs w:val="20"/>
          <w:color w:val="auto"/>
        </w:rPr>
      </w:pPr>
      <w:r>
        <w:rPr>
          <w:rFonts w:ascii="Arial" w:cs="Arial" w:eastAsia="Arial" w:hAnsi="Arial"/>
          <w:sz w:val="18"/>
          <w:szCs w:val="18"/>
          <w:color w:val="auto"/>
        </w:rPr>
        <w:t>awarded to each NEO for 2018 performance are set forth above in the Summary Compensation Table in the column titled “Non-Equity Incentive Plan Compensation.”</w:t>
      </w:r>
    </w:p>
    <w:p>
      <w:pPr>
        <w:spacing w:after="0" w:line="197" w:lineRule="exact"/>
        <w:rPr>
          <w:sz w:val="20"/>
          <w:szCs w:val="20"/>
          <w:color w:val="auto"/>
        </w:rPr>
      </w:pPr>
    </w:p>
    <w:p>
      <w:pPr>
        <w:ind w:left="200" w:right="320" w:firstLine="551"/>
        <w:spacing w:after="0"/>
        <w:rPr>
          <w:sz w:val="20"/>
          <w:szCs w:val="20"/>
          <w:color w:val="auto"/>
        </w:rPr>
      </w:pPr>
      <w:r>
        <w:rPr>
          <w:rFonts w:ascii="Arial" w:cs="Arial" w:eastAsia="Arial" w:hAnsi="Arial"/>
          <w:sz w:val="18"/>
          <w:szCs w:val="18"/>
          <w:color w:val="auto"/>
        </w:rPr>
        <w:t>In addition, in late 2018 and early 2019, we awarded to Drs. Francis and Kamal discretionary bonuses, in consideration for their services to us through 2018. No other NEO received any discretionary bonus for their service in 2018. The one-time cash bonuses awarded to Drs. Francis and Kamal are set forth above in the Summary Compensation Table in the column titled “Bonus.”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 October and December 2018, we granted to Dr. Kamal options to purchase an aggregate of 286,817 shares of our common stock. Each option vests and becomes exercisable as to 25% of the shares on the one year anniversary of October 11, 2018 and vest as to 1/48</w:t>
      </w:r>
      <w:r>
        <w:rPr>
          <w:rFonts w:ascii="Arial" w:cs="Arial" w:eastAsia="Arial" w:hAnsi="Arial"/>
          <w:sz w:val="15"/>
          <w:szCs w:val="15"/>
          <w:color w:val="auto"/>
        </w:rPr>
        <w:t>th</w:t>
      </w:r>
      <w:r>
        <w:rPr>
          <w:rFonts w:ascii="Arial" w:cs="Arial" w:eastAsia="Arial" w:hAnsi="Arial"/>
          <w:sz w:val="18"/>
          <w:szCs w:val="18"/>
          <w:color w:val="auto"/>
        </w:rPr>
        <w:t xml:space="preserve"> of the shares monthly thereafter, subject to his continued service through the applicable vesting date. The exercise price per share for each option was $8.27, which was the fair market value of our common stock as of the date of grant. In April 2018, we granted to Dr. Francis options to purchase an aggregate of 75,000 shares of our common stock. The option vests and becomes exercisable as to 11,280 of the shares on the one year anniversary of September 30, 2016 and vest as to 1,770 of the remaining shares monthly thereafter, subject to his continued service through the applicable vesting date. The exercise price per share for each option was $3.19, which was the fair market value of our common stock as of the date of grant.</w:t>
      </w:r>
    </w:p>
    <w:p>
      <w:pPr>
        <w:spacing w:after="0" w:line="208"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We intend to adopt the 2019 Plan, in order to facilitate the grant of cash and equity incentives to directors, employees (including our NEOs) and consultants of our company and certain of its affiliates and to enable us to obtain and retain services of these individuals, which is essential to our long-term success. We expect that the 2019 Plan will be effective on the date on which it is adopted by our board of directors, subject to approval of such plan by our stockholders. For additional information about the 2019 Plan, please see the section titled “Equity Compensation Plans” below.</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Elements of Compensation</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Retirement Savings and Health and Welfare Benefits</w:t>
      </w:r>
    </w:p>
    <w:p>
      <w:pPr>
        <w:spacing w:after="0" w:line="126"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We currently maintain a 401(k) retirement savings plan for our employees, including our NEOs, who satisfy certain eligibility requirements. Our NEOs are eligible to participate in the 401(k) plan on the same terms as other full-time employees. We make matching contributions equal to 50% of employee contributions of the first ten percent of compensation. Matching contributions will vest annually over 4 years. We believe that providing a vehicle for tax-deferred retirement savings though our 401(k) plan adds to the overall desirability of our executive compensation package and further incentivizes our employees, including our NEOs, in accordance with our compensation policies.</w:t>
      </w:r>
    </w:p>
    <w:p>
      <w:pPr>
        <w:spacing w:after="0" w:line="205" w:lineRule="exact"/>
        <w:rPr>
          <w:sz w:val="20"/>
          <w:szCs w:val="20"/>
          <w:color w:val="auto"/>
        </w:rPr>
      </w:pPr>
    </w:p>
    <w:p>
      <w:pPr>
        <w:ind w:left="200" w:right="100" w:firstLine="551"/>
        <w:spacing w:after="0"/>
        <w:rPr>
          <w:sz w:val="20"/>
          <w:szCs w:val="20"/>
          <w:color w:val="auto"/>
        </w:rPr>
      </w:pPr>
      <w:r>
        <w:rPr>
          <w:rFonts w:ascii="Arial" w:cs="Arial" w:eastAsia="Arial" w:hAnsi="Arial"/>
          <w:sz w:val="18"/>
          <w:szCs w:val="18"/>
          <w:color w:val="auto"/>
        </w:rPr>
        <w:t>All of our full-time employees, including our NEOs, are eligible to participate in our health and welfare plans, including medical, dental and vision benefits; medical and dependent care flexible spending accounts; short-term and long-term disability insurance; and life and AD&amp;D insurance.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26"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We provide limited perquisites to our NEOs, such as the reimbursement of Dr. Kamal’s relocation expenses and Dr. Francis’ travel reimbursements, when our compensation committee determines that such perquisites are necessary or advisable to fairly compensate or incentivize our employees. We reimbursed Dr. Kamal in the amount of $ 9,439 in 2018 for expenses he incurred in connection with his relocation to California related to his commencement of employment. In addition, we reimbursed Dr. Francis in the amount of $43,069 in 2018 for travel-related expenses incurred in connection with his travel between his home office in Oregon and our headquarters in California.</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00"/>
          </w:cols>
          <w:pgMar w:left="24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Compensation Arrangements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26"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color w:val="auto"/>
        </w:rPr>
        <w:t>As of December 31, 2018, we were party to offer letters with each of our NEOs, which set forth their initial base salary, annual bonus opportunity, initial stock option grant, benefit plans participation and the other benefits noted below for each NEO. In addition, as described below under the heading “—</w:t>
      </w:r>
      <w:r>
        <w:rPr>
          <w:rFonts w:ascii="Arial" w:cs="Arial" w:eastAsia="Arial" w:hAnsi="Arial"/>
          <w:sz w:val="18"/>
          <w:szCs w:val="18"/>
          <w:i w:val="1"/>
          <w:iCs w:val="1"/>
          <w:color w:val="auto"/>
        </w:rPr>
        <w:t>Severance Agreements</w:t>
      </w:r>
      <w:r>
        <w:rPr>
          <w:rFonts w:ascii="Arial" w:cs="Arial" w:eastAsia="Arial" w:hAnsi="Arial"/>
          <w:sz w:val="18"/>
          <w:szCs w:val="18"/>
          <w:color w:val="auto"/>
        </w:rPr>
        <w:t>,” we intend to enter into new severance agreements with all of our named executive officers, which agreements supersede and replace the severance benefits set forth in their respective offer letters described herein.</w:t>
      </w:r>
    </w:p>
    <w:p>
      <w:pPr>
        <w:spacing w:after="0" w:line="185" w:lineRule="exact"/>
        <w:rPr>
          <w:sz w:val="20"/>
          <w:szCs w:val="20"/>
          <w:color w:val="auto"/>
        </w:rPr>
      </w:pPr>
    </w:p>
    <w:p>
      <w:pPr>
        <w:ind w:left="200" w:firstLine="551"/>
        <w:spacing w:after="0"/>
        <w:rPr>
          <w:sz w:val="20"/>
          <w:szCs w:val="20"/>
          <w:color w:val="auto"/>
        </w:rPr>
      </w:pPr>
      <w:r>
        <w:rPr>
          <w:rFonts w:ascii="Arial" w:cs="Arial" w:eastAsia="Arial" w:hAnsi="Arial"/>
          <w:sz w:val="18"/>
          <w:szCs w:val="18"/>
          <w:i w:val="1"/>
          <w:iCs w:val="1"/>
          <w:color w:val="auto"/>
        </w:rPr>
        <w:t xml:space="preserve">David Kirn, M.D. </w:t>
      </w:r>
      <w:r>
        <w:rPr>
          <w:rFonts w:ascii="Arial" w:cs="Arial" w:eastAsia="Arial" w:hAnsi="Arial"/>
          <w:sz w:val="18"/>
          <w:szCs w:val="18"/>
          <w:color w:val="auto"/>
        </w:rPr>
        <w:t>In addition to the above, Dr. Kirn is eligible to receive certain severance benefits upon qualifying terminations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offer letter. In the event we terminate Dr. Kirn other than for cause or Dr. Kirn resigns for good reason, then (i) he will receive a lump sum payment equal to 12 months of his base salary, (ii) a lump sum cash payment equal to his prorated annual target bonus for the year in which the termination occurs and (iii) reimbursement of COBRA premiums for up to 12 months. The severance benefits set forth above are subject to his timely execution and non-revocation of a general release of claims against us. In addition, effective as of late 2018, the board approved that Dr. Kirn is also eligible for 100% accelerated vesting of any of his outstanding equity awards upon a change in control, subject to his continued employment through such date.</w:t>
      </w:r>
    </w:p>
    <w:p>
      <w:pPr>
        <w:spacing w:after="0" w:line="185" w:lineRule="exact"/>
        <w:rPr>
          <w:sz w:val="20"/>
          <w:szCs w:val="20"/>
          <w:color w:val="auto"/>
        </w:rPr>
      </w:pPr>
    </w:p>
    <w:p>
      <w:pPr>
        <w:ind w:left="200" w:right="180" w:firstLine="551"/>
        <w:spacing w:after="0" w:line="241" w:lineRule="auto"/>
        <w:rPr>
          <w:sz w:val="20"/>
          <w:szCs w:val="20"/>
          <w:color w:val="auto"/>
        </w:rPr>
      </w:pPr>
      <w:r>
        <w:rPr>
          <w:rFonts w:ascii="Arial" w:cs="Arial" w:eastAsia="Arial" w:hAnsi="Arial"/>
          <w:sz w:val="18"/>
          <w:szCs w:val="18"/>
          <w:i w:val="1"/>
          <w:iCs w:val="1"/>
          <w:color w:val="auto"/>
        </w:rPr>
        <w:t xml:space="preserve">Peter Francis, M.D., Ph.D. </w:t>
      </w:r>
      <w:r>
        <w:rPr>
          <w:rFonts w:ascii="Arial" w:cs="Arial" w:eastAsia="Arial" w:hAnsi="Arial"/>
          <w:sz w:val="18"/>
          <w:szCs w:val="18"/>
          <w:color w:val="auto"/>
        </w:rPr>
        <w:t>In addition to the above, effective as of Dr. Francis’ promotion in early 2019, Dr. Francis is eligible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certain severance benefits upon qualifying terminations under the offer letter. In the event we terminate Dr. Francis other than for cause or Dr. Francis resigns for good reason, then (i) he will receive a lump sum payment equal to 9 months of his base salary and</w:t>
      </w:r>
    </w:p>
    <w:p>
      <w:pPr>
        <w:spacing w:after="0" w:line="2" w:lineRule="exact"/>
        <w:rPr>
          <w:sz w:val="20"/>
          <w:szCs w:val="20"/>
          <w:color w:val="auto"/>
        </w:rPr>
      </w:pPr>
    </w:p>
    <w:p>
      <w:pPr>
        <w:ind w:left="200" w:right="20" w:firstLine="4"/>
        <w:spacing w:after="0"/>
        <w:tabs>
          <w:tab w:leader="none" w:pos="45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reimbursement of COBRA premiums for up to 9 months. In addition to the severance benefits above, in the event we undergo a change in control, he will receive accelerated vesting of 100% of the then-unvested equity awards held by him. The severance benefits set forth above are subject to his timely execution and non-revocation of a general release of claims against us.</w:t>
      </w:r>
    </w:p>
    <w:p>
      <w:pPr>
        <w:spacing w:after="0" w:line="203" w:lineRule="exact"/>
        <w:rPr>
          <w:sz w:val="20"/>
          <w:szCs w:val="20"/>
          <w:color w:val="auto"/>
        </w:rPr>
      </w:pPr>
    </w:p>
    <w:p>
      <w:pPr>
        <w:ind w:left="200" w:right="300" w:firstLine="551"/>
        <w:spacing w:after="0" w:line="238" w:lineRule="auto"/>
        <w:rPr>
          <w:sz w:val="20"/>
          <w:szCs w:val="20"/>
          <w:color w:val="auto"/>
        </w:rPr>
      </w:pPr>
      <w:r>
        <w:rPr>
          <w:rFonts w:ascii="Arial" w:cs="Arial" w:eastAsia="Arial" w:hAnsi="Arial"/>
          <w:sz w:val="18"/>
          <w:szCs w:val="18"/>
          <w:color w:val="auto"/>
        </w:rPr>
        <w:t>Prior to Dr. Francis becoming an employee in August 2018, he was party to a consulting agreement. The consulting agreement provided for Dr. Francis to provide research and advisory services on our internal retinal program. In consideration for these services, Dr. Francis was entitled to a fixed fee of $22,500 per month, as well as a discretionary performance bonus, the payment and amount of which was subject to approval by our board of directors. The consulting agreement was superseded in full by his offer letter when he became an employee.</w:t>
      </w:r>
    </w:p>
    <w:p>
      <w:pPr>
        <w:spacing w:after="0" w:line="185"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i w:val="1"/>
          <w:iCs w:val="1"/>
          <w:color w:val="auto"/>
        </w:rPr>
        <w:t xml:space="preserve">Fred Kamal, Ph.D. </w:t>
      </w:r>
      <w:r>
        <w:rPr>
          <w:rFonts w:ascii="Arial" w:cs="Arial" w:eastAsia="Arial" w:hAnsi="Arial"/>
          <w:sz w:val="18"/>
          <w:szCs w:val="18"/>
          <w:color w:val="auto"/>
        </w:rPr>
        <w:t>In addition to the above, Dr. Kamal is eligible to receive certain severance benefits upon qualifying terminations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offer letter. In the event we terminate Dr. Kamal other than for cause or Dr. Kamal resigns for good reason, in any case, outside of 1 month prior to, or 12 months following a change in control (as defined in the 2015 Plan), then he will receive (i) a lump sum payment equal to 9 months of his base salary and (ii) reimbursement of COBRA premiums for up to 9 months. In the event we terminate Dr. Kamal other than for cause or Dr. Kamal resigns for good reason, in any case, within the 1 month prior to or the 12 months following a change in control, then, in addition to the benefits in (i) and (ii) above, he will receive accelerated vesting of 100% of the then-unvested equity awards held by him. The severance benefits set forth above are subject to his timely execution and non-revocation of a general release of claims against us and continued compliance with the Confidential Information and Invention Assignment Agreement.</w:t>
      </w:r>
    </w:p>
    <w:p>
      <w:pPr>
        <w:spacing w:after="0" w:line="206" w:lineRule="exact"/>
        <w:rPr>
          <w:sz w:val="20"/>
          <w:szCs w:val="20"/>
          <w:color w:val="auto"/>
        </w:rPr>
      </w:pPr>
    </w:p>
    <w:p>
      <w:pPr>
        <w:jc w:val="both"/>
        <w:ind w:left="200" w:right="280" w:firstLine="551"/>
        <w:spacing w:after="0"/>
        <w:rPr>
          <w:sz w:val="20"/>
          <w:szCs w:val="20"/>
          <w:color w:val="auto"/>
        </w:rPr>
      </w:pPr>
      <w:r>
        <w:rPr>
          <w:rFonts w:ascii="Arial" w:cs="Arial" w:eastAsia="Arial" w:hAnsi="Arial"/>
          <w:sz w:val="18"/>
          <w:szCs w:val="18"/>
          <w:color w:val="auto"/>
        </w:rPr>
        <w:t>For the purposes of Drs. Kirn’s and Francis’ offer letters, “cause” is defined as (i) their material failure to perform their principally assigned duties or responsibilities as an employee, director or consultant (other than a failure resulting from disability (as defined under Section 22(e)(3) of the Code); provided that, the failure to achieve certain results, such as the our business plan, in and of itself,</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would not constitute “cause”; (ii) their engaging in any act of dishonesty, fraud or material misrepresentation; (iii) their violation of any federal or state law or regulation applicable to our business that results in or could reasonably be expected to result in harm or creates material risk, as determined by the board of directors; (iv) their breach of any confidentiality agreement or invention assignment agreement, or any other material contract made between us and them or violation of any of our written policies; or (v) their being convicted of, or entering a plea of nolo contendere to, any crime or committing any act of moral turpitude. In the case of (i) above, we shall not terminate Drs. Kirn or Francis without first providing them with written notice of the acts or omissions constituting the grounds for such termination and expiration of a reasonable cure period not to exceed thirty 30 days following the date of such notice if we reasonably judge that such failure may be cured within 30 days.</w:t>
      </w:r>
    </w:p>
    <w:p>
      <w:pPr>
        <w:spacing w:after="0" w:line="208" w:lineRule="exact"/>
        <w:rPr>
          <w:sz w:val="20"/>
          <w:szCs w:val="20"/>
          <w:color w:val="auto"/>
        </w:rPr>
      </w:pPr>
    </w:p>
    <w:p>
      <w:pPr>
        <w:ind w:left="200" w:right="100" w:firstLine="551"/>
        <w:spacing w:after="0" w:line="234" w:lineRule="auto"/>
        <w:rPr>
          <w:sz w:val="20"/>
          <w:szCs w:val="20"/>
          <w:color w:val="auto"/>
        </w:rPr>
      </w:pPr>
      <w:r>
        <w:rPr>
          <w:rFonts w:ascii="Arial" w:cs="Arial" w:eastAsia="Arial" w:hAnsi="Arial"/>
          <w:sz w:val="18"/>
          <w:szCs w:val="18"/>
          <w:color w:val="auto"/>
        </w:rPr>
        <w:t>For the purposes of Dr. Kamal’s offer letter, “cause” is defined as (i) his material failure to perform his principally assigned duties or responsibilities as an employee, director or consultant (other than a failure resulting from disability (as defined under Section 22(e)(3) of the Code); provided that, the failure to achieve certain results, such as our business plan, in and of itself, would not constitute “cause”;</w:t>
      </w:r>
    </w:p>
    <w:p>
      <w:pPr>
        <w:spacing w:after="0" w:line="2" w:lineRule="exact"/>
        <w:rPr>
          <w:sz w:val="20"/>
          <w:szCs w:val="20"/>
          <w:color w:val="auto"/>
        </w:rPr>
      </w:pPr>
    </w:p>
    <w:p>
      <w:pPr>
        <w:ind w:left="200" w:right="40" w:firstLine="4"/>
        <w:spacing w:after="0" w:line="248" w:lineRule="auto"/>
        <w:tabs>
          <w:tab w:leader="none" w:pos="45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his engaging in any act of dishonesty, fraud or material misrepresentation; (iii) his violation of any federal or state law or regulation applicable to our business that results in or could reasonably be expected to result in harm, or creates material risk, as determined by the board of directors; (iv) his breach of any confidentiality agreement or invention assignment agreement, or any other material contract between him and us or his violation of any of our written policies (or any of our affiliates); (v) his being convicted of, or entering a plea of nolo contendere to, any crime or committing any act of moral turpitude; or (vi) his commission of any act or involvement in any situation, or occurrence, which brings him into widespread public disrepute, contempt, scandal or ridicule, or which justifiably shocks, insults or offends a significant portion of the community, or his being subject to publicity for any such conduct or involvement in such conduct. In the case of</w:t>
      </w:r>
    </w:p>
    <w:p>
      <w:pPr>
        <w:spacing w:after="0" w:line="4" w:lineRule="exact"/>
        <w:rPr>
          <w:rFonts w:ascii="Arial" w:cs="Arial" w:eastAsia="Arial" w:hAnsi="Arial"/>
          <w:sz w:val="17"/>
          <w:szCs w:val="17"/>
          <w:color w:val="auto"/>
        </w:rPr>
      </w:pPr>
    </w:p>
    <w:p>
      <w:pPr>
        <w:ind w:left="200" w:right="160" w:firstLine="4"/>
        <w:spacing w:after="0"/>
        <w:tabs>
          <w:tab w:leader="none" w:pos="41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above, we shall not terminate Dr. Kamal without first providing him with written notice of the acts or omissions constituting the grounds for such termination and expiration of a reasonable cure period not to exceed thirty 30 days following the date of such notice if we reasonably judge that such failure may be cured within 30 days.</w:t>
      </w:r>
    </w:p>
    <w:p>
      <w:pPr>
        <w:spacing w:after="0" w:line="203"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For the purposes of Dr. Kamal’s offer letter, “good reason” is defined as (i) a material diminution in his salary except for across-the-board salary reductions similarly affecting all or substantially all similarly situated employees, (ii) a material diminution in his authority, duties or responsibilities or (iii) a change of more than 50 miles in the geographic location at which he provides services, provided, however, that in the event of the occurrence of a good reason condition listed above, he must provide notice to us within 30 days of the initial occurrence of such condition and allow us 30 days in which to cure such condition. Additionally, in the event we fail to cure the condition within the cure period provided, he must terminate employment with us within sixty (60) days of the end of the cure period.</w:t>
      </w:r>
    </w:p>
    <w:p>
      <w:pPr>
        <w:spacing w:after="0" w:line="205" w:lineRule="exact"/>
        <w:rPr>
          <w:sz w:val="20"/>
          <w:szCs w:val="20"/>
          <w:color w:val="auto"/>
        </w:rPr>
      </w:pPr>
    </w:p>
    <w:p>
      <w:pPr>
        <w:jc w:val="both"/>
        <w:ind w:left="200" w:right="40" w:firstLine="551"/>
        <w:spacing w:after="0" w:line="234" w:lineRule="auto"/>
        <w:rPr>
          <w:sz w:val="20"/>
          <w:szCs w:val="20"/>
          <w:color w:val="auto"/>
        </w:rPr>
      </w:pPr>
      <w:r>
        <w:rPr>
          <w:rFonts w:ascii="Arial" w:cs="Arial" w:eastAsia="Arial" w:hAnsi="Arial"/>
          <w:sz w:val="18"/>
          <w:szCs w:val="18"/>
          <w:color w:val="auto"/>
        </w:rPr>
        <w:t>For the purposes of Dr. Francis’ offer letter, “good reason” is defined as the occurrence, without his written consent, of (i) a material diminution in his salary except for across-the-board salary reductions similarly affecting all or substantially all similarly situated employees,</w:t>
      </w:r>
    </w:p>
    <w:p>
      <w:pPr>
        <w:spacing w:after="0" w:line="2" w:lineRule="exact"/>
        <w:rPr>
          <w:sz w:val="20"/>
          <w:szCs w:val="20"/>
          <w:color w:val="auto"/>
        </w:rPr>
      </w:pPr>
    </w:p>
    <w:p>
      <w:pPr>
        <w:ind w:left="200" w:right="100" w:firstLine="4"/>
        <w:spacing w:after="0" w:line="236" w:lineRule="auto"/>
        <w:tabs>
          <w:tab w:leader="none" w:pos="45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material and adverse change, including any material diminution in his title, duties, authority or responsibilities, but excluding any such changes in the event of a change of control; provided his remaining duties and responsibilities are consistent with industry norms for the title, (iii) a change of more than 50 miles in the geographic location of our offices, (iv) assignment of duties materially inconsistent with his position, or (v) any material breach by us of the offer letter; provided, however, that in the event of the occurrence of a good reason condition listed above, he must provide written notice to us within 20 days of the initial occurrence of such condition and allow us 30 days in which to cure such condition. His termination will be effective once the 30 day period has lapsed and we have failed to materially cure such acts, failures or failures to act that gave rise to the good reason. We may, in our sole election, waive any cure period such that his termination will be effective on such earlier date determined by our board of directors.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20"/>
          </w:cols>
          <w:pgMar w:left="240" w:top="460"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For the purposes of Dr. Kirn’s offer letter, “good reason” is defined as (i) a change of more than 50 miles in the geographic location of our offices; (ii) his removal from the our board of directors or (iii) any material and adverse change, including any material diminution in his title, duties, authority or responsibilities, but excluding any such changes or changes in reporting relationships in the event of a Change of Control; provided his remaining duties and responsibilities are consistent with industry norms for the title.</w:t>
      </w:r>
    </w:p>
    <w:p>
      <w:pPr>
        <w:spacing w:after="0" w:line="202"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For the purposes of Drs. Kirn’s offer letter, a “change in control” occurs when any “person” (as such term is used in Sections 13(d) and 14(d) of the Securities Exchange Act of 1934, as amended) is or becomes the “beneficial owner” (as defined in Rule 13d-3 under the Securities Exchange Act of 1934), directly or indirectly, of our securities representing more than 50% of the total voting power or (ii) on the date of the consummation of a merger or consolidation with any other corporation that has been approved by our stockholders, other than a merger or consolidation which would result in our voting securities outstanding immediately prior to the merger or consolidation continuing to represent at least 50% of the total voting power represented by our voting securities or the voting securities such surviving entity or its parent outstanding immediately after such merger or consolidation; or (iii) the date of the consummation of the sale or disposition by us of all or substantially all the our assets. A transaction will not be deemed a change in control under Dr. Kirn’s offer letter unless the transaction qualifies as a “change in control event” within the meaning of Section 409A of the Code.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Severance Agreements</w:t>
      </w:r>
    </w:p>
    <w:p>
      <w:pPr>
        <w:spacing w:after="0" w:line="230" w:lineRule="exact"/>
        <w:rPr>
          <w:sz w:val="20"/>
          <w:szCs w:val="20"/>
          <w:color w:val="auto"/>
        </w:rPr>
      </w:pPr>
    </w:p>
    <w:p>
      <w:pPr>
        <w:jc w:val="both"/>
        <w:ind w:left="200" w:right="340" w:firstLine="551"/>
        <w:spacing w:after="0"/>
        <w:rPr>
          <w:sz w:val="20"/>
          <w:szCs w:val="20"/>
          <w:color w:val="auto"/>
        </w:rPr>
      </w:pPr>
      <w:r>
        <w:rPr>
          <w:rFonts w:ascii="Arial" w:cs="Arial" w:eastAsia="Arial" w:hAnsi="Arial"/>
          <w:sz w:val="18"/>
          <w:szCs w:val="18"/>
          <w:color w:val="auto"/>
        </w:rPr>
        <w:t>Pending approval by our board of directors, we intend to enter into new severance agreements with all of our named executive officers, which agreements will supersede and replace the severance benefits set forth in their respective offer letters described above under the heading “—</w:t>
      </w:r>
      <w:r>
        <w:rPr>
          <w:rFonts w:ascii="Arial" w:cs="Arial" w:eastAsia="Arial" w:hAnsi="Arial"/>
          <w:sz w:val="18"/>
          <w:szCs w:val="18"/>
          <w:i w:val="1"/>
          <w:iCs w:val="1"/>
          <w:color w:val="auto"/>
        </w:rPr>
        <w:t>Employment Agreements</w:t>
      </w:r>
      <w:r>
        <w:rPr>
          <w:rFonts w:ascii="Arial" w:cs="Arial" w:eastAsia="Arial" w:hAnsi="Arial"/>
          <w:sz w:val="18"/>
          <w:szCs w:val="18"/>
          <w:color w:val="auto"/>
        </w:rPr>
        <w:t>.”</w:t>
      </w:r>
    </w:p>
    <w:p>
      <w:pPr>
        <w:spacing w:after="0" w:line="185"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i w:val="1"/>
          <w:iCs w:val="1"/>
          <w:color w:val="auto"/>
        </w:rPr>
        <w:t>Dr. Kirn</w:t>
      </w:r>
      <w:r>
        <w:rPr>
          <w:rFonts w:ascii="Arial" w:cs="Arial" w:eastAsia="Arial" w:hAnsi="Arial"/>
          <w:sz w:val="18"/>
          <w:szCs w:val="18"/>
          <w:color w:val="auto"/>
        </w:rPr>
        <w:t>. Under our proposed new severance agreement with Dr. Kirn, if his employment with us is terminated without “cause” or he</w:t>
      </w:r>
      <w:r>
        <w:rPr>
          <w:rFonts w:ascii="Arial" w:cs="Arial" w:eastAsia="Arial" w:hAnsi="Arial"/>
          <w:sz w:val="18"/>
          <w:szCs w:val="18"/>
          <w:i w:val="1"/>
          <w:iCs w:val="1"/>
          <w:color w:val="auto"/>
        </w:rPr>
        <w:t xml:space="preserve"> </w:t>
      </w:r>
      <w:r>
        <w:rPr>
          <w:rFonts w:ascii="Arial" w:cs="Arial" w:eastAsia="Arial" w:hAnsi="Arial"/>
          <w:sz w:val="18"/>
          <w:szCs w:val="18"/>
          <w:color w:val="auto"/>
        </w:rPr>
        <w:t>resigns for “good reason” (as each is defined below), he will be entitled to receive: (i) 12 months of continued base salary, (ii) payment or reimbursement of the cost of continued healthcare coverage for 12 months and (iii) (A) any earned, but unpaid annual performance bonus for the fiscal year prior to the termination date and (B) a pro-rated (based on days of actual service) amount of the annual bonus that he would have earned had he remained employed by us through the end of the calendar year in which his termination occurs. In lieu of the foregoing benefits, if Dr. Kirn’s employment with us is terminated without “cause” or he resigns for “good reason” during the three-month period prior to, or the twelve-month period following, a change in control (as defined in the 2019 Plan), he will be entitled to receive: (i) 18 months of continued base salary, (ii) payment or reimbursement of the cost of continued healthcare coverage for 18 months, (iii) an amount equal to 18 months of his annual bonus for the year of termination assuming 100% of target performance, (iv) full accelerated vesting of any of his unvested equity awards (except for any performance awards) and (v) (A) any earned, but unpaid annual performance bonus for the fiscal year prior to the termination date and (B) a pro-rated (based on days of actual service) amount of the annual bonus that he would have earned had he remained employed by us through the end of the calendar year in which his termination occurs. The foregoing severance benefits are subject to his delivery of an executed release of claims against us and continued compliance with his confidentiality agreement with us.</w:t>
      </w:r>
    </w:p>
    <w:p>
      <w:pPr>
        <w:spacing w:after="0" w:line="191" w:lineRule="exact"/>
        <w:rPr>
          <w:sz w:val="20"/>
          <w:szCs w:val="20"/>
          <w:color w:val="auto"/>
        </w:rPr>
      </w:pPr>
    </w:p>
    <w:p>
      <w:pPr>
        <w:ind w:left="200" w:right="100" w:firstLine="551"/>
        <w:spacing w:after="0" w:line="242" w:lineRule="auto"/>
        <w:rPr>
          <w:sz w:val="20"/>
          <w:szCs w:val="20"/>
          <w:color w:val="auto"/>
        </w:rPr>
      </w:pPr>
      <w:r>
        <w:rPr>
          <w:rFonts w:ascii="Arial" w:cs="Arial" w:eastAsia="Arial" w:hAnsi="Arial"/>
          <w:sz w:val="18"/>
          <w:szCs w:val="18"/>
          <w:i w:val="1"/>
          <w:iCs w:val="1"/>
          <w:color w:val="auto"/>
        </w:rPr>
        <w:t>Dr. Francis and Dr. Kamal</w:t>
      </w:r>
      <w:r>
        <w:rPr>
          <w:rFonts w:ascii="Arial" w:cs="Arial" w:eastAsia="Arial" w:hAnsi="Arial"/>
          <w:sz w:val="18"/>
          <w:szCs w:val="18"/>
          <w:color w:val="auto"/>
        </w:rPr>
        <w:t>. Under our proposed new severance agreements with Dr. Francis and Dr. Kamal, if their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us is terminated without “cause” or they resign for “good reason” (as each is defined below), they will be entitled to receive: (i) nine months of continued base salary, (ii) payment or reimbursement of the cost of continued healthcare coverage for nine months and (iii) (A) any earned, but unpaid annual performance bonus for the fiscal year prior to the termination date and (B) a pro-rated (based on days of actual service) amount of the annual bonus that they would have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00"/>
          </w:cols>
          <w:pgMar w:left="240" w:top="460"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earned had they remained employed by us through the end of the calendar year in which their respective terminations occur. In lieu of the foregoing benefits, if Their employment with us is terminated without “cause” or they resign for “good reason” during the three-month period prior to, or the twelve-month period following, a change in control (as defined in the 2019 Plan), they will be entitled to receive: (i) 12 months of continued base salary, (ii) payment or reimbursement of the cost of continued healthcare coverage for 12 months, (iii) an amount equal to 12 months of their annual bonus for the year of termination assuming 100% of target performance, (iv) full accelerated vesting of any of their unvested equity awards (except any performance awards) and (v) (A) any earned, but unpaid annual performance bonus for the fiscal year prior to the termination date and (B) a pro-rated (based on days of actual service) amount of the annual bonus that they would have earned had they remained employed through the end of the calendar year in which their respective terminations occur. The foregoing severance benefits are subject to their delivery of executed releases of claims against us and continued compliance with their confidentiality agreements with us.</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Under Drs. Kirn’s, Francis’ and Kamal’s proposed new severance agreements, “good reason” is defined as the occurrence, without their written consent, of (i) a material and adverse change, including any reduction in their title, duties, authority or responsibilities but excluding any such reduction in connection with a change in control in which their duties and responsibilities remain consistent with industry norms for their title immediately before the change in control, (ii) a reduction by us of their annual base salary or annual bonus or incentive compensation opportunity, other than pursuant to a reduction in compensation that applies to all similarly situated employees, (iii) a requirement by us that their principal place of employment relocate to a location more than 20 miles, (iv) any material breach by us of any employment agreement between them and us and (v) the assignment to them of duties materially inconsistent with their positions with us.</w:t>
      </w:r>
    </w:p>
    <w:p>
      <w:pPr>
        <w:spacing w:after="0" w:line="208"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Under Drs. Kirn’s, Francis’, and Kamal’s proposed new severance agreements, “cause” is defined as the occurrence of (i) their material failure to perform their principal assigned duties or responsibilities that goes uncured after notice is provided, provided the failure is not due to their disability, (ii) their engaging in any act of dishonesty, fraud or material misrepresentation, (iii) their violation of any federal or state law or regulation applicable to our business that results in or which we may reasonably expect to result in harm or create material risk to us, (iv) their breach of any confidentiality or invention assignment agreement or other material contract between them and us or violation of our written policies or (v) their being convicted of, or entering a plea of nolo contendere to, any crime or committing any act of moral turpitude.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Plans</w:t>
      </w:r>
    </w:p>
    <w:p>
      <w:pPr>
        <w:spacing w:after="0" w:line="234"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The following summarizes the material terms of the long-term incentive compensation plan in which our NEOs will be eligible to participate following the consummation of this offering and our 2015 Equity Incentive Plan, referred to as the 2015 Plan, under which we have previously made periodic grants of equity and equity-based awards to our NEOs and other key employees. We intend to file with the SEC a registration statement on Form S-8 covering the shares of our common stock issuable under the 2019 Plan, the 2015 Plan and the ESPP.</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26"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We intend to adopt the 2019 Plan, which we expect will become effective upon the day prior to the effectiveness of the registration statement to which this prospectus relates, subject to approval of such plan by our stockholders. The principal purpose of the 2019 Plan is to attract, retain and motivate selected employees, consultants and directors through the granting of stock-based compensation awards and cash-based performance bonus awards. The material terms of the 2019 Plan, as it is currently contemplated, are summarized below.</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20"/>
          </w:cols>
          <w:pgMar w:left="24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100" w:firstLine="551"/>
        <w:spacing w:after="0"/>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Under the 2019 Plan, 1,214,220 shares of our common stock will be initially reserved for issuance pursuant to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stock-based compensation awards, including stock options, stock appreciation rights (SARs) restricted stock awards, restricted stock unit awards and other stock-based awards. The number of shares initially reserved for issuance or transfer pursuant to awards under the 2019 Plan will be increased by an annual increase on the first day of each fiscal year beginning in 2020 and ending in 2029, equal to the lesser of (i) five percent of the shares of stock outstanding (on an as converted basis) on the last day of the immediately preceding fiscal year and (ii) such smaller number of shares of stock as determined by our board of directors; provided, however, that no more than 13,000,000 shares of stock may be issued upon the exercise of incentive stock options.</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counting provisions will be in effect for the share reserve under the 2019 Plan:</w:t>
      </w:r>
    </w:p>
    <w:p>
      <w:pPr>
        <w:spacing w:after="0" w:line="117" w:lineRule="exact"/>
        <w:rPr>
          <w:sz w:val="20"/>
          <w:szCs w:val="20"/>
          <w:color w:val="auto"/>
        </w:rPr>
      </w:pPr>
    </w:p>
    <w:p>
      <w:pPr>
        <w:ind w:left="960" w:right="340" w:hanging="216"/>
        <w:spacing w:after="0" w:line="246" w:lineRule="auto"/>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the extent that an award terminates, expires or lapses for any reason or an award is settled in cash without the delivery of shares, any shares subject to the award at such time will be available for future grants under the 2019 Plan;</w:t>
      </w:r>
    </w:p>
    <w:p>
      <w:pPr>
        <w:spacing w:after="0" w:line="102" w:lineRule="exact"/>
        <w:rPr>
          <w:rFonts w:ascii="Arial" w:cs="Arial" w:eastAsia="Arial" w:hAnsi="Arial"/>
          <w:sz w:val="18"/>
          <w:szCs w:val="18"/>
          <w:color w:val="auto"/>
        </w:rPr>
      </w:pPr>
    </w:p>
    <w:p>
      <w:pPr>
        <w:ind w:left="960" w:right="80" w:hanging="216"/>
        <w:spacing w:after="0" w:line="246" w:lineRule="auto"/>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the extent shares are tendered or withheld to satisfy the grant, exercise price or tax withholding obligation with respect to any award under the 2019 Plan, such tendered or withheld shares will be available for future grants under the 2019 Plan;</w:t>
      </w:r>
    </w:p>
    <w:p>
      <w:pPr>
        <w:spacing w:after="0" w:line="102" w:lineRule="exact"/>
        <w:rPr>
          <w:rFonts w:ascii="Arial" w:cs="Arial" w:eastAsia="Arial" w:hAnsi="Arial"/>
          <w:sz w:val="18"/>
          <w:szCs w:val="18"/>
          <w:color w:val="auto"/>
        </w:rPr>
      </w:pPr>
    </w:p>
    <w:p>
      <w:pPr>
        <w:ind w:left="960" w:right="200" w:hanging="216"/>
        <w:spacing w:after="0" w:line="246" w:lineRule="auto"/>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the extent shares subject to SARs are not issued in connection with the stock settlement of SARs on exercise thereof, such shares will be available for future grants under the 2019 Plan;</w:t>
      </w:r>
    </w:p>
    <w:p>
      <w:pPr>
        <w:spacing w:after="0" w:line="102" w:lineRule="exact"/>
        <w:rPr>
          <w:rFonts w:ascii="Arial" w:cs="Arial" w:eastAsia="Arial" w:hAnsi="Arial"/>
          <w:sz w:val="18"/>
          <w:szCs w:val="18"/>
          <w:color w:val="auto"/>
        </w:rPr>
      </w:pPr>
    </w:p>
    <w:p>
      <w:pPr>
        <w:ind w:left="960" w:right="340" w:hanging="216"/>
        <w:spacing w:after="0" w:line="246" w:lineRule="auto"/>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the extent that shares of our common stock are repurchased by us prior to vesting so that shares are returned to us, such shares will be available for future grants under the 2019 Plan;</w:t>
      </w:r>
    </w:p>
    <w:p>
      <w:pPr>
        <w:spacing w:after="0" w:line="102" w:lineRule="exact"/>
        <w:rPr>
          <w:rFonts w:ascii="Arial" w:cs="Arial" w:eastAsia="Arial" w:hAnsi="Arial"/>
          <w:sz w:val="18"/>
          <w:szCs w:val="18"/>
          <w:color w:val="auto"/>
        </w:rPr>
      </w:pPr>
    </w:p>
    <w:p>
      <w:pPr>
        <w:ind w:left="960" w:right="180" w:hanging="216"/>
        <w:spacing w:after="0" w:line="246" w:lineRule="auto"/>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payment of dividend equivalents in cash in conjunction with any outstanding awards will not be counted against the shares available for issuance under the 2019 Plan; and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2019 Plan.</w:t>
      </w:r>
    </w:p>
    <w:p>
      <w:pPr>
        <w:spacing w:after="0" w:line="185"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compensation committee of our board of directors is expected to administer the 2019 Plan unless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assumes authority for administration. The compensation committee must consist of at least three members of our board of directors, each of whom is intended to qualify as a “non-employee director” for purposes of Rule 16b-3 under the Exchange Act and an “independent director” within the meaning of the rules of the applicable stock exchange, or other principal securities market on which shares of our common stock are traded. The 2019 Plan provides that the board or compensation committee may delegate its authority to grant awards to employees other than executive officers and certain senior executives to a committee consisting of one or more members of our board of directors or one or more of our officers, other than awards made to our non-employee directors, which must be approved by our full board of directors.</w:t>
      </w:r>
    </w:p>
    <w:p>
      <w:pPr>
        <w:spacing w:after="0" w:line="20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Subject to the terms and conditions of the 2019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2019 Plan. The administrator is also authorized to adopt, amend or rescind rules relating to administration of the 2019 Plan. Our board of directors may at any time remove the compensation committee as the administrator and revest in itself the authority to administer the 2019 Plan. The full board of directors will administer the 2019 Plan with respect to awards to non-employee directors.</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60"/>
          </w:cols>
          <w:pgMar w:left="240" w:top="459" w:right="4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firstLine="551"/>
        <w:spacing w:after="0" w:line="245"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Options, SARs, restricted stock and all other stock-based and cash-based awards under the 2019 Plan may be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to individuals who are then our officers, employees or consultants or are the officers, employees or consultants of certain of our subsidiaries. Such awards also may be granted to our directors. Only employees of our company or certain of our subsidiaries may be granted incentive stock options (ISOs).</w:t>
      </w:r>
    </w:p>
    <w:p>
      <w:pPr>
        <w:spacing w:after="0" w:line="181" w:lineRule="exact"/>
        <w:rPr>
          <w:sz w:val="20"/>
          <w:szCs w:val="20"/>
          <w:color w:val="auto"/>
        </w:rPr>
      </w:pPr>
    </w:p>
    <w:p>
      <w:pPr>
        <w:jc w:val="both"/>
        <w:ind w:left="200" w:right="140" w:firstLine="551"/>
        <w:spacing w:after="0" w:line="251"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2019 Plan provides that the administrator may grant or issue stock options, SARs, restricted stock,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units, other stock- or cash-based awards and dividend equivalents or any combination thereof. Each award will be set forth in a separate agreement with the person receiving the award and will indicate the type, terms and conditions of the award.</w:t>
      </w:r>
    </w:p>
    <w:p>
      <w:pPr>
        <w:spacing w:after="0" w:line="80" w:lineRule="exact"/>
        <w:rPr>
          <w:sz w:val="20"/>
          <w:szCs w:val="20"/>
          <w:color w:val="auto"/>
        </w:rPr>
      </w:pPr>
    </w:p>
    <w:p>
      <w:pPr>
        <w:ind w:left="960" w:right="100" w:hanging="216"/>
        <w:spacing w:after="0" w:line="241" w:lineRule="auto"/>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Nonstatutory stock options</w:t>
      </w:r>
      <w:r>
        <w:rPr>
          <w:rFonts w:ascii="Arial" w:cs="Arial" w:eastAsia="Arial" w:hAnsi="Arial"/>
          <w:sz w:val="18"/>
          <w:szCs w:val="18"/>
          <w:color w:val="auto"/>
        </w:rPr>
        <w:t>. Nonstatutory Stock Options (NSOs) will provide for the right to purchase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at a specified price which may not be 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89" w:lineRule="exact"/>
        <w:rPr>
          <w:rFonts w:ascii="Arial" w:cs="Arial" w:eastAsia="Arial" w:hAnsi="Arial"/>
          <w:sz w:val="18"/>
          <w:szCs w:val="18"/>
          <w:color w:val="auto"/>
        </w:rPr>
      </w:pPr>
    </w:p>
    <w:p>
      <w:pPr>
        <w:ind w:left="960" w:right="20" w:hanging="216"/>
        <w:spacing w:after="0"/>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ISOs will be designed in a manner intended to comply with the provisions of Section 422 of the Code</w:t>
      </w:r>
      <w:r>
        <w:rPr>
          <w:rFonts w:ascii="Arial" w:cs="Arial" w:eastAsia="Arial" w:hAnsi="Arial"/>
          <w:sz w:val="18"/>
          <w:szCs w:val="18"/>
          <w:i w:val="1"/>
          <w:iCs w:val="1"/>
          <w:color w:val="auto"/>
        </w:rPr>
        <w:t xml:space="preserve"> </w:t>
      </w:r>
      <w:r>
        <w:rPr>
          <w:rFonts w:ascii="Arial" w:cs="Arial" w:eastAsia="Arial" w:hAnsi="Arial"/>
          <w:sz w:val="18"/>
          <w:szCs w:val="18"/>
          <w:color w:val="auto"/>
        </w:rPr>
        <w:t>and will be subject to specified restrictions contained in the Code. Among such restrictions, ISOs must have an 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2019 Plan provides that the exercise price must be at least 110% of the fair market value of a share of common stock on the date of grant and the ISO must not be exercisable after a period of five years measured from the date of grant.</w:t>
      </w:r>
    </w:p>
    <w:p>
      <w:pPr>
        <w:spacing w:after="0" w:line="90" w:lineRule="exact"/>
        <w:rPr>
          <w:rFonts w:ascii="Arial" w:cs="Arial" w:eastAsia="Arial" w:hAnsi="Arial"/>
          <w:sz w:val="18"/>
          <w:szCs w:val="18"/>
          <w:color w:val="auto"/>
        </w:rPr>
      </w:pPr>
    </w:p>
    <w:p>
      <w:pPr>
        <w:ind w:left="960" w:right="280" w:hanging="216"/>
        <w:spacing w:after="0" w:line="241" w:lineRule="auto"/>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Restricted stock may be granted to any eligible individual and made subject to such restrictions as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89" w:lineRule="exact"/>
        <w:rPr>
          <w:rFonts w:ascii="Arial" w:cs="Arial" w:eastAsia="Arial" w:hAnsi="Arial"/>
          <w:sz w:val="18"/>
          <w:szCs w:val="18"/>
          <w:color w:val="auto"/>
        </w:rPr>
      </w:pPr>
    </w:p>
    <w:p>
      <w:pPr>
        <w:ind w:left="960" w:right="160" w:hanging="216"/>
        <w:spacing w:after="0" w:line="241" w:lineRule="auto"/>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Restricted stock units may be awarded to any eligible individual, typically without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but subject to vesting conditions based on 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89" w:lineRule="exact"/>
        <w:rPr>
          <w:rFonts w:ascii="Arial" w:cs="Arial" w:eastAsia="Arial" w:hAnsi="Arial"/>
          <w:sz w:val="18"/>
          <w:szCs w:val="18"/>
          <w:color w:val="auto"/>
        </w:rPr>
      </w:pPr>
    </w:p>
    <w:p>
      <w:pPr>
        <w:ind w:left="960" w:right="20" w:hanging="216"/>
        <w:spacing w:after="0" w:line="242" w:lineRule="auto"/>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SARs may be granted in connection with stock options or other awards, or separately. SARs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stock options or other awards typically will provide for payments to the holder based upon increases in the price of our common stock over a set exercise price. The exercise price of any SAR granted under the 2019 Plan must be at least 100% of the fair market value of a share of our common stock on the date of grant. SARs under the 2019 Plan will be settled in cash or shares of our common stock, or in a combination of both, at the election of the administrator.</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00"/>
          </w:cols>
          <w:pgMar w:left="240" w:top="460"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60" w:right="20" w:hanging="216"/>
        <w:spacing w:after="0"/>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Other stock or cash based awards</w:t>
      </w:r>
      <w:r>
        <w:rPr>
          <w:rFonts w:ascii="Arial" w:cs="Arial" w:eastAsia="Arial" w:hAnsi="Arial"/>
          <w:sz w:val="18"/>
          <w:szCs w:val="18"/>
          <w:color w:val="auto"/>
        </w:rPr>
        <w:t>. Other stock or cash based awards are awards of cash, fully vested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and other awards valued wholly or partially by referring to, or otherwise based on, shares of our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 based awards, which may include vesting conditions based on continued service, performance and/or other conditions.</w:t>
      </w:r>
    </w:p>
    <w:p>
      <w:pPr>
        <w:spacing w:after="0" w:line="90" w:lineRule="exact"/>
        <w:rPr>
          <w:rFonts w:ascii="Arial" w:cs="Arial" w:eastAsia="Arial" w:hAnsi="Arial"/>
          <w:sz w:val="18"/>
          <w:szCs w:val="18"/>
          <w:color w:val="auto"/>
        </w:rPr>
      </w:pPr>
    </w:p>
    <w:p>
      <w:pPr>
        <w:ind w:left="960" w:right="140" w:hanging="216"/>
        <w:spacing w:after="0" w:line="241"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Dividend equivalents represent the right to receive the equivalent value of dividends paid on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and may be granted alone or in tandem with awards other than stock options or SARs. Dividend equivalents are credited as of dividend payments dates during the period between a specified date and the date such award terminates or expires, as determined by the plan administrator. In addition, dividend equivalents with respect to shares covered by a performance award will only be paid to the participant at the same time or times and to the same extent that the vesting conditions, if any, are subsequently satisfied and the performance award vests with respect to such shares.</w:t>
      </w:r>
    </w:p>
    <w:p>
      <w:pPr>
        <w:spacing w:after="0" w:line="202" w:lineRule="exact"/>
        <w:rPr>
          <w:sz w:val="20"/>
          <w:szCs w:val="20"/>
          <w:color w:val="auto"/>
        </w:rPr>
      </w:pPr>
    </w:p>
    <w:p>
      <w:pPr>
        <w:ind w:left="200" w:right="240" w:firstLine="551"/>
        <w:spacing w:after="0" w:line="246" w:lineRule="auto"/>
        <w:rPr>
          <w:sz w:val="20"/>
          <w:szCs w:val="20"/>
          <w:color w:val="auto"/>
        </w:rPr>
      </w:pPr>
      <w:r>
        <w:rPr>
          <w:rFonts w:ascii="Arial" w:cs="Arial" w:eastAsia="Arial" w:hAnsi="Arial"/>
          <w:sz w:val="18"/>
          <w:szCs w:val="18"/>
          <w:color w:val="auto"/>
        </w:rPr>
        <w:t>Any award may be granted as a performance award, meaning that the award will be subject to vesting and/or payment based on the attainment of specified performance goals.</w:t>
      </w:r>
    </w:p>
    <w:p>
      <w:pPr>
        <w:spacing w:after="0" w:line="179"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unless the plan administrator elects to terminate an award in exchange for</w:t>
      </w:r>
      <w:r>
        <w:rPr>
          <w:rFonts w:ascii="Arial" w:cs="Arial" w:eastAsia="Arial" w:hAnsi="Arial"/>
          <w:sz w:val="18"/>
          <w:szCs w:val="18"/>
          <w:i w:val="1"/>
          <w:iCs w:val="1"/>
          <w:color w:val="auto"/>
        </w:rPr>
        <w:t xml:space="preserve"> </w:t>
      </w:r>
      <w:r>
        <w:rPr>
          <w:rFonts w:ascii="Arial" w:cs="Arial" w:eastAsia="Arial" w:hAnsi="Arial"/>
          <w:sz w:val="18"/>
          <w:szCs w:val="18"/>
          <w:color w:val="auto"/>
        </w:rPr>
        <w:t>cash, rights 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2019 Plan will be subject to accelerated vesting such that 100% of such awards will become vested and exercisable or payable, as applicable. The administrator may also make appropriate adjustments to awards under the 2019 Plan and is authorized to provide for the acceleration, cash-out, termination, assumption, substitution or conversion of such awards in the event of a change in control or certain other unusual or nonrecurring events or transactions.</w:t>
      </w:r>
    </w:p>
    <w:p>
      <w:pPr>
        <w:spacing w:after="0" w:line="188"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i w:val="1"/>
          <w:iCs w:val="1"/>
          <w:color w:val="auto"/>
        </w:rPr>
        <w:t>Adjustments of awards</w:t>
      </w:r>
      <w:r>
        <w:rPr>
          <w:rFonts w:ascii="Arial" w:cs="Arial" w:eastAsia="Arial" w:hAnsi="Arial"/>
          <w:sz w:val="18"/>
          <w:szCs w:val="18"/>
          <w:color w:val="auto"/>
        </w:rPr>
        <w:t>. In the event of any stock dividend or other distribution, stock split, reverse stock split, reorganization,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or exchange of shares, merger, consolidation, split-up, spin-off, recapitalization, repurchase or any other corporate event affecting the number of outstanding shares of our common stock or the share price of our common stock that would require adjustments to the 2019 Plan or any awards under the 2019 Plan in order to prevent the dilution or enlargement of the potential benefits intended to be made available thereunder, the administrator will make appropriate, proportionate adjustments to: (i) the aggregate number and type of shares subject to the 2019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2019 Plan.</w:t>
      </w:r>
    </w:p>
    <w:p>
      <w:pPr>
        <w:spacing w:after="0" w:line="188" w:lineRule="exact"/>
        <w:rPr>
          <w:sz w:val="20"/>
          <w:szCs w:val="20"/>
          <w:color w:val="auto"/>
        </w:rPr>
      </w:pPr>
    </w:p>
    <w:p>
      <w:pPr>
        <w:ind w:left="200" w:right="20" w:firstLine="551"/>
        <w:spacing w:after="0" w:line="242"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The administrator may terminate, amend or modify the 2019 Plan at any time and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we must generally obtain stockholder 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00"/>
          </w:cols>
          <w:pgMar w:left="240" w:top="460"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firstLine="551"/>
        <w:spacing w:after="0" w:line="239" w:lineRule="auto"/>
        <w:rPr>
          <w:sz w:val="20"/>
          <w:szCs w:val="20"/>
          <w:color w:val="auto"/>
        </w:rPr>
      </w:pPr>
      <w:r>
        <w:rPr>
          <w:rFonts w:ascii="Arial" w:cs="Arial" w:eastAsia="Arial" w:hAnsi="Arial"/>
          <w:sz w:val="18"/>
          <w:szCs w:val="18"/>
          <w:color w:val="auto"/>
        </w:rPr>
        <w:t>No incentive stock options may be granted pursuant to the 2019 Plan after the tenth anniversary of the effective date of the 2019 Plan, and no additional annual share increases to the 2019 Plan’s aggregate share limit will occur from and after such anniversary. Any award that is outstanding on the termination date of the 2019 Plan will remain in force according to the terms of the 2019 Plan and the applicable award agreement.</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26" w:lineRule="exact"/>
        <w:rPr>
          <w:sz w:val="20"/>
          <w:szCs w:val="20"/>
          <w:color w:val="auto"/>
        </w:rPr>
      </w:pPr>
    </w:p>
    <w:p>
      <w:pPr>
        <w:ind w:left="200" w:right="220" w:firstLine="551"/>
        <w:spacing w:after="0"/>
        <w:rPr>
          <w:sz w:val="20"/>
          <w:szCs w:val="20"/>
          <w:color w:val="auto"/>
        </w:rPr>
      </w:pPr>
      <w:r>
        <w:rPr>
          <w:rFonts w:ascii="Arial" w:cs="Arial" w:eastAsia="Arial" w:hAnsi="Arial"/>
          <w:sz w:val="18"/>
          <w:szCs w:val="18"/>
          <w:color w:val="auto"/>
        </w:rPr>
        <w:t>On March 20, 2015, our board of directors adopted, and our stockholders approved, the 2015 Plan. Following the offering, and in connection with the effectiveness of our 2019 Plan, the 2015 Plan will terminate, and no further awards will be granted under the 2015 Plan. However, all outstanding awards will continue to be governed by their existing terms.</w:t>
      </w:r>
    </w:p>
    <w:p>
      <w:pPr>
        <w:spacing w:after="0" w:line="185" w:lineRule="exact"/>
        <w:rPr>
          <w:sz w:val="20"/>
          <w:szCs w:val="20"/>
          <w:color w:val="auto"/>
        </w:rPr>
      </w:pPr>
    </w:p>
    <w:p>
      <w:pPr>
        <w:ind w:left="200" w:right="60" w:firstLine="551"/>
        <w:spacing w:after="0" w:line="242"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or a committee thereof appointed by our board of directors, has the authority to administer</w:t>
      </w:r>
      <w:r>
        <w:rPr>
          <w:rFonts w:ascii="Arial" w:cs="Arial" w:eastAsia="Arial" w:hAnsi="Arial"/>
          <w:sz w:val="18"/>
          <w:szCs w:val="18"/>
          <w:i w:val="1"/>
          <w:iCs w:val="1"/>
          <w:color w:val="auto"/>
        </w:rPr>
        <w:t xml:space="preserve"> </w:t>
      </w:r>
      <w:r>
        <w:rPr>
          <w:rFonts w:ascii="Arial" w:cs="Arial" w:eastAsia="Arial" w:hAnsi="Arial"/>
          <w:sz w:val="18"/>
          <w:szCs w:val="18"/>
          <w:color w:val="auto"/>
        </w:rPr>
        <w:t>the 2015 Plan and the awards granted under it. The plan administrator has broad authority to make determinations and interpretations under, prescribe forms for use with and adopt rules for the administration of, the 2015 Plan, subject to its express terms and conditions. The plan administrator also sets the terms and conditions of all awards under the 2015 Plan, including any vesting and acceleration conditions.</w:t>
      </w:r>
    </w:p>
    <w:p>
      <w:pPr>
        <w:spacing w:after="0" w:line="185" w:lineRule="exact"/>
        <w:rPr>
          <w:sz w:val="20"/>
          <w:szCs w:val="20"/>
          <w:color w:val="auto"/>
        </w:rPr>
      </w:pPr>
    </w:p>
    <w:p>
      <w:pPr>
        <w:ind w:left="200" w:firstLine="551"/>
        <w:spacing w:after="0" w:line="242" w:lineRule="auto"/>
        <w:rPr>
          <w:sz w:val="20"/>
          <w:szCs w:val="20"/>
          <w:color w:val="auto"/>
        </w:rPr>
      </w:pPr>
      <w:r>
        <w:rPr>
          <w:rFonts w:ascii="Arial" w:cs="Arial" w:eastAsia="Arial" w:hAnsi="Arial"/>
          <w:sz w:val="18"/>
          <w:szCs w:val="18"/>
          <w:i w:val="1"/>
          <w:iCs w:val="1"/>
          <w:color w:val="auto"/>
        </w:rPr>
        <w:t>Limitation on awards and shares available</w:t>
      </w:r>
      <w:r>
        <w:rPr>
          <w:rFonts w:ascii="Arial" w:cs="Arial" w:eastAsia="Arial" w:hAnsi="Arial"/>
          <w:sz w:val="18"/>
          <w:szCs w:val="18"/>
          <w:color w:val="auto"/>
        </w:rPr>
        <w:t>. The aggregate number of shares of our common stock that is authorized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2015 Plan is 2,694,528, which shares may be authorized but unissued shares, reacquired common stock or represent shares underlying forfeited awards. Shares tendered or withheld to satisfy grant or exercise price or tax withholding obligations associated with an award granted under the 2015 Plan and shares issued pursuant to awards of restricted stock or restricted stock units that are repurchased by us or are forfeited due to the failure to vest may be used again for new grants under the 2015 Plan.</w:t>
      </w:r>
    </w:p>
    <w:p>
      <w:pPr>
        <w:spacing w:after="0" w:line="185" w:lineRule="exact"/>
        <w:rPr>
          <w:sz w:val="20"/>
          <w:szCs w:val="20"/>
          <w:color w:val="auto"/>
        </w:rPr>
      </w:pPr>
    </w:p>
    <w:p>
      <w:pPr>
        <w:ind w:left="200" w:right="60" w:firstLine="551"/>
        <w:spacing w:after="0" w:line="245"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2015 Plan provides that the administrator may grant or issue ISOs, NSOs, SARs, restricted stock and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units to our employees, directors and consultants, provided that only employees may be granted ISOs. Awards under the 2015 Plan are set forth in award agreements, which detail the terms and conditions of the awards, including any applicable vesting and payment terms and post-termination exercise limitations. Awards are generally settled in shares of our common stock.</w:t>
      </w:r>
    </w:p>
    <w:p>
      <w:pPr>
        <w:spacing w:after="0" w:line="87" w:lineRule="exact"/>
        <w:rPr>
          <w:sz w:val="20"/>
          <w:szCs w:val="20"/>
          <w:color w:val="auto"/>
        </w:rPr>
      </w:pPr>
    </w:p>
    <w:p>
      <w:pPr>
        <w:ind w:left="960" w:hanging="216"/>
        <w:spacing w:after="0" w:line="239" w:lineRule="auto"/>
        <w:tabs>
          <w:tab w:leader="none" w:pos="96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provide for the purchase of shares of our common stock in the future at an exercise price set on</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date. ISOs, by contrast to NSOs, may provide tax deferral beyond exercise and favorable capital gains tax treatment to their holders if certain holding period and other Internal Revenue Code requirements are satisfied. The exercise price of a stock option may not be less than 100% of the fair market value of the underlying share on the date of grant (or 110% in the case of ISOs granted to certain significant shareholders), except with respect to certain substitute options granted in connection with a corporate transaction. The term of a stock option may not be longer than ten years (or five years in the case of ISOs granted to certain significant shareholders). Vesting conditions determined by the plan administrator may apply to stock options and may include continued service, performance and/or other conditions. A stock option may provide for “early exercise” prior to vesting in exchange for shares of restricted shares that vest on the option’s vesting schedule.</w:t>
      </w:r>
    </w:p>
    <w:p>
      <w:pPr>
        <w:spacing w:after="0" w:line="89" w:lineRule="exact"/>
        <w:rPr>
          <w:rFonts w:ascii="Arial" w:cs="Arial" w:eastAsia="Arial" w:hAnsi="Arial"/>
          <w:sz w:val="18"/>
          <w:szCs w:val="18"/>
          <w:color w:val="auto"/>
        </w:rPr>
      </w:pPr>
    </w:p>
    <w:p>
      <w:pPr>
        <w:ind w:left="960" w:right="20" w:hanging="216"/>
        <w:spacing w:after="0" w:line="245" w:lineRule="auto"/>
        <w:tabs>
          <w:tab w:leader="none" w:pos="96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SARs may be granted in connection with stock options or other awards, or separately. SARs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stock options or other awards typically will provide for payments to the holder based upon increases in the price of our common stock over a set exercise price. The exercise price of any SAR granted under the 2015 Plan must be at least 100% of the fair market value of a share of our common stock on the date of grant.</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00"/>
          </w:cols>
          <w:pgMar w:left="240" w:top="460"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40"/>
        <w:spacing w:after="0" w:line="246" w:lineRule="auto"/>
        <w:rPr>
          <w:sz w:val="20"/>
          <w:szCs w:val="20"/>
          <w:color w:val="auto"/>
        </w:rPr>
      </w:pPr>
      <w:r>
        <w:rPr>
          <w:rFonts w:ascii="Arial" w:cs="Arial" w:eastAsia="Arial" w:hAnsi="Arial"/>
          <w:sz w:val="18"/>
          <w:szCs w:val="18"/>
          <w:color w:val="auto"/>
        </w:rPr>
        <w:t>SARs under the 2015 Plan will be settled in cash or shares of our common stock, or in a combination of both, as set forth in the applicable award agreement.</w:t>
      </w:r>
    </w:p>
    <w:p>
      <w:pPr>
        <w:spacing w:after="0" w:line="84" w:lineRule="exact"/>
        <w:rPr>
          <w:sz w:val="20"/>
          <w:szCs w:val="20"/>
          <w:color w:val="auto"/>
        </w:rPr>
      </w:pPr>
    </w:p>
    <w:p>
      <w:pPr>
        <w:ind w:left="960" w:right="300" w:hanging="216"/>
        <w:spacing w:after="0" w:line="242" w:lineRule="auto"/>
        <w:tabs>
          <w:tab w:leader="none" w:pos="96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Restricted stock may be granted to any eligible individual and made subject to such restrictions as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w:t>
      </w:r>
    </w:p>
    <w:p>
      <w:pPr>
        <w:spacing w:after="0" w:line="90" w:lineRule="exact"/>
        <w:rPr>
          <w:rFonts w:ascii="Arial" w:cs="Arial" w:eastAsia="Arial" w:hAnsi="Arial"/>
          <w:sz w:val="18"/>
          <w:szCs w:val="18"/>
          <w:color w:val="auto"/>
        </w:rPr>
      </w:pPr>
    </w:p>
    <w:p>
      <w:pPr>
        <w:ind w:left="960" w:right="220" w:hanging="216"/>
        <w:spacing w:after="0" w:line="241" w:lineRule="auto"/>
        <w:tabs>
          <w:tab w:leader="none" w:pos="96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Restricted stock units may be awarded to any eligible individual, typically without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but subject to vesting conditions continuing service with us or our affiliates, the attainment of performance goals and/or such other conditions as the plan administrator may determine.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184"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i w:val="1"/>
          <w:iCs w:val="1"/>
          <w:color w:val="auto"/>
        </w:rPr>
        <w:t xml:space="preserve">Certain transactions. </w:t>
      </w:r>
      <w:r>
        <w:rPr>
          <w:rFonts w:ascii="Arial" w:cs="Arial" w:eastAsia="Arial" w:hAnsi="Arial"/>
          <w:sz w:val="18"/>
          <w:szCs w:val="18"/>
          <w:color w:val="auto"/>
        </w:rPr>
        <w:t>The plan administrator has broad discretion to equitably adjust the provisions of the 2015 Plan,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and conditions of existing and future awards, to prevent the diminution or enlargement of intended benefits and facilitate necessary or desirable changes in the event of certain transactions and events affecting our common stock, such as a dividend or other distribution (whether in the form of cash, Shares, other securities or other property), recapitalization, reincorporation, stock split, reverse stock split, reorganization, merger, consolidation, split-up, spin-off, combination, reclassification, repurchase or exchange of our shares or our other securities, or other change in our corporate structure. In the event of a merger with or into another corporation or other entity or a change in control (as defined in the 2015 Plan), the plan administrator may provide, in any combination hereof, subject to the applicable award agreement and without the participant’s consent, that (i) the surviving entity assume outstanding awards or substitute economically equivalent awards for such outstanding awards; (ii) that the participant’s awards will terminate upon or immediately prior to the consummation of the merger or change in control; (iii) outstanding awards will vest and become exercisable, realizable or payable, or restrictions applicable to an award will lapse, in whole or in part prior to or upon consummation of such merger or change in control; and</w:t>
      </w:r>
    </w:p>
    <w:p>
      <w:pPr>
        <w:spacing w:after="0" w:line="7" w:lineRule="exact"/>
        <w:rPr>
          <w:sz w:val="20"/>
          <w:szCs w:val="20"/>
          <w:color w:val="auto"/>
        </w:rPr>
      </w:pPr>
    </w:p>
    <w:p>
      <w:pPr>
        <w:ind w:left="200" w:firstLine="4"/>
        <w:spacing w:after="0" w:line="255" w:lineRule="auto"/>
        <w:tabs>
          <w:tab w:leader="none" w:pos="5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termination of an award in exchange for any combination of cash, property or other rights, if any, selected by the administrator in its sole discretion, equal in value to the cash or other property that would have been attained upon the exercise of such award or realization of the participant’s rights as of the date of the occurrence of the transaction. The administrator may also make appropriate adjustments to awards under the 2015 Plan and is authorized to provide for the acceleration, cash-out, termination, assumption, substitution or conversion of such awards in the event of a change in control or certain other unusual or nonrecurring events or transactions.</w:t>
      </w:r>
    </w:p>
    <w:p>
      <w:pPr>
        <w:spacing w:after="0" w:line="173"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i w:val="1"/>
          <w:iCs w:val="1"/>
          <w:color w:val="auto"/>
        </w:rPr>
        <w:t xml:space="preserve">Foreign participants, transferability and participant payments. </w:t>
      </w:r>
      <w:r>
        <w:rPr>
          <w:rFonts w:ascii="Arial" w:cs="Arial" w:eastAsia="Arial" w:hAnsi="Arial"/>
          <w:sz w:val="18"/>
          <w:szCs w:val="18"/>
          <w:color w:val="auto"/>
        </w:rPr>
        <w:t>The plan administrator may establish sub-plans under the 2015</w:t>
      </w:r>
      <w:r>
        <w:rPr>
          <w:rFonts w:ascii="Arial" w:cs="Arial" w:eastAsia="Arial" w:hAnsi="Arial"/>
          <w:sz w:val="18"/>
          <w:szCs w:val="18"/>
          <w:i w:val="1"/>
          <w:iCs w:val="1"/>
          <w:color w:val="auto"/>
        </w:rPr>
        <w:t xml:space="preserve"> </w:t>
      </w:r>
      <w:r>
        <w:rPr>
          <w:rFonts w:ascii="Arial" w:cs="Arial" w:eastAsia="Arial" w:hAnsi="Arial"/>
          <w:sz w:val="18"/>
          <w:szCs w:val="18"/>
          <w:color w:val="auto"/>
        </w:rPr>
        <w:t>Plan, subject to the share limits described above, containing such limitations and other terms and conditions that the plan administrator determines is necessary or desirable to satisfy blue sky, securities, tax or other laws of various jurisdictions in which we intend to grant awards or qualifying for favorable tax treatment under applicable foreign laws. With limited exceptions for gifts or executors of the participant’s estate upon the participant’s death, in connection with certain acquisitions or a change in control, and transfers to us, awards under the 2015 Plan are generally non-transferable prior to exercise or delivery and are exercisable only by the participant. With regard to tax withholding, exercise price and purchase price obligations arising in connection with awards under the 2015 Plan, as applicable, the plan administrator may, in its discretion, accept cash,</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20"/>
          </w:cols>
          <w:pgMar w:left="240" w:top="460"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check, promissory note, shares of our common stock that meet specified conditions, such other consideration and method of payment for the issuance of shares, to the extent permitted by applicable laws, by “net exercise,” a “market sell order” or any combination thereof.</w:t>
      </w:r>
    </w:p>
    <w:p>
      <w:pPr>
        <w:spacing w:after="0" w:line="179"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Our board of directors may amend or terminate the 2015 Plan at any time; however, (i) no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or termination may adversely affect an outstanding award without the affected participant’s written consent and (ii) except in connection with certain changes in our capital structure, stockholder approval will be required for (A) any amendment that increases the number of shares available under the 2015 Plan or extends the term of the 2015 Plan, or (B) as required under applicable law. No award may be granted pursuant to the 2015 Plan after the ten year anniversary of the date the 2015 Plan, as amended or restated, was approved by our board of directors or our stockholders (whichever was earlier), however, we will cease granting awards under the 2015 Plan upon effectiveness of the 2019 Plan.</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intend to file with the SEC a registration statement on Form S-8 covering our shares of common stock issuable under the 2015</w:t>
      </w:r>
    </w:p>
    <w:p>
      <w:pPr>
        <w:ind w:left="200"/>
        <w:spacing w:after="0"/>
        <w:rPr>
          <w:sz w:val="20"/>
          <w:szCs w:val="20"/>
          <w:color w:val="auto"/>
        </w:rPr>
      </w:pPr>
      <w:r>
        <w:rPr>
          <w:rFonts w:ascii="Arial" w:cs="Arial" w:eastAsia="Arial" w:hAnsi="Arial"/>
          <w:sz w:val="18"/>
          <w:szCs w:val="18"/>
          <w:color w:val="auto"/>
        </w:rPr>
        <w:t>Plan.</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26"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We intend to adopt and ask our stockholders to approve the ESPP, which will be effective upon the day prior to the effectiveness of the registration statement to which this prospectus relates. The ESPP is designed to allow our eligible employees to purchase shares of our common stock, at semi-annual intervals, with their accumulated payroll deductions. The ESPP is intended to qualify under Section 423 of the Code. The material terms of the ESPP, as it is currently contemplated, are summarized below.</w:t>
      </w:r>
    </w:p>
    <w:p>
      <w:pPr>
        <w:spacing w:after="0" w:line="184" w:lineRule="exact"/>
        <w:rPr>
          <w:sz w:val="20"/>
          <w:szCs w:val="20"/>
          <w:color w:val="auto"/>
        </w:rPr>
      </w:pPr>
    </w:p>
    <w:p>
      <w:pPr>
        <w:ind w:left="200" w:right="100" w:firstLine="551"/>
        <w:spacing w:after="0" w:line="242"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Subject to the terms and conditions of the ESPP, our compensation committee will administer the ESPP.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can delegate administrative tasks under the ESPP to the services of an agent and/or employees to assist in the administration of the ESPP. The administrator will have the discretionary authority to administer and interpret the ESPP. Interpretations and constructions of the administrator of any provision of the ESPP or of any rights thereunder will be conclusive and binding on all persons. We will bear all expenses and liabilities incurred by the ESPP administrator.</w:t>
      </w:r>
    </w:p>
    <w:p>
      <w:pPr>
        <w:spacing w:after="0" w:line="185" w:lineRule="exact"/>
        <w:rPr>
          <w:sz w:val="20"/>
          <w:szCs w:val="20"/>
          <w:color w:val="auto"/>
        </w:rPr>
      </w:pPr>
    </w:p>
    <w:p>
      <w:pPr>
        <w:ind w:left="200" w:firstLine="551"/>
        <w:spacing w:after="0" w:line="241"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The maximum number of shares of our common stock which will be authorized for sale under the ESPP is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sum of (i) 151,777 shares of common stock and (ii) an annual increase on the first day of each year beginning in 2020 and ending in 2029, equal to the lesser of (A) one percent of the shares of common stock outstanding (on an as converted basis) on the last day of the immediately preceding fiscal year and (B) such number of shares of common stock as determined by our board of directors; provided, however, no more than 3,000,000 shares of our common stock may be issued under the ESPP. The shares reserved for issuance under the ESPP may be authorized but unissued shares or reacquired shares.</w:t>
      </w:r>
    </w:p>
    <w:p>
      <w:pPr>
        <w:spacing w:after="0" w:line="184" w:lineRule="exact"/>
        <w:rPr>
          <w:sz w:val="20"/>
          <w:szCs w:val="20"/>
          <w:color w:val="auto"/>
        </w:rPr>
      </w:pPr>
    </w:p>
    <w:p>
      <w:pPr>
        <w:ind w:left="200" w:right="40" w:firstLine="551"/>
        <w:spacing w:after="0" w:line="241"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eligible to participate in the ESPP for a given offering period generally include employees who are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by us or one of our subsidiaries on the first day of the offering period, or the enrollment date. Our employees (and, if applicable, any employees of our subsidiaries) who customarily work less than five months in a calendar year or are customarily scheduled to work less than 20 hours per week will not be eligible to participate in the ESPP. Finally, an employee who owns (or is deemed to own through attribution) 5% or more of the combined voting power or value of all our classes of stock or of one of our subsidiaries will not be allowed to participate in the ESPP.</w:t>
      </w:r>
    </w:p>
    <w:p>
      <w:pPr>
        <w:spacing w:after="0" w:line="184" w:lineRule="exact"/>
        <w:rPr>
          <w:sz w:val="20"/>
          <w:szCs w:val="20"/>
          <w:color w:val="auto"/>
        </w:rPr>
      </w:pPr>
    </w:p>
    <w:p>
      <w:pPr>
        <w:ind w:left="200" w:right="260" w:firstLine="551"/>
        <w:spacing w:after="0" w:line="267" w:lineRule="auto"/>
        <w:rPr>
          <w:sz w:val="20"/>
          <w:szCs w:val="20"/>
          <w:color w:val="auto"/>
        </w:rPr>
      </w:pPr>
      <w:r>
        <w:rPr>
          <w:rFonts w:ascii="Arial" w:cs="Arial" w:eastAsia="Arial" w:hAnsi="Arial"/>
          <w:sz w:val="18"/>
          <w:szCs w:val="18"/>
          <w:i w:val="1"/>
          <w:iCs w:val="1"/>
          <w:color w:val="auto"/>
        </w:rPr>
        <w:t>Participation</w:t>
      </w:r>
      <w:r>
        <w:rPr>
          <w:rFonts w:ascii="Arial" w:cs="Arial" w:eastAsia="Arial" w:hAnsi="Arial"/>
          <w:sz w:val="18"/>
          <w:szCs w:val="18"/>
          <w:color w:val="auto"/>
        </w:rPr>
        <w:t>. Employees will enroll under the ESPP by completing a payroll deduction form permitting the deduction from their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of at least 1% of their compensation but not more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00"/>
          </w:cols>
          <w:pgMar w:left="24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than 15% of their compensation. Such payroll deductions may be expressed as either a whole number percentage or a fixed dollar amount, and the accumulated deductions will be applied to the purchase of shares on each purchase date. However, a participant may not purchase more than 60,000 shares in each offering period and may not subscribe for more than $25,000 in fair market value of shares of our common stock (determined at the time the option is granted) during any calendar year. The ESPP administrator has the authority to change these limitations for any subsequent offering period.</w:t>
      </w:r>
    </w:p>
    <w:p>
      <w:pPr>
        <w:spacing w:after="0" w:line="185" w:lineRule="exact"/>
        <w:rPr>
          <w:sz w:val="20"/>
          <w:szCs w:val="20"/>
          <w:color w:val="auto"/>
        </w:rPr>
      </w:pPr>
    </w:p>
    <w:p>
      <w:pPr>
        <w:ind w:left="200" w:right="100" w:firstLine="551"/>
        <w:spacing w:after="0" w:line="241" w:lineRule="auto"/>
        <w:rPr>
          <w:sz w:val="20"/>
          <w:szCs w:val="20"/>
          <w:color w:val="auto"/>
        </w:rPr>
      </w:pPr>
      <w:r>
        <w:rPr>
          <w:rFonts w:ascii="Arial" w:cs="Arial" w:eastAsia="Arial" w:hAnsi="Arial"/>
          <w:sz w:val="18"/>
          <w:szCs w:val="18"/>
          <w:i w:val="1"/>
          <w:iCs w:val="1"/>
          <w:color w:val="auto"/>
        </w:rPr>
        <w:t>Offerings</w:t>
      </w:r>
      <w:r>
        <w:rPr>
          <w:rFonts w:ascii="Arial" w:cs="Arial" w:eastAsia="Arial" w:hAnsi="Arial"/>
          <w:sz w:val="18"/>
          <w:szCs w:val="18"/>
          <w:color w:val="auto"/>
        </w:rPr>
        <w:t>. Generally, the ESPP will offer employees the option to purchase shares through a series of overlapping 24-month</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periods, and each offering period will generally be comprised of four 6-month purchase periods. The initial offering period under the ESPP will be longer than 24 months, commencing upon the effectiveness of this registration statement and ending on November 14, 2021. The initial purchase period under the ESPP will commence on the first day of the offering period and end on May 15, 2020, with the remaining purchase periods in the initial offering period to be comprised of consecutive 6 month periods. In no event may an offering period be longer than 27 months in length.</w:t>
      </w:r>
    </w:p>
    <w:p>
      <w:pPr>
        <w:spacing w:after="0" w:line="202" w:lineRule="exact"/>
        <w:rPr>
          <w:sz w:val="20"/>
          <w:szCs w:val="20"/>
          <w:color w:val="auto"/>
        </w:rPr>
      </w:pPr>
    </w:p>
    <w:p>
      <w:pPr>
        <w:jc w:val="both"/>
        <w:ind w:left="200" w:right="160" w:firstLine="551"/>
        <w:spacing w:after="0"/>
        <w:rPr>
          <w:sz w:val="20"/>
          <w:szCs w:val="20"/>
          <w:color w:val="auto"/>
        </w:rPr>
      </w:pPr>
      <w:r>
        <w:rPr>
          <w:rFonts w:ascii="Arial" w:cs="Arial" w:eastAsia="Arial" w:hAnsi="Arial"/>
          <w:sz w:val="18"/>
          <w:szCs w:val="18"/>
          <w:color w:val="auto"/>
        </w:rPr>
        <w:t>The option purchase price will be the lower of 85% of the closing trading price per share of our common stock on the trading date immediately preceding the first day of an offering period in which a participant is enrolled or 85% of the closing trading price per share on the trading day immediately preceding the last day of each purchase period.</w:t>
      </w:r>
    </w:p>
    <w:p>
      <w:pPr>
        <w:spacing w:after="0" w:line="203" w:lineRule="exact"/>
        <w:rPr>
          <w:sz w:val="20"/>
          <w:szCs w:val="20"/>
          <w:color w:val="auto"/>
        </w:rPr>
      </w:pPr>
    </w:p>
    <w:p>
      <w:pPr>
        <w:jc w:val="both"/>
        <w:ind w:left="200" w:right="240" w:firstLine="551"/>
        <w:spacing w:after="0" w:line="239" w:lineRule="auto"/>
        <w:rPr>
          <w:sz w:val="20"/>
          <w:szCs w:val="20"/>
          <w:color w:val="auto"/>
        </w:rPr>
      </w:pPr>
      <w:r>
        <w:rPr>
          <w:rFonts w:ascii="Arial" w:cs="Arial" w:eastAsia="Arial" w:hAnsi="Arial"/>
          <w:sz w:val="18"/>
          <w:szCs w:val="18"/>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w:t>
      </w:r>
    </w:p>
    <w:p>
      <w:pPr>
        <w:spacing w:after="0" w:line="202" w:lineRule="exact"/>
        <w:rPr>
          <w:sz w:val="20"/>
          <w:szCs w:val="20"/>
          <w:color w:val="auto"/>
        </w:rPr>
      </w:pPr>
    </w:p>
    <w:p>
      <w:pPr>
        <w:ind w:left="200" w:right="40" w:firstLine="551"/>
        <w:spacing w:after="0" w:line="234" w:lineRule="auto"/>
        <w:rPr>
          <w:sz w:val="20"/>
          <w:szCs w:val="20"/>
          <w:color w:val="auto"/>
        </w:rPr>
      </w:pPr>
      <w:r>
        <w:rPr>
          <w:rFonts w:ascii="Arial" w:cs="Arial" w:eastAsia="Arial" w:hAnsi="Arial"/>
          <w:sz w:val="18"/>
          <w:szCs w:val="18"/>
          <w:color w:val="auto"/>
        </w:rPr>
        <w:t>A participant may cancel his or her payroll deduction authorization at any time prior to the end of the offering period. Upon cancellation, the participant will have the option to either (i) receive a refund of the participant’s account balance in cash without interest or</w:t>
      </w:r>
    </w:p>
    <w:p>
      <w:pPr>
        <w:spacing w:after="0" w:line="2" w:lineRule="exact"/>
        <w:rPr>
          <w:sz w:val="20"/>
          <w:szCs w:val="20"/>
          <w:color w:val="auto"/>
        </w:rPr>
      </w:pPr>
    </w:p>
    <w:p>
      <w:pPr>
        <w:ind w:left="200" w:right="120" w:firstLine="4"/>
        <w:spacing w:after="0" w:line="238" w:lineRule="auto"/>
        <w:tabs>
          <w:tab w:leader="none" w:pos="45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exercise the participant’s option for the current offering period for the maximum number of shares of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wants to increase or decrease the rate of payroll withholding, he or she may do so effective for the next offering period by submitting a new form before the offering period for which such change is to be effective.</w:t>
      </w:r>
    </w:p>
    <w:p>
      <w:pPr>
        <w:spacing w:after="0" w:line="203" w:lineRule="exact"/>
        <w:rPr>
          <w:sz w:val="20"/>
          <w:szCs w:val="20"/>
          <w:color w:val="auto"/>
        </w:rPr>
      </w:pPr>
    </w:p>
    <w:p>
      <w:pPr>
        <w:ind w:left="200" w:right="220" w:firstLine="551"/>
        <w:spacing w:after="0" w:line="239" w:lineRule="auto"/>
        <w:rPr>
          <w:sz w:val="20"/>
          <w:szCs w:val="20"/>
          <w:color w:val="auto"/>
        </w:rPr>
      </w:pPr>
      <w:r>
        <w:rPr>
          <w:rFonts w:ascii="Arial" w:cs="Arial" w:eastAsia="Arial" w:hAnsi="Arial"/>
          <w:sz w:val="18"/>
          <w:szCs w:val="18"/>
          <w:color w:val="auto"/>
        </w:rPr>
        <w:t>A participant may not assign, transfer, pledge or otherwise dispose of (other than by will or the laws of descent and distribution) payroll deductions credited to a participant’s account or any rights to exercise an option or to receive shares of our common stock under the ESPP, and during a participant’s lifetime, options in the ESPP shall be exercisable only by such participant. Any such attempt at assignment, transfer, pledge or other disposition will not be given effect.</w:t>
      </w:r>
    </w:p>
    <w:p>
      <w:pPr>
        <w:spacing w:after="0" w:line="184"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i w:val="1"/>
          <w:iCs w:val="1"/>
          <w:color w:val="auto"/>
        </w:rPr>
        <w:t>Adjustments upon changes in recapitalization, dissolution, liquidation, merger or asset sale</w:t>
      </w:r>
      <w:r>
        <w:rPr>
          <w:rFonts w:ascii="Arial" w:cs="Arial" w:eastAsia="Arial" w:hAnsi="Arial"/>
          <w:sz w:val="18"/>
          <w:szCs w:val="18"/>
          <w:color w:val="auto"/>
        </w:rPr>
        <w:t>. In the event of any increase or</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the number of issued shares of our common stock resulting from a stock split, reverse stock split, stock dividend, combination or reclassification of the common stock, or any other increase or decrease in the number of shares of common stock effected without receipt of consideration by us, we will proportionately adjust the aggregate number of shares of our common stock offered under the ESPP, the number and price of shares which any participant has elected to purchase under the ESPP and the maximum number of shares which a participant may elect to purchase in any single offering period. If there is a proposal to dissolve or liquidate us, then the ESPP will terminate immediately prior to the consummation of such proposed dissolution or liquidation, and any offering period and purchase period then in progress will be shortened by setting a new</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and purchase period then in progress will be shortened by setting a new purchase date to take place before the date of our proposed sale or merger. We will notify each participant of such change in writing at least ten business days prior to the new exercise date.</w:t>
      </w:r>
    </w:p>
    <w:p>
      <w:pPr>
        <w:spacing w:after="0" w:line="185" w:lineRule="exact"/>
        <w:rPr>
          <w:sz w:val="20"/>
          <w:szCs w:val="20"/>
          <w:color w:val="auto"/>
        </w:rPr>
      </w:pPr>
    </w:p>
    <w:p>
      <w:pPr>
        <w:ind w:left="200" w:firstLine="551"/>
        <w:spacing w:after="0" w:line="251"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amend, suspend or terminate the ESPP at any time. However,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may not amend the ESPP without obtaining stockholder approval within 12 months before or after such amendment to the extent required by applicable laws.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4" w:lineRule="exact"/>
        <w:rPr>
          <w:sz w:val="20"/>
          <w:szCs w:val="20"/>
          <w:color w:val="auto"/>
        </w:rPr>
      </w:pPr>
    </w:p>
    <w:p>
      <w:pPr>
        <w:jc w:val="both"/>
        <w:ind w:left="200" w:right="260" w:firstLine="551"/>
        <w:spacing w:after="0"/>
        <w:rPr>
          <w:sz w:val="20"/>
          <w:szCs w:val="20"/>
          <w:color w:val="auto"/>
        </w:rPr>
      </w:pPr>
      <w:r>
        <w:rPr>
          <w:rFonts w:ascii="Arial" w:cs="Arial" w:eastAsia="Arial" w:hAnsi="Arial"/>
          <w:sz w:val="18"/>
          <w:szCs w:val="18"/>
          <w:color w:val="auto"/>
        </w:rPr>
        <w:t>The following is a description of transactions since January 1, 2016 to which we have been a party, in which the amount involved exceeds $ 120,000, and in which any of our directors, executive officers or beneficial owners of more than 5% of our capital stock, or an affiliate or immediate family member thereof, had or will have a direct or indirect material interest.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and Purchases of Securities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B Convertible Preferred Stock Financing</w:t>
      </w:r>
    </w:p>
    <w:p>
      <w:pPr>
        <w:spacing w:after="0" w:line="126" w:lineRule="exact"/>
        <w:rPr>
          <w:sz w:val="20"/>
          <w:szCs w:val="20"/>
          <w:color w:val="auto"/>
        </w:rPr>
      </w:pPr>
    </w:p>
    <w:p>
      <w:pPr>
        <w:ind w:left="200" w:right="340" w:firstLine="551"/>
        <w:spacing w:after="0" w:line="246" w:lineRule="auto"/>
        <w:rPr>
          <w:sz w:val="20"/>
          <w:szCs w:val="20"/>
          <w:color w:val="auto"/>
        </w:rPr>
      </w:pPr>
      <w:r>
        <w:rPr>
          <w:rFonts w:ascii="Arial" w:cs="Arial" w:eastAsia="Arial" w:hAnsi="Arial"/>
          <w:sz w:val="18"/>
          <w:szCs w:val="18"/>
          <w:color w:val="auto"/>
        </w:rPr>
        <w:t>In August 2018, we issued an aggregate of 5,154,632 shares of our Series B convertible preferred stock at $17.46 per share for aggregate proceeds to us of approximately $90.0 million.</w:t>
      </w:r>
    </w:p>
    <w:p>
      <w:pPr>
        <w:spacing w:after="0" w:line="197" w:lineRule="exact"/>
        <w:rPr>
          <w:sz w:val="20"/>
          <w:szCs w:val="20"/>
          <w:color w:val="auto"/>
        </w:rPr>
      </w:pPr>
    </w:p>
    <w:p>
      <w:pPr>
        <w:ind w:left="200" w:right="220" w:firstLine="551"/>
        <w:spacing w:after="0" w:line="246" w:lineRule="auto"/>
        <w:rPr>
          <w:sz w:val="20"/>
          <w:szCs w:val="20"/>
          <w:color w:val="auto"/>
        </w:rPr>
      </w:pPr>
      <w:r>
        <w:rPr>
          <w:rFonts w:ascii="Arial" w:cs="Arial" w:eastAsia="Arial" w:hAnsi="Arial"/>
          <w:sz w:val="18"/>
          <w:szCs w:val="18"/>
          <w:color w:val="auto"/>
        </w:rPr>
        <w:t>The table below sets forth the aggregate number of shares of Series B convertible preferred stock sold to our directors, executive officers or owners of more than 5% of a class of our capital stock, or an affiliate or immediate family member thereof:</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1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Number of</w:t>
            </w: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1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Shares of</w:t>
            </w: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62"/>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5480" w:type="dxa"/>
            <w:vAlign w:val="bottom"/>
            <w:gridSpan w:val="3"/>
          </w:tcPr>
          <w:p>
            <w:pPr>
              <w:jc w:val="center"/>
              <w:ind w:left="2608"/>
              <w:spacing w:after="0"/>
              <w:rPr>
                <w:sz w:val="20"/>
                <w:szCs w:val="20"/>
                <w:color w:val="auto"/>
              </w:rPr>
            </w:pPr>
            <w:r>
              <w:rPr>
                <w:rFonts w:ascii="Arial" w:cs="Arial" w:eastAsia="Arial" w:hAnsi="Arial"/>
                <w:sz w:val="14"/>
                <w:szCs w:val="14"/>
                <w:b w:val="1"/>
                <w:bCs w:val="1"/>
                <w:color w:val="auto"/>
              </w:rPr>
              <w:t>Series B Convertible</w:t>
            </w: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62"/>
        </w:trPr>
        <w:tc>
          <w:tcPr>
            <w:tcW w:w="4380" w:type="dxa"/>
            <w:vAlign w:val="bottom"/>
            <w:gridSpan w:val="3"/>
            <w:vMerge w:val="continue"/>
          </w:tcPr>
          <w:p>
            <w:pPr>
              <w:spacing w:after="0"/>
              <w:rPr>
                <w:sz w:val="14"/>
                <w:szCs w:val="14"/>
                <w:color w:val="auto"/>
              </w:rPr>
            </w:pPr>
          </w:p>
        </w:tc>
        <w:tc>
          <w:tcPr>
            <w:tcW w:w="3380" w:type="dxa"/>
            <w:vAlign w:val="bottom"/>
          </w:tcPr>
          <w:p>
            <w:pPr>
              <w:spacing w:after="0"/>
              <w:rPr>
                <w:sz w:val="14"/>
                <w:szCs w:val="14"/>
                <w:color w:val="auto"/>
              </w:rPr>
            </w:pPr>
          </w:p>
        </w:tc>
        <w:tc>
          <w:tcPr>
            <w:tcW w:w="21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Preferred Stock</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Pfizer Inc.</w:t>
            </w:r>
            <w:r>
              <w:rPr>
                <w:rFonts w:ascii="Arial" w:cs="Arial" w:eastAsia="Arial" w:hAnsi="Arial"/>
                <w:sz w:val="15"/>
                <w:szCs w:val="15"/>
                <w:color w:val="auto"/>
              </w:rPr>
              <w:t>(1)</w:t>
            </w:r>
          </w:p>
        </w:tc>
        <w:tc>
          <w:tcPr>
            <w:tcW w:w="33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343,642</w:t>
            </w:r>
          </w:p>
        </w:tc>
        <w:tc>
          <w:tcPr>
            <w:tcW w:w="6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5,999,989.32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4" w:lineRule="exact"/>
        <w:rPr>
          <w:sz w:val="20"/>
          <w:szCs w:val="20"/>
          <w:color w:val="auto"/>
        </w:rPr>
      </w:pPr>
    </w:p>
    <w:p>
      <w:pPr>
        <w:ind w:left="740" w:hanging="536"/>
        <w:spacing w:after="0"/>
        <w:tabs>
          <w:tab w:leader="none" w:pos="7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William Burkoth, a member of our board of directors, is an employee of Pfizer Inc.</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and Executive Officer Compensation</w:t>
      </w:r>
    </w:p>
    <w:p>
      <w:pPr>
        <w:spacing w:after="0" w:line="234" w:lineRule="exact"/>
        <w:rPr>
          <w:sz w:val="20"/>
          <w:szCs w:val="20"/>
          <w:color w:val="auto"/>
        </w:rPr>
      </w:pPr>
    </w:p>
    <w:p>
      <w:pPr>
        <w:ind w:left="200" w:right="140" w:firstLine="551"/>
        <w:spacing w:after="0" w:line="246" w:lineRule="auto"/>
        <w:rPr>
          <w:sz w:val="20"/>
          <w:szCs w:val="20"/>
          <w:color w:val="auto"/>
        </w:rPr>
      </w:pPr>
      <w:r>
        <w:rPr>
          <w:rFonts w:ascii="Arial" w:cs="Arial" w:eastAsia="Arial" w:hAnsi="Arial"/>
          <w:sz w:val="18"/>
          <w:szCs w:val="18"/>
          <w:color w:val="auto"/>
        </w:rPr>
        <w:t>Please see the sections titled “Director Compensation” and “Executive Compensation” for information regarding the compensation of our directors and executive officers.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w:t>
      </w:r>
    </w:p>
    <w:p>
      <w:pPr>
        <w:spacing w:after="0" w:line="234" w:lineRule="exact"/>
        <w:rPr>
          <w:sz w:val="20"/>
          <w:szCs w:val="20"/>
          <w:color w:val="auto"/>
        </w:rPr>
      </w:pPr>
    </w:p>
    <w:p>
      <w:pPr>
        <w:ind w:left="200" w:right="160" w:firstLine="551"/>
        <w:spacing w:after="0"/>
        <w:rPr>
          <w:sz w:val="20"/>
          <w:szCs w:val="20"/>
          <w:color w:val="auto"/>
        </w:rPr>
      </w:pPr>
      <w:r>
        <w:rPr>
          <w:rFonts w:ascii="Arial" w:cs="Arial" w:eastAsia="Arial" w:hAnsi="Arial"/>
          <w:sz w:val="18"/>
          <w:szCs w:val="18"/>
          <w:color w:val="auto"/>
        </w:rPr>
        <w:t>We have entered into employment agreements with our executive officers. For more information regarding these agreements, see the section titled “Executive Compensation—Narrative to Summary Compensation Table and Outstanding Equity Awards at 2018 Fiscal Year End.”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 and Directors’ and Officers’ Liability Insurance</w:t>
      </w:r>
    </w:p>
    <w:p>
      <w:pPr>
        <w:spacing w:after="0" w:line="234"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We have entered into or intend to enter into indemnification agreements with each of our directors and executive officers. These agreements will require us to, among other things,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 We have obtained an insurance policy that insures our directors and officers against certain liabilities, including liabilities arising under applicable securities laws. For additional information see the section titled “Management— Limitation of Liability and Indemnification Matters.”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Investors’ Rights Agreement</w:t>
      </w:r>
    </w:p>
    <w:p>
      <w:pPr>
        <w:spacing w:after="0" w:line="234" w:lineRule="exact"/>
        <w:rPr>
          <w:sz w:val="20"/>
          <w:szCs w:val="20"/>
          <w:color w:val="auto"/>
        </w:rPr>
      </w:pPr>
    </w:p>
    <w:p>
      <w:pPr>
        <w:ind w:left="200" w:right="800" w:firstLine="551"/>
        <w:spacing w:after="0" w:line="246" w:lineRule="auto"/>
        <w:rPr>
          <w:sz w:val="20"/>
          <w:szCs w:val="20"/>
          <w:color w:val="auto"/>
        </w:rPr>
      </w:pPr>
      <w:r>
        <w:rPr>
          <w:rFonts w:ascii="Arial" w:cs="Arial" w:eastAsia="Arial" w:hAnsi="Arial"/>
          <w:sz w:val="18"/>
          <w:szCs w:val="18"/>
          <w:color w:val="auto"/>
        </w:rPr>
        <w:t>We entered into an amended and restated investors’ rights agreement with the purchasers of our outstanding redeemable convertible preferred stock, including entities with which certain of our</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240" w:top="459" w:right="4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directors are affiliated. As of June 30, 2019, the holders of approximately 7.4 million shares of our common stock, including the shares of our common stock issuable upon the conversion of our Series A, Series A-1 and Series B redeemable convertible preferred stock, are entitled to rights with respect to the registration of their shares under the Securities Act. For a more detailed description of these registration rights, see the section titled “Description of Capital Stock—Registration Rights.” The investors’ rights agreement also provides for a right of first refusal in favor of certain holders of redeemable convertible preferred stock with regard to certain issuances of our capital stock. The rights of first refusal will not apply to, and will terminate upon the consummation of, this offering. The investors’ right agreement also provides for certain voting arrangements. For a description of these voting arrangements, see the section titled “Management—Board Composition—Voting Arrangements.”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234"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We entered into an amended and restated right of first refusal and co-sale agreement with certain holders of our common stock and redeemable convertible preferred stock. This agreement provides for rights of first refusal and co-sale relating to the shares of our common stock held by the parties to the agreement. Upon the consummation of this offering, the amended and restated right of first refusal and co-sale agreement will terminate.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Transactions</w:t>
      </w:r>
    </w:p>
    <w:p>
      <w:pPr>
        <w:spacing w:after="0" w:line="234" w:lineRule="exact"/>
        <w:rPr>
          <w:sz w:val="20"/>
          <w:szCs w:val="20"/>
          <w:color w:val="auto"/>
        </w:rPr>
      </w:pPr>
    </w:p>
    <w:p>
      <w:pPr>
        <w:jc w:val="both"/>
        <w:ind w:left="200" w:firstLine="551"/>
        <w:spacing w:after="0" w:line="239" w:lineRule="auto"/>
        <w:rPr>
          <w:sz w:val="20"/>
          <w:szCs w:val="20"/>
          <w:color w:val="auto"/>
        </w:rPr>
      </w:pPr>
      <w:r>
        <w:rPr>
          <w:rFonts w:ascii="Arial" w:cs="Arial" w:eastAsia="Arial" w:hAnsi="Arial"/>
          <w:sz w:val="18"/>
          <w:szCs w:val="18"/>
          <w:color w:val="auto"/>
        </w:rPr>
        <w:t>In April 2019, we entered into the SRAs with the UC Regents to conduct research in a lab on the Berkeley campus that is under the direction of Dr. Schaffer. Pursuant to the SRAs, we have committed to pay the UC Regents a total of $1.5 million, of which $0.4 million was paid upon execution of the SRAs. The SRAs have a three year term ending in 2022. While the SRAs are between us and the UC Regents, the payments under the SRAs may be used to fund the lab under the direction of Dr. Schaffer.</w:t>
      </w:r>
    </w:p>
    <w:p>
      <w:pPr>
        <w:spacing w:after="0" w:line="202" w:lineRule="exact"/>
        <w:rPr>
          <w:sz w:val="20"/>
          <w:szCs w:val="20"/>
          <w:color w:val="auto"/>
        </w:rPr>
      </w:pPr>
    </w:p>
    <w:p>
      <w:pPr>
        <w:ind w:left="200" w:right="160" w:firstLine="551"/>
        <w:spacing w:after="0" w:line="239" w:lineRule="auto"/>
        <w:rPr>
          <w:sz w:val="20"/>
          <w:szCs w:val="20"/>
          <w:color w:val="auto"/>
        </w:rPr>
      </w:pPr>
      <w:r>
        <w:rPr>
          <w:rFonts w:ascii="Arial" w:cs="Arial" w:eastAsia="Arial" w:hAnsi="Arial"/>
          <w:sz w:val="18"/>
          <w:szCs w:val="18"/>
          <w:color w:val="auto"/>
        </w:rPr>
        <w:t>Our former Chief Operating Officer, Anthony Davies, who was employed through November 2017, was the Executive Chairman of Dark Horse Consulting. During the year ended December 31, 2017, we paid $0.2 million to Dark Horse Consulting under a consulting agreement to design and implement pharmaceutical quality manufacturing of and controls for drug products. The consulting agreement terminated in December 2017.</w:t>
      </w:r>
    </w:p>
    <w:p>
      <w:pPr>
        <w:spacing w:after="0" w:line="202" w:lineRule="exact"/>
        <w:rPr>
          <w:sz w:val="20"/>
          <w:szCs w:val="20"/>
          <w:color w:val="auto"/>
        </w:rPr>
      </w:pPr>
    </w:p>
    <w:p>
      <w:pPr>
        <w:ind w:left="200" w:right="620" w:firstLine="551"/>
        <w:spacing w:after="0" w:line="239" w:lineRule="auto"/>
        <w:rPr>
          <w:sz w:val="20"/>
          <w:szCs w:val="20"/>
          <w:color w:val="auto"/>
        </w:rPr>
      </w:pPr>
      <w:r>
        <w:rPr>
          <w:rFonts w:ascii="Arial" w:cs="Arial" w:eastAsia="Arial" w:hAnsi="Arial"/>
          <w:sz w:val="18"/>
          <w:szCs w:val="18"/>
          <w:color w:val="auto"/>
        </w:rPr>
        <w:t>In 2016, we entered into a consulting agreement with one our former directors, Hoyoung Huh, who resigned as a director in December 2018, to provide business development strategy services. In connection with this agreement, Dr. Huh was granted stock options. In the years ended December 31, 2018 and 2017, we recorded $219,500 and $14,700, respectively, of stock-based compensation expense related to such stock options.</w:t>
      </w:r>
    </w:p>
    <w:p>
      <w:pPr>
        <w:spacing w:after="0" w:line="202"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In 2016, Dr. Kirn, our Chief Executive Officer and several other of our employees founded Ignite Immunotherapy (Ignite). Dr. Kirn also serves as the Chief Executive Officer and Executive Chairman of Ignite. Certain of our executives hold ownership interests in Ignite and are members of the board of directors of Ignite. Additionally, Pfizer, who is one of our related parties, holds a significant equity stake in Ignite. There have been no transactions between us and Ignite for the years ended December 31, 2018 and 2017.</w:t>
      </w:r>
    </w:p>
    <w:p>
      <w:pPr>
        <w:spacing w:after="0" w:line="202"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Other than as described above, since January 1, 2016,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20"/>
          </w:cols>
          <w:pgMar w:left="240" w:top="460"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3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Prior to the consummation of this offering, our board of directors will adopt a written related person transaction policy, to be effective upon the consummation of this offering,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 All of the transactions described in this section occurred prior to the adoption of this policy.</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20"/>
          </w:cols>
          <w:pgMar w:left="24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STOCKHOLDERS</w:t>
      </w: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sets forth information relating to the beneficial ownership of our common stock as of July 31, 2019, by:</w:t>
      </w:r>
    </w:p>
    <w:p>
      <w:pPr>
        <w:spacing w:after="0" w:line="117" w:lineRule="exact"/>
        <w:rPr>
          <w:sz w:val="20"/>
          <w:szCs w:val="20"/>
          <w:color w:val="auto"/>
        </w:rPr>
      </w:pPr>
    </w:p>
    <w:p>
      <w:pPr>
        <w:ind w:left="960" w:right="520" w:hanging="216"/>
        <w:spacing w:after="0" w:line="246" w:lineRule="auto"/>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outstanding shares of our common stock;</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12"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after July 31, 2019 through the exercise of any stock option, warrants or other rights. Except as otherwise indicated, and subject to applicable community property laws, the persons named in the table have sole voting and investment power with respect to all shares of our common stock held by that person.</w:t>
      </w:r>
    </w:p>
    <w:p>
      <w:pPr>
        <w:spacing w:after="0" w:line="205"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The percentage of shares beneficially owned is computed on the basis of 12,516,975 shares of our common stock outstanding as of July 31, 2019, which reflects the automatic conversion of 7,375,631 shares of our outstanding shares of redeemable convertible preferred stock into an equivalent number of shares of our common stock. Shares of our common stock that a person has the right to acquire within 60 days after July 31, 2019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4D Molecular Therapeutics, Inc., 5858 Horton Street #455, Emeryville, California 94608.</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Number of</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4"/>
                <w:szCs w:val="14"/>
                <w:color w:val="auto"/>
              </w:rPr>
            </w:pPr>
          </w:p>
        </w:tc>
        <w:tc>
          <w:tcPr>
            <w:tcW w:w="16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Number of</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6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Beneficial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3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Exercisable</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Owned</w:t>
            </w:r>
          </w:p>
        </w:tc>
        <w:tc>
          <w:tcPr>
            <w:tcW w:w="260" w:type="dxa"/>
            <w:vAlign w:val="bottom"/>
          </w:tcPr>
          <w:p>
            <w:pPr>
              <w:spacing w:after="0"/>
              <w:rPr>
                <w:sz w:val="15"/>
                <w:szCs w:val="15"/>
                <w:color w:val="auto"/>
              </w:rPr>
            </w:pPr>
          </w:p>
        </w:tc>
        <w:tc>
          <w:tcPr>
            <w:tcW w:w="16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142"/>
        </w:trPr>
        <w:tc>
          <w:tcPr>
            <w:tcW w:w="5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8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Beneficially</w:t>
            </w:r>
          </w:p>
        </w:tc>
        <w:tc>
          <w:tcPr>
            <w:tcW w:w="240" w:type="dxa"/>
            <w:vAlign w:val="bottom"/>
          </w:tcPr>
          <w:p>
            <w:pPr>
              <w:spacing w:after="0"/>
              <w:rPr>
                <w:sz w:val="12"/>
                <w:szCs w:val="12"/>
                <w:color w:val="auto"/>
              </w:rPr>
            </w:pPr>
          </w:p>
        </w:tc>
        <w:tc>
          <w:tcPr>
            <w:tcW w:w="10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Within</w:t>
            </w:r>
          </w:p>
        </w:tc>
        <w:tc>
          <w:tcPr>
            <w:tcW w:w="112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Beneficially</w:t>
            </w:r>
          </w:p>
        </w:tc>
        <w:tc>
          <w:tcPr>
            <w:tcW w:w="8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After the</w:t>
            </w:r>
          </w:p>
        </w:tc>
        <w:tc>
          <w:tcPr>
            <w:tcW w:w="26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340"/>
              <w:spacing w:after="0" w:line="143" w:lineRule="exact"/>
              <w:rPr>
                <w:sz w:val="20"/>
                <w:szCs w:val="20"/>
                <w:color w:val="auto"/>
              </w:rPr>
            </w:pPr>
            <w:r>
              <w:rPr>
                <w:rFonts w:ascii="Arial" w:cs="Arial" w:eastAsia="Arial" w:hAnsi="Arial"/>
                <w:sz w:val="14"/>
                <w:szCs w:val="14"/>
                <w:b w:val="1"/>
                <w:bCs w:val="1"/>
                <w:color w:val="auto"/>
              </w:rPr>
              <w:t>Before</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97"/>
              </w:rPr>
              <w:t>After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00" w:type="dxa"/>
            <w:vAlign w:val="bottom"/>
            <w:gridSpan w:val="3"/>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Owned</w:t>
            </w:r>
          </w:p>
        </w:tc>
        <w:tc>
          <w:tcPr>
            <w:tcW w:w="2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60 Days</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Owned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Offering</w:t>
            </w:r>
          </w:p>
        </w:tc>
        <w:tc>
          <w:tcPr>
            <w:tcW w:w="11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Offering</w:t>
            </w:r>
          </w:p>
        </w:tc>
        <w:tc>
          <w:tcPr>
            <w:tcW w:w="76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bottom w:val="single" w:sz="8" w:color="CCEEFF"/>
            </w:tcBorders>
            <w:shd w:val="clear" w:color="auto" w:fill="000000"/>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5% and Greater Stockholders:</w:t>
            </w: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80" w:type="dxa"/>
            <w:vAlign w:val="bottom"/>
            <w:gridSpan w:val="2"/>
          </w:tcPr>
          <w:p>
            <w:pPr>
              <w:spacing w:after="0" w:line="199" w:lineRule="exact"/>
              <w:rPr>
                <w:sz w:val="20"/>
                <w:szCs w:val="20"/>
                <w:color w:val="auto"/>
              </w:rPr>
            </w:pPr>
            <w:r>
              <w:rPr>
                <w:rFonts w:ascii="Arial" w:cs="Arial" w:eastAsia="Arial" w:hAnsi="Arial"/>
                <w:sz w:val="18"/>
                <w:szCs w:val="18"/>
                <w:color w:val="auto"/>
              </w:rPr>
              <w:t>Viking Global Opportunities Illiquid Investments Sub-Master</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80" w:type="dxa"/>
            <w:vAlign w:val="bottom"/>
            <w:gridSpan w:val="2"/>
          </w:tcPr>
          <w:p>
            <w:pPr>
              <w:ind w:left="160"/>
              <w:spacing w:after="0"/>
              <w:rPr>
                <w:sz w:val="20"/>
                <w:szCs w:val="20"/>
                <w:color w:val="auto"/>
              </w:rPr>
            </w:pPr>
            <w:r>
              <w:rPr>
                <w:rFonts w:ascii="Arial" w:cs="Arial" w:eastAsia="Arial" w:hAnsi="Arial"/>
                <w:sz w:val="18"/>
                <w:szCs w:val="18"/>
                <w:color w:val="auto"/>
              </w:rPr>
              <w:t>LP</w:t>
            </w:r>
            <w:r>
              <w:rPr>
                <w:rFonts w:ascii="Arial" w:cs="Arial" w:eastAsia="Arial" w:hAnsi="Arial"/>
                <w:sz w:val="15"/>
                <w:szCs w:val="15"/>
                <w:color w:val="auto"/>
              </w:rPr>
              <w:t>(1)</w:t>
            </w:r>
          </w:p>
        </w:tc>
        <w:tc>
          <w:tcPr>
            <w:tcW w:w="880" w:type="dxa"/>
            <w:vAlign w:val="bottom"/>
          </w:tcPr>
          <w:p>
            <w:pPr>
              <w:jc w:val="right"/>
              <w:spacing w:after="0"/>
              <w:rPr>
                <w:sz w:val="20"/>
                <w:szCs w:val="20"/>
                <w:color w:val="auto"/>
              </w:rPr>
            </w:pPr>
            <w:r>
              <w:rPr>
                <w:rFonts w:ascii="Arial" w:cs="Arial" w:eastAsia="Arial" w:hAnsi="Arial"/>
                <w:sz w:val="18"/>
                <w:szCs w:val="18"/>
                <w:color w:val="auto"/>
              </w:rPr>
              <w:t>2,004,581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2,004,581</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2,004,581</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Pfizer</w:t>
            </w:r>
            <w:r>
              <w:rPr>
                <w:rFonts w:ascii="Arial" w:cs="Arial" w:eastAsia="Arial" w:hAnsi="Arial"/>
                <w:sz w:val="15"/>
                <w:szCs w:val="15"/>
                <w:color w:val="auto"/>
              </w:rPr>
              <w:t>(2)</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1,474,992</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1,474,992</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1,474,992</w:t>
            </w:r>
          </w:p>
        </w:tc>
        <w:tc>
          <w:tcPr>
            <w:tcW w:w="11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Repleon, LLC</w:t>
            </w:r>
            <w:r>
              <w:rPr>
                <w:rFonts w:ascii="Arial" w:cs="Arial" w:eastAsia="Arial" w:hAnsi="Arial"/>
                <w:sz w:val="15"/>
                <w:szCs w:val="15"/>
                <w:color w:val="auto"/>
              </w:rPr>
              <w:t>(3)</w:t>
            </w:r>
          </w:p>
        </w:tc>
        <w:tc>
          <w:tcPr>
            <w:tcW w:w="880" w:type="dxa"/>
            <w:vAlign w:val="bottom"/>
          </w:tcPr>
          <w:p>
            <w:pPr>
              <w:jc w:val="right"/>
              <w:spacing w:after="0"/>
              <w:rPr>
                <w:sz w:val="20"/>
                <w:szCs w:val="20"/>
                <w:color w:val="auto"/>
              </w:rPr>
            </w:pPr>
            <w:r>
              <w:rPr>
                <w:rFonts w:ascii="Arial" w:cs="Arial" w:eastAsia="Arial" w:hAnsi="Arial"/>
                <w:sz w:val="18"/>
                <w:szCs w:val="18"/>
                <w:color w:val="auto"/>
              </w:rPr>
              <w:t>909,312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909,312</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909,312</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7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Executive Officers and Directors:</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David Kirn, M.D.</w:t>
            </w:r>
            <w:r>
              <w:rPr>
                <w:rFonts w:ascii="Arial" w:cs="Arial" w:eastAsia="Arial" w:hAnsi="Arial"/>
                <w:sz w:val="15"/>
                <w:szCs w:val="15"/>
                <w:color w:val="auto"/>
              </w:rPr>
              <w:t>(4)</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2,000,000</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2,000,000</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2,000,000</w:t>
            </w:r>
          </w:p>
        </w:tc>
        <w:tc>
          <w:tcPr>
            <w:tcW w:w="11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16.0%</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Fred Kamal, Ph.D.</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Peter Francis, M.D., Ph.D.</w:t>
            </w:r>
            <w:r>
              <w:rPr>
                <w:rFonts w:ascii="Arial" w:cs="Arial" w:eastAsia="Arial" w:hAnsi="Arial"/>
                <w:sz w:val="15"/>
                <w:szCs w:val="15"/>
                <w:color w:val="auto"/>
              </w:rPr>
              <w:t>(5)</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78,206</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78,206</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78,206</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Schaffer, Ph.D.</w:t>
            </w:r>
            <w:r>
              <w:rPr>
                <w:rFonts w:ascii="Arial" w:cs="Arial" w:eastAsia="Arial" w:hAnsi="Arial"/>
                <w:sz w:val="15"/>
                <w:szCs w:val="15"/>
                <w:color w:val="auto"/>
              </w:rPr>
              <w:t>(6)</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2,000,000</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2,000,000</w:t>
            </w:r>
          </w:p>
        </w:tc>
        <w:tc>
          <w:tcPr>
            <w:tcW w:w="11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Charles Theuer, M.D., Ph.D.</w:t>
            </w:r>
            <w:r>
              <w:rPr>
                <w:rFonts w:ascii="Arial" w:cs="Arial" w:eastAsia="Arial" w:hAnsi="Arial"/>
                <w:sz w:val="15"/>
                <w:szCs w:val="15"/>
                <w:color w:val="auto"/>
              </w:rPr>
              <w:t>(7)</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32,351</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23,017</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55,368</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55,368</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Jacob Chacko, M.D.</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Tony Yao, M.D., Ph.D.</w:t>
            </w:r>
            <w:r>
              <w:rPr>
                <w:rFonts w:ascii="Arial" w:cs="Arial" w:eastAsia="Arial" w:hAnsi="Arial"/>
                <w:sz w:val="15"/>
                <w:szCs w:val="15"/>
                <w:color w:val="auto"/>
              </w:rPr>
              <w:t>(8)</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458,190</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458,190</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458,190</w:t>
            </w:r>
          </w:p>
        </w:tc>
        <w:tc>
          <w:tcPr>
            <w:tcW w:w="11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3.7%</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Burkoth, MBA</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All executive officers and directors as a group</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gridSpan w:val="2"/>
          </w:tcPr>
          <w:p>
            <w:pPr>
              <w:ind w:left="520"/>
              <w:spacing w:after="0"/>
              <w:rPr>
                <w:sz w:val="20"/>
                <w:szCs w:val="20"/>
                <w:color w:val="auto"/>
              </w:rPr>
            </w:pPr>
            <w:r>
              <w:rPr>
                <w:rFonts w:ascii="Arial" w:cs="Arial" w:eastAsia="Arial" w:hAnsi="Arial"/>
                <w:sz w:val="18"/>
                <w:szCs w:val="18"/>
                <w:color w:val="auto"/>
              </w:rPr>
              <w:t>(8 persons)</w:t>
            </w:r>
          </w:p>
        </w:tc>
        <w:tc>
          <w:tcPr>
            <w:tcW w:w="880" w:type="dxa"/>
            <w:vAlign w:val="bottom"/>
          </w:tcPr>
          <w:p>
            <w:pPr>
              <w:jc w:val="right"/>
              <w:spacing w:after="0"/>
              <w:rPr>
                <w:sz w:val="20"/>
                <w:szCs w:val="20"/>
                <w:color w:val="auto"/>
              </w:rPr>
            </w:pPr>
            <w:r>
              <w:rPr>
                <w:rFonts w:ascii="Arial" w:cs="Arial" w:eastAsia="Arial" w:hAnsi="Arial"/>
                <w:sz w:val="18"/>
                <w:szCs w:val="18"/>
                <w:color w:val="auto"/>
              </w:rPr>
              <w:t>4,490,541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101,223</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4,591,764</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4,591,764</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880" w:type="dxa"/>
            <w:vAlign w:val="bottom"/>
          </w:tcPr>
          <w:p>
            <w:pPr>
              <w:jc w:val="right"/>
              <w:ind w:right="135"/>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7632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740" w:hanging="536"/>
        <w:spacing w:after="0"/>
        <w:tabs>
          <w:tab w:leader="none" w:pos="7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Indicates beneficial ownership of less than 1% of our total outstanding common stock.</w:t>
      </w:r>
    </w:p>
    <w:p>
      <w:pPr>
        <w:spacing w:after="0" w:line="1" w:lineRule="exact"/>
        <w:rPr>
          <w:sz w:val="20"/>
          <w:szCs w:val="20"/>
          <w:color w:val="auto"/>
        </w:rPr>
      </w:pPr>
    </w:p>
    <w:p>
      <w:pPr>
        <w:ind w:left="740" w:right="60" w:hanging="536"/>
        <w:spacing w:after="0" w:line="241" w:lineRule="auto"/>
        <w:tabs>
          <w:tab w:leader="none" w:pos="7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Consists of 2,004,581 shares of our common stock issuable upon the conversion of our Series B redeemable convertible preferred stock held by Viking Global Opportunities Illiquid Investments Sub-Master LP (Opportunities Fund). Opportunities Fund has the authority to dispose of and vote the shares directly owned by it, which power may be exercised by its general partner, Viking Global Opportunities Portfolio GP LLC (Opportunities GP), and by Viking Global Investors LP (VGI), which provides managerial services to Opportunities Fund. O. Andreas Halvorsen, David C. Ott and Rose Shabet, as Executive Committee members of Viking Global Partners LLC (the general partner of VGI) and Opportunities GP, have shared authority to direct the voting and disposition of investments beneficially owned by the Opportunities Fund and Opportunities GP. The business address of each of the entities is c/o Viking Global Investors LP, 55 Railroad Avenue, Greenwich, CT 06830.</w:t>
      </w:r>
    </w:p>
    <w:p>
      <w:pPr>
        <w:spacing w:after="0" w:line="164" w:lineRule="exact"/>
        <w:rPr>
          <w:rFonts w:ascii="Arial" w:cs="Arial" w:eastAsia="Arial" w:hAnsi="Arial"/>
          <w:sz w:val="14"/>
          <w:szCs w:val="14"/>
          <w:color w:val="auto"/>
        </w:rPr>
      </w:pPr>
    </w:p>
    <w:p>
      <w:pPr>
        <w:ind w:left="740" w:right="100" w:hanging="536"/>
        <w:spacing w:after="0" w:line="242" w:lineRule="auto"/>
        <w:tabs>
          <w:tab w:leader="none" w:pos="7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Consists of (i) 1,131,350 shares of our common stock issuable upon the conversion of our Series A-1 redeemable convertible preferred stock directly held by Pfizer Ventures (US) LLC and (ii) 343,642 shares of our common stock issuable upon the conversion of our Series B redeemable convertible preferred stock directly held by Pfizer Inc. Pfizer Inc. is the parent company to Pfizer Ventures (US) LLC and may be deemed to beneficially own the shares directly owned by Pfizer Ventures (US) LLC. William Burkoth, a member of our board of directors, is an employee of Pfizer Inc. The address for these entities is 235 East 42nd Street, New York, NY 10017.</w:t>
      </w:r>
    </w:p>
    <w:p>
      <w:pPr>
        <w:spacing w:after="0" w:line="160" w:lineRule="exact"/>
        <w:rPr>
          <w:rFonts w:ascii="Arial" w:cs="Arial" w:eastAsia="Arial" w:hAnsi="Arial"/>
          <w:sz w:val="14"/>
          <w:szCs w:val="14"/>
          <w:color w:val="auto"/>
        </w:rPr>
      </w:pPr>
    </w:p>
    <w:p>
      <w:pPr>
        <w:ind w:left="740" w:right="220" w:hanging="536"/>
        <w:spacing w:after="0" w:line="241" w:lineRule="auto"/>
        <w:tabs>
          <w:tab w:leader="none" w:pos="7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Consists of 909,312 shares of our common stock issuable upon the conversion of our Series A redeemable convertible preferred stock. These shares are directly owned by Repleon, LLC. The address for Repleon, LLC is 735 E. Venice Avenue, Suite 200, Venice, FL 34285.</w:t>
      </w:r>
    </w:p>
    <w:p>
      <w:pPr>
        <w:ind w:left="740" w:hanging="536"/>
        <w:spacing w:after="0"/>
        <w:tabs>
          <w:tab w:leader="none" w:pos="7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Consists of 2,000,000 shares of our common stock.</w:t>
      </w:r>
    </w:p>
    <w:p>
      <w:pPr>
        <w:spacing w:after="0" w:line="1" w:lineRule="exact"/>
        <w:rPr>
          <w:rFonts w:ascii="Arial" w:cs="Arial" w:eastAsia="Arial" w:hAnsi="Arial"/>
          <w:sz w:val="14"/>
          <w:szCs w:val="14"/>
          <w:color w:val="auto"/>
        </w:rPr>
      </w:pPr>
    </w:p>
    <w:p>
      <w:pPr>
        <w:ind w:left="740" w:hanging="536"/>
        <w:spacing w:after="0"/>
        <w:tabs>
          <w:tab w:leader="none" w:pos="7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Consists of 78,206 shares of our common stock that may be acquired pursuant to the exercise of stock options within 60 days of July 31, 2019.</w:t>
      </w:r>
    </w:p>
    <w:p>
      <w:pPr>
        <w:spacing w:after="0" w:line="1" w:lineRule="exact"/>
        <w:rPr>
          <w:rFonts w:ascii="Arial" w:cs="Arial" w:eastAsia="Arial" w:hAnsi="Arial"/>
          <w:sz w:val="14"/>
          <w:szCs w:val="14"/>
          <w:color w:val="auto"/>
        </w:rPr>
      </w:pPr>
    </w:p>
    <w:p>
      <w:pPr>
        <w:ind w:left="740" w:hanging="536"/>
        <w:spacing w:after="0"/>
        <w:tabs>
          <w:tab w:leader="none" w:pos="7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Consists of 2,000,000 shares of our common stock directly held by the Shaffer-Hinh Family Trust.</w:t>
      </w:r>
    </w:p>
    <w:p>
      <w:pPr>
        <w:spacing w:after="0" w:line="1" w:lineRule="exact"/>
        <w:rPr>
          <w:rFonts w:ascii="Arial" w:cs="Arial" w:eastAsia="Arial" w:hAnsi="Arial"/>
          <w:sz w:val="14"/>
          <w:szCs w:val="14"/>
          <w:color w:val="auto"/>
        </w:rPr>
      </w:pPr>
    </w:p>
    <w:p>
      <w:pPr>
        <w:ind w:left="740" w:right="60" w:hanging="536"/>
        <w:spacing w:after="0" w:line="241" w:lineRule="auto"/>
        <w:tabs>
          <w:tab w:leader="none" w:pos="7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Consists of (i) 32,351 shares of our common stock and (ii) 23,017 shares of our common stock that may be acquired pursuant to the exercise of stock options within 60 days of July 31, 2019.</w:t>
      </w:r>
    </w:p>
    <w:p>
      <w:pPr>
        <w:ind w:left="740" w:hanging="536"/>
        <w:spacing w:after="0"/>
        <w:tabs>
          <w:tab w:leader="none" w:pos="7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Consists of 2,864 shares of our common stock issuable upon the conversion of our Series B redeemable convertible preferred stock held directly by Dr. Yao and,</w:t>
      </w:r>
    </w:p>
    <w:p>
      <w:pPr>
        <w:spacing w:after="0" w:line="1" w:lineRule="exact"/>
        <w:rPr>
          <w:rFonts w:ascii="Arial" w:cs="Arial" w:eastAsia="Arial" w:hAnsi="Arial"/>
          <w:sz w:val="14"/>
          <w:szCs w:val="14"/>
          <w:color w:val="auto"/>
        </w:rPr>
      </w:pPr>
    </w:p>
    <w:p>
      <w:pPr>
        <w:ind w:left="920" w:hanging="176"/>
        <w:spacing w:after="0"/>
        <w:tabs>
          <w:tab w:leader="none" w:pos="920" w:val="left"/>
        </w:tabs>
        <w:numPr>
          <w:ilvl w:val="1"/>
          <w:numId w:val="135"/>
        </w:numPr>
        <w:rPr>
          <w:rFonts w:ascii="Arial" w:cs="Arial" w:eastAsia="Arial" w:hAnsi="Arial"/>
          <w:sz w:val="14"/>
          <w:szCs w:val="14"/>
          <w:color w:val="auto"/>
        </w:rPr>
      </w:pPr>
      <w:r>
        <w:rPr>
          <w:rFonts w:ascii="Arial" w:cs="Arial" w:eastAsia="Arial" w:hAnsi="Arial"/>
          <w:sz w:val="14"/>
          <w:szCs w:val="14"/>
          <w:color w:val="auto"/>
        </w:rPr>
        <w:t>1,432 shares of our common stock issuable upon the conversion of our Series B redeemable convertible preferred stock directly held by CF Ascent LLC,</w:t>
      </w:r>
    </w:p>
    <w:p>
      <w:pPr>
        <w:spacing w:after="0" w:line="1" w:lineRule="exact"/>
        <w:rPr>
          <w:rFonts w:ascii="Arial" w:cs="Arial" w:eastAsia="Arial" w:hAnsi="Arial"/>
          <w:sz w:val="14"/>
          <w:szCs w:val="14"/>
          <w:color w:val="auto"/>
        </w:rPr>
      </w:pPr>
    </w:p>
    <w:p>
      <w:pPr>
        <w:ind w:left="740" w:firstLine="4"/>
        <w:spacing w:after="0" w:line="243" w:lineRule="auto"/>
        <w:tabs>
          <w:tab w:leader="none" w:pos="940" w:val="left"/>
        </w:tabs>
        <w:numPr>
          <w:ilvl w:val="1"/>
          <w:numId w:val="135"/>
        </w:numPr>
        <w:rPr>
          <w:rFonts w:ascii="Arial" w:cs="Arial" w:eastAsia="Arial" w:hAnsi="Arial"/>
          <w:sz w:val="14"/>
          <w:szCs w:val="14"/>
          <w:color w:val="auto"/>
        </w:rPr>
      </w:pPr>
      <w:r>
        <w:rPr>
          <w:rFonts w:ascii="Arial" w:cs="Arial" w:eastAsia="Arial" w:hAnsi="Arial"/>
          <w:sz w:val="14"/>
          <w:szCs w:val="14"/>
          <w:color w:val="auto"/>
        </w:rPr>
        <w:t>50,830 shares of our common stock issuable upon the conversion of our Series B redeemable convertible preferred stock directly held by Iron Horse Investments, LLC, (iii) 5,727 shares of our common stock issuable upon the conversion of our Series B redeemable convertible preferred stock directly held by Lookfar Investments, LLC, (iv) 229,095 shares of our common stock issuable upon the conversion of our Series B redeemable convertible preferred stock directly held by Meridian Small Cap Growth Fund, (v) 50,830 shares of our common stock issuable upon the conversion of our Series B redeemable convertible preferred stock directly held by THB Iron Rose LLC, (vi) 2,864 shares of our common stock issuable upon the conversion of our Series B redeemable convertible preferred stock directly held by THB Iron Rose LLC, Life Sciences Portfolio, (vii) 57,274 shares of our common stock issuable upon the conversion of our Series B redeemable convertible preferred stock directly held by Arrowmark Fundamental Opportunity Fundl L.P., and (viii) 57,274 shares of our common stock issuable upon the conversion of our Series B redeemable convertible preferred stock directly held by Arrowmark Life Science Fund, LP, which are referred to collectively as the ArrowMark Funds. ArrowMark Colorado Holdings LLC (ArrowMark Colorado) is investment advisor to ArrowMark Funds. Dr. Yao, one of our directors, is employed as a portfolio manager for ArrowMark Colorado and has direct voting and dispositive control over the shares held by the ArrowMark Funds. Dr. Yao may be considered the beneficial owner of the shares held by ArrowMark Funds and disclaims beneficial ownership of such shares, except to the extent of any pecuniary interest therein. The principal business address of the ArrowMark Funds is 100 Fillmore Street, Suite 325, Denver, Colorado 80206.</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20"/>
          </w:cols>
          <w:pgMar w:left="240" w:top="460"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126"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The following summary describes our capital stock and the material provisions of our amended and restated certificate of incorporation and our amended and restated bylaws, which will become effective immediately prior to the consummation of this offering, the amended and restated investors’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amended and restated investors’ rights agreement, copies of which have been filed as exhibits to the registration statement of which this prospectus is part.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Immediately prior to the consummation of this offering, we will file our amended and restated certificate of incorporation that</w:t>
      </w:r>
    </w:p>
    <w:p>
      <w:pPr>
        <w:ind w:left="200"/>
        <w:spacing w:after="0" w:line="234" w:lineRule="auto"/>
        <w:tabs>
          <w:tab w:leader="none" w:pos="1860" w:val="left"/>
        </w:tabs>
        <w:rPr>
          <w:sz w:val="20"/>
          <w:szCs w:val="20"/>
          <w:color w:val="auto"/>
        </w:rPr>
      </w:pPr>
      <w:r>
        <w:rPr>
          <w:rFonts w:ascii="Arial" w:cs="Arial" w:eastAsia="Arial" w:hAnsi="Arial"/>
          <w:sz w:val="18"/>
          <w:szCs w:val="18"/>
          <w:color w:val="auto"/>
        </w:rPr>
        <w:t>authorizes</w:t>
      </w:r>
      <w:r>
        <w:rPr>
          <w:sz w:val="20"/>
          <w:szCs w:val="20"/>
          <w:color w:val="auto"/>
        </w:rPr>
        <w:tab/>
      </w:r>
      <w:r>
        <w:rPr>
          <w:rFonts w:ascii="Arial" w:cs="Arial" w:eastAsia="Arial" w:hAnsi="Arial"/>
          <w:sz w:val="18"/>
          <w:szCs w:val="18"/>
          <w:color w:val="auto"/>
        </w:rPr>
        <w:t>shares of common stock, $0.0001 par value per share, and shares of preferred stock, $0.0001 par value per share.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June 30, 2019, there were outstanding:</w:t>
      </w:r>
    </w:p>
    <w:p>
      <w:pPr>
        <w:spacing w:after="0" w:line="117" w:lineRule="exact"/>
        <w:rPr>
          <w:sz w:val="20"/>
          <w:szCs w:val="20"/>
          <w:color w:val="auto"/>
        </w:rPr>
      </w:pPr>
    </w:p>
    <w:p>
      <w:pPr>
        <w:ind w:left="960" w:hanging="216"/>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12,516,975 shares of our common stock, on an as-converted basis, held by approximately 46 stockholders of record;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2,192,230 shares of our common stock issuable upon exercise of outstanding stock options.</w:t>
      </w:r>
    </w:p>
    <w:p>
      <w:pPr>
        <w:spacing w:after="0" w:line="212" w:lineRule="exact"/>
        <w:rPr>
          <w:sz w:val="20"/>
          <w:szCs w:val="20"/>
          <w:color w:val="auto"/>
        </w:rPr>
      </w:pPr>
    </w:p>
    <w:p>
      <w:pPr>
        <w:ind w:left="200" w:right="320" w:firstLine="551"/>
        <w:spacing w:after="0" w:line="246" w:lineRule="auto"/>
        <w:rPr>
          <w:sz w:val="20"/>
          <w:szCs w:val="20"/>
          <w:color w:val="auto"/>
        </w:rPr>
      </w:pPr>
      <w:r>
        <w:rPr>
          <w:rFonts w:ascii="Arial" w:cs="Arial" w:eastAsia="Arial" w:hAnsi="Arial"/>
          <w:sz w:val="18"/>
          <w:szCs w:val="18"/>
          <w:color w:val="auto"/>
        </w:rPr>
        <w:t>In connection with this offering, we expect to consummate a forward stock split of our outstanding common stock at a ratio to be determined.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 Rights</w:t>
      </w:r>
    </w:p>
    <w:p>
      <w:pPr>
        <w:spacing w:after="0" w:line="12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 2/3% of the voting power of all of the then outstanding voting stock will be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ind w:left="200" w:right="80" w:firstLine="551"/>
        <w:spacing w:after="0" w:line="246"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Liquidation</w:t>
      </w:r>
    </w:p>
    <w:p>
      <w:pPr>
        <w:spacing w:after="0" w:line="126" w:lineRule="exact"/>
        <w:rPr>
          <w:sz w:val="20"/>
          <w:szCs w:val="20"/>
          <w:color w:val="auto"/>
        </w:rPr>
      </w:pPr>
    </w:p>
    <w:p>
      <w:pPr>
        <w:ind w:left="200" w:right="160" w:firstLine="551"/>
        <w:spacing w:after="0"/>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20"/>
          </w:cols>
          <w:pgMar w:left="24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26" w:lineRule="exact"/>
        <w:rPr>
          <w:sz w:val="20"/>
          <w:szCs w:val="20"/>
          <w:color w:val="auto"/>
        </w:rPr>
      </w:pPr>
    </w:p>
    <w:p>
      <w:pPr>
        <w:ind w:left="200" w:right="100" w:firstLine="551"/>
        <w:spacing w:after="0" w:line="239"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6" w:lineRule="exact"/>
        <w:rPr>
          <w:sz w:val="20"/>
          <w:szCs w:val="20"/>
          <w:color w:val="auto"/>
        </w:rPr>
      </w:pPr>
    </w:p>
    <w:p>
      <w:pPr>
        <w:ind w:left="200" w:right="300" w:firstLine="551"/>
        <w:spacing w:after="0" w:line="246" w:lineRule="auto"/>
        <w:rPr>
          <w:sz w:val="20"/>
          <w:szCs w:val="20"/>
          <w:color w:val="auto"/>
        </w:rPr>
      </w:pPr>
      <w:r>
        <w:rPr>
          <w:rFonts w:ascii="Arial" w:cs="Arial" w:eastAsia="Arial" w:hAnsi="Arial"/>
          <w:sz w:val="18"/>
          <w:szCs w:val="18"/>
          <w:color w:val="auto"/>
        </w:rPr>
        <w:t>All of our outstanding shares of common stock are, and the shares of our common stock to be issued in this offering will be, fully paid and nonassessable.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234" w:lineRule="exact"/>
        <w:rPr>
          <w:sz w:val="20"/>
          <w:szCs w:val="20"/>
          <w:color w:val="auto"/>
        </w:rPr>
      </w:pPr>
    </w:p>
    <w:p>
      <w:pPr>
        <w:ind w:left="200" w:firstLine="551"/>
        <w:spacing w:after="0" w:line="234" w:lineRule="auto"/>
        <w:rPr>
          <w:sz w:val="20"/>
          <w:szCs w:val="20"/>
          <w:color w:val="auto"/>
        </w:rPr>
      </w:pPr>
      <w:r>
        <w:rPr>
          <w:rFonts w:ascii="Arial" w:cs="Arial" w:eastAsia="Arial" w:hAnsi="Arial"/>
          <w:sz w:val="18"/>
          <w:szCs w:val="18"/>
          <w:color w:val="auto"/>
        </w:rPr>
        <w:t>Immediately prior to the consummation of this offering, all outstanding shares of our redeemable convertible preferred stock will be converted into shares of our common stock. See Note 10 to our audited financial statements included elsewhere in this prospectus for a description of our currently outstanding redeemable convertible preferred stock. Immediately prior to the consummation of this offering, our amended and restated certificate of incorporation will be amended and restated to delete all references to such shares of redeemable convertible preferred stock. From and after the consummation of this offering, our board of directors will have the authority, without further</w:t>
      </w:r>
    </w:p>
    <w:p>
      <w:pPr>
        <w:spacing w:after="0" w:line="4"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action by our stockholders, to issue up to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our liquidation. In addition, the issuance of preferred stock could have the effect of delaying, deferring or preventing a change in control or other corporate action. Immediately after consummation of this offering, no shares of preferred stock will be outstanding, and we have no present plan to issue any shares of preferred stock.</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w:t>
      </w:r>
    </w:p>
    <w:p>
      <w:pPr>
        <w:spacing w:after="0" w:line="234" w:lineRule="exact"/>
        <w:rPr>
          <w:sz w:val="20"/>
          <w:szCs w:val="20"/>
          <w:color w:val="auto"/>
        </w:rPr>
      </w:pPr>
    </w:p>
    <w:p>
      <w:pPr>
        <w:ind w:left="200" w:right="200" w:firstLine="551"/>
        <w:spacing w:after="0" w:line="246" w:lineRule="auto"/>
        <w:rPr>
          <w:sz w:val="20"/>
          <w:szCs w:val="20"/>
          <w:color w:val="auto"/>
        </w:rPr>
      </w:pPr>
      <w:r>
        <w:rPr>
          <w:rFonts w:ascii="Arial" w:cs="Arial" w:eastAsia="Arial" w:hAnsi="Arial"/>
          <w:sz w:val="18"/>
          <w:szCs w:val="18"/>
          <w:color w:val="auto"/>
        </w:rPr>
        <w:t>As of June 30, 2019, we had outstanding options to purchase 2,192,230 shares of our common stock, with a per share weighted-average exercise price of $6.10, under our 2015 Equity Incentive Plan.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Warrants</w:t>
      </w:r>
    </w:p>
    <w:p>
      <w:pPr>
        <w:spacing w:after="0" w:line="234" w:lineRule="exact"/>
        <w:rPr>
          <w:sz w:val="20"/>
          <w:szCs w:val="20"/>
          <w:color w:val="auto"/>
        </w:rPr>
      </w:pPr>
    </w:p>
    <w:p>
      <w:pPr>
        <w:ind w:left="200" w:right="780" w:firstLine="551"/>
        <w:spacing w:after="0" w:line="246" w:lineRule="auto"/>
        <w:rPr>
          <w:sz w:val="20"/>
          <w:szCs w:val="20"/>
          <w:color w:val="auto"/>
        </w:rPr>
      </w:pPr>
      <w:r>
        <w:rPr>
          <w:rFonts w:ascii="Arial" w:cs="Arial" w:eastAsia="Arial" w:hAnsi="Arial"/>
          <w:sz w:val="18"/>
          <w:szCs w:val="18"/>
          <w:color w:val="auto"/>
        </w:rPr>
        <w:t>As of June 30, 2019, we had warrants outstanding with the option to purchase 68,669 shares of our common stock, with a weighted-average exercise price of $1.85 per share.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234" w:lineRule="exact"/>
        <w:rPr>
          <w:sz w:val="20"/>
          <w:szCs w:val="20"/>
          <w:color w:val="auto"/>
        </w:rPr>
      </w:pPr>
    </w:p>
    <w:p>
      <w:pPr>
        <w:ind w:left="200" w:right="180" w:firstLine="551"/>
        <w:spacing w:after="0" w:line="238" w:lineRule="auto"/>
        <w:rPr>
          <w:sz w:val="20"/>
          <w:szCs w:val="20"/>
          <w:color w:val="auto"/>
        </w:rPr>
      </w:pPr>
      <w:r>
        <w:rPr>
          <w:rFonts w:ascii="Arial" w:cs="Arial" w:eastAsia="Arial" w:hAnsi="Arial"/>
          <w:sz w:val="18"/>
          <w:szCs w:val="18"/>
          <w:color w:val="auto"/>
        </w:rPr>
        <w:t>Under our amended and restated investors’ rights agreement, based on the number of shares outstanding as of December 31, 2018, following the consummation of this offering, the holders of approximately 7.4 million shares of our common stock, or their transferees, have the right to require us to register their shares under the Securities Act so that those shares may be publicly resold, and the holders of approximately 7.4 million shares of our common stock, or their transferees, have the right to include their shares in any registration statement we file, in each case as described below.</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20"/>
          </w:cols>
          <w:pgMar w:left="240" w:top="460"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26" w:lineRule="exact"/>
        <w:rPr>
          <w:sz w:val="20"/>
          <w:szCs w:val="20"/>
          <w:color w:val="auto"/>
        </w:rPr>
      </w:pPr>
    </w:p>
    <w:p>
      <w:pPr>
        <w:ind w:left="200" w:right="120" w:firstLine="551"/>
        <w:spacing w:after="0" w:line="236" w:lineRule="auto"/>
        <w:rPr>
          <w:sz w:val="20"/>
          <w:szCs w:val="20"/>
          <w:color w:val="auto"/>
        </w:rPr>
      </w:pPr>
      <w:r>
        <w:rPr>
          <w:rFonts w:ascii="Arial" w:cs="Arial" w:eastAsia="Arial" w:hAnsi="Arial"/>
          <w:sz w:val="18"/>
          <w:szCs w:val="18"/>
          <w:color w:val="auto"/>
        </w:rPr>
        <w:t>Based on the number of shares outstanding as of December 31, 2018, after the consummation of this offering, the holders of approximately 7.4 million shares of our common stock (on an as-converted basis), or their transferees, will be entitled to certain demand registration rights. Beginning 180 days following the effectiveness of the registration statement of which this prospectus is a part, the holders of at least 50% of these shares can, on not more than two occasions, request that we register all or a portion of their shares if the aggregate price to the public of the shares offered is at least $30.0 million (before deductions of underwriters’ commissions and expenses). Additionally, we will not be required to effect a demand registration during the period beginning 60 days prior to the filing and ending 180 days following the effectiveness of a company-initiated registration statement relating to an initial public offering of our securities.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Based on the number of shares outstanding as of December 31, 2018, after the consummation of this offering, in the event that we determine to register any of our securities under the Securities Act (subject to certain exceptions), either for our own account or for the account of other security holders, the holders of approximately 7.4 million shares of our common stock (on an as-converted basis), or their transferees,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a registration related to employee benefit plans, the offer and sale of debt securities, or corporate reorganizations or certain other transactions, the holders of these shares are entitled to notice of the registration and have the right, subject to limitations that the underwriters may impose on the number of shares included in the registration, to include their shares in the registration. In an underwritten offering, the managing underwriter, if any, has the right, subject to specified conditions, to exclude or limit the number of shares such holders may include.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26"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Based on the number of shares outstanding as of December 31, 2018, after the consummation of this offering, the holders of approximately 7.4 million shares of our common stock (on an as-converted basis), or their transferees, will be entitled to certain Form S-3 registration rights. The holders of at least 30% of the registrable securities then outstanding of these shares can make a written request that we register their shares on Form S-3 if we are eligible to file a registration statement on Form S-3 and if the aggregate price to the public of the shares offered is at least $5.0 million (before deductions of underwriters’ commissions and expenses). These stockholders may make an unlimited number of requests for registration on Form S-3, but in no event shall we be required to file more than two registrations on Form S-3 in any given twelve-month period.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26" w:lineRule="exact"/>
        <w:rPr>
          <w:sz w:val="20"/>
          <w:szCs w:val="20"/>
          <w:color w:val="auto"/>
        </w:rPr>
      </w:pPr>
    </w:p>
    <w:p>
      <w:pPr>
        <w:jc w:val="both"/>
        <w:ind w:left="200" w:right="400" w:firstLine="551"/>
        <w:spacing w:after="0"/>
        <w:rPr>
          <w:sz w:val="20"/>
          <w:szCs w:val="20"/>
          <w:color w:val="auto"/>
        </w:rPr>
      </w:pPr>
      <w:r>
        <w:rPr>
          <w:rFonts w:ascii="Arial" w:cs="Arial" w:eastAsia="Arial" w:hAnsi="Arial"/>
          <w:sz w:val="18"/>
          <w:szCs w:val="18"/>
          <w:color w:val="auto"/>
        </w:rPr>
        <w:t>We will pay the registration expenses of the holders of the shares registered pursuant to the demand, piggyback and Form S-3 registration rights described above, including the expenses in an amount not to exceed $25,000 of one special counsel for the selling holders.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26" w:lineRule="exact"/>
        <w:rPr>
          <w:sz w:val="20"/>
          <w:szCs w:val="20"/>
          <w:color w:val="auto"/>
        </w:rPr>
      </w:pPr>
    </w:p>
    <w:p>
      <w:pPr>
        <w:ind w:left="200" w:right="240" w:firstLine="551"/>
        <w:spacing w:after="0" w:line="239" w:lineRule="auto"/>
        <w:rPr>
          <w:sz w:val="20"/>
          <w:szCs w:val="20"/>
          <w:color w:val="auto"/>
        </w:rPr>
      </w:pPr>
      <w:r>
        <w:rPr>
          <w:rFonts w:ascii="Arial" w:cs="Arial" w:eastAsia="Arial" w:hAnsi="Arial"/>
          <w:sz w:val="18"/>
          <w:szCs w:val="18"/>
          <w:color w:val="auto"/>
        </w:rPr>
        <w:t>The demand, piggyback and Form S-3 registration rights described above will expire, with respect to any particular stockholder, upon the earlier of five years after the consummation of this offering or when that stockholder can sell all of its shares under Rule 144 of the Securities Act during any three-month period (and without the requirement for us to be in compliance with the current public information required under Section c(1) of Rule 144 of the Securities Act).</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20"/>
          </w:cols>
          <w:pgMar w:left="24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520"/>
        <w:spacing w:after="0" w:line="271"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17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Certain provisions of Delaware law and our amended and restated certificate of incorporation and our amended and restated bylaws that will become effective immediately prior to the consummation of this offering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205"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 such as discouraging takeover attempts that might result in a premium over the market price of our common stock.</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26" w:lineRule="exact"/>
        <w:rPr>
          <w:sz w:val="20"/>
          <w:szCs w:val="20"/>
          <w:color w:val="auto"/>
        </w:rPr>
      </w:pPr>
    </w:p>
    <w:p>
      <w:pPr>
        <w:jc w:val="both"/>
        <w:ind w:left="200" w:right="320" w:firstLine="551"/>
        <w:spacing w:after="0"/>
        <w:rPr>
          <w:sz w:val="20"/>
          <w:szCs w:val="20"/>
          <w:color w:val="auto"/>
        </w:rPr>
      </w:pPr>
      <w:r>
        <w:rPr>
          <w:rFonts w:ascii="Arial" w:cs="Arial" w:eastAsia="Arial" w:hAnsi="Arial"/>
          <w:sz w:val="18"/>
          <w:szCs w:val="18"/>
          <w:color w:val="auto"/>
        </w:rPr>
        <w:t>The ability to authorize undesignated preferred stock will make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26"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Our amended and restated bylaws will provide that a special meeting of stockholders may be called at any time by our board of directors, or our President or Chief Executive Officer, but such special meetings may not be called by our stockholders or any other person or persons.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26" w:lineRule="exact"/>
        <w:rPr>
          <w:sz w:val="20"/>
          <w:szCs w:val="20"/>
          <w:color w:val="auto"/>
        </w:rPr>
      </w:pPr>
    </w:p>
    <w:p>
      <w:pPr>
        <w:ind w:left="200" w:right="680" w:firstLine="551"/>
        <w:spacing w:after="0"/>
        <w:rPr>
          <w:sz w:val="20"/>
          <w:szCs w:val="20"/>
          <w:color w:val="auto"/>
        </w:rPr>
      </w:pPr>
      <w:r>
        <w:rPr>
          <w:rFonts w:ascii="Arial" w:cs="Arial" w:eastAsia="Arial" w:hAnsi="Arial"/>
          <w:sz w:val="18"/>
          <w:szCs w:val="18"/>
          <w:color w:val="auto"/>
        </w:rPr>
        <w:t>Our amended and restated bylaws will establish advance notice procedures with respect to stockholder proposals and the nomination of candidates for election as directors, other than nominations made by or at the direction of our board of directors or a committee of our board of directors.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20"/>
          </w:cols>
          <w:pgMar w:left="240" w:top="460"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26" w:lineRule="exact"/>
        <w:rPr>
          <w:sz w:val="20"/>
          <w:szCs w:val="20"/>
          <w:color w:val="auto"/>
        </w:rPr>
      </w:pPr>
    </w:p>
    <w:p>
      <w:pPr>
        <w:ind w:left="200" w:right="40" w:firstLine="551"/>
        <w:spacing w:after="0" w:line="246" w:lineRule="auto"/>
        <w:rPr>
          <w:sz w:val="20"/>
          <w:szCs w:val="20"/>
          <w:color w:val="auto"/>
        </w:rPr>
      </w:pPr>
      <w:r>
        <w:rPr>
          <w:rFonts w:ascii="Arial" w:cs="Arial" w:eastAsia="Arial" w:hAnsi="Arial"/>
          <w:sz w:val="18"/>
          <w:szCs w:val="18"/>
          <w:color w:val="auto"/>
        </w:rPr>
        <w:t>Our amended and restated certificate of incorporation and our amended and restated bylaws will eliminate the right of stockholders to act by written consent without a meeting.</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Effective upon the consummation of this offering, our board of directors will be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our common stock outstanding will be able to elect all of our directors. Our amended and restated certificate of incorporation will provide for the removal of any of our directors only for cause and requires a stockholder vote by the holders of at least a 66 2/3% of the voting power of the then outstanding voting stock. For more information on the classified board, see the section titled “Management— Board Composition.” Furthermore, any vacancy on our board of directors, however occurring, including a vacancy resulting from an increase in the size of our board of directors, may only be filled by a resolution of our board of directors unless our board of directors determines that such vacancies shall be filled by our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26" w:lineRule="exact"/>
        <w:rPr>
          <w:sz w:val="20"/>
          <w:szCs w:val="20"/>
          <w:color w:val="auto"/>
        </w:rPr>
      </w:pPr>
    </w:p>
    <w:p>
      <w:pPr>
        <w:jc w:val="both"/>
        <w:ind w:left="200" w:firstLine="551"/>
        <w:spacing w:after="0" w:line="234" w:lineRule="auto"/>
        <w:rPr>
          <w:sz w:val="20"/>
          <w:szCs w:val="20"/>
          <w:color w:val="auto"/>
        </w:rPr>
      </w:pPr>
      <w:r>
        <w:rPr>
          <w:rFonts w:ascii="Arial" w:cs="Arial" w:eastAsia="Arial" w:hAnsi="Arial"/>
          <w:sz w:val="18"/>
          <w:szCs w:val="18"/>
          <w:color w:val="auto"/>
        </w:rPr>
        <w:t>Our amended and restated certificate of incorporation and our amended and restated bylaws will provide that, unless we consent in writing to the selection of an alternative forum, the Court of Chancery of the State of Delaware will be the exclusive forum for the following types of actions or proceedings and Delaware statutory or common law: (i) any derivative action or proceeding brought on our behalf;</w:t>
      </w:r>
    </w:p>
    <w:p>
      <w:pPr>
        <w:spacing w:after="0" w:line="2" w:lineRule="exact"/>
        <w:rPr>
          <w:sz w:val="20"/>
          <w:szCs w:val="20"/>
          <w:color w:val="auto"/>
        </w:rPr>
      </w:pPr>
    </w:p>
    <w:p>
      <w:pPr>
        <w:ind w:left="200" w:right="20" w:firstLine="4"/>
        <w:spacing w:after="0" w:line="237" w:lineRule="auto"/>
        <w:tabs>
          <w:tab w:leader="none" w:pos="45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 (iii) any action asserting a claim against us arising pursuant to the Delaware General Corporation Law, our amended and restated certificate of incorporation or our amended and restated bylaws; (iv) any action to interpret, apply, enforce or determine the validity of our amended and restated certificate of incorporation or our amended and restated bylaws; or (v) any action asserting a claim against us that is governed by the internal affairs doctrine. Although our amended and restated certificate of incorporation and amended and restated bylaws will contain the choice of forum provision described above, it is possible that a court could find that such a provision is inapplicable for a particular claim or action or that such provision is unenforceable. The choice of forum provision does not apply to any actions arising under the Securities Act or the Exchange Act.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26" w:lineRule="exact"/>
        <w:rPr>
          <w:sz w:val="20"/>
          <w:szCs w:val="20"/>
          <w:color w:val="auto"/>
        </w:rPr>
      </w:pPr>
    </w:p>
    <w:p>
      <w:pPr>
        <w:jc w:val="both"/>
        <w:ind w:left="200" w:right="260" w:firstLine="551"/>
        <w:spacing w:after="0"/>
        <w:rPr>
          <w:sz w:val="20"/>
          <w:szCs w:val="20"/>
          <w:color w:val="auto"/>
        </w:rPr>
      </w:pPr>
      <w:r>
        <w:rPr>
          <w:rFonts w:ascii="Arial" w:cs="Arial" w:eastAsia="Arial" w:hAnsi="Arial"/>
          <w:sz w:val="18"/>
          <w:szCs w:val="18"/>
          <w:color w:val="auto"/>
        </w:rPr>
        <w:t>The amendment of any of the above provisions in our amended and restated certificate of incorporation, except for the provision making it possible for our board of directors to issue undesignated preferred stock, would require approval by a stockholder vote by the holders of at least a 66 2/3% of the voting power of the then outstanding voting stock.</w:t>
      </w:r>
    </w:p>
    <w:p>
      <w:pPr>
        <w:spacing w:after="0" w:line="203" w:lineRule="exact"/>
        <w:rPr>
          <w:sz w:val="20"/>
          <w:szCs w:val="20"/>
          <w:color w:val="auto"/>
        </w:rPr>
      </w:pPr>
    </w:p>
    <w:p>
      <w:pPr>
        <w:jc w:val="both"/>
        <w:ind w:left="200" w:right="40" w:firstLine="551"/>
        <w:spacing w:after="0"/>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00"/>
          </w:cols>
          <w:pgMar w:left="240" w:top="460"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line="246" w:lineRule="auto"/>
        <w:rPr>
          <w:sz w:val="20"/>
          <w:szCs w:val="20"/>
          <w:color w:val="auto"/>
        </w:rPr>
      </w:pPr>
      <w:r>
        <w:rPr>
          <w:rFonts w:ascii="Arial" w:cs="Arial" w:eastAsia="Arial" w:hAnsi="Arial"/>
          <w:sz w:val="18"/>
          <w:szCs w:val="18"/>
          <w:color w:val="auto"/>
        </w:rPr>
        <w:t>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34" w:lineRule="exact"/>
        <w:rPr>
          <w:sz w:val="20"/>
          <w:szCs w:val="20"/>
          <w:color w:val="auto"/>
        </w:rPr>
      </w:pPr>
    </w:p>
    <w:p>
      <w:pPr>
        <w:ind w:left="200" w:right="240" w:firstLine="551"/>
        <w:spacing w:after="0" w:line="246" w:lineRule="auto"/>
        <w:rPr>
          <w:sz w:val="20"/>
          <w:szCs w:val="20"/>
          <w:color w:val="auto"/>
        </w:rPr>
      </w:pPr>
      <w:r>
        <w:rPr>
          <w:rFonts w:ascii="Arial" w:cs="Arial" w:eastAsia="Arial" w:hAnsi="Arial"/>
          <w:sz w:val="18"/>
          <w:szCs w:val="18"/>
          <w:color w:val="auto"/>
        </w:rPr>
        <w:t>For a discussion of liability and indemnification, see the section titled “Management—Limitation on Liability and Indemnification Matters.”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applied to have our common stock listed on The Nasdaq Global Market under the symbol “DDDD.”</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234"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1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060"/>
          </w:cols>
          <w:pgMar w:left="240" w:top="460" w:right="5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SHARES ELIGIBLE FOR FUTURE SALE</w:t>
      </w:r>
    </w:p>
    <w:p>
      <w:pPr>
        <w:spacing w:after="0" w:line="234"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Prior to this offering, there has been no public market for our common stock. Future sales of our common stock, including shares issued upon the exercise of outstanding options or warrants, in the public market after this offering, or the perception that those sales may occur, could cause the prevailing market price for our common stock to fall or impair our ability to raise equity capital in the future. As described below, only a limited number of shares of our common stock will be available for sale in the public market for a period of several months after consummation of this offering due to contractual and legal restrictions on resale described below. 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of Restricted Shares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Based on the number of shares of our common stock outstanding as of June 30, 2019 and assuming an initial public offering price</w:t>
      </w:r>
    </w:p>
    <w:p>
      <w:pPr>
        <w:ind w:left="200" w:right="420"/>
        <w:spacing w:after="0" w:line="234" w:lineRule="auto"/>
        <w:rPr>
          <w:sz w:val="20"/>
          <w:szCs w:val="20"/>
          <w:color w:val="auto"/>
        </w:rPr>
      </w:pPr>
      <w:r>
        <w:rPr>
          <w:rFonts w:ascii="Arial" w:cs="Arial" w:eastAsia="Arial" w:hAnsi="Arial"/>
          <w:sz w:val="18"/>
          <w:szCs w:val="18"/>
          <w:color w:val="auto"/>
        </w:rPr>
        <w:t>of $ per share, the midpoint of the estimated price range set forth on the cover of this prospectus, upon the consummation of this offering and assuming (i) the conversion of all shares of our outstanding Series A, Series A-1 and Series B redeemable convertible preferred stock as of June 30, 2019, (ii) no exercise of the underwriters’ over-allotment option and (iii) no exercise of any of our</w:t>
      </w:r>
    </w:p>
    <w:p>
      <w:pPr>
        <w:spacing w:after="0" w:line="2"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outstanding options or warrants, we will have outstanding an aggregate of approximately shares of our common stock. Of these shares, all of the shares of our common stock to be sold in this offering, and any shares sold upon exercise of the underwriters’ over-allotment option, will be freely tradable in the public market without restriction or further registration under the Securities Act, unless the shares are held by any of our “affiliates” as such term is defined in Rule 144 of the Securities Act. All remaining shares of our common stock held by existing stockholders immediately prior to the consummation of this offering will be “restricted securities” as such term is defined in Rule 144. 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spacing w:after="0" w:line="208"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As a result of the lock-up agreements referred to below and the provisions of Rule 144 and Rule 701 under the Securities Act, based on the number of shares of our common stock outstanding as of June 30, 2019 and assumptions (i)-(iii) described above, the shares of our common stock (excluding the shares sold in this offering) that will be available for sale in the public market, subject (A) to any waivers by the underwriters and/or our board of directors under the respective lock-up agreements and (B) with respect to shares held by directors, executive officers and other affiliates, the volume limitations under Rule 144 under the Securities Act, are as follows: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Approximate Number of</w:t>
            </w:r>
          </w:p>
        </w:tc>
        <w:tc>
          <w:tcPr>
            <w:tcW w:w="280" w:type="dxa"/>
            <w:vAlign w:val="bottom"/>
          </w:tcPr>
          <w:p>
            <w:pPr>
              <w:spacing w:after="0"/>
              <w:rPr>
                <w:sz w:val="14"/>
                <w:szCs w:val="14"/>
                <w:color w:val="auto"/>
              </w:rPr>
            </w:pPr>
          </w:p>
        </w:tc>
        <w:tc>
          <w:tcPr>
            <w:tcW w:w="8700" w:type="dxa"/>
            <w:vAlign w:val="bottom"/>
          </w:tcPr>
          <w:p>
            <w:pPr>
              <w:spacing w:after="0"/>
              <w:rPr>
                <w:sz w:val="14"/>
                <w:szCs w:val="14"/>
                <w:color w:val="auto"/>
              </w:rPr>
            </w:pPr>
          </w:p>
        </w:tc>
      </w:tr>
      <w:tr>
        <w:trPr>
          <w:trHeight w:val="175"/>
        </w:trPr>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8700" w:type="dxa"/>
            <w:vAlign w:val="bottom"/>
          </w:tcPr>
          <w:p>
            <w:pPr>
              <w:ind w:left="2740"/>
              <w:spacing w:after="0"/>
              <w:rPr>
                <w:sz w:val="20"/>
                <w:szCs w:val="20"/>
                <w:color w:val="auto"/>
              </w:rPr>
            </w:pPr>
            <w:r>
              <w:rPr>
                <w:rFonts w:ascii="Arial" w:cs="Arial" w:eastAsia="Arial" w:hAnsi="Arial"/>
                <w:sz w:val="14"/>
                <w:szCs w:val="14"/>
                <w:b w:val="1"/>
                <w:bCs w:val="1"/>
                <w:color w:val="auto"/>
              </w:rPr>
              <w:t>First Date Available for Sale into Public Market</w:t>
            </w:r>
          </w:p>
        </w:tc>
      </w:tr>
      <w:tr>
        <w:trPr>
          <w:trHeight w:val="20"/>
        </w:trPr>
        <w:tc>
          <w:tcPr>
            <w:tcW w:w="20" w:type="dxa"/>
            <w:vAlign w:val="bottom"/>
          </w:tcPr>
          <w:p>
            <w:pPr>
              <w:spacing w:after="0" w:line="20" w:lineRule="exact"/>
              <w:rPr>
                <w:sz w:val="1"/>
                <w:szCs w:val="1"/>
                <w:color w:val="auto"/>
              </w:rPr>
            </w:pPr>
          </w:p>
        </w:tc>
        <w:tc>
          <w:tcPr>
            <w:tcW w:w="1640" w:type="dxa"/>
            <w:vAlign w:val="bottom"/>
            <w:tcBorders>
              <w:bottom w:val="single" w:sz="8" w:color="CCEEFF"/>
            </w:tcBorders>
            <w:shd w:val="clear" w:color="auto" w:fill="000000"/>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70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gridSpan w:val="2"/>
            <w:shd w:val="clear" w:color="auto" w:fill="CCEEFF"/>
          </w:tcPr>
          <w:p>
            <w:pPr>
              <w:ind w:left="1220"/>
              <w:spacing w:after="0" w:line="189" w:lineRule="exact"/>
              <w:rPr>
                <w:sz w:val="20"/>
                <w:szCs w:val="20"/>
                <w:color w:val="auto"/>
              </w:rPr>
            </w:pPr>
            <w:r>
              <w:rPr>
                <w:rFonts w:ascii="Arial" w:cs="Arial" w:eastAsia="Arial" w:hAnsi="Arial"/>
                <w:sz w:val="18"/>
                <w:szCs w:val="18"/>
                <w:color w:val="auto"/>
              </w:rPr>
              <w:t>shares</w:t>
            </w:r>
          </w:p>
        </w:tc>
        <w:tc>
          <w:tcPr>
            <w:tcW w:w="280" w:type="dxa"/>
            <w:vAlign w:val="bottom"/>
            <w:shd w:val="clear" w:color="auto" w:fill="CCEEFF"/>
          </w:tcPr>
          <w:p>
            <w:pPr>
              <w:spacing w:after="0"/>
              <w:rPr>
                <w:sz w:val="16"/>
                <w:szCs w:val="16"/>
                <w:color w:val="auto"/>
              </w:rPr>
            </w:pPr>
          </w:p>
        </w:tc>
        <w:tc>
          <w:tcPr>
            <w:tcW w:w="8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180 days after the date of this prospectus upon expiration of the lock-up agreements referred to below,</w:t>
            </w:r>
          </w:p>
        </w:tc>
      </w:tr>
      <w:tr>
        <w:trPr>
          <w:trHeight w:val="203"/>
        </w:trPr>
        <w:tc>
          <w:tcPr>
            <w:tcW w:w="20" w:type="dxa"/>
            <w:vAlign w:val="bottom"/>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980" w:type="dxa"/>
            <w:vAlign w:val="bottom"/>
            <w:gridSpan w:val="2"/>
            <w:shd w:val="clear" w:color="auto" w:fill="CCEEFF"/>
          </w:tcPr>
          <w:p>
            <w:pPr>
              <w:ind w:left="260"/>
              <w:spacing w:after="0" w:line="203" w:lineRule="exact"/>
              <w:rPr>
                <w:sz w:val="20"/>
                <w:szCs w:val="20"/>
                <w:color w:val="auto"/>
              </w:rPr>
            </w:pPr>
            <w:r>
              <w:rPr>
                <w:rFonts w:ascii="Arial" w:cs="Arial" w:eastAsia="Arial" w:hAnsi="Arial"/>
                <w:sz w:val="18"/>
                <w:szCs w:val="18"/>
                <w:color w:val="auto"/>
              </w:rPr>
              <w:t>subject in some cases to applicable volume limitations under Rule 144</w:t>
            </w:r>
          </w:p>
        </w:tc>
      </w:tr>
    </w:tbl>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234" w:lineRule="exact"/>
        <w:rPr>
          <w:sz w:val="20"/>
          <w:szCs w:val="20"/>
          <w:color w:val="auto"/>
        </w:rPr>
      </w:pPr>
    </w:p>
    <w:p>
      <w:pPr>
        <w:ind w:left="200" w:right="500" w:firstLine="551"/>
        <w:spacing w:after="0" w:line="246" w:lineRule="auto"/>
        <w:rPr>
          <w:sz w:val="20"/>
          <w:szCs w:val="20"/>
          <w:color w:val="auto"/>
        </w:rPr>
      </w:pPr>
      <w:r>
        <w:rPr>
          <w:rFonts w:ascii="Arial" w:cs="Arial" w:eastAsia="Arial" w:hAnsi="Arial"/>
          <w:sz w:val="18"/>
          <w:szCs w:val="18"/>
          <w:color w:val="auto"/>
        </w:rPr>
        <w:t>In connection with this offering, we, our executive officers, our directors and substantially all of our other security holders have agreed, subject to certain exceptions, with the underwriters not to</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240" w:top="459" w:right="4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dispose of or hedge any shares of our common stock or securities convertible into or exchangeable for shares of our common stock during the period from the date of the lock-up agreement continuing through the date 180 days after the date of this prospectus, except with the prior written consent of Goldman Sachs &amp; Co. LLC and Evercore Group L.L.C on behalf of the underwriters.</w:t>
      </w:r>
    </w:p>
    <w:p>
      <w:pPr>
        <w:spacing w:after="0" w:line="203" w:lineRule="exact"/>
        <w:rPr>
          <w:sz w:val="20"/>
          <w:szCs w:val="20"/>
          <w:color w:val="auto"/>
        </w:rPr>
      </w:pPr>
    </w:p>
    <w:p>
      <w:pPr>
        <w:ind w:left="200" w:right="100" w:firstLine="551"/>
        <w:spacing w:after="0"/>
        <w:rPr>
          <w:sz w:val="20"/>
          <w:szCs w:val="20"/>
          <w:color w:val="auto"/>
        </w:rPr>
      </w:pPr>
      <w:r>
        <w:rPr>
          <w:rFonts w:ascii="Arial" w:cs="Arial" w:eastAsia="Arial" w:hAnsi="Arial"/>
          <w:sz w:val="18"/>
          <w:szCs w:val="18"/>
          <w:color w:val="auto"/>
        </w:rPr>
        <w:t>Prior to the completion of the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203" w:lineRule="exact"/>
        <w:rPr>
          <w:sz w:val="20"/>
          <w:szCs w:val="20"/>
          <w:color w:val="auto"/>
        </w:rPr>
      </w:pPr>
    </w:p>
    <w:p>
      <w:pPr>
        <w:ind w:left="200" w:right="140" w:firstLine="551"/>
        <w:spacing w:after="0" w:line="239" w:lineRule="auto"/>
        <w:rPr>
          <w:sz w:val="20"/>
          <w:szCs w:val="20"/>
          <w:color w:val="auto"/>
        </w:rPr>
      </w:pPr>
      <w:r>
        <w:rPr>
          <w:rFonts w:ascii="Arial" w:cs="Arial" w:eastAsia="Arial" w:hAnsi="Arial"/>
          <w:sz w:val="18"/>
          <w:szCs w:val="18"/>
          <w:color w:val="auto"/>
        </w:rPr>
        <w:t>Following the lock-up periods set forth in the agreements described above, and assuming that the representatives of the underwriters do not release any parties from these agreements, all of the shares of our common stock that are restricted securities or are held by our affiliates as of the date of this prospectus will be eligible for sale in the public market in compliance with Rule 144 under the Securities Act.</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23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the Exchange Act for at least 90 days, a person (or persons whose shares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above,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 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p>
    <w:p>
      <w:pPr>
        <w:spacing w:after="0" w:line="109" w:lineRule="exact"/>
        <w:rPr>
          <w:sz w:val="20"/>
          <w:szCs w:val="20"/>
          <w:color w:val="auto"/>
        </w:rPr>
      </w:pPr>
    </w:p>
    <w:p>
      <w:pPr>
        <w:ind w:left="960" w:right="300" w:hanging="219"/>
        <w:spacing w:after="0" w:line="246" w:lineRule="auto"/>
        <w:tabs>
          <w:tab w:leader="none" w:pos="940" w:val="left"/>
        </w:tabs>
        <w:rPr>
          <w:sz w:val="20"/>
          <w:szCs w:val="20"/>
          <w:color w:val="auto"/>
        </w:rPr>
      </w:pPr>
      <w:r>
        <w:rPr>
          <w:rFonts w:ascii="Arial" w:cs="Arial" w:eastAsia="Arial" w:hAnsi="Arial"/>
          <w:sz w:val="18"/>
          <w:szCs w:val="18"/>
          <w:color w:val="auto"/>
        </w:rPr>
        <w:t>•</w:t>
        <w:tab/>
        <w:t>1% of the number of common shares then outstanding, which will equal approximately shares of our common stock immediately after this offering (calculated as of June 30, 2019 on the basis of the assumptions (i)-(iii) described above); or</w:t>
      </w:r>
    </w:p>
    <w:p>
      <w:pPr>
        <w:spacing w:after="0" w:line="102" w:lineRule="exact"/>
        <w:rPr>
          <w:sz w:val="20"/>
          <w:szCs w:val="20"/>
          <w:color w:val="auto"/>
        </w:rPr>
      </w:pPr>
    </w:p>
    <w:p>
      <w:pPr>
        <w:ind w:left="960" w:right="800" w:hanging="216"/>
        <w:spacing w:after="0" w:line="246" w:lineRule="auto"/>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Market during the four calendar weeks preceding the filing of a notice on Form 144 with respect to such sale.</w:t>
      </w:r>
    </w:p>
    <w:p>
      <w:pPr>
        <w:spacing w:after="0" w:line="197" w:lineRule="exact"/>
        <w:rPr>
          <w:sz w:val="20"/>
          <w:szCs w:val="20"/>
          <w:color w:val="auto"/>
        </w:rPr>
      </w:pPr>
    </w:p>
    <w:p>
      <w:pPr>
        <w:ind w:left="200" w:right="240" w:firstLine="551"/>
        <w:spacing w:after="0" w:line="238" w:lineRule="auto"/>
        <w:rPr>
          <w:sz w:val="20"/>
          <w:szCs w:val="20"/>
          <w:color w:val="auto"/>
        </w:rPr>
      </w:pPr>
      <w:r>
        <w:rPr>
          <w:rFonts w:ascii="Arial" w:cs="Arial" w:eastAsia="Arial" w:hAnsi="Arial"/>
          <w:sz w:val="18"/>
          <w:szCs w:val="18"/>
          <w:color w:val="auto"/>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234" w:lineRule="exact"/>
        <w:rPr>
          <w:sz w:val="20"/>
          <w:szCs w:val="20"/>
          <w:color w:val="auto"/>
        </w:rPr>
      </w:pPr>
    </w:p>
    <w:p>
      <w:pPr>
        <w:ind w:left="200" w:right="320" w:firstLine="551"/>
        <w:spacing w:after="0" w:line="246" w:lineRule="auto"/>
        <w:rPr>
          <w:sz w:val="20"/>
          <w:szCs w:val="20"/>
          <w:color w:val="auto"/>
        </w:rPr>
      </w:pPr>
      <w:r>
        <w:rPr>
          <w:rFonts w:ascii="Arial" w:cs="Arial" w:eastAsia="Arial" w:hAnsi="Arial"/>
          <w:sz w:val="18"/>
          <w:szCs w:val="18"/>
          <w:color w:val="auto"/>
        </w:rPr>
        <w:t>In general, under Rule 701 as currently in effect, any of our employees, directors, officers, consultants or advisors who acquired common stock from us in connection with a written</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20"/>
          </w:cols>
          <w:pgMar w:left="24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compensatory stock or option plan or other written agreement in compliance with Rule 701 under the Securities Act before the effective date of the registration statement of which this prospectus is a part (to the extent such common stock is not subject to a lock-up agreement) is entitled to rely on Rule 701 to resell such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shares without complying with the minimum holding period or public information requirements of Rule 144, and persons who are our “affiliates” may resell those shares without compliance with Rule 144’s minimum holding period requirements (subject to the terms of the lock-up agreement referred to above).</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234"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Based on the number of shares outstanding as of June 30, 2019, after the consummation of this offering, the holders of approximately 7.4 million shares of our common stock, or their transferees, will, subject to the lock-up agreements referred to above, be entitled to certain rights with respect to the registration of the offer and sale of those shares under the Securities Act. For a description of these registration rights, see the section titled “Description of Capital Stock—Registration Rights.” If the offer and sale of these shares are registered, they will be freely tradable without restriction under the Securities Act.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Plans</w:t>
      </w:r>
    </w:p>
    <w:p>
      <w:pPr>
        <w:spacing w:after="0" w:line="234"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We intend to file with the SEC a registration statement under the Securities Act covering the shares of our common stock that we may issue upon exercise of outstanding options reserved for issuance under our 2015 Equity Incentive Plan and our 2019 Plan. Such registration statement is expected to be filed and become effective as soon as practicable after the consummation of this offering. Accordingly, shares registered under such registration statement will be available for sale in the open market following its effective date, subject to Rule 144 volume limitations and the lock-up agreements described above, if applicable.</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240" w:top="460" w:right="5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3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 -U.S. tax laws are not discussed. This discussion is based on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207"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107" w:lineRule="exact"/>
        <w:rPr>
          <w:sz w:val="20"/>
          <w:szCs w:val="20"/>
          <w:color w:val="auto"/>
        </w:rPr>
      </w:pPr>
    </w:p>
    <w:p>
      <w:pPr>
        <w:ind w:left="960" w:hanging="216"/>
        <w:spacing w:after="0"/>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7" w:lineRule="exact"/>
        <w:rPr>
          <w:rFonts w:ascii="Arial" w:cs="Arial" w:eastAsia="Arial" w:hAnsi="Arial"/>
          <w:sz w:val="18"/>
          <w:szCs w:val="18"/>
          <w:color w:val="auto"/>
        </w:rPr>
      </w:pPr>
    </w:p>
    <w:p>
      <w:pPr>
        <w:ind w:left="960" w:right="660" w:hanging="216"/>
        <w:spacing w:after="0" w:line="246" w:lineRule="auto"/>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17" w:lineRule="exact"/>
        <w:rPr>
          <w:rFonts w:ascii="Arial" w:cs="Arial" w:eastAsia="Arial" w:hAnsi="Arial"/>
          <w:sz w:val="18"/>
          <w:szCs w:val="18"/>
          <w:color w:val="auto"/>
        </w:rPr>
      </w:pPr>
    </w:p>
    <w:p>
      <w:pPr>
        <w:ind w:left="960" w:right="320" w:hanging="216"/>
        <w:spacing w:after="0" w:line="246" w:lineRule="auto"/>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02" w:lineRule="exact"/>
        <w:rPr>
          <w:rFonts w:ascii="Arial" w:cs="Arial" w:eastAsia="Arial" w:hAnsi="Arial"/>
          <w:sz w:val="18"/>
          <w:szCs w:val="18"/>
          <w:color w:val="auto"/>
        </w:rPr>
      </w:pPr>
    </w:p>
    <w:p>
      <w:pPr>
        <w:ind w:left="960" w:right="560" w:hanging="216"/>
        <w:spacing w:after="0" w:line="246" w:lineRule="auto"/>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17" w:lineRule="exact"/>
        <w:rPr>
          <w:rFonts w:ascii="Arial" w:cs="Arial" w:eastAsia="Arial" w:hAnsi="Arial"/>
          <w:sz w:val="18"/>
          <w:szCs w:val="18"/>
          <w:color w:val="auto"/>
        </w:rPr>
      </w:pPr>
    </w:p>
    <w:p>
      <w:pPr>
        <w:ind w:left="960" w:right="180" w:hanging="216"/>
        <w:spacing w:after="0" w:line="246" w:lineRule="auto"/>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97" w:lineRule="exact"/>
        <w:rPr>
          <w:sz w:val="20"/>
          <w:szCs w:val="20"/>
          <w:color w:val="auto"/>
        </w:rPr>
      </w:pPr>
    </w:p>
    <w:p>
      <w:pPr>
        <w:ind w:left="200" w:right="100" w:firstLine="551"/>
        <w:spacing w:after="0" w:line="239"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80" w:lineRule="exact"/>
        <w:rPr>
          <w:sz w:val="20"/>
          <w:szCs w:val="20"/>
          <w:color w:val="auto"/>
        </w:rPr>
      </w:pPr>
    </w:p>
    <w:p>
      <w:pPr>
        <w:ind w:left="200" w:right="160" w:firstLine="551"/>
        <w:spacing w:after="0" w:line="253" w:lineRule="auto"/>
        <w:rPr>
          <w:sz w:val="20"/>
          <w:szCs w:val="20"/>
          <w:color w:val="auto"/>
        </w:rPr>
      </w:pPr>
      <w:r>
        <w:rPr>
          <w:rFonts w:ascii="Arial" w:cs="Arial" w:eastAsia="Arial" w:hAnsi="Arial"/>
          <w:sz w:val="18"/>
          <w:szCs w:val="18"/>
          <w:b w:val="1"/>
          <w:bCs w:val="1"/>
          <w:color w:val="auto"/>
        </w:rPr>
        <w:t>THIS DISCUSSION IS NOT TAX ADVICE. INVESTORS SHOULD CONSULT THEIR TAX ADVISORS WITH RESPECT TO THE APPLICATION OF THE U.S. FEDERAL INCOME TAX LAWS TO THEIR PARTICULAR SITUATIONS AS WELL AS ANY TAX CONSEQUENCES OF THE</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20"/>
          </w:cols>
          <w:pgMar w:left="240" w:top="460"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00" w:right="120"/>
        <w:spacing w:after="0" w:line="253" w:lineRule="auto"/>
        <w:rPr>
          <w:sz w:val="20"/>
          <w:szCs w:val="20"/>
          <w:color w:val="auto"/>
        </w:rPr>
      </w:pPr>
      <w:r>
        <w:rPr>
          <w:rFonts w:ascii="Arial" w:cs="Arial" w:eastAsia="Arial" w:hAnsi="Arial"/>
          <w:sz w:val="18"/>
          <w:szCs w:val="18"/>
          <w:b w:val="1"/>
          <w:bCs w:val="1"/>
          <w:color w:val="auto"/>
        </w:rPr>
        <w:t>PURCHASE, OWNERSHIP AND DISPOSITION OF OUR COMMON STOCK ARISING UNDER THE U.S. FEDERAL ESTATE OR GIFT TAX LAWS OR UNDER THE LAWS OF ANY STATE, LOCAL OR NON-U.S. TAXING JURISDICTION OR UNDER ANY APPLICABLE INCOME TAX TREATY.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of Non-U.S. Holder</w:t>
      </w:r>
    </w:p>
    <w:p>
      <w:pPr>
        <w:spacing w:after="0" w:line="234"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9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 individual who is a citizen or resident of the United States;</w:t>
      </w:r>
    </w:p>
    <w:p>
      <w:pPr>
        <w:spacing w:after="0" w:line="104" w:lineRule="exact"/>
        <w:rPr>
          <w:sz w:val="20"/>
          <w:szCs w:val="20"/>
          <w:color w:val="auto"/>
        </w:rPr>
      </w:pPr>
    </w:p>
    <w:p>
      <w:pPr>
        <w:ind w:left="760" w:right="1200"/>
        <w:spacing w:after="0" w:line="360" w:lineRule="auto"/>
        <w:rPr>
          <w:sz w:val="20"/>
          <w:szCs w:val="20"/>
          <w:color w:val="auto"/>
        </w:rPr>
      </w:pPr>
      <w:r>
        <w:rPr>
          <w:rFonts w:ascii="Arial" w:cs="Arial" w:eastAsia="Arial" w:hAnsi="Arial"/>
          <w:sz w:val="18"/>
          <w:szCs w:val="18"/>
          <w:color w:val="auto"/>
        </w:rPr>
        <w:t>a corporation created or organized under the laws of the United States, any state thereof, or the District of Columbia; an estate, the income of which is subject to U.S. federal income tax regardless of its source; or</w:t>
      </w:r>
    </w:p>
    <w:p>
      <w:pPr>
        <w:ind w:left="200" w:right="80" w:firstLine="551"/>
        <w:spacing w:after="0"/>
        <w:rPr>
          <w:sz w:val="20"/>
          <w:szCs w:val="20"/>
          <w:color w:val="auto"/>
        </w:rPr>
      </w:pPr>
      <w:r>
        <w:rPr>
          <w:rFonts w:ascii="Arial" w:cs="Arial" w:eastAsia="Arial" w:hAnsi="Arial"/>
          <w:sz w:val="18"/>
          <w:szCs w:val="18"/>
          <w:color w:val="auto"/>
        </w:rPr>
        <w:t>a trust that (i) is subject to the primary supervision of a U.S. court and all substantial decisions of which are subject to the control of one or more “United States persons” (within the meaning of Section 7701(a)(30) of the Code), or (ii) has a valid election in effect to be treated as a United States person for U.S. federal income tax purposes.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w:t>
      </w:r>
    </w:p>
    <w:p>
      <w:pPr>
        <w:spacing w:after="0" w:line="234"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As described in the section titled “Dividend Policy,” we do not anticipate paying any cash dividends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205"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treaties.</w:t>
      </w:r>
    </w:p>
    <w:p>
      <w:pPr>
        <w:spacing w:after="0" w:line="205" w:lineRule="exact"/>
        <w:rPr>
          <w:sz w:val="20"/>
          <w:szCs w:val="20"/>
          <w:color w:val="auto"/>
        </w:rPr>
      </w:pPr>
    </w:p>
    <w:p>
      <w:pPr>
        <w:ind w:left="200" w:right="80" w:firstLine="551"/>
        <w:spacing w:after="0" w:line="255"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91" w:lineRule="exact"/>
        <w:rPr>
          <w:sz w:val="20"/>
          <w:szCs w:val="20"/>
          <w:color w:val="auto"/>
        </w:rPr>
      </w:pPr>
    </w:p>
    <w:p>
      <w:pPr>
        <w:ind w:left="200" w:right="120" w:firstLine="551"/>
        <w:spacing w:after="0" w:line="246"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20"/>
          </w:cols>
          <w:pgMar w:left="240" w:top="460"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600"/>
        <w:spacing w:after="0"/>
        <w:rPr>
          <w:sz w:val="20"/>
          <w:szCs w:val="20"/>
          <w:color w:val="auto"/>
        </w:rPr>
      </w:pPr>
      <w:r>
        <w:rPr>
          <w:rFonts w:ascii="Arial" w:cs="Arial" w:eastAsia="Arial" w:hAnsi="Arial"/>
          <w:sz w:val="18"/>
          <w:szCs w:val="18"/>
          <w:color w:val="auto"/>
        </w:rPr>
        <w:t>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or Other Taxable Disposition</w:t>
      </w:r>
    </w:p>
    <w:p>
      <w:pPr>
        <w:spacing w:after="0" w:line="234"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Subject to the discussions below regarding backup withholding, a Non-U.S. Holder will not be subject to U.S. federal income tax on any gain realized upon the sale or other taxable disposition of our common stock unless:</w:t>
      </w:r>
    </w:p>
    <w:p>
      <w:pPr>
        <w:spacing w:after="0" w:line="102" w:lineRule="exact"/>
        <w:rPr>
          <w:sz w:val="20"/>
          <w:szCs w:val="20"/>
          <w:color w:val="auto"/>
        </w:rPr>
      </w:pPr>
    </w:p>
    <w:p>
      <w:pPr>
        <w:ind w:left="960" w:right="260" w:hanging="216"/>
        <w:spacing w:after="0"/>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08" w:lineRule="exact"/>
        <w:rPr>
          <w:rFonts w:ascii="Arial" w:cs="Arial" w:eastAsia="Arial" w:hAnsi="Arial"/>
          <w:sz w:val="18"/>
          <w:szCs w:val="18"/>
          <w:color w:val="auto"/>
        </w:rPr>
      </w:pPr>
    </w:p>
    <w:p>
      <w:pPr>
        <w:ind w:left="960" w:right="20" w:hanging="216"/>
        <w:spacing w:after="0" w:line="246" w:lineRule="auto"/>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02" w:lineRule="exact"/>
        <w:rPr>
          <w:rFonts w:ascii="Arial" w:cs="Arial" w:eastAsia="Arial" w:hAnsi="Arial"/>
          <w:sz w:val="18"/>
          <w:szCs w:val="18"/>
          <w:color w:val="auto"/>
        </w:rPr>
      </w:pPr>
    </w:p>
    <w:p>
      <w:pPr>
        <w:ind w:left="960" w:right="540" w:hanging="216"/>
        <w:spacing w:after="0" w:line="246" w:lineRule="auto"/>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197"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203" w:lineRule="exact"/>
        <w:rPr>
          <w:sz w:val="20"/>
          <w:szCs w:val="20"/>
          <w:color w:val="auto"/>
        </w:rPr>
      </w:pPr>
    </w:p>
    <w:p>
      <w:pPr>
        <w:ind w:left="200" w:right="100" w:firstLine="551"/>
        <w:spacing w:after="0" w:line="239"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20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4" w:lineRule="exact"/>
        <w:rPr>
          <w:sz w:val="20"/>
          <w:szCs w:val="20"/>
          <w:color w:val="auto"/>
        </w:rPr>
      </w:pPr>
    </w:p>
    <w:p>
      <w:pPr>
        <w:ind w:left="200" w:right="280" w:firstLine="551"/>
        <w:spacing w:after="0"/>
        <w:rPr>
          <w:sz w:val="20"/>
          <w:szCs w:val="20"/>
          <w:color w:val="auto"/>
        </w:rPr>
      </w:pPr>
      <w:r>
        <w:rPr>
          <w:rFonts w:ascii="Arial" w:cs="Arial" w:eastAsia="Arial" w:hAnsi="Arial"/>
          <w:sz w:val="18"/>
          <w:szCs w:val="18"/>
          <w:color w:val="auto"/>
        </w:rPr>
        <w:t>Payments of dividends on our common stock will not be subject to backup withholding, provided the Non-U.S. Holder certifies its non-U.S. status, such as by furnishing a valid IRS Form W-8BEN, W-8BEN-E or W-8ECI, or otherwise establishes an exemption. However, information returns are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205" w:lineRule="exact"/>
        <w:rPr>
          <w:sz w:val="20"/>
          <w:szCs w:val="20"/>
          <w:color w:val="auto"/>
        </w:rPr>
      </w:pPr>
    </w:p>
    <w:p>
      <w:pPr>
        <w:ind w:left="200" w:right="120" w:firstLine="551"/>
        <w:spacing w:after="0" w:line="246"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97" w:lineRule="exact"/>
        <w:rPr>
          <w:sz w:val="20"/>
          <w:szCs w:val="20"/>
          <w:color w:val="auto"/>
        </w:rPr>
      </w:pPr>
    </w:p>
    <w:p>
      <w:pPr>
        <w:ind w:left="200" w:right="120" w:firstLine="551"/>
        <w:spacing w:after="0" w:line="24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34"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 -compliant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204"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203" w:lineRule="exact"/>
        <w:rPr>
          <w:sz w:val="20"/>
          <w:szCs w:val="20"/>
          <w:color w:val="auto"/>
        </w:rPr>
      </w:pPr>
    </w:p>
    <w:p>
      <w:pPr>
        <w:ind w:left="200" w:right="520" w:firstLine="551"/>
        <w:spacing w:after="0" w:line="246"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20"/>
          </w:cols>
          <w:pgMar w:left="240" w:top="460"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w:t>
      </w:r>
    </w:p>
    <w:p>
      <w:pPr>
        <w:ind w:left="200"/>
        <w:spacing w:after="0" w:line="234" w:lineRule="auto"/>
        <w:rPr>
          <w:sz w:val="20"/>
          <w:szCs w:val="20"/>
          <w:color w:val="auto"/>
        </w:rPr>
      </w:pPr>
      <w:r>
        <w:rPr>
          <w:rFonts w:ascii="Arial" w:cs="Arial" w:eastAsia="Arial" w:hAnsi="Arial"/>
          <w:sz w:val="18"/>
          <w:szCs w:val="18"/>
          <w:color w:val="auto"/>
        </w:rPr>
        <w:t>Subject to certain conditions, each underwriter has severally agreed to purchase the number of shares indicated in the following table.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Goldman Sachs &amp; Co. LLC and Evercore Group L.L.C. are the representatives of the underwriters.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5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5340" w:type="dxa"/>
            <w:vAlign w:val="bottom"/>
          </w:tcPr>
          <w:p>
            <w:pPr>
              <w:jc w:val="center"/>
              <w:ind w:left="454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4"/>
        </w:trPr>
        <w:tc>
          <w:tcPr>
            <w:tcW w:w="5520" w:type="dxa"/>
            <w:vAlign w:val="bottom"/>
            <w:vMerge w:val="continue"/>
          </w:tcPr>
          <w:p>
            <w:pPr>
              <w:spacing w:after="0"/>
              <w:rPr>
                <w:sz w:val="15"/>
                <w:szCs w:val="15"/>
                <w:color w:val="auto"/>
              </w:rPr>
            </w:pPr>
          </w:p>
        </w:tc>
        <w:tc>
          <w:tcPr>
            <w:tcW w:w="5340" w:type="dxa"/>
            <w:vAlign w:val="bottom"/>
          </w:tcPr>
          <w:p>
            <w:pPr>
              <w:jc w:val="center"/>
              <w:ind w:left="4548"/>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bl>
    <w:p>
      <w:pPr>
        <w:ind w:left="20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Evercore Group L.L.C.</w:t>
      </w:r>
    </w:p>
    <w:p>
      <w:pPr>
        <w:ind w:left="200"/>
        <w:spacing w:after="0" w:line="234" w:lineRule="auto"/>
        <w:rPr>
          <w:sz w:val="20"/>
          <w:szCs w:val="20"/>
          <w:color w:val="auto"/>
        </w:rPr>
      </w:pPr>
      <w:r>
        <w:rPr>
          <w:rFonts w:ascii="Arial" w:cs="Arial" w:eastAsia="Arial" w:hAnsi="Arial"/>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1289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6496685</wp:posOffset>
            </wp:positionH>
            <wp:positionV relativeFrom="paragraph">
              <wp:posOffset>-1905</wp:posOffset>
            </wp:positionV>
            <wp:extent cx="5918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1543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7700" cy="154305"/>
                    </a:xfrm>
                    <a:prstGeom prst="rect">
                      <a:avLst/>
                    </a:prstGeom>
                    <a:noFill/>
                  </pic:spPr>
                </pic:pic>
              </a:graphicData>
            </a:graphic>
          </wp:anchor>
        </w:drawing>
      </w:r>
    </w:p>
    <w:p>
      <w:pPr>
        <w:spacing w:after="0" w:line="246" w:lineRule="exact"/>
        <w:rPr>
          <w:sz w:val="20"/>
          <w:szCs w:val="20"/>
          <w:color w:val="auto"/>
        </w:rPr>
      </w:pPr>
    </w:p>
    <w:p>
      <w:pPr>
        <w:jc w:val="both"/>
        <w:ind w:left="200" w:right="160" w:firstLine="551"/>
        <w:spacing w:after="0" w:line="246"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97"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The underwriters have an over-allotment option to buy up to an additional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 The option may be exercised only to cover any over-allotments of common stock.</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w:t>
      </w:r>
    </w:p>
    <w:p>
      <w:pPr>
        <w:ind w:left="200"/>
        <w:spacing w:after="0"/>
        <w:rPr>
          <w:sz w:val="20"/>
          <w:szCs w:val="20"/>
          <w:color w:val="auto"/>
        </w:rPr>
      </w:pPr>
      <w:r>
        <w:rPr>
          <w:rFonts w:ascii="Arial" w:cs="Arial" w:eastAsia="Arial" w:hAnsi="Arial"/>
          <w:sz w:val="18"/>
          <w:szCs w:val="18"/>
          <w:color w:val="auto"/>
        </w:rPr>
        <w:t>Such amounts are shown assuming both no exercise and full exercise of the underwriters’ over-allotment option.</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960" w:type="dxa"/>
            <w:vAlign w:val="bottom"/>
          </w:tcPr>
          <w:p>
            <w:pPr>
              <w:jc w:val="right"/>
              <w:ind w:right="7"/>
              <w:spacing w:after="0"/>
              <w:rPr>
                <w:sz w:val="20"/>
                <w:szCs w:val="20"/>
                <w:color w:val="auto"/>
              </w:rPr>
            </w:pPr>
            <w:r>
              <w:rPr>
                <w:rFonts w:ascii="Arial" w:cs="Arial" w:eastAsia="Arial" w:hAnsi="Arial"/>
                <w:sz w:val="14"/>
                <w:szCs w:val="14"/>
                <w:b w:val="1"/>
                <w:bCs w:val="1"/>
                <w:color w:val="auto"/>
              </w:rPr>
              <w:t>No Exercise</w:t>
            </w:r>
          </w:p>
        </w:tc>
        <w:tc>
          <w:tcPr>
            <w:tcW w:w="26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Full Exercise</w:t>
            </w:r>
          </w:p>
        </w:tc>
      </w:tr>
      <w:tr>
        <w:trPr>
          <w:trHeight w:val="196"/>
        </w:trPr>
        <w:tc>
          <w:tcPr>
            <w:tcW w:w="2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40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496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bl>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ind w:left="200" w:right="40"/>
        <w:spacing w:after="0" w:line="239"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202"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We and our executive officers, directors, and holders of substantially all of our common stock and securities convertible into or exchangeable for our common stock have agreed or will agree with the underwriters, subject to certain exceptions, not to dispose of or hedge any of our or their common stock or securities convertible into or exchangeable for shares of our common stock during the period from the date of this prospectus continuing through the date 180 days after the date of this prospectus, except with the prior written consent of Goldman Sachs &amp; Co. LLC and Evercore Group L.L.C. This agreement does not apply to any existing employee benefit plans. See the section titled “Shares Eligible for Future Sale” for a discussion of certain transfer restrictions.</w:t>
      </w:r>
    </w:p>
    <w:p>
      <w:pPr>
        <w:spacing w:after="0" w:line="205" w:lineRule="exact"/>
        <w:rPr>
          <w:sz w:val="20"/>
          <w:szCs w:val="20"/>
          <w:color w:val="auto"/>
        </w:rPr>
      </w:pPr>
    </w:p>
    <w:p>
      <w:pPr>
        <w:ind w:left="200" w:right="140" w:firstLine="551"/>
        <w:spacing w:after="0" w:line="246"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us and the representatives. Among the factors to be considered in</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40"/>
          </w:cols>
          <w:pgMar w:left="240" w:top="460" w:right="4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determining the initial public offering price of the shares, in addition to prevailing market conditions, will be the our historical performance, estimates of the business potential and earnings prospects, an assessment of our management and the consideration of the above factors in relation to market valuation of companies in related businesses.</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applied to list our common stock on The Nasdaq Global Market under the symbol “DDDD.”</w:t>
      </w:r>
    </w:p>
    <w:p>
      <w:pPr>
        <w:spacing w:after="0" w:line="212" w:lineRule="exact"/>
        <w:rPr>
          <w:sz w:val="20"/>
          <w:szCs w:val="20"/>
          <w:color w:val="auto"/>
        </w:rPr>
      </w:pPr>
    </w:p>
    <w:p>
      <w:pPr>
        <w:ind w:left="200" w:right="100" w:firstLine="551"/>
        <w:spacing w:after="0" w:line="236"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over-allotment option described above may be exercised. The underwriters may cover any covered short position by either exercising their over-allotment option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over-allotment option described above. “Naked” short sales are any short sales that create a short position greater than the amount of additional shares for which the over-allotment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03"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3"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w:t>
      </w:r>
    </w:p>
    <w:p>
      <w:pPr>
        <w:ind w:left="200"/>
        <w:spacing w:after="0"/>
        <w:tabs>
          <w:tab w:leader="none" w:pos="2060" w:val="left"/>
          <w:tab w:leader="none" w:pos="1042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 We have agreed to reimburse the underwriters for certain of their expenses in an amount up to $</w:t>
      </w:r>
      <w:r>
        <w:rPr>
          <w:sz w:val="20"/>
          <w:szCs w:val="20"/>
          <w:color w:val="auto"/>
        </w:rPr>
        <w:tab/>
      </w:r>
      <w:r>
        <w:rPr>
          <w:rFonts w:ascii="Arial" w:cs="Arial" w:eastAsia="Arial" w:hAnsi="Arial"/>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12" w:lineRule="exact"/>
        <w:rPr>
          <w:sz w:val="20"/>
          <w:szCs w:val="20"/>
          <w:color w:val="auto"/>
        </w:rPr>
      </w:pPr>
    </w:p>
    <w:p>
      <w:pPr>
        <w:ind w:left="200" w:right="80" w:firstLine="551"/>
        <w:spacing w:after="0"/>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20"/>
          </w:cols>
          <w:pgMar w:left="24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line="246" w:lineRule="auto"/>
        <w:rPr>
          <w:sz w:val="20"/>
          <w:szCs w:val="20"/>
          <w:color w:val="auto"/>
        </w:rPr>
      </w:pPr>
      <w:r>
        <w:rPr>
          <w:rFonts w:ascii="Arial" w:cs="Arial" w:eastAsia="Arial" w:hAnsi="Arial"/>
          <w:sz w:val="18"/>
          <w:szCs w:val="18"/>
          <w:color w:val="auto"/>
        </w:rPr>
        <w:t>their respective affiliates may in the future provide, a variety of these services to the issuer and to persons and entities with relationships with the issuer, for which they will receive customary fees and expenses.</w:t>
      </w:r>
    </w:p>
    <w:p>
      <w:pPr>
        <w:spacing w:after="0" w:line="197" w:lineRule="exact"/>
        <w:rPr>
          <w:sz w:val="20"/>
          <w:szCs w:val="20"/>
          <w:color w:val="auto"/>
        </w:rPr>
      </w:pPr>
    </w:p>
    <w:p>
      <w:pPr>
        <w:ind w:left="200" w:right="260" w:firstLine="551"/>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European Economic Area</w:t>
      </w:r>
    </w:p>
    <w:p>
      <w:pPr>
        <w:spacing w:after="0" w:line="234"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In relation to each member state of the European Economic Area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230" w:lineRule="exact"/>
        <w:rPr>
          <w:sz w:val="20"/>
          <w:szCs w:val="20"/>
          <w:color w:val="auto"/>
        </w:rPr>
      </w:pPr>
    </w:p>
    <w:p>
      <w:pPr>
        <w:ind w:left="960" w:hanging="216"/>
        <w:spacing w:after="0"/>
        <w:tabs>
          <w:tab w:leader="none" w:pos="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238" w:lineRule="exact"/>
        <w:rPr>
          <w:rFonts w:ascii="Arial" w:cs="Arial" w:eastAsia="Arial" w:hAnsi="Arial"/>
          <w:sz w:val="18"/>
          <w:szCs w:val="18"/>
          <w:color w:val="auto"/>
        </w:rPr>
      </w:pPr>
    </w:p>
    <w:p>
      <w:pPr>
        <w:ind w:left="960" w:right="340" w:hanging="216"/>
        <w:spacing w:after="0" w:line="246" w:lineRule="auto"/>
        <w:tabs>
          <w:tab w:leader="none" w:pos="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223" w:lineRule="exact"/>
        <w:rPr>
          <w:rFonts w:ascii="Arial" w:cs="Arial" w:eastAsia="Arial" w:hAnsi="Arial"/>
          <w:sz w:val="18"/>
          <w:szCs w:val="18"/>
          <w:color w:val="auto"/>
        </w:rPr>
      </w:pPr>
    </w:p>
    <w:p>
      <w:pPr>
        <w:ind w:left="960" w:hanging="216"/>
        <w:spacing w:after="0"/>
        <w:tabs>
          <w:tab w:leader="none" w:pos="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94" w:lineRule="exact"/>
        <w:rPr>
          <w:sz w:val="20"/>
          <w:szCs w:val="20"/>
          <w:color w:val="auto"/>
        </w:rPr>
      </w:pPr>
    </w:p>
    <w:p>
      <w:pPr>
        <w:ind w:left="200" w:right="80"/>
        <w:spacing w:after="0" w:line="26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securities shall require us or any underwriter to publish a prospectus pursuant to Article 3 of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or supplement a prospectus pursuant to Article 23 of the Prospectus Regulation.</w:t>
      </w:r>
    </w:p>
    <w:p>
      <w:pPr>
        <w:spacing w:after="0" w:line="179"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United Kingdom</w:t>
      </w:r>
    </w:p>
    <w:p>
      <w:pPr>
        <w:spacing w:after="0" w:line="234" w:lineRule="exact"/>
        <w:rPr>
          <w:sz w:val="20"/>
          <w:szCs w:val="20"/>
          <w:color w:val="auto"/>
        </w:rPr>
      </w:pPr>
    </w:p>
    <w:p>
      <w:pPr>
        <w:ind w:left="200" w:right="40" w:firstLine="551"/>
        <w:spacing w:after="0" w:line="246" w:lineRule="auto"/>
        <w:rPr>
          <w:sz w:val="20"/>
          <w:szCs w:val="20"/>
          <w:color w:val="auto"/>
        </w:rPr>
      </w:pPr>
      <w:r>
        <w:rPr>
          <w:rFonts w:ascii="Arial" w:cs="Arial" w:eastAsia="Arial" w:hAnsi="Arial"/>
          <w:sz w:val="18"/>
          <w:szCs w:val="18"/>
          <w:color w:val="auto"/>
        </w:rPr>
        <w:t>In the United Kingdom, this prospectus is only addressed to and directed at qualified investors who are (i) investment professionals falling within Article 19(5) of the Financial Services and Markets</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00"/>
          </w:cols>
          <w:pgMar w:left="240" w:top="460"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Act 2000, as amended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in with relevant persons. Any person who is not a relevant person should not act or rely on this prospectus or any of its contents.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Canada</w:t>
      </w:r>
    </w:p>
    <w:p>
      <w:pPr>
        <w:spacing w:after="0" w:line="234"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203"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03" w:lineRule="exact"/>
        <w:rPr>
          <w:sz w:val="20"/>
          <w:szCs w:val="20"/>
          <w:color w:val="auto"/>
        </w:rPr>
      </w:pPr>
    </w:p>
    <w:p>
      <w:pPr>
        <w:ind w:left="200" w:right="400" w:firstLine="551"/>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Hong Kong</w:t>
      </w:r>
    </w:p>
    <w:p>
      <w:pPr>
        <w:spacing w:after="0" w:line="23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securities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Singapore</w:t>
      </w:r>
    </w:p>
    <w:p>
      <w:pPr>
        <w:spacing w:after="0" w:line="234"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20"/>
          </w:cols>
          <w:pgMar w:left="24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205"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(Regulation 32).</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(i) to an institutional investor under Section 274 of the SFA or to a relevant person (as defined in Section 275(2) of the SFA), (ii)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(iii) where no consideration is or will be given for the transfer, (iv) where the transfer is by operation of law, (v) as specified in Section 276(7) of the SFA, or (vi) as specified in Regulation 32.</w:t>
      </w:r>
    </w:p>
    <w:p>
      <w:pPr>
        <w:spacing w:after="0" w:line="207"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Japan</w:t>
      </w:r>
    </w:p>
    <w:p>
      <w:pPr>
        <w:spacing w:after="0" w:line="234"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80"/>
          </w:cols>
          <w:pgMar w:left="240" w:top="460" w:right="4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Australia</w:t>
      </w:r>
    </w:p>
    <w:p>
      <w:pPr>
        <w:spacing w:after="0" w:line="234"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offering document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203"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202"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203"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Dubai International Financial Centre</w:t>
      </w:r>
    </w:p>
    <w:p>
      <w:pPr>
        <w:spacing w:after="0" w:line="234"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This offering document relates to an Exempt Offer in accordance with the Offered Securities Rules of the Dubai Financial Services Authority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Switzerland</w:t>
      </w:r>
    </w:p>
    <w:p>
      <w:pPr>
        <w:spacing w:after="0" w:line="234"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We have not and will not register with the Swiss Financial Market Supervisory Authority (FINMA) as a foreign collective investment scheme pursuant to Article 119 of the Federal Act on Collective Investment Scheme of 23 June 2006, as amended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80"/>
          </w:cols>
          <w:pgMar w:left="240" w:top="460" w:right="4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circumstances set out in Article 3 of the Ordinance on Collective Investment Scheme of 22 November 2006, as amended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in this prospectus and may neither directly or indirectly be distributed or made available to any person or entity other than its recipients. It may not be used in connection with any other offer and shall in particular not be copied and/or distributed to the public in Switzerland or from Switzerland. This prospectus does not constitute 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80"/>
          </w:cols>
          <w:pgMar w:left="240" w:top="460" w:right="4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left="200" w:right="240" w:firstLine="551"/>
        <w:spacing w:after="0" w:line="275" w:lineRule="auto"/>
        <w:rPr>
          <w:sz w:val="20"/>
          <w:szCs w:val="20"/>
          <w:color w:val="auto"/>
        </w:rPr>
      </w:pPr>
      <w:r>
        <w:rPr>
          <w:rFonts w:ascii="Arial" w:cs="Arial" w:eastAsia="Arial" w:hAnsi="Arial"/>
          <w:sz w:val="17"/>
          <w:szCs w:val="17"/>
          <w:color w:val="auto"/>
        </w:rPr>
        <w:t>The validity of the issuance of our common stock offered in this prospectus will be passed upon for us by Latham &amp; Watkins LLP, Menlo Park, California. Cooley LLP, San Francisco, California, is acting as counsel for the underwriters in connection with this offering.</w:t>
      </w:r>
    </w:p>
    <w:p>
      <w:pPr>
        <w:spacing w:after="0" w:line="36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left="200" w:right="80" w:firstLine="551"/>
        <w:spacing w:after="0"/>
        <w:rPr>
          <w:sz w:val="20"/>
          <w:szCs w:val="20"/>
          <w:color w:val="auto"/>
        </w:rPr>
      </w:pPr>
      <w:r>
        <w:rPr>
          <w:rFonts w:ascii="Arial" w:cs="Arial" w:eastAsia="Arial" w:hAnsi="Arial"/>
          <w:sz w:val="18"/>
          <w:szCs w:val="18"/>
          <w:color w:val="auto"/>
        </w:rPr>
        <w:t>The financial statements as of December 31, 2017 and December 31, 2018 and for the years then ended included in this Prospectus have been so included in reliance on the report of PricewaterhouseCoopers LLP, an independent registered public accounting firm, given on the authority of said firm as experts in auditing and accounting.</w:t>
      </w: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left="200" w:right="120" w:firstLine="551"/>
        <w:spacing w:after="0" w:line="23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our common stock offered hereby. This prospectus, which constitutes a part of the registration statement, does not contain all of the information set forth in the registration statement or the exhibits and schedules filed therewith. For further information with respect to 4D Molecular Therapeutics, Inc. and the common stock offered hereby, reference is made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maintains a website that contains reports, proxy and information statements and other information regarding registrants that file electronically with the SEC. The address is www.sec.gov.</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Upon completion of this offering, we will become subject to the information and periodic reporting requirements of the Exchange Act and, in accordance therewith, will file periodic reports, proxy statements and other information with the SEC. Such periodic reports, proxy statements and other information will be available for inspection and copying at the public reference room and website of the SEC referred to above. We maintain a website at www.4dmoleculartherapeutics.com. Upon completion of this offering,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on our website, and you should not consider the contents of our website in making an investment decision with respect to our common stock.</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20"/>
          </w:cols>
          <w:pgMar w:left="240" w:top="460"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4D Molecular Therapeutics, Inc.</w:t>
      </w:r>
    </w:p>
    <w:p>
      <w:pPr>
        <w:spacing w:after="0" w:line="32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6480" w:type="dxa"/>
            <w:vAlign w:val="bottom"/>
            <w:gridSpan w:val="6"/>
            <w:vMerge w:val="restart"/>
          </w:tcPr>
          <w:p>
            <w:pPr>
              <w:spacing w:after="0"/>
              <w:rPr>
                <w:rFonts w:ascii="Arial" w:cs="Arial" w:eastAsia="Arial" w:hAnsi="Arial"/>
                <w:sz w:val="18"/>
                <w:szCs w:val="18"/>
                <w:color w:val="0000EE"/>
              </w:rPr>
            </w:pPr>
            <w:hyperlink w:anchor="page227">
              <w:r>
                <w:rPr>
                  <w:rFonts w:ascii="Arial" w:cs="Arial" w:eastAsia="Arial" w:hAnsi="Arial"/>
                  <w:sz w:val="18"/>
                  <w:szCs w:val="18"/>
                  <w:color w:val="0000EE"/>
                </w:rPr>
                <w:t>Report of Independent Registered Public Accounting Firm</w:t>
              </w:r>
            </w:hyperlink>
          </w:p>
        </w:tc>
        <w:tc>
          <w:tcPr>
            <w:tcW w:w="45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6480" w:type="dxa"/>
            <w:vAlign w:val="bottom"/>
            <w:gridSpan w:val="6"/>
            <w:vMerge w:val="continue"/>
          </w:tcPr>
          <w:p>
            <w:pPr>
              <w:spacing w:after="0"/>
              <w:rPr>
                <w:sz w:val="13"/>
                <w:szCs w:val="13"/>
                <w:color w:val="auto"/>
              </w:rPr>
            </w:pPr>
          </w:p>
        </w:tc>
        <w:tc>
          <w:tcPr>
            <w:tcW w:w="4140" w:type="dxa"/>
            <w:vAlign w:val="bottom"/>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0" w:type="dxa"/>
            <w:vAlign w:val="bottom"/>
          </w:tcPr>
          <w:p>
            <w:pPr>
              <w:spacing w:after="0"/>
              <w:rPr>
                <w:sz w:val="1"/>
                <w:szCs w:val="1"/>
                <w:color w:val="auto"/>
              </w:rPr>
            </w:pPr>
          </w:p>
        </w:tc>
      </w:tr>
      <w:tr>
        <w:trPr>
          <w:trHeight w:val="304"/>
        </w:trPr>
        <w:tc>
          <w:tcPr>
            <w:tcW w:w="4600" w:type="dxa"/>
            <w:vAlign w:val="bottom"/>
            <w:tcBorders>
              <w:top w:val="single" w:sz="8" w:color="0000EE"/>
            </w:tcBorders>
            <w:gridSpan w:val="5"/>
          </w:tcPr>
          <w:p>
            <w:pPr>
              <w:spacing w:after="0"/>
              <w:rPr>
                <w:rFonts w:ascii="Arial" w:cs="Arial" w:eastAsia="Arial" w:hAnsi="Arial"/>
                <w:sz w:val="18"/>
                <w:szCs w:val="18"/>
                <w:color w:val="0000EE"/>
              </w:rPr>
            </w:pPr>
            <w:hyperlink w:anchor="page228">
              <w:r>
                <w:rPr>
                  <w:rFonts w:ascii="Arial" w:cs="Arial" w:eastAsia="Arial" w:hAnsi="Arial"/>
                  <w:sz w:val="18"/>
                  <w:szCs w:val="18"/>
                  <w:color w:val="0000EE"/>
                </w:rPr>
                <w:t>Balance Sheets</w:t>
              </w:r>
            </w:hyperlink>
          </w:p>
        </w:tc>
        <w:tc>
          <w:tcPr>
            <w:tcW w:w="18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229">
              <w:r>
                <w:rPr>
                  <w:rFonts w:ascii="Arial" w:cs="Arial" w:eastAsia="Arial" w:hAnsi="Arial"/>
                  <w:sz w:val="18"/>
                  <w:szCs w:val="18"/>
                  <w:color w:val="0000EE"/>
                  <w:w w:val="99"/>
                </w:rPr>
                <w:t>Statements of Operations and Comprehensive Loss</w:t>
              </w:r>
            </w:hyperlink>
          </w:p>
        </w:tc>
        <w:tc>
          <w:tcPr>
            <w:tcW w:w="2340" w:type="dxa"/>
            <w:vAlign w:val="bottom"/>
            <w:gridSpan w:val="2"/>
          </w:tcPr>
          <w:p>
            <w:pPr>
              <w:spacing w:after="0"/>
              <w:rPr>
                <w:sz w:val="15"/>
                <w:szCs w:val="15"/>
                <w:color w:val="auto"/>
              </w:rPr>
            </w:pPr>
          </w:p>
        </w:tc>
        <w:tc>
          <w:tcPr>
            <w:tcW w:w="414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230">
              <w:r>
                <w:rPr>
                  <w:rFonts w:ascii="Arial" w:cs="Arial" w:eastAsia="Arial" w:hAnsi="Arial"/>
                  <w:sz w:val="18"/>
                  <w:szCs w:val="18"/>
                  <w:color w:val="0000EE"/>
                  <w:w w:val="99"/>
                </w:rPr>
                <w:t>Statements of Redeemable Convertible Preferred Stock and Stockholders’ Deficit</w:t>
              </w:r>
            </w:hyperlink>
          </w:p>
        </w:tc>
        <w:tc>
          <w:tcPr>
            <w:tcW w:w="414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83"/>
        </w:trPr>
        <w:tc>
          <w:tcPr>
            <w:tcW w:w="6480" w:type="dxa"/>
            <w:vAlign w:val="bottom"/>
            <w:gridSpan w:val="6"/>
          </w:tcPr>
          <w:p>
            <w:pPr>
              <w:spacing w:after="0" w:line="182" w:lineRule="exact"/>
              <w:rPr>
                <w:rFonts w:ascii="Arial" w:cs="Arial" w:eastAsia="Arial" w:hAnsi="Arial"/>
                <w:sz w:val="18"/>
                <w:szCs w:val="18"/>
                <w:color w:val="0000EE"/>
              </w:rPr>
            </w:pPr>
            <w:hyperlink w:anchor="page232">
              <w:r>
                <w:rPr>
                  <w:rFonts w:ascii="Arial" w:cs="Arial" w:eastAsia="Arial" w:hAnsi="Arial"/>
                  <w:sz w:val="18"/>
                  <w:szCs w:val="18"/>
                  <w:color w:val="0000EE"/>
                </w:rPr>
                <w:t>Statements of Cash Flows</w:t>
              </w:r>
            </w:hyperlink>
          </w:p>
        </w:tc>
        <w:tc>
          <w:tcPr>
            <w:tcW w:w="414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gridSpan w:val="6"/>
          </w:tcPr>
          <w:p>
            <w:pPr>
              <w:spacing w:after="0" w:line="182" w:lineRule="exact"/>
              <w:rPr>
                <w:rFonts w:ascii="Arial" w:cs="Arial" w:eastAsia="Arial" w:hAnsi="Arial"/>
                <w:sz w:val="18"/>
                <w:szCs w:val="18"/>
                <w:color w:val="0000EE"/>
              </w:rPr>
            </w:pPr>
            <w:hyperlink w:anchor="page233">
              <w:r>
                <w:rPr>
                  <w:rFonts w:ascii="Arial" w:cs="Arial" w:eastAsia="Arial" w:hAnsi="Arial"/>
                  <w:sz w:val="18"/>
                  <w:szCs w:val="18"/>
                  <w:color w:val="0000EE"/>
                </w:rPr>
                <w:t>Notes to Financial Statements</w:t>
              </w:r>
            </w:hyperlink>
          </w:p>
        </w:tc>
        <w:tc>
          <w:tcPr>
            <w:tcW w:w="414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72"/>
        </w:trPr>
        <w:tc>
          <w:tcPr>
            <w:tcW w:w="126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80" w:type="dxa"/>
            <w:vAlign w:val="bottom"/>
          </w:tcPr>
          <w:p>
            <w:pPr>
              <w:ind w:left="780"/>
              <w:spacing w:after="0"/>
              <w:rPr>
                <w:sz w:val="20"/>
                <w:szCs w:val="20"/>
                <w:color w:val="auto"/>
              </w:rPr>
            </w:pPr>
            <w:r>
              <w:rPr>
                <w:rFonts w:ascii="Arial" w:cs="Arial" w:eastAsia="Arial" w:hAnsi="Arial"/>
                <w:sz w:val="18"/>
                <w:szCs w:val="18"/>
                <w:color w:val="auto"/>
              </w:rPr>
              <w:t>F-1</w:t>
            </w:r>
          </w:p>
        </w:tc>
        <w:tc>
          <w:tcPr>
            <w:tcW w:w="4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2440" w:firstLine="2465"/>
        <w:spacing w:after="0" w:line="36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b w:val="1"/>
          <w:bCs w:val="1"/>
          <w:i w:val="1"/>
          <w:iCs w:val="1"/>
          <w:color w:val="auto"/>
        </w:rPr>
        <w:t>To the Board of Directors and Stockholders of 4D Molecular Therapeutics, Inc. Opinion on the Financial Statements</w:t>
      </w:r>
    </w:p>
    <w:p>
      <w:pPr>
        <w:spacing w:after="0" w:line="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We have audited the accompanying balance sheets of 4D Molecular Therapeutics, Inc. (the “Company”) as of December 31, 2018 and 2017, and the related statements of operations and comprehensive loss, redeemable convertible preferred stock and stockholders’ deficit and cash flows for the years then ended, including the related notes (collectively referred to as the “financial statements”). In our opinion, the financial statements present fairly, in all material respects, the financial position of the Company as of December 31, 2018 and 2017, and the results of its operations and its cash flows for the years then ended in conformity with accounting principles generally accepted in the United States of America.</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26"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left="200" w:right="220" w:firstLine="551"/>
        <w:spacing w:after="0"/>
        <w:rPr>
          <w:sz w:val="20"/>
          <w:szCs w:val="20"/>
          <w:color w:val="auto"/>
        </w:rPr>
      </w:pPr>
      <w:r>
        <w:rPr>
          <w:rFonts w:ascii="Arial" w:cs="Arial" w:eastAsia="Arial" w:hAnsi="Arial"/>
          <w:sz w:val="18"/>
          <w:szCs w:val="18"/>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203"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 Jose, California</w:t>
      </w:r>
    </w:p>
    <w:p>
      <w:pPr>
        <w:ind w:left="200"/>
        <w:spacing w:after="0"/>
        <w:rPr>
          <w:sz w:val="20"/>
          <w:szCs w:val="20"/>
          <w:color w:val="auto"/>
        </w:rPr>
      </w:pPr>
      <w:r>
        <w:rPr>
          <w:rFonts w:ascii="Arial" w:cs="Arial" w:eastAsia="Arial" w:hAnsi="Arial"/>
          <w:sz w:val="18"/>
          <w:szCs w:val="18"/>
          <w:color w:val="auto"/>
        </w:rPr>
        <w:t>August 2, 2019</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2016.</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4D Molecular Therapeutics, Inc.</w:t>
      </w:r>
    </w:p>
    <w:p>
      <w:pPr>
        <w:spacing w:after="0" w:line="10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Balance Sheets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4"/>
            <w:vMerge w:val="restart"/>
          </w:tcPr>
          <w:p>
            <w:pPr>
              <w:jc w:val="right"/>
              <w:ind w:right="20"/>
              <w:spacing w:after="0"/>
              <w:rPr>
                <w:sz w:val="20"/>
                <w:szCs w:val="20"/>
                <w:color w:val="auto"/>
              </w:rPr>
            </w:pPr>
            <w:r>
              <w:rPr>
                <w:rFonts w:ascii="Arial" w:cs="Arial" w:eastAsia="Arial" w:hAnsi="Arial"/>
                <w:sz w:val="13"/>
                <w:szCs w:val="13"/>
                <w:b w:val="1"/>
                <w:bCs w:val="1"/>
                <w:color w:val="auto"/>
              </w:rPr>
              <w:t>As of</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Pro Forma</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44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98"/>
              </w:rPr>
              <w:t>As of</w:t>
            </w:r>
          </w:p>
        </w:tc>
        <w:tc>
          <w:tcPr>
            <w:tcW w:w="920" w:type="dxa"/>
            <w:vAlign w:val="bottom"/>
            <w:gridSpan w:val="2"/>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98"/>
              </w:rPr>
              <w:t>As of</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4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gridSpan w:val="6"/>
            <w:vMerge w:val="restart"/>
          </w:tcPr>
          <w:p>
            <w:pPr>
              <w:jc w:val="right"/>
              <w:ind w:right="420"/>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960" w:type="dxa"/>
            <w:vAlign w:val="bottom"/>
          </w:tcPr>
          <w:p>
            <w:pPr>
              <w:spacing w:after="0"/>
              <w:rPr>
                <w:sz w:val="6"/>
                <w:szCs w:val="6"/>
                <w:color w:val="auto"/>
              </w:rPr>
            </w:pPr>
          </w:p>
        </w:tc>
        <w:tc>
          <w:tcPr>
            <w:tcW w:w="44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3"/>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June 30,</w:t>
            </w:r>
          </w:p>
        </w:tc>
        <w:tc>
          <w:tcPr>
            <w:tcW w:w="920" w:type="dxa"/>
            <w:vAlign w:val="bottom"/>
            <w:gridSpan w:val="2"/>
            <w:vMerge w:val="restart"/>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June 30,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44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96"/>
              </w:rPr>
              <w:t>2019</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3"/>
          </w:tcPr>
          <w:p>
            <w:pPr>
              <w:ind w:left="380"/>
              <w:spacing w:after="0" w:line="143" w:lineRule="exact"/>
              <w:rPr>
                <w:sz w:val="20"/>
                <w:szCs w:val="20"/>
                <w:color w:val="auto"/>
              </w:rPr>
            </w:pPr>
            <w:r>
              <w:rPr>
                <w:rFonts w:ascii="Arial" w:cs="Arial" w:eastAsia="Arial" w:hAnsi="Arial"/>
                <w:sz w:val="13"/>
                <w:szCs w:val="13"/>
                <w:b w:val="1"/>
                <w:bCs w:val="1"/>
                <w:color w:val="auto"/>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44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4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Cash and cash equivalents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23,850</w:t>
            </w:r>
          </w:p>
        </w:tc>
        <w:tc>
          <w:tcPr>
            <w:tcW w:w="1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91,761</w:t>
            </w:r>
          </w:p>
        </w:tc>
        <w:tc>
          <w:tcPr>
            <w:tcW w:w="1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72,869</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ind w:left="560"/>
              <w:spacing w:after="0"/>
              <w:rPr>
                <w:sz w:val="20"/>
                <w:szCs w:val="20"/>
                <w:color w:val="auto"/>
              </w:rPr>
            </w:pPr>
            <w:r>
              <w:rPr>
                <w:rFonts w:ascii="Arial" w:cs="Arial" w:eastAsia="Arial" w:hAnsi="Arial"/>
                <w:sz w:val="14"/>
                <w:szCs w:val="14"/>
                <w:color w:val="auto"/>
              </w:rPr>
              <w:t>Accounts receivable</w:t>
            </w:r>
          </w:p>
        </w:tc>
        <w:tc>
          <w:tcPr>
            <w:tcW w:w="4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1,161</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80" w:type="dxa"/>
            <w:vAlign w:val="bottom"/>
            <w:gridSpan w:val="4"/>
            <w:shd w:val="clear" w:color="auto" w:fill="CCEEFF"/>
          </w:tcPr>
          <w:p>
            <w:pPr>
              <w:ind w:left="560"/>
              <w:spacing w:after="0"/>
              <w:rPr>
                <w:sz w:val="20"/>
                <w:szCs w:val="20"/>
                <w:color w:val="auto"/>
              </w:rPr>
            </w:pPr>
            <w:r>
              <w:rPr>
                <w:rFonts w:ascii="Arial" w:cs="Arial" w:eastAsia="Arial" w:hAnsi="Arial"/>
                <w:sz w:val="14"/>
                <w:szCs w:val="14"/>
                <w:color w:val="auto"/>
              </w:rPr>
              <w:t>Prepaid expenses and other current assets (includes $0, $0 and $373 (unaudited), at December 31, 2017,</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40" w:type="dxa"/>
            <w:vAlign w:val="bottom"/>
            <w:gridSpan w:val="2"/>
            <w:shd w:val="clear" w:color="auto" w:fill="CCEEFF"/>
          </w:tcPr>
          <w:p>
            <w:pPr>
              <w:ind w:left="700"/>
              <w:spacing w:after="0" w:line="157" w:lineRule="exact"/>
              <w:rPr>
                <w:sz w:val="20"/>
                <w:szCs w:val="20"/>
                <w:color w:val="auto"/>
              </w:rPr>
            </w:pPr>
            <w:r>
              <w:rPr>
                <w:rFonts w:ascii="Arial" w:cs="Arial" w:eastAsia="Arial" w:hAnsi="Arial"/>
                <w:sz w:val="14"/>
                <w:szCs w:val="14"/>
                <w:color w:val="auto"/>
              </w:rPr>
              <w:t>December 31, 2018 and June 30, 2019, respectively, attributable to related parties)</w:t>
            </w:r>
          </w:p>
        </w:tc>
        <w:tc>
          <w:tcPr>
            <w:tcW w:w="1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328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1,183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1,415</w:t>
            </w:r>
          </w:p>
        </w:tc>
        <w:tc>
          <w:tcPr>
            <w:tcW w:w="20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40" w:type="dxa"/>
            <w:vAlign w:val="bottom"/>
            <w:gridSpan w:val="2"/>
          </w:tcPr>
          <w:p>
            <w:pPr>
              <w:ind w:left="1140"/>
              <w:spacing w:after="0"/>
              <w:rPr>
                <w:sz w:val="20"/>
                <w:szCs w:val="20"/>
                <w:color w:val="auto"/>
              </w:rPr>
            </w:pPr>
            <w:r>
              <w:rPr>
                <w:rFonts w:ascii="Arial" w:cs="Arial" w:eastAsia="Arial" w:hAnsi="Arial"/>
                <w:sz w:val="14"/>
                <w:szCs w:val="14"/>
                <w:color w:val="auto"/>
              </w:rPr>
              <w:t>Total current assets</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24,499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94,068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75,445</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44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4,026</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80" w:type="dxa"/>
            <w:vAlign w:val="bottom"/>
            <w:gridSpan w:val="2"/>
          </w:tcPr>
          <w:p>
            <w:pPr>
              <w:spacing w:after="0"/>
              <w:rPr>
                <w:sz w:val="20"/>
                <w:szCs w:val="20"/>
                <w:color w:val="auto"/>
              </w:rPr>
            </w:pPr>
            <w:r>
              <w:rPr>
                <w:rFonts w:ascii="Arial" w:cs="Arial" w:eastAsia="Arial" w:hAnsi="Arial"/>
                <w:sz w:val="14"/>
                <w:szCs w:val="14"/>
                <w:color w:val="auto"/>
              </w:rPr>
              <w:t>Other assets</w:t>
            </w:r>
          </w:p>
        </w:tc>
        <w:tc>
          <w:tcPr>
            <w:tcW w:w="4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1,029</w:t>
            </w:r>
          </w:p>
        </w:tc>
        <w:tc>
          <w:tcPr>
            <w:tcW w:w="2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44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27,320</w:t>
            </w:r>
          </w:p>
        </w:tc>
        <w:tc>
          <w:tcPr>
            <w:tcW w:w="1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96,969</w:t>
            </w:r>
          </w:p>
        </w:tc>
        <w:tc>
          <w:tcPr>
            <w:tcW w:w="1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80,500</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Redeemable Convertible Preferred Stock and Stockholders’ (Deficit) Equity</w:t>
            </w: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60" w:type="dxa"/>
            <w:vAlign w:val="bottom"/>
            <w:gridSpan w:val="3"/>
            <w:vMerge w:val="continue"/>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44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ind w:left="560"/>
              <w:spacing w:after="0"/>
              <w:rPr>
                <w:sz w:val="20"/>
                <w:szCs w:val="20"/>
                <w:color w:val="auto"/>
              </w:rPr>
            </w:pPr>
            <w:r>
              <w:rPr>
                <w:rFonts w:ascii="Arial" w:cs="Arial" w:eastAsia="Arial" w:hAnsi="Arial"/>
                <w:sz w:val="14"/>
                <w:szCs w:val="14"/>
                <w:color w:val="auto"/>
              </w:rPr>
              <w:t>Accounts payable</w:t>
            </w:r>
          </w:p>
        </w:tc>
        <w:tc>
          <w:tcPr>
            <w:tcW w:w="448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954</w:t>
            </w:r>
          </w:p>
        </w:tc>
        <w:tc>
          <w:tcPr>
            <w:tcW w:w="1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1,115</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Accrued and other current liabilities</w:t>
            </w: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3,242</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80" w:type="dxa"/>
            <w:vAlign w:val="bottom"/>
            <w:gridSpan w:val="4"/>
          </w:tcPr>
          <w:p>
            <w:pPr>
              <w:ind w:left="560"/>
              <w:spacing w:after="0"/>
              <w:rPr>
                <w:sz w:val="20"/>
                <w:szCs w:val="20"/>
                <w:color w:val="auto"/>
              </w:rPr>
            </w:pPr>
            <w:r>
              <w:rPr>
                <w:rFonts w:ascii="Arial" w:cs="Arial" w:eastAsia="Arial" w:hAnsi="Arial"/>
                <w:sz w:val="14"/>
                <w:szCs w:val="14"/>
                <w:color w:val="auto"/>
              </w:rPr>
              <w:t>Deferred revenue (includes $28, $0 and $0 (unaudited), at December 31, 2017, December 31, 2018 and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440" w:type="dxa"/>
            <w:vAlign w:val="bottom"/>
            <w:gridSpan w:val="2"/>
          </w:tcPr>
          <w:p>
            <w:pPr>
              <w:ind w:left="700"/>
              <w:spacing w:after="0" w:line="157" w:lineRule="exact"/>
              <w:rPr>
                <w:sz w:val="20"/>
                <w:szCs w:val="20"/>
                <w:color w:val="auto"/>
              </w:rPr>
            </w:pPr>
            <w:r>
              <w:rPr>
                <w:rFonts w:ascii="Arial" w:cs="Arial" w:eastAsia="Arial" w:hAnsi="Arial"/>
                <w:sz w:val="14"/>
                <w:szCs w:val="14"/>
                <w:color w:val="auto"/>
              </w:rPr>
              <w:t>June 30, 2019, respectively, attributable to related parties)</w:t>
            </w:r>
          </w:p>
        </w:tc>
        <w:tc>
          <w:tcPr>
            <w:tcW w:w="1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4,382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4,907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4,246</w:t>
            </w:r>
          </w:p>
        </w:tc>
        <w:tc>
          <w:tcPr>
            <w:tcW w:w="2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Total current liabilities</w:t>
            </w: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8,603</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800" w:type="dxa"/>
            <w:vAlign w:val="bottom"/>
            <w:gridSpan w:val="5"/>
          </w:tcPr>
          <w:p>
            <w:pPr>
              <w:spacing w:after="0"/>
              <w:rPr>
                <w:sz w:val="20"/>
                <w:szCs w:val="20"/>
                <w:color w:val="auto"/>
              </w:rPr>
            </w:pPr>
            <w:r>
              <w:rPr>
                <w:rFonts w:ascii="Arial" w:cs="Arial" w:eastAsia="Arial" w:hAnsi="Arial"/>
                <w:sz w:val="14"/>
                <w:szCs w:val="14"/>
                <w:color w:val="auto"/>
              </w:rPr>
              <w:t>Deferred revenue, net of current portion (includes $5,000, $0 and $0 (unaudited), at December 31, 2017, December 31,</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4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2018 and June 30, 2019, respectively, attributable to related parties)</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22,188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rPr>
              <w:t>13,076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auto"/>
              </w:rPr>
              <w:t>10,777</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Derivative liability</w:t>
            </w:r>
          </w:p>
        </w:tc>
        <w:tc>
          <w:tcPr>
            <w:tcW w:w="44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80" w:type="dxa"/>
            <w:vAlign w:val="bottom"/>
            <w:gridSpan w:val="2"/>
          </w:tcPr>
          <w:p>
            <w:pPr>
              <w:spacing w:after="0"/>
              <w:rPr>
                <w:sz w:val="20"/>
                <w:szCs w:val="20"/>
                <w:color w:val="auto"/>
              </w:rPr>
            </w:pPr>
            <w:r>
              <w:rPr>
                <w:rFonts w:ascii="Arial" w:cs="Arial" w:eastAsia="Arial" w:hAnsi="Arial"/>
                <w:sz w:val="14"/>
                <w:szCs w:val="14"/>
                <w:color w:val="auto"/>
              </w:rPr>
              <w:t>Other liabilities</w:t>
            </w:r>
          </w:p>
        </w:tc>
        <w:tc>
          <w:tcPr>
            <w:tcW w:w="4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w:t>
            </w:r>
          </w:p>
        </w:tc>
        <w:tc>
          <w:tcPr>
            <w:tcW w:w="2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44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28,402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21,576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19,824</w:t>
            </w:r>
          </w:p>
        </w:tc>
        <w:tc>
          <w:tcPr>
            <w:tcW w:w="20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60" w:type="dxa"/>
            <w:vAlign w:val="bottom"/>
            <w:gridSpan w:val="3"/>
          </w:tcPr>
          <w:p>
            <w:pPr>
              <w:spacing w:after="0"/>
              <w:rPr>
                <w:sz w:val="20"/>
                <w:szCs w:val="20"/>
                <w:color w:val="auto"/>
              </w:rPr>
            </w:pPr>
            <w:r>
              <w:rPr>
                <w:rFonts w:ascii="Arial" w:cs="Arial" w:eastAsia="Arial" w:hAnsi="Arial"/>
                <w:sz w:val="14"/>
                <w:szCs w:val="14"/>
                <w:color w:val="auto"/>
              </w:rPr>
              <w:t>Commitments and contingencies (Note 8)</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Redeemable convertible preferred stock, $0.0001 par value; 2,309,312 shares authorized; 2,220,999 shares issued</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and outstanding at December 31, 2017. 7,375,638 shares authorized; 7,375,631 shares issued and outstanding at</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December 31, 2018 and June 30, 2019 (unaudited). Liquidation value of $18,596 at December 31, 2017 and</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$108,596 at December 31, 2018 and June 30, 2019 (unaudited). No shares authorized, issued or outstanding, pro</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96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forma (unaudited).</w:t>
            </w:r>
          </w:p>
        </w:tc>
        <w:tc>
          <w:tcPr>
            <w:tcW w:w="44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18,508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w w:val="98"/>
              </w:rPr>
              <w:t>102,980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w w:val="98"/>
              </w:rPr>
              <w:t>102,980</w:t>
            </w:r>
          </w:p>
        </w:tc>
        <w:tc>
          <w:tcPr>
            <w:tcW w:w="20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980" w:type="dxa"/>
            <w:vAlign w:val="bottom"/>
            <w:gridSpan w:val="2"/>
          </w:tcPr>
          <w:p>
            <w:pPr>
              <w:spacing w:after="0"/>
              <w:rPr>
                <w:sz w:val="20"/>
                <w:szCs w:val="20"/>
                <w:color w:val="auto"/>
              </w:rPr>
            </w:pPr>
            <w:r>
              <w:rPr>
                <w:rFonts w:ascii="Arial" w:cs="Arial" w:eastAsia="Arial" w:hAnsi="Arial"/>
                <w:sz w:val="14"/>
                <w:szCs w:val="14"/>
                <w:color w:val="auto"/>
              </w:rPr>
              <w:t>Stockholders’ (deficit) equity</w:t>
            </w:r>
          </w:p>
        </w:tc>
        <w:tc>
          <w:tcPr>
            <w:tcW w:w="4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80" w:type="dxa"/>
            <w:vAlign w:val="bottom"/>
            <w:gridSpan w:val="4"/>
            <w:shd w:val="clear" w:color="auto" w:fill="CCEEFF"/>
          </w:tcPr>
          <w:p>
            <w:pPr>
              <w:ind w:left="560"/>
              <w:spacing w:after="0"/>
              <w:rPr>
                <w:sz w:val="20"/>
                <w:szCs w:val="20"/>
                <w:color w:val="auto"/>
              </w:rPr>
            </w:pPr>
            <w:r>
              <w:rPr>
                <w:rFonts w:ascii="Arial" w:cs="Arial" w:eastAsia="Arial" w:hAnsi="Arial"/>
                <w:sz w:val="14"/>
                <w:szCs w:val="14"/>
                <w:color w:val="auto"/>
              </w:rPr>
              <w:t>Common stock, $0.0001 par value; 50,000,000 shares authorized as of December 31, 2017, December 31,</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80" w:type="dxa"/>
            <w:vAlign w:val="bottom"/>
            <w:gridSpan w:val="4"/>
            <w:shd w:val="clear" w:color="auto" w:fill="CCEEFF"/>
          </w:tcPr>
          <w:p>
            <w:pPr>
              <w:ind w:left="700"/>
              <w:spacing w:after="0"/>
              <w:rPr>
                <w:sz w:val="20"/>
                <w:szCs w:val="20"/>
                <w:color w:val="auto"/>
              </w:rPr>
            </w:pPr>
            <w:r>
              <w:rPr>
                <w:rFonts w:ascii="Arial" w:cs="Arial" w:eastAsia="Arial" w:hAnsi="Arial"/>
                <w:sz w:val="14"/>
                <w:szCs w:val="14"/>
                <w:color w:val="auto"/>
              </w:rPr>
              <w:t>2018 and June 30, 2019 (unaudited); 5,063,303, 5,126,344 and 5,141,344 shares issued and outstanding at</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December 31, 2017, December 31, 2018, and June 30, 2019 (unaudited), respectively;</w:t>
            </w: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color w:val="auto"/>
              </w:rPr>
              <w:t>shares</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960" w:type="dxa"/>
            <w:vAlign w:val="bottom"/>
            <w:shd w:val="clear" w:color="auto" w:fill="CCEEFF"/>
          </w:tcPr>
          <w:p>
            <w:pPr>
              <w:ind w:left="700"/>
              <w:spacing w:after="0" w:line="157" w:lineRule="exact"/>
              <w:rPr>
                <w:sz w:val="20"/>
                <w:szCs w:val="20"/>
                <w:color w:val="auto"/>
              </w:rPr>
            </w:pPr>
            <w:r>
              <w:rPr>
                <w:rFonts w:ascii="Arial" w:cs="Arial" w:eastAsia="Arial" w:hAnsi="Arial"/>
                <w:sz w:val="14"/>
                <w:szCs w:val="14"/>
                <w:color w:val="auto"/>
              </w:rPr>
              <w:t>authorized and</w:t>
            </w:r>
          </w:p>
        </w:tc>
        <w:tc>
          <w:tcPr>
            <w:tcW w:w="448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shares issued and outstanding, pro forma (unaudited)</w:t>
            </w: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gridSpan w:val="2"/>
          </w:tcPr>
          <w:p>
            <w:pPr>
              <w:ind w:left="560"/>
              <w:spacing w:after="0"/>
              <w:rPr>
                <w:sz w:val="20"/>
                <w:szCs w:val="20"/>
                <w:color w:val="auto"/>
              </w:rPr>
            </w:pPr>
            <w:r>
              <w:rPr>
                <w:rFonts w:ascii="Arial" w:cs="Arial" w:eastAsia="Arial" w:hAnsi="Arial"/>
                <w:sz w:val="14"/>
                <w:szCs w:val="14"/>
                <w:color w:val="auto"/>
              </w:rPr>
              <w:t>Additional paid-in-capital</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2,438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3,930</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Accumulated deficit</w:t>
            </w:r>
          </w:p>
        </w:tc>
        <w:tc>
          <w:tcPr>
            <w:tcW w:w="44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(20,475)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(30,026)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(46,235)</w:t>
            </w: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6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60" w:type="dxa"/>
            <w:vAlign w:val="bottom"/>
            <w:gridSpan w:val="3"/>
          </w:tcPr>
          <w:p>
            <w:pPr>
              <w:spacing w:after="0"/>
              <w:rPr>
                <w:sz w:val="20"/>
                <w:szCs w:val="20"/>
                <w:color w:val="auto"/>
              </w:rPr>
            </w:pPr>
            <w:r>
              <w:rPr>
                <w:rFonts w:ascii="Arial" w:cs="Arial" w:eastAsia="Arial" w:hAnsi="Arial"/>
                <w:sz w:val="14"/>
                <w:szCs w:val="14"/>
                <w:color w:val="auto"/>
              </w:rPr>
              <w:t>Total stockholders’ (deficit) equity</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(19,590)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(27,587)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(42,304)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liabilities, redeemable convertible preferred stock and stockholders’ (deficit) equity</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27,320</w:t>
            </w:r>
          </w:p>
        </w:tc>
        <w:tc>
          <w:tcPr>
            <w:tcW w:w="1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96,969</w:t>
            </w:r>
          </w:p>
        </w:tc>
        <w:tc>
          <w:tcPr>
            <w:tcW w:w="1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80,500</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60" w:right="4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4D Molecular Therapeutics, Inc.</w:t>
      </w:r>
    </w:p>
    <w:p>
      <w:pPr>
        <w:spacing w:after="0" w:line="10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18"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rPr>
              <w:t>Year Ended</w:t>
            </w: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gridSpan w:val="6"/>
          </w:tcPr>
          <w:p>
            <w:pPr>
              <w:jc w:val="right"/>
              <w:ind w:right="1040"/>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b w:val="1"/>
                <w:bCs w:val="1"/>
                <w:color w:val="auto"/>
              </w:rPr>
              <w:t>June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35"/>
              <w:spacing w:after="0" w:line="129" w:lineRule="exact"/>
              <w:rPr>
                <w:sz w:val="20"/>
                <w:szCs w:val="20"/>
                <w:color w:val="auto"/>
              </w:rPr>
            </w:pPr>
            <w:r>
              <w:rPr>
                <w:rFonts w:ascii="Arial" w:cs="Arial" w:eastAsia="Arial" w:hAnsi="Arial"/>
                <w:sz w:val="13"/>
                <w:szCs w:val="13"/>
                <w:b w:val="1"/>
                <w:bCs w:val="1"/>
                <w:color w:val="auto"/>
              </w:rPr>
              <w:t>2017</w:t>
            </w: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32"/>
              <w:spacing w:after="0" w:line="129" w:lineRule="exact"/>
              <w:rPr>
                <w:sz w:val="20"/>
                <w:szCs w:val="20"/>
                <w:color w:val="auto"/>
              </w:rPr>
            </w:pPr>
            <w:r>
              <w:rPr>
                <w:rFonts w:ascii="Arial" w:cs="Arial" w:eastAsia="Arial" w:hAnsi="Arial"/>
                <w:sz w:val="13"/>
                <w:szCs w:val="13"/>
                <w:b w:val="1"/>
                <w:bCs w:val="1"/>
                <w:color w:val="auto"/>
              </w:rPr>
              <w:t>2018</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36"/>
              <w:spacing w:after="0" w:line="129" w:lineRule="exact"/>
              <w:rPr>
                <w:sz w:val="20"/>
                <w:szCs w:val="20"/>
                <w:color w:val="auto"/>
              </w:rPr>
            </w:pPr>
            <w:r>
              <w:rPr>
                <w:rFonts w:ascii="Arial" w:cs="Arial" w:eastAsia="Arial" w:hAnsi="Arial"/>
                <w:sz w:val="13"/>
                <w:szCs w:val="13"/>
                <w:b w:val="1"/>
                <w:bCs w:val="1"/>
                <w:color w:val="auto"/>
              </w:rPr>
              <w:t>2018</w:t>
            </w:r>
          </w:p>
        </w:tc>
        <w:tc>
          <w:tcPr>
            <w:tcW w:w="50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32"/>
              <w:spacing w:after="0" w:line="129"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rPr>
              <w:t>(Unaudited)</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ind w:left="340"/>
              <w:spacing w:after="0" w:line="202" w:lineRule="exact"/>
              <w:rPr>
                <w:sz w:val="20"/>
                <w:szCs w:val="20"/>
                <w:color w:val="auto"/>
              </w:rPr>
            </w:pPr>
            <w:r>
              <w:rPr>
                <w:rFonts w:ascii="Arial" w:cs="Arial" w:eastAsia="Arial" w:hAnsi="Arial"/>
                <w:sz w:val="18"/>
                <w:szCs w:val="18"/>
                <w:color w:val="auto"/>
              </w:rPr>
              <w:t>Collaboration and research revenue, related parties</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3,176</w:t>
            </w:r>
          </w:p>
        </w:tc>
        <w:tc>
          <w:tcPr>
            <w:tcW w:w="28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5,143</w:t>
            </w:r>
          </w:p>
        </w:tc>
        <w:tc>
          <w:tcPr>
            <w:tcW w:w="28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500" w:type="dxa"/>
            <w:vAlign w:val="bottom"/>
          </w:tcPr>
          <w:p>
            <w:pPr>
              <w:spacing w:after="0"/>
              <w:rPr>
                <w:sz w:val="17"/>
                <w:szCs w:val="17"/>
                <w:color w:val="auto"/>
              </w:rPr>
            </w:pPr>
          </w:p>
        </w:tc>
        <w:tc>
          <w:tcPr>
            <w:tcW w:w="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Collaboration and research revenue</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2,614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8,987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4,926</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4,390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ind w:left="700"/>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5,069</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tcPr>
          <w:p>
            <w:pPr>
              <w:ind w:left="340"/>
              <w:spacing w:after="0" w:line="201" w:lineRule="exact"/>
              <w:rPr>
                <w:sz w:val="20"/>
                <w:szCs w:val="20"/>
                <w:color w:val="auto"/>
              </w:rPr>
            </w:pPr>
            <w:r>
              <w:rPr>
                <w:rFonts w:ascii="Arial" w:cs="Arial" w:eastAsia="Arial" w:hAnsi="Arial"/>
                <w:sz w:val="18"/>
                <w:szCs w:val="18"/>
                <w:color w:val="auto"/>
              </w:rPr>
              <w:t>Research and development (includes $2,881 and $160 for the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ind w:left="520"/>
              <w:spacing w:after="0" w:line="202" w:lineRule="exact"/>
              <w:rPr>
                <w:sz w:val="20"/>
                <w:szCs w:val="20"/>
                <w:color w:val="auto"/>
              </w:rPr>
            </w:pPr>
            <w:r>
              <w:rPr>
                <w:rFonts w:ascii="Arial" w:cs="Arial" w:eastAsia="Arial" w:hAnsi="Arial"/>
                <w:sz w:val="18"/>
                <w:szCs w:val="18"/>
                <w:color w:val="auto"/>
              </w:rPr>
              <w:t>years ended December 31, 2017 and 2018 and $135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ind w:left="520"/>
              <w:spacing w:after="0" w:line="202" w:lineRule="exact"/>
              <w:rPr>
                <w:sz w:val="20"/>
                <w:szCs w:val="20"/>
                <w:color w:val="auto"/>
              </w:rPr>
            </w:pPr>
            <w:r>
              <w:rPr>
                <w:rFonts w:ascii="Arial" w:cs="Arial" w:eastAsia="Arial" w:hAnsi="Arial"/>
                <w:sz w:val="18"/>
                <w:szCs w:val="18"/>
                <w:color w:val="auto"/>
              </w:rPr>
              <w:t>(unaudited) and $99 (unaudited) for the six months ended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ind w:left="520"/>
              <w:spacing w:after="0" w:line="202" w:lineRule="exact"/>
              <w:rPr>
                <w:sz w:val="20"/>
                <w:szCs w:val="20"/>
                <w:color w:val="auto"/>
              </w:rPr>
            </w:pPr>
            <w:r>
              <w:rPr>
                <w:rFonts w:ascii="Arial" w:cs="Arial" w:eastAsia="Arial" w:hAnsi="Arial"/>
                <w:sz w:val="18"/>
                <w:szCs w:val="18"/>
                <w:color w:val="auto"/>
              </w:rPr>
              <w:t>June 30, 2018 and 2019, respectively, attributable to related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ind w:left="520"/>
              <w:spacing w:after="0" w:line="203" w:lineRule="exact"/>
              <w:rPr>
                <w:sz w:val="20"/>
                <w:szCs w:val="20"/>
                <w:color w:val="auto"/>
              </w:rPr>
            </w:pPr>
            <w:r>
              <w:rPr>
                <w:rFonts w:ascii="Arial" w:cs="Arial" w:eastAsia="Arial" w:hAnsi="Arial"/>
                <w:sz w:val="18"/>
                <w:szCs w:val="18"/>
                <w:color w:val="auto"/>
              </w:rPr>
              <w:t>parties)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13,573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18,362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8,208</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16,985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General and administrative (includes $15 and $220 for the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years ended December 31, 2017 and 2018 and $61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(unaudited) and $0 (unaudited) for the six months ended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June 30, 2018 and 2019, respectively, attributable to related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ind w:left="520"/>
              <w:spacing w:after="0" w:line="203" w:lineRule="exact"/>
              <w:rPr>
                <w:sz w:val="20"/>
                <w:szCs w:val="20"/>
                <w:color w:val="auto"/>
              </w:rPr>
            </w:pPr>
            <w:r>
              <w:rPr>
                <w:rFonts w:ascii="Arial" w:cs="Arial" w:eastAsia="Arial" w:hAnsi="Arial"/>
                <w:sz w:val="18"/>
                <w:szCs w:val="18"/>
                <w:color w:val="auto"/>
              </w:rPr>
              <w:t>parties)</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3,489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6,167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2,198</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4,884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10,406</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(11,272)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(10,399)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(5,337)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(17,453)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spacing w:after="0" w:line="202" w:lineRule="exact"/>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850</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ind w:left="340"/>
              <w:spacing w:after="0" w:line="202" w:lineRule="exact"/>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other income (expense)</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(11,223)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(9,551)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(5,186)</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per share attributable to common stockholders, basic and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(2.27)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(1.03)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 used in computing net loss</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ind w:left="160"/>
              <w:spacing w:after="0" w:line="203" w:lineRule="exact"/>
              <w:rPr>
                <w:sz w:val="20"/>
                <w:szCs w:val="20"/>
                <w:color w:val="auto"/>
              </w:rPr>
            </w:pPr>
            <w:r>
              <w:rPr>
                <w:rFonts w:ascii="Arial" w:cs="Arial" w:eastAsia="Arial" w:hAnsi="Arial"/>
                <w:sz w:val="18"/>
                <w:szCs w:val="18"/>
                <w:color w:val="auto"/>
              </w:rPr>
              <w:t>per share attributable to common stockholders, basic and diluted</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4,953,419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5,049,203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5,021,003</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5,132,714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 forma net loss per share, basic and diluted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7700" cy="154305"/>
                    </a:xfrm>
                    <a:prstGeom prst="rect">
                      <a:avLst/>
                    </a:prstGeom>
                    <a:noFill/>
                  </pic:spPr>
                </pic:pic>
              </a:graphicData>
            </a:graphic>
          </wp:anchor>
        </w:drawing>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Weighted-average shares outstanding used in computing pro</w:t>
      </w:r>
    </w:p>
    <w:p>
      <w:pPr>
        <w:ind w:left="380"/>
        <w:spacing w:after="0"/>
        <w:rPr>
          <w:sz w:val="20"/>
          <w:szCs w:val="20"/>
          <w:color w:val="auto"/>
        </w:rPr>
      </w:pPr>
      <w:r>
        <w:rPr>
          <w:rFonts w:ascii="Arial" w:cs="Arial" w:eastAsia="Arial" w:hAnsi="Arial"/>
          <w:sz w:val="18"/>
          <w:szCs w:val="18"/>
          <w:color w:val="auto"/>
        </w:rPr>
        <w:t>forma net loss per share, basic and diluted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-1905</wp:posOffset>
            </wp:positionV>
            <wp:extent cx="58293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14605</wp:posOffset>
            </wp:positionV>
            <wp:extent cx="58293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-1905</wp:posOffset>
            </wp:positionV>
            <wp:extent cx="58293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14605</wp:posOffset>
            </wp:positionV>
            <wp:extent cx="58293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60" w:right="4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4D Molecular Therapeutics, Inc.</w:t>
      </w:r>
    </w:p>
    <w:p>
      <w:pPr>
        <w:spacing w:after="0" w:line="104"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Statements of Redeemable Convertible Preferred Stock and Stockholders’ Deficit</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5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5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5"/>
              </w:rPr>
              <w:t>Convertible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vMerge w:val="restart"/>
          </w:tcPr>
          <w:p>
            <w:pPr>
              <w:ind w:left="240"/>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4"/>
                <w:szCs w:val="14"/>
                <w:color w:val="auto"/>
              </w:rPr>
            </w:pPr>
          </w:p>
        </w:tc>
        <w:tc>
          <w:tcPr>
            <w:tcW w:w="800" w:type="dxa"/>
            <w:vAlign w:val="bottom"/>
            <w:gridSpan w:val="3"/>
          </w:tcPr>
          <w:p>
            <w:pPr>
              <w:ind w:left="160"/>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580" w:type="dxa"/>
            <w:vAlign w:val="bottom"/>
            <w:tcBorders>
              <w:bottom w:val="single" w:sz="8" w:color="auto"/>
            </w:tcBorders>
            <w:gridSpan w:val="4"/>
          </w:tcPr>
          <w:p>
            <w:pPr>
              <w:jc w:val="center"/>
              <w:spacing w:after="0" w:line="102" w:lineRule="exact"/>
              <w:rPr>
                <w:sz w:val="20"/>
                <w:szCs w:val="20"/>
                <w:color w:val="auto"/>
              </w:rPr>
            </w:pPr>
            <w:r>
              <w:rPr>
                <w:rFonts w:ascii="Arial" w:cs="Arial" w:eastAsia="Arial" w:hAnsi="Arial"/>
                <w:sz w:val="11"/>
                <w:szCs w:val="11"/>
                <w:b w:val="1"/>
                <w:bCs w:val="1"/>
                <w:color w:val="auto"/>
              </w:rPr>
              <w:t>Preferred Stock</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Borders>
              <w:bottom w:val="single" w:sz="8" w:color="auto"/>
            </w:tcBorders>
            <w:gridSpan w:val="3"/>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42"/>
              <w:spacing w:after="0" w:line="115" w:lineRule="exact"/>
              <w:rPr>
                <w:sz w:val="20"/>
                <w:szCs w:val="20"/>
                <w:color w:val="auto"/>
              </w:rPr>
            </w:pPr>
            <w:r>
              <w:rPr>
                <w:rFonts w:ascii="Arial" w:cs="Arial" w:eastAsia="Arial" w:hAnsi="Arial"/>
                <w:sz w:val="13"/>
                <w:szCs w:val="13"/>
                <w:b w:val="1"/>
                <w:bCs w:val="1"/>
                <w:color w:val="auto"/>
                <w:w w:val="92"/>
              </w:rPr>
              <w:t>Paid-In</w:t>
            </w:r>
          </w:p>
        </w:tc>
        <w:tc>
          <w:tcPr>
            <w:tcW w:w="1080" w:type="dxa"/>
            <w:vAlign w:val="bottom"/>
            <w:gridSpan w:val="4"/>
          </w:tcPr>
          <w:p>
            <w:pPr>
              <w:ind w:left="140"/>
              <w:spacing w:after="0" w:line="115" w:lineRule="exact"/>
              <w:rPr>
                <w:sz w:val="20"/>
                <w:szCs w:val="20"/>
                <w:color w:val="auto"/>
              </w:rPr>
            </w:pPr>
            <w:r>
              <w:rPr>
                <w:rFonts w:ascii="Arial" w:cs="Arial" w:eastAsia="Arial" w:hAnsi="Arial"/>
                <w:sz w:val="13"/>
                <w:szCs w:val="13"/>
                <w:b w:val="1"/>
                <w:bCs w:val="1"/>
                <w:color w:val="auto"/>
              </w:rPr>
              <w:t>Accumulated</w:t>
            </w:r>
          </w:p>
        </w:tc>
        <w:tc>
          <w:tcPr>
            <w:tcW w:w="1040" w:type="dxa"/>
            <w:vAlign w:val="bottom"/>
            <w:gridSpan w:val="4"/>
          </w:tcPr>
          <w:p>
            <w:pPr>
              <w:ind w:left="80"/>
              <w:spacing w:after="0" w:line="115"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780" w:type="dxa"/>
            <w:vAlign w:val="bottom"/>
          </w:tcPr>
          <w:p>
            <w:pPr>
              <w:jc w:val="right"/>
              <w:ind w:right="104"/>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03"/>
              <w:spacing w:after="0"/>
              <w:rPr>
                <w:sz w:val="20"/>
                <w:szCs w:val="20"/>
                <w:color w:val="auto"/>
              </w:rPr>
            </w:pPr>
            <w:r>
              <w:rPr>
                <w:rFonts w:ascii="Arial" w:cs="Arial" w:eastAsia="Arial" w:hAnsi="Arial"/>
                <w:sz w:val="13"/>
                <w:szCs w:val="13"/>
                <w:b w:val="1"/>
                <w:bCs w:val="1"/>
                <w:color w:val="auto"/>
              </w:rPr>
              <w:t>Shares</w:t>
            </w:r>
          </w:p>
        </w:tc>
        <w:tc>
          <w:tcPr>
            <w:tcW w:w="640" w:type="dxa"/>
            <w:vAlign w:val="bottom"/>
            <w:gridSpan w:val="3"/>
          </w:tcPr>
          <w:p>
            <w:pPr>
              <w:ind w:left="160"/>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42"/>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2016</w:t>
            </w: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880" w:type="dxa"/>
            <w:vAlign w:val="bottom"/>
            <w:vMerge w:val="continue"/>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2,220,999</w:t>
            </w:r>
          </w:p>
        </w:tc>
        <w:tc>
          <w:tcPr>
            <w:tcW w:w="2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18,508</w:t>
            </w:r>
          </w:p>
        </w:tc>
        <w:tc>
          <w:tcPr>
            <w:tcW w:w="120" w:type="dxa"/>
            <w:vAlign w:val="bottom"/>
            <w:tcBorders>
              <w:right w:val="single" w:sz="8" w:color="auto"/>
            </w:tcBorders>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5,048,932</w:t>
            </w:r>
          </w:p>
        </w:tc>
        <w:tc>
          <w:tcPr>
            <w:tcW w:w="440" w:type="dxa"/>
            <w:vAlign w:val="bottom"/>
            <w:gridSpan w:val="2"/>
            <w:shd w:val="clear" w:color="auto" w:fill="CCEEFF"/>
          </w:tcPr>
          <w:p>
            <w:pPr>
              <w:ind w:left="160"/>
              <w:spacing w:after="0" w:line="183"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w:t>
            </w:r>
          </w:p>
        </w:tc>
        <w:tc>
          <w:tcPr>
            <w:tcW w:w="260" w:type="dxa"/>
            <w:vAlign w:val="bottom"/>
            <w:gridSpan w:val="2"/>
            <w:shd w:val="clear" w:color="auto" w:fill="CCEEFF"/>
          </w:tcPr>
          <w:p>
            <w:pPr>
              <w:ind w:left="160"/>
              <w:spacing w:after="0" w:line="183" w:lineRule="exact"/>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612</w:t>
            </w:r>
          </w:p>
        </w:tc>
        <w:tc>
          <w:tcPr>
            <w:tcW w:w="300" w:type="dxa"/>
            <w:vAlign w:val="bottom"/>
            <w:gridSpan w:val="2"/>
            <w:shd w:val="clear" w:color="auto" w:fill="CCEEFF"/>
          </w:tcPr>
          <w:p>
            <w:pPr>
              <w:ind w:left="140"/>
              <w:spacing w:after="0" w:line="183" w:lineRule="exact"/>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(9,252)</w:t>
            </w:r>
          </w:p>
        </w:tc>
        <w:tc>
          <w:tcPr>
            <w:tcW w:w="240" w:type="dxa"/>
            <w:vAlign w:val="bottom"/>
            <w:gridSpan w:val="2"/>
            <w:shd w:val="clear" w:color="auto" w:fill="CCEEFF"/>
          </w:tcPr>
          <w:p>
            <w:pPr>
              <w:ind w:left="80"/>
              <w:spacing w:after="0" w:line="183" w:lineRule="exact"/>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(8,639)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Pr>
          <w:p>
            <w:pPr>
              <w:ind w:left="300"/>
              <w:spacing w:after="0"/>
              <w:rPr>
                <w:sz w:val="20"/>
                <w:szCs w:val="20"/>
                <w:color w:val="auto"/>
              </w:rPr>
            </w:pPr>
            <w:r>
              <w:rPr>
                <w:rFonts w:ascii="Arial" w:cs="Arial" w:eastAsia="Arial" w:hAnsi="Arial"/>
                <w:sz w:val="16"/>
                <w:szCs w:val="16"/>
                <w:color w:val="auto"/>
              </w:rPr>
              <w:t>Exercise of common stock options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14,371</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Stock-based 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Pr>
          <w:p>
            <w:pPr>
              <w:ind w:left="300"/>
              <w:spacing w:after="0"/>
              <w:rPr>
                <w:sz w:val="20"/>
                <w:szCs w:val="20"/>
                <w:color w:val="auto"/>
              </w:rPr>
            </w:pPr>
            <w:r>
              <w:rPr>
                <w:rFonts w:ascii="Arial" w:cs="Arial" w:eastAsia="Arial" w:hAnsi="Arial"/>
                <w:sz w:val="16"/>
                <w:szCs w:val="16"/>
                <w:color w:val="auto"/>
              </w:rPr>
              <w:t>Net loss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(11,223)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(11,223)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2017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2,220,999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18,508</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5,063,303</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(20,475)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(19,590)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80" w:type="dxa"/>
            <w:vAlign w:val="bottom"/>
          </w:tcPr>
          <w:p>
            <w:pPr>
              <w:ind w:left="300"/>
              <w:spacing w:after="0"/>
              <w:rPr>
                <w:sz w:val="20"/>
                <w:szCs w:val="20"/>
                <w:color w:val="auto"/>
              </w:rPr>
            </w:pPr>
            <w:r>
              <w:rPr>
                <w:rFonts w:ascii="Arial" w:cs="Arial" w:eastAsia="Arial" w:hAnsi="Arial"/>
                <w:sz w:val="16"/>
                <w:szCs w:val="16"/>
                <w:color w:val="auto"/>
              </w:rPr>
              <w:t>Issuance of redeemable convertible preferred stock, net of</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80" w:type="dxa"/>
            <w:vAlign w:val="bottom"/>
          </w:tcPr>
          <w:p>
            <w:pPr>
              <w:ind w:left="480"/>
              <w:spacing w:after="0"/>
              <w:rPr>
                <w:sz w:val="20"/>
                <w:szCs w:val="20"/>
                <w:color w:val="auto"/>
              </w:rPr>
            </w:pPr>
            <w:r>
              <w:rPr>
                <w:rFonts w:ascii="Arial" w:cs="Arial" w:eastAsia="Arial" w:hAnsi="Arial"/>
                <w:sz w:val="16"/>
                <w:szCs w:val="16"/>
                <w:color w:val="auto"/>
              </w:rPr>
              <w:t>$5,528 of issuance cost</w:t>
            </w:r>
          </w:p>
        </w:tc>
        <w:tc>
          <w:tcPr>
            <w:tcW w:w="780" w:type="dxa"/>
            <w:vAlign w:val="bottom"/>
          </w:tcPr>
          <w:p>
            <w:pPr>
              <w:jc w:val="right"/>
              <w:spacing w:after="0"/>
              <w:rPr>
                <w:sz w:val="20"/>
                <w:szCs w:val="20"/>
                <w:color w:val="auto"/>
              </w:rPr>
            </w:pPr>
            <w:r>
              <w:rPr>
                <w:rFonts w:ascii="Arial" w:cs="Arial" w:eastAsia="Arial" w:hAnsi="Arial"/>
                <w:sz w:val="16"/>
                <w:szCs w:val="16"/>
                <w:color w:val="auto"/>
              </w:rPr>
              <w:t>5,154,632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84,472</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Exercise of common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63,041</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Pr>
          <w:p>
            <w:pPr>
              <w:ind w:left="300"/>
              <w:spacing w:after="0"/>
              <w:rPr>
                <w:sz w:val="20"/>
                <w:szCs w:val="20"/>
                <w:color w:val="auto"/>
              </w:rPr>
            </w:pPr>
            <w:r>
              <w:rPr>
                <w:rFonts w:ascii="Arial" w:cs="Arial" w:eastAsia="Arial" w:hAnsi="Arial"/>
                <w:sz w:val="16"/>
                <w:szCs w:val="16"/>
                <w:color w:val="auto"/>
              </w:rPr>
              <w:t>Issuance of common stock warrants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Stock-based 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Pr>
          <w:p>
            <w:pPr>
              <w:ind w:left="300"/>
              <w:spacing w:after="0"/>
              <w:rPr>
                <w:sz w:val="20"/>
                <w:szCs w:val="20"/>
                <w:color w:val="auto"/>
              </w:rPr>
            </w:pPr>
            <w:r>
              <w:rPr>
                <w:rFonts w:ascii="Arial" w:cs="Arial" w:eastAsia="Arial" w:hAnsi="Arial"/>
                <w:sz w:val="16"/>
                <w:szCs w:val="16"/>
                <w:color w:val="auto"/>
              </w:rPr>
              <w:t>Net loss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(9,551)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(9,551)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7,375,631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102,980</w:t>
            </w:r>
          </w:p>
        </w:tc>
        <w:tc>
          <w:tcPr>
            <w:tcW w:w="120" w:type="dxa"/>
            <w:vAlign w:val="bottom"/>
            <w:tcBorders>
              <w:right w:val="single" w:sz="8" w:color="auto"/>
            </w:tcBorders>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5,126,344</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(30,026)</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4D Molecular Therapeutics, Inc.</w:t>
      </w:r>
    </w:p>
    <w:p>
      <w:pPr>
        <w:spacing w:after="0" w:line="104"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Statements of Redeemable Convertible Preferred Stock and Stockholders’ Deficit – (Continued)</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620" w:type="dxa"/>
            <w:vAlign w:val="bottom"/>
            <w:gridSpan w:val="4"/>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2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5"/>
              </w:rPr>
              <w:t>Convertible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ind w:left="260"/>
              <w:spacing w:after="0" w:line="144" w:lineRule="exact"/>
              <w:rPr>
                <w:sz w:val="20"/>
                <w:szCs w:val="20"/>
                <w:color w:val="auto"/>
              </w:rPr>
            </w:pPr>
            <w:r>
              <w:rPr>
                <w:rFonts w:ascii="Arial" w:cs="Arial" w:eastAsia="Arial" w:hAnsi="Arial"/>
                <w:sz w:val="13"/>
                <w:szCs w:val="13"/>
                <w:b w:val="1"/>
                <w:bCs w:val="1"/>
                <w:color w:val="auto"/>
                <w:w w:val="94"/>
              </w:rPr>
              <w:t>Additional</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400"/>
              <w:spacing w:after="0" w:line="14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7"/>
              </w:rPr>
              <w:t>Preferred Stock</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22"/>
              <w:spacing w:after="0"/>
              <w:rPr>
                <w:sz w:val="20"/>
                <w:szCs w:val="20"/>
                <w:color w:val="auto"/>
              </w:rPr>
            </w:pPr>
            <w:r>
              <w:rPr>
                <w:rFonts w:ascii="Arial" w:cs="Arial" w:eastAsia="Arial" w:hAnsi="Arial"/>
                <w:sz w:val="13"/>
                <w:szCs w:val="13"/>
                <w:b w:val="1"/>
                <w:bCs w:val="1"/>
                <w:color w:val="auto"/>
                <w:w w:val="96"/>
              </w:rPr>
              <w:t>Paid-In</w:t>
            </w:r>
          </w:p>
        </w:tc>
        <w:tc>
          <w:tcPr>
            <w:tcW w:w="1240" w:type="dxa"/>
            <w:vAlign w:val="bottom"/>
            <w:gridSpan w:val="4"/>
          </w:tcPr>
          <w:p>
            <w:pPr>
              <w:ind w:left="260"/>
              <w:spacing w:after="0"/>
              <w:rPr>
                <w:sz w:val="20"/>
                <w:szCs w:val="20"/>
                <w:color w:val="auto"/>
              </w:rPr>
            </w:pPr>
            <w:r>
              <w:rPr>
                <w:rFonts w:ascii="Arial" w:cs="Arial" w:eastAsia="Arial" w:hAnsi="Arial"/>
                <w:sz w:val="13"/>
                <w:szCs w:val="13"/>
                <w:b w:val="1"/>
                <w:bCs w:val="1"/>
                <w:color w:val="auto"/>
              </w:rPr>
              <w:t>Accumulated</w:t>
            </w:r>
          </w:p>
        </w:tc>
        <w:tc>
          <w:tcPr>
            <w:tcW w:w="1080" w:type="dxa"/>
            <w:vAlign w:val="bottom"/>
            <w:gridSpan w:val="4"/>
          </w:tcPr>
          <w:p>
            <w:pPr>
              <w:ind w:left="12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780" w:type="dxa"/>
            <w:vAlign w:val="bottom"/>
          </w:tcPr>
          <w:p>
            <w:pPr>
              <w:jc w:val="right"/>
              <w:ind w:right="123"/>
              <w:spacing w:after="0" w:line="129" w:lineRule="exact"/>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20"/>
              <w:spacing w:after="0" w:line="129" w:lineRule="exact"/>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ind w:right="103"/>
              <w:spacing w:after="0" w:line="129" w:lineRule="exact"/>
              <w:rPr>
                <w:sz w:val="20"/>
                <w:szCs w:val="20"/>
                <w:color w:val="auto"/>
              </w:rPr>
            </w:pPr>
            <w:r>
              <w:rPr>
                <w:rFonts w:ascii="Arial" w:cs="Arial" w:eastAsia="Arial" w:hAnsi="Arial"/>
                <w:sz w:val="13"/>
                <w:szCs w:val="13"/>
                <w:b w:val="1"/>
                <w:bCs w:val="1"/>
                <w:color w:val="auto"/>
              </w:rPr>
              <w:t>Shares</w:t>
            </w:r>
          </w:p>
        </w:tc>
        <w:tc>
          <w:tcPr>
            <w:tcW w:w="740" w:type="dxa"/>
            <w:vAlign w:val="bottom"/>
            <w:gridSpan w:val="3"/>
          </w:tcPr>
          <w:p>
            <w:pPr>
              <w:ind w:left="260"/>
              <w:spacing w:after="0" w:line="129" w:lineRule="exact"/>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22"/>
              <w:spacing w:after="0" w:line="129" w:lineRule="exact"/>
              <w:rPr>
                <w:sz w:val="20"/>
                <w:szCs w:val="20"/>
                <w:color w:val="auto"/>
              </w:rPr>
            </w:pPr>
            <w:r>
              <w:rPr>
                <w:rFonts w:ascii="Arial" w:cs="Arial" w:eastAsia="Arial" w:hAnsi="Arial"/>
                <w:sz w:val="13"/>
                <w:szCs w:val="13"/>
                <w:b w:val="1"/>
                <w:bCs w:val="1"/>
                <w:color w:val="auto"/>
                <w:w w:val="96"/>
              </w:rPr>
              <w:t>Capital</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400"/>
              <w:spacing w:after="0" w:line="129"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340"/>
              <w:spacing w:after="0" w:line="129"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2017</w:t>
            </w: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60" w:type="dxa"/>
            <w:vAlign w:val="bottom"/>
            <w:vMerge w:val="continue"/>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2,220,999</w:t>
            </w:r>
          </w:p>
        </w:tc>
        <w:tc>
          <w:tcPr>
            <w:tcW w:w="2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18,508</w:t>
            </w:r>
          </w:p>
        </w:tc>
        <w:tc>
          <w:tcPr>
            <w:tcW w:w="140" w:type="dxa"/>
            <w:vAlign w:val="bottom"/>
            <w:tcBorders>
              <w:right w:val="single" w:sz="8" w:color="auto"/>
            </w:tcBorders>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5,063,303</w:t>
            </w:r>
          </w:p>
        </w:tc>
        <w:tc>
          <w:tcPr>
            <w:tcW w:w="500" w:type="dxa"/>
            <w:vAlign w:val="bottom"/>
            <w:gridSpan w:val="2"/>
            <w:shd w:val="clear" w:color="auto" w:fill="CCEEFF"/>
          </w:tcPr>
          <w:p>
            <w:pPr>
              <w:ind w:left="260"/>
              <w:spacing w:after="0" w:line="183"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884</w:t>
            </w:r>
          </w:p>
        </w:tc>
        <w:tc>
          <w:tcPr>
            <w:tcW w:w="400" w:type="dxa"/>
            <w:vAlign w:val="bottom"/>
            <w:gridSpan w:val="2"/>
            <w:shd w:val="clear" w:color="auto" w:fill="CCEEFF"/>
          </w:tcPr>
          <w:p>
            <w:pPr>
              <w:ind w:left="260"/>
              <w:spacing w:after="0" w:line="183"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line="183" w:lineRule="exact"/>
              <w:rPr>
                <w:sz w:val="20"/>
                <w:szCs w:val="20"/>
                <w:color w:val="auto"/>
              </w:rPr>
            </w:pPr>
            <w:r>
              <w:rPr>
                <w:rFonts w:ascii="Arial" w:cs="Arial" w:eastAsia="Arial" w:hAnsi="Arial"/>
                <w:sz w:val="16"/>
                <w:szCs w:val="16"/>
                <w:color w:val="auto"/>
              </w:rPr>
              <w:t>(20,475)</w:t>
            </w:r>
          </w:p>
        </w:tc>
        <w:tc>
          <w:tcPr>
            <w:tcW w:w="280" w:type="dxa"/>
            <w:vAlign w:val="bottom"/>
            <w:gridSpan w:val="2"/>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(19,590)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60" w:type="dxa"/>
            <w:vAlign w:val="bottom"/>
          </w:tcPr>
          <w:p>
            <w:pPr>
              <w:ind w:left="300"/>
              <w:spacing w:after="0"/>
              <w:rPr>
                <w:sz w:val="20"/>
                <w:szCs w:val="20"/>
                <w:color w:val="auto"/>
              </w:rPr>
            </w:pPr>
            <w:r>
              <w:rPr>
                <w:rFonts w:ascii="Arial" w:cs="Arial" w:eastAsia="Arial" w:hAnsi="Arial"/>
                <w:sz w:val="16"/>
                <w:szCs w:val="16"/>
                <w:color w:val="auto"/>
              </w:rPr>
              <w:t>Exercise of common stock options (unaudited)</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19,753</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Issuance of common stock warrants (unaudited)</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60" w:type="dxa"/>
            <w:vAlign w:val="bottom"/>
          </w:tcPr>
          <w:p>
            <w:pPr>
              <w:ind w:left="300"/>
              <w:spacing w:after="0"/>
              <w:rPr>
                <w:sz w:val="20"/>
                <w:szCs w:val="20"/>
                <w:color w:val="auto"/>
              </w:rPr>
            </w:pPr>
            <w:r>
              <w:rPr>
                <w:rFonts w:ascii="Arial" w:cs="Arial" w:eastAsia="Arial" w:hAnsi="Arial"/>
                <w:sz w:val="16"/>
                <w:szCs w:val="16"/>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403</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loss (unaudited)</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(5,186)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(5,186)</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Balances at June 30, 2018 (unaudited)</w:t>
            </w: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gridSpan w:val="2"/>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2,220,999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18,508</w:t>
            </w:r>
          </w:p>
        </w:tc>
        <w:tc>
          <w:tcPr>
            <w:tcW w:w="140" w:type="dxa"/>
            <w:vAlign w:val="bottom"/>
            <w:tcBorders>
              <w:right w:val="single" w:sz="8" w:color="auto"/>
            </w:tcBorders>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5,083,056</w:t>
            </w:r>
          </w:p>
        </w:tc>
        <w:tc>
          <w:tcPr>
            <w:tcW w:w="5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1,366</w:t>
            </w:r>
          </w:p>
        </w:tc>
        <w:tc>
          <w:tcPr>
            <w:tcW w:w="4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(25,661)</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(24,294)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7,375,631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102,980</w:t>
            </w:r>
          </w:p>
        </w:tc>
        <w:tc>
          <w:tcPr>
            <w:tcW w:w="140" w:type="dxa"/>
            <w:vAlign w:val="bottom"/>
            <w:tcBorders>
              <w:right w:val="single" w:sz="8" w:color="auto"/>
            </w:tcBorders>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5,126,344</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(30,026)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(27,587)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Pr>
          <w:p>
            <w:pPr>
              <w:ind w:left="300"/>
              <w:spacing w:after="0"/>
              <w:rPr>
                <w:sz w:val="20"/>
                <w:szCs w:val="20"/>
                <w:color w:val="auto"/>
              </w:rPr>
            </w:pPr>
            <w:r>
              <w:rPr>
                <w:rFonts w:ascii="Arial" w:cs="Arial" w:eastAsia="Arial" w:hAnsi="Arial"/>
                <w:sz w:val="16"/>
                <w:szCs w:val="16"/>
                <w:color w:val="auto"/>
              </w:rPr>
              <w:t>Cumulative effect of adoption of ASC 606 (unaudited)</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Exercise of common stock options (unaudited)</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60" w:type="dxa"/>
            <w:vAlign w:val="bottom"/>
          </w:tcPr>
          <w:p>
            <w:pPr>
              <w:ind w:left="300"/>
              <w:spacing w:after="0"/>
              <w:rPr>
                <w:sz w:val="20"/>
                <w:szCs w:val="20"/>
                <w:color w:val="auto"/>
              </w:rPr>
            </w:pPr>
            <w:r>
              <w:rPr>
                <w:rFonts w:ascii="Arial" w:cs="Arial" w:eastAsia="Arial" w:hAnsi="Arial"/>
                <w:sz w:val="16"/>
                <w:szCs w:val="16"/>
                <w:color w:val="auto"/>
              </w:rPr>
              <w:t>Stock-based compensation (unaudited)</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1,472</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1,472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loss (unaudited)</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(16,516)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(16,516)</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Balances at June 30, 2019 (unaudited)</w:t>
            </w: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gridSpan w:val="2"/>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7,375,631</w:t>
            </w:r>
          </w:p>
        </w:tc>
        <w:tc>
          <w:tcPr>
            <w:tcW w:w="24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102,980</w:t>
            </w:r>
          </w:p>
        </w:tc>
        <w:tc>
          <w:tcPr>
            <w:tcW w:w="140" w:type="dxa"/>
            <w:vAlign w:val="bottom"/>
            <w:tcBorders>
              <w:right w:val="single" w:sz="8" w:color="auto"/>
            </w:tcBorders>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5,141,344</w:t>
            </w:r>
          </w:p>
        </w:tc>
        <w:tc>
          <w:tcPr>
            <w:tcW w:w="5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3,930</w:t>
            </w:r>
          </w:p>
        </w:tc>
        <w:tc>
          <w:tcPr>
            <w:tcW w:w="4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(46,235)</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(42,304)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4D Molecular Therapeutics, Inc.</w:t>
      </w:r>
    </w:p>
    <w:p>
      <w:pPr>
        <w:spacing w:after="0" w:line="10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Statements of Cash Flows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6"/>
          </w:tcPr>
          <w:p>
            <w:pPr>
              <w:jc w:val="right"/>
              <w:ind w:right="640"/>
              <w:spacing w:after="0"/>
              <w:rPr>
                <w:sz w:val="20"/>
                <w:szCs w:val="20"/>
                <w:color w:val="auto"/>
              </w:rPr>
            </w:pPr>
            <w:r>
              <w:rPr>
                <w:rFonts w:ascii="Arial" w:cs="Arial" w:eastAsia="Arial" w:hAnsi="Arial"/>
                <w:sz w:val="13"/>
                <w:szCs w:val="13"/>
                <w:b w:val="1"/>
                <w:bCs w:val="1"/>
                <w:color w:val="auto"/>
              </w:rPr>
              <w:t>Year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6"/>
          </w:tcPr>
          <w:p>
            <w:pPr>
              <w:jc w:val="center"/>
              <w:ind w:right="240"/>
              <w:spacing w:after="0"/>
              <w:rPr>
                <w:sz w:val="20"/>
                <w:szCs w:val="20"/>
                <w:color w:val="auto"/>
              </w:rPr>
            </w:pPr>
            <w:r>
              <w:rPr>
                <w:rFonts w:ascii="Arial" w:cs="Arial" w:eastAsia="Arial" w:hAnsi="Arial"/>
                <w:sz w:val="13"/>
                <w:szCs w:val="13"/>
                <w:b w:val="1"/>
                <w:bCs w:val="1"/>
                <w:color w:val="auto"/>
                <w:w w:val="95"/>
              </w:rPr>
              <w:t>Six Months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96"/>
              </w:rPr>
              <w:t>Ended 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21"/>
              <w:spacing w:after="0" w:line="129" w:lineRule="exact"/>
              <w:rPr>
                <w:sz w:val="20"/>
                <w:szCs w:val="20"/>
                <w:color w:val="auto"/>
              </w:rPr>
            </w:pPr>
            <w:r>
              <w:rPr>
                <w:rFonts w:ascii="Arial" w:cs="Arial" w:eastAsia="Arial" w:hAnsi="Arial"/>
                <w:sz w:val="13"/>
                <w:szCs w:val="13"/>
                <w:b w:val="1"/>
                <w:bCs w:val="1"/>
                <w:color w:val="auto"/>
              </w:rPr>
              <w:t>2017</w:t>
            </w: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00"/>
              <w:spacing w:after="0" w:line="129" w:lineRule="exact"/>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81"/>
              <w:spacing w:after="0" w:line="129" w:lineRule="exact"/>
              <w:rPr>
                <w:sz w:val="20"/>
                <w:szCs w:val="20"/>
                <w:color w:val="auto"/>
              </w:rPr>
            </w:pPr>
            <w:r>
              <w:rPr>
                <w:rFonts w:ascii="Arial" w:cs="Arial" w:eastAsia="Arial" w:hAnsi="Arial"/>
                <w:sz w:val="13"/>
                <w:szCs w:val="13"/>
                <w:b w:val="1"/>
                <w:bCs w:val="1"/>
                <w:color w:val="auto"/>
              </w:rPr>
              <w:t>2018</w:t>
            </w:r>
          </w:p>
        </w:tc>
        <w:tc>
          <w:tcPr>
            <w:tcW w:w="1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00"/>
              <w:spacing w:after="0" w:line="129"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5"/>
          </w:tcPr>
          <w:p>
            <w:pPr>
              <w:jc w:val="center"/>
              <w:ind w:right="20"/>
              <w:spacing w:after="0" w:line="129" w:lineRule="exact"/>
              <w:rPr>
                <w:sz w:val="20"/>
                <w:szCs w:val="20"/>
                <w:color w:val="auto"/>
              </w:rPr>
            </w:pPr>
            <w:r>
              <w:rPr>
                <w:rFonts w:ascii="Arial" w:cs="Arial" w:eastAsia="Arial" w:hAnsi="Arial"/>
                <w:sz w:val="13"/>
                <w:szCs w:val="13"/>
                <w:b w:val="1"/>
                <w:bCs w:val="1"/>
                <w:color w:val="auto"/>
                <w:w w:val="96"/>
              </w:rPr>
              <w:t>(Unaudited)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(11,223)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(9,551)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(5,186)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(16,516)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tcPr>
          <w:p>
            <w:pPr>
              <w:ind w:left="30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1,377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403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1,472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Change in fair value of warrant obligation</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tcPr>
          <w:p>
            <w:pPr>
              <w:ind w:left="300"/>
              <w:spacing w:after="0"/>
              <w:rPr>
                <w:sz w:val="20"/>
                <w:szCs w:val="20"/>
                <w:color w:val="auto"/>
              </w:rPr>
            </w:pPr>
            <w:r>
              <w:rPr>
                <w:rFonts w:ascii="Arial" w:cs="Arial" w:eastAsia="Arial" w:hAnsi="Arial"/>
                <w:sz w:val="16"/>
                <w:szCs w:val="16"/>
                <w:color w:val="auto"/>
              </w:rPr>
              <w:t>Change in fair value of derivative liability</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tcPr>
          <w:p>
            <w:pPr>
              <w:ind w:left="300"/>
              <w:spacing w:after="0"/>
              <w:rPr>
                <w:sz w:val="20"/>
                <w:szCs w:val="20"/>
                <w:color w:val="auto"/>
              </w:rPr>
            </w:pPr>
            <w:r>
              <w:rPr>
                <w:rFonts w:ascii="Arial" w:cs="Arial" w:eastAsia="Arial" w:hAnsi="Arial"/>
                <w:sz w:val="16"/>
                <w:szCs w:val="16"/>
                <w:color w:val="auto"/>
              </w:rPr>
              <w:t>Loss on disposition of property and equipment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tcPr>
          <w:p>
            <w:pPr>
              <w:ind w:left="30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(320)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(803)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(1,415)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tcPr>
          <w:p>
            <w:pPr>
              <w:ind w:left="30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(324)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tcPr>
          <w:p>
            <w:pPr>
              <w:ind w:left="300"/>
              <w:spacing w:after="0"/>
              <w:rPr>
                <w:sz w:val="20"/>
                <w:szCs w:val="20"/>
                <w:color w:val="auto"/>
              </w:rPr>
            </w:pPr>
            <w:r>
              <w:rPr>
                <w:rFonts w:ascii="Arial" w:cs="Arial" w:eastAsia="Arial" w:hAnsi="Arial"/>
                <w:sz w:val="16"/>
                <w:szCs w:val="16"/>
                <w:color w:val="auto"/>
              </w:rPr>
              <w:t>Accrued and other liabilities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1,354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624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revenue</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(8,587)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(1,401)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640"/>
              <w:spacing w:after="0"/>
              <w:rPr>
                <w:sz w:val="20"/>
                <w:szCs w:val="20"/>
                <w:color w:val="auto"/>
              </w:rPr>
            </w:pPr>
            <w:r>
              <w:rPr>
                <w:rFonts w:ascii="Arial" w:cs="Arial" w:eastAsia="Arial" w:hAnsi="Arial"/>
                <w:sz w:val="16"/>
                <w:szCs w:val="16"/>
                <w:color w:val="auto"/>
              </w:rPr>
              <w:t>Net cash provided by (used in) operating activities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8,237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(16,252)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(6,422)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(17,168)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tcPr>
          <w:p>
            <w:pPr>
              <w:ind w:left="300"/>
              <w:spacing w:after="0"/>
              <w:rPr>
                <w:sz w:val="20"/>
                <w:szCs w:val="20"/>
                <w:color w:val="auto"/>
              </w:rPr>
            </w:pPr>
            <w:r>
              <w:rPr>
                <w:rFonts w:ascii="Arial" w:cs="Arial" w:eastAsia="Arial" w:hAnsi="Arial"/>
                <w:sz w:val="16"/>
                <w:szCs w:val="16"/>
                <w:color w:val="auto"/>
              </w:rPr>
              <w:t>Proceeds on sale of property and equipment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Acquisition of property and equipment</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(573)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tcPr>
          <w:p>
            <w:pPr>
              <w:ind w:left="300"/>
              <w:spacing w:after="0"/>
              <w:rPr>
                <w:sz w:val="20"/>
                <w:szCs w:val="20"/>
                <w:color w:val="auto"/>
              </w:rPr>
            </w:pPr>
            <w:r>
              <w:rPr>
                <w:rFonts w:ascii="Arial" w:cs="Arial" w:eastAsia="Arial" w:hAnsi="Arial"/>
                <w:sz w:val="16"/>
                <w:szCs w:val="16"/>
                <w:color w:val="auto"/>
              </w:rPr>
              <w:t>Proceeds from maturities of short-term investments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8,224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provided by (used in) investing activities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(1,662)</w:t>
            </w:r>
          </w:p>
        </w:tc>
        <w:tc>
          <w:tcPr>
            <w:tcW w:w="0" w:type="dxa"/>
            <w:vAlign w:val="bottom"/>
          </w:tcPr>
          <w:p>
            <w:pPr>
              <w:spacing w:after="0"/>
              <w:rPr>
                <w:sz w:val="1"/>
                <w:szCs w:val="1"/>
                <w:color w:val="auto"/>
              </w:rPr>
            </w:pPr>
          </w:p>
        </w:tc>
      </w:tr>
      <w:tr>
        <w:trPr>
          <w:trHeight w:val="196"/>
        </w:trPr>
        <w:tc>
          <w:tcPr>
            <w:tcW w:w="71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Issuance of redeemable convertible preferred stock, net of issuance costs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84,472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tcPr>
          <w:p>
            <w:pPr>
              <w:ind w:left="300"/>
              <w:spacing w:after="0"/>
              <w:rPr>
                <w:sz w:val="20"/>
                <w:szCs w:val="20"/>
                <w:color w:val="auto"/>
              </w:rPr>
            </w:pPr>
            <w:r>
              <w:rPr>
                <w:rFonts w:ascii="Arial" w:cs="Arial" w:eastAsia="Arial" w:hAnsi="Arial"/>
                <w:sz w:val="16"/>
                <w:szCs w:val="16"/>
                <w:color w:val="auto"/>
              </w:rPr>
              <w:t>Issuance of common stock</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offering costs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Pr>
          <w:p>
            <w:pPr>
              <w:ind w:left="64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84,577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15,928</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67,911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(6,435)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(18,892)</w:t>
            </w:r>
          </w:p>
        </w:tc>
        <w:tc>
          <w:tcPr>
            <w:tcW w:w="0" w:type="dxa"/>
            <w:vAlign w:val="bottom"/>
          </w:tcPr>
          <w:p>
            <w:pPr>
              <w:spacing w:after="0"/>
              <w:rPr>
                <w:sz w:val="1"/>
                <w:szCs w:val="1"/>
                <w:color w:val="auto"/>
              </w:rPr>
            </w:pPr>
          </w:p>
        </w:tc>
      </w:tr>
      <w:tr>
        <w:trPr>
          <w:trHeight w:val="196"/>
        </w:trPr>
        <w:tc>
          <w:tcPr>
            <w:tcW w:w="7100" w:type="dxa"/>
            <w:vAlign w:val="bottom"/>
            <w:gridSpan w:val="2"/>
          </w:tcPr>
          <w:p>
            <w:pPr>
              <w:spacing w:after="0"/>
              <w:rPr>
                <w:sz w:val="20"/>
                <w:szCs w:val="20"/>
                <w:color w:val="auto"/>
              </w:rPr>
            </w:pPr>
            <w:r>
              <w:rPr>
                <w:rFonts w:ascii="Arial" w:cs="Arial" w:eastAsia="Arial" w:hAnsi="Arial"/>
                <w:sz w:val="16"/>
                <w:szCs w:val="16"/>
                <w:color w:val="auto"/>
              </w:rPr>
              <w:t>Cash and cash equivalents, beginning of period</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23,850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23,850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91,761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23,850</w:t>
            </w:r>
          </w:p>
        </w:tc>
        <w:tc>
          <w:tcPr>
            <w:tcW w:w="1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91,761</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17,415</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72,869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Supplemental disclosures of non-cash investing and financing information</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Purchases of property and equipment in accounts payable and accrued and other liabilities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tcPr>
          <w:p>
            <w:pPr>
              <w:ind w:left="300"/>
              <w:spacing w:after="0"/>
              <w:rPr>
                <w:sz w:val="20"/>
                <w:szCs w:val="20"/>
                <w:color w:val="auto"/>
              </w:rPr>
            </w:pPr>
            <w:r>
              <w:rPr>
                <w:rFonts w:ascii="Arial" w:cs="Arial" w:eastAsia="Arial" w:hAnsi="Arial"/>
                <w:sz w:val="16"/>
                <w:szCs w:val="16"/>
                <w:color w:val="auto"/>
              </w:rPr>
              <w:t>Unpaid deferred offering costs</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308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Issuance of common stock warrants in return for services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59" w:right="41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4D Molecular Therapeutics,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04" w:lineRule="exact"/>
        <w:rPr>
          <w:sz w:val="20"/>
          <w:szCs w:val="20"/>
          <w:color w:val="auto"/>
        </w:rPr>
      </w:pPr>
    </w:p>
    <w:p>
      <w:pPr>
        <w:ind w:left="200" w:right="7340" w:firstLine="4"/>
        <w:spacing w:after="0" w:line="372" w:lineRule="auto"/>
        <w:tabs>
          <w:tab w:leader="none" w:pos="400" w:val="left"/>
        </w:tabs>
        <w:numPr>
          <w:ilvl w:val="0"/>
          <w:numId w:val="1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Organization and Nature of the Business </w:t>
      </w:r>
      <w:r>
        <w:rPr>
          <w:rFonts w:ascii="Arial" w:cs="Arial" w:eastAsia="Arial" w:hAnsi="Arial"/>
          <w:sz w:val="18"/>
          <w:szCs w:val="18"/>
          <w:b w:val="1"/>
          <w:bCs w:val="1"/>
          <w:color w:val="auto"/>
        </w:rPr>
        <w:t>Organization and Business</w:t>
      </w:r>
    </w:p>
    <w:p>
      <w:pPr>
        <w:spacing w:after="0" w:line="2"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4D Molecular Therapeutics, Inc. (the “Company”) was formed as a limited liability company in September 2013 under the name 4D Molecular Therapeutics, LLC. The Company changed its name and converted into a corporation which was incorporated in the state of Delaware in March 2015. The Company is a development stage precision gene therapy company dedicated to the development of targeted therapies based on its adeno-associated viruses (“AAV”) vectors discovered through its proprietary Therapeutic Vector Evolution platform.</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w:t>
      </w:r>
    </w:p>
    <w:p>
      <w:pPr>
        <w:spacing w:after="0" w:line="126"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The Company experienced negative operating cash flows of $16.3 million for the year ended December 31, 2018 and $17.2 million (unaudited) for the six months ended June 30, 2019. The Company had an accumulated deficit of $ 30.0 million as of December 31, 2018 and $46.2 million (unaudited) as of June 30, 2019. Since its inception, the Company has funded its operations primarily with proceeds from sales of redeemable convertible preferred stock and to a lesser extent collaboration and licensing arrangements. In August 2018, the Company received $84.5 million net proceeds from issuance of Series B redeemable convertible preferred stock.</w:t>
      </w:r>
    </w:p>
    <w:p>
      <w:pPr>
        <w:spacing w:after="0" w:line="203"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The Company expects to increase operating losses and negative operating cash flows for the foreseeable future as the Company advances its product candidates into clinical trials, conducts additional preclinical studies, and expands internal manufacturing capabilities. The Company is seeking to complete an initial public offering (“IPO”) of its common stock. In the event the Company does not complete an IPO, the Company expects to seek additional funding through private equity financings, debt financings, or other capital sources, including collaborations with other companies, or other strategic transactions.</w:t>
      </w:r>
    </w:p>
    <w:p>
      <w:pPr>
        <w:spacing w:after="0" w:line="203"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The Company may not be able to obtain funding on acceptable terms, or at all. If the expected inflows are delayed or not received, or available capital resources are consumed more rapidly than currently expected, the Company expects to delay, reduce or eliminate some or all of its research and development programs, product portfolio expansion or investment in internal manufacturing capabilities, which could adversely affect its business prospects. The Company expects that its existing cash and cash equivalents will be sufficient to fund its operations through at least 12 months from the date these financial statements are available for issuance.</w:t>
      </w:r>
    </w:p>
    <w:p>
      <w:pPr>
        <w:spacing w:after="0" w:line="289" w:lineRule="exact"/>
        <w:rPr>
          <w:sz w:val="20"/>
          <w:szCs w:val="20"/>
          <w:color w:val="auto"/>
        </w:rPr>
      </w:pPr>
    </w:p>
    <w:p>
      <w:pPr>
        <w:ind w:left="200" w:right="7040" w:firstLine="4"/>
        <w:spacing w:after="0" w:line="372" w:lineRule="auto"/>
        <w:tabs>
          <w:tab w:leader="none" w:pos="400" w:val="left"/>
        </w:tabs>
        <w:numPr>
          <w:ilvl w:val="0"/>
          <w:numId w:val="1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Summary of Significant Accounting Policies </w:t>
      </w:r>
      <w:r>
        <w:rPr>
          <w:rFonts w:ascii="Arial" w:cs="Arial" w:eastAsia="Arial" w:hAnsi="Arial"/>
          <w:sz w:val="18"/>
          <w:szCs w:val="18"/>
          <w:b w:val="1"/>
          <w:bCs w:val="1"/>
          <w:color w:val="auto"/>
        </w:rPr>
        <w:t>Basis of Presentation</w:t>
      </w:r>
    </w:p>
    <w:p>
      <w:pPr>
        <w:spacing w:after="0" w:line="2" w:lineRule="exact"/>
        <w:rPr>
          <w:sz w:val="20"/>
          <w:szCs w:val="20"/>
          <w:color w:val="auto"/>
        </w:rPr>
      </w:pPr>
    </w:p>
    <w:p>
      <w:pPr>
        <w:ind w:left="200" w:right="400" w:firstLine="551"/>
        <w:spacing w:after="0" w:line="246" w:lineRule="auto"/>
        <w:rPr>
          <w:sz w:val="20"/>
          <w:szCs w:val="20"/>
          <w:color w:val="auto"/>
        </w:rPr>
      </w:pPr>
      <w:r>
        <w:rPr>
          <w:rFonts w:ascii="Arial" w:cs="Arial" w:eastAsia="Arial" w:hAnsi="Arial"/>
          <w:sz w:val="18"/>
          <w:szCs w:val="18"/>
          <w:color w:val="auto"/>
        </w:rPr>
        <w:t>The accompanying financial statements have been prepared in accordance with United States Generally Accepted Accounting Principles (“U.S. GAAP”).</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6" w:lineRule="exact"/>
        <w:rPr>
          <w:sz w:val="20"/>
          <w:szCs w:val="20"/>
          <w:color w:val="auto"/>
        </w:rPr>
      </w:pPr>
    </w:p>
    <w:p>
      <w:pPr>
        <w:ind w:left="200" w:right="420" w:firstLine="551"/>
        <w:spacing w:after="0"/>
        <w:rPr>
          <w:sz w:val="20"/>
          <w:szCs w:val="20"/>
          <w:color w:val="auto"/>
        </w:rPr>
      </w:pPr>
      <w:r>
        <w:rPr>
          <w:rFonts w:ascii="Arial" w:cs="Arial" w:eastAsia="Arial" w:hAnsi="Arial"/>
          <w:sz w:val="18"/>
          <w:szCs w:val="18"/>
          <w:color w:val="auto"/>
        </w:rPr>
        <w:t>The accompanying balance sheet as of June 30, 2019, the statements of operations and comprehensive loss, of redeemable convertible preferred stock and stockholders’ deficit and of cash flows for the six months ended June 30, 2018 and June 30, 2019 are unaudited. In the opinion of management, the unaudited data reflects all adjustments, which include only normal recurring</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60"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adjustments, necessary for the fair statement of the Company’s financial position as of June 30, 2019 and the results of its operations and comprehensive loss and its cash flows for the six months ended June 30, 2018 and June 30, 2019. The financial data and other information disclosed in these notes related to the six months ended June 30, 2018 and June 30, 2019 are also unaudited. The results for the six months ended June 30, 2019 are not necessarily indicative of results to be expected for the year ending December 31, 2019, any other interim periods, or any future year or period.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Pro Forma Information</w:t>
      </w:r>
    </w:p>
    <w:p>
      <w:pPr>
        <w:spacing w:after="0" w:line="126"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color w:val="auto"/>
        </w:rPr>
        <w:t>The unaudited pro forma basic and diluted net loss per share were computed to give effect to the conversion of all outstanding shares of redeemable convertible preferred stock on a one-for-one basis into shares of common stock immediately prior to the completion of the planned IPO as though the conversion had occurred as of the beginning of the period or the date of issuance, if later.</w:t>
      </w:r>
    </w:p>
    <w:p>
      <w:pPr>
        <w:spacing w:after="0" w:line="203" w:lineRule="exact"/>
        <w:rPr>
          <w:sz w:val="20"/>
          <w:szCs w:val="20"/>
          <w:color w:val="auto"/>
        </w:rPr>
      </w:pPr>
    </w:p>
    <w:p>
      <w:pPr>
        <w:ind w:left="200" w:right="360" w:firstLine="551"/>
        <w:spacing w:after="0" w:line="239" w:lineRule="auto"/>
        <w:rPr>
          <w:sz w:val="20"/>
          <w:szCs w:val="20"/>
          <w:color w:val="auto"/>
        </w:rPr>
      </w:pPr>
      <w:r>
        <w:rPr>
          <w:rFonts w:ascii="Arial" w:cs="Arial" w:eastAsia="Arial" w:hAnsi="Arial"/>
          <w:sz w:val="18"/>
          <w:szCs w:val="18"/>
          <w:color w:val="auto"/>
        </w:rPr>
        <w:t>The unaudited pro forma redeemable convertible preferred stock and stockholders’ deficit were computed to give effect to the conversion of all outstanding shares of redeemable convertible preferred stock on a one-for-one basis into shares of common stock immediately prior to the completion of the planned IPO. The unaudited pro forma information does not assume any proceeds from the planned IPO.</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Estimates</w:t>
      </w:r>
    </w:p>
    <w:p>
      <w:pPr>
        <w:spacing w:after="0" w:line="126"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revenue and expenses; and disclosure of contingent assets and liabilities as of the date of the financial statements. Such estimates include the determination of useful lives for property and equipment, the research periods of collaboration agreements, as well as estimates of the fair value of common stock, stock options and derivative instruments and income tax uncertainties. Actual results could differ from those estimates.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Segments</w:t>
      </w:r>
    </w:p>
    <w:p>
      <w:pPr>
        <w:spacing w:after="0" w:line="126" w:lineRule="exact"/>
        <w:rPr>
          <w:sz w:val="20"/>
          <w:szCs w:val="20"/>
          <w:color w:val="auto"/>
        </w:rPr>
      </w:pPr>
    </w:p>
    <w:p>
      <w:pPr>
        <w:ind w:left="200" w:right="480" w:firstLine="551"/>
        <w:spacing w:after="0"/>
        <w:rPr>
          <w:sz w:val="20"/>
          <w:szCs w:val="20"/>
          <w:color w:val="auto"/>
        </w:rPr>
      </w:pPr>
      <w:r>
        <w:rPr>
          <w:rFonts w:ascii="Arial" w:cs="Arial" w:eastAsia="Arial" w:hAnsi="Arial"/>
          <w:sz w:val="18"/>
          <w:szCs w:val="18"/>
          <w:color w:val="auto"/>
        </w:rPr>
        <w:t>The Company operates and manages its business as one reportable and operating segment. The Company’s chief executive officer, who is the chief operating decision maker, reviews financial information on a consolidated basis for purposes of allocating resources and assessing financial performance.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Concentration of Credit Risk</w:t>
      </w:r>
    </w:p>
    <w:p>
      <w:pPr>
        <w:spacing w:after="0" w:line="126" w:lineRule="exact"/>
        <w:rPr>
          <w:sz w:val="20"/>
          <w:szCs w:val="20"/>
          <w:color w:val="auto"/>
        </w:rPr>
      </w:pPr>
    </w:p>
    <w:p>
      <w:pPr>
        <w:ind w:left="200" w:right="220" w:firstLine="551"/>
        <w:spacing w:after="0" w:line="239"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cash and cash equivalents and accounts receivable. The Company’s cash is held at two financial institutions in the United States of America. The Company’s cash equivalents are invested in money market funds. The Company has not experienced any losses on its deposits of cash and cash equivalents. Such deposits may, at times, exceed federally insured limits.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80"/>
          </w:cols>
          <w:pgMar w:left="240" w:top="460" w:right="4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firstLine="551"/>
        <w:spacing w:after="0" w:line="246" w:lineRule="auto"/>
        <w:rPr>
          <w:sz w:val="20"/>
          <w:szCs w:val="20"/>
          <w:color w:val="auto"/>
        </w:rPr>
      </w:pPr>
      <w:r>
        <w:rPr>
          <w:rFonts w:ascii="Arial" w:cs="Arial" w:eastAsia="Arial" w:hAnsi="Arial"/>
          <w:sz w:val="18"/>
          <w:szCs w:val="18"/>
          <w:color w:val="auto"/>
        </w:rPr>
        <w:t>The Company’s partners in collaboration and license agreements who represent 10% or more of the Company’s total revenue are as follows: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Six Months</w:t>
            </w:r>
          </w:p>
        </w:tc>
        <w:tc>
          <w:tcPr>
            <w:tcW w:w="3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4"/>
                <w:szCs w:val="14"/>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Ended</w:t>
            </w:r>
          </w:p>
        </w:tc>
        <w:tc>
          <w:tcPr>
            <w:tcW w:w="3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400" w:type="dxa"/>
            <w:vAlign w:val="bottom"/>
            <w:gridSpan w:val="3"/>
          </w:tcPr>
          <w:p>
            <w:pPr>
              <w:jc w:val="center"/>
              <w:ind w:left="1296"/>
              <w:spacing w:after="0"/>
              <w:rPr>
                <w:sz w:val="20"/>
                <w:szCs w:val="20"/>
                <w:color w:val="auto"/>
              </w:rPr>
            </w:pPr>
            <w:r>
              <w:rPr>
                <w:rFonts w:ascii="Arial" w:cs="Arial" w:eastAsia="Arial" w:hAnsi="Arial"/>
                <w:sz w:val="14"/>
                <w:szCs w:val="14"/>
                <w:b w:val="1"/>
                <w:bCs w:val="1"/>
                <w:color w:val="auto"/>
              </w:rPr>
              <w:t>December 31,</w:t>
            </w:r>
          </w:p>
        </w:tc>
        <w:tc>
          <w:tcPr>
            <w:tcW w:w="1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9"/>
              </w:rPr>
              <w:t>June 30,</w:t>
            </w:r>
          </w:p>
        </w:tc>
        <w:tc>
          <w:tcPr>
            <w:tcW w:w="3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June 30,</w:t>
            </w:r>
          </w:p>
        </w:tc>
      </w:tr>
      <w:tr>
        <w:trPr>
          <w:trHeight w:val="175"/>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80" w:type="dxa"/>
            <w:vAlign w:val="bottom"/>
            <w:gridSpan w:val="2"/>
          </w:tcPr>
          <w:p>
            <w:pPr>
              <w:jc w:val="center"/>
              <w:ind w:left="1836"/>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5"/>
                <w:szCs w:val="15"/>
                <w:color w:val="auto"/>
              </w:rPr>
            </w:pPr>
          </w:p>
        </w:tc>
        <w:tc>
          <w:tcPr>
            <w:tcW w:w="1320" w:type="dxa"/>
            <w:vAlign w:val="bottom"/>
            <w:gridSpan w:val="2"/>
          </w:tcPr>
          <w:p>
            <w:pPr>
              <w:jc w:val="center"/>
              <w:ind w:left="275"/>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5"/>
                <w:szCs w:val="15"/>
                <w:color w:val="auto"/>
              </w:rPr>
            </w:pPr>
          </w:p>
        </w:tc>
        <w:tc>
          <w:tcPr>
            <w:tcW w:w="1180" w:type="dxa"/>
            <w:vAlign w:val="bottom"/>
            <w:gridSpan w:val="2"/>
          </w:tcPr>
          <w:p>
            <w:pPr>
              <w:jc w:val="center"/>
              <w:ind w:left="253"/>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5"/>
                <w:szCs w:val="15"/>
                <w:color w:val="auto"/>
              </w:rPr>
            </w:pPr>
          </w:p>
        </w:tc>
        <w:tc>
          <w:tcPr>
            <w:tcW w:w="1180" w:type="dxa"/>
            <w:vAlign w:val="bottom"/>
            <w:gridSpan w:val="2"/>
          </w:tcPr>
          <w:p>
            <w:pPr>
              <w:jc w:val="center"/>
              <w:ind w:left="25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Partner A</w:t>
            </w:r>
          </w:p>
        </w:tc>
        <w:tc>
          <w:tcPr>
            <w:tcW w:w="340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55%</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spacing w:after="0" w:line="202" w:lineRule="exact"/>
              <w:rPr>
                <w:sz w:val="20"/>
                <w:szCs w:val="20"/>
                <w:color w:val="auto"/>
              </w:rPr>
            </w:pPr>
            <w:r>
              <w:rPr>
                <w:rFonts w:ascii="Arial" w:cs="Arial" w:eastAsia="Arial" w:hAnsi="Arial"/>
                <w:sz w:val="18"/>
                <w:szCs w:val="18"/>
                <w:color w:val="auto"/>
              </w:rPr>
              <w:t>Partner B</w:t>
            </w:r>
          </w:p>
        </w:tc>
        <w:tc>
          <w:tcPr>
            <w:tcW w:w="340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19%</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Partner C</w:t>
            </w:r>
          </w:p>
        </w:tc>
        <w:tc>
          <w:tcPr>
            <w:tcW w:w="340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14%</w:t>
            </w:r>
          </w:p>
        </w:tc>
        <w:tc>
          <w:tcPr>
            <w:tcW w:w="184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53%</w:t>
            </w:r>
          </w:p>
        </w:tc>
        <w:tc>
          <w:tcPr>
            <w:tcW w:w="170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79%</w:t>
            </w:r>
          </w:p>
        </w:tc>
        <w:tc>
          <w:tcPr>
            <w:tcW w:w="14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86%</w:t>
            </w:r>
          </w:p>
        </w:tc>
      </w:tr>
      <w:tr>
        <w:trPr>
          <w:trHeight w:val="203"/>
        </w:trPr>
        <w:tc>
          <w:tcPr>
            <w:tcW w:w="20" w:type="dxa"/>
            <w:vAlign w:val="bottom"/>
          </w:tcPr>
          <w:p>
            <w:pPr>
              <w:spacing w:after="0"/>
              <w:rPr>
                <w:sz w:val="17"/>
                <w:szCs w:val="17"/>
                <w:color w:val="auto"/>
              </w:rPr>
            </w:pPr>
          </w:p>
        </w:tc>
        <w:tc>
          <w:tcPr>
            <w:tcW w:w="2680" w:type="dxa"/>
            <w:vAlign w:val="bottom"/>
          </w:tcPr>
          <w:p>
            <w:pPr>
              <w:spacing w:after="0" w:line="202" w:lineRule="exact"/>
              <w:rPr>
                <w:sz w:val="20"/>
                <w:szCs w:val="20"/>
                <w:color w:val="auto"/>
              </w:rPr>
            </w:pPr>
            <w:r>
              <w:rPr>
                <w:rFonts w:ascii="Arial" w:cs="Arial" w:eastAsia="Arial" w:hAnsi="Arial"/>
                <w:sz w:val="18"/>
                <w:szCs w:val="18"/>
                <w:color w:val="auto"/>
              </w:rPr>
              <w:t>Partner D</w:t>
            </w:r>
          </w:p>
        </w:tc>
        <w:tc>
          <w:tcPr>
            <w:tcW w:w="2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84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35%</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Partner E</w:t>
            </w:r>
          </w:p>
        </w:tc>
        <w:tc>
          <w:tcPr>
            <w:tcW w:w="19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w:t>
            </w:r>
          </w:p>
        </w:tc>
        <w:tc>
          <w:tcPr>
            <w:tcW w:w="14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w:t>
            </w: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Pr>
          <w:p>
            <w:pPr>
              <w:ind w:left="34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88%</w:t>
            </w:r>
          </w:p>
        </w:tc>
        <w:tc>
          <w:tcPr>
            <w:tcW w:w="1840" w:type="dxa"/>
            <w:vAlign w:val="bottom"/>
            <w:gridSpan w:val="3"/>
          </w:tcPr>
          <w:p>
            <w:pPr>
              <w:jc w:val="right"/>
              <w:ind w:right="380"/>
              <w:spacing w:after="0"/>
              <w:rPr>
                <w:sz w:val="20"/>
                <w:szCs w:val="20"/>
                <w:color w:val="auto"/>
              </w:rPr>
            </w:pPr>
            <w:r>
              <w:rPr>
                <w:rFonts w:ascii="Arial" w:cs="Arial" w:eastAsia="Arial" w:hAnsi="Arial"/>
                <w:sz w:val="18"/>
                <w:szCs w:val="18"/>
                <w:color w:val="auto"/>
              </w:rPr>
              <w:t>88%</w:t>
            </w:r>
          </w:p>
        </w:tc>
        <w:tc>
          <w:tcPr>
            <w:tcW w:w="1700" w:type="dxa"/>
            <w:vAlign w:val="bottom"/>
            <w:gridSpan w:val="3"/>
          </w:tcPr>
          <w:p>
            <w:pPr>
              <w:jc w:val="right"/>
              <w:ind w:right="380"/>
              <w:spacing w:after="0"/>
              <w:rPr>
                <w:sz w:val="20"/>
                <w:szCs w:val="20"/>
                <w:color w:val="auto"/>
              </w:rPr>
            </w:pPr>
            <w:r>
              <w:rPr>
                <w:rFonts w:ascii="Arial" w:cs="Arial" w:eastAsia="Arial" w:hAnsi="Arial"/>
                <w:sz w:val="18"/>
                <w:szCs w:val="18"/>
                <w:color w:val="auto"/>
              </w:rPr>
              <w:t>89%</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98%</w:t>
            </w: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82" w:lineRule="exact"/>
        <w:rPr>
          <w:sz w:val="20"/>
          <w:szCs w:val="20"/>
          <w:color w:val="auto"/>
        </w:rPr>
      </w:pPr>
    </w:p>
    <w:p>
      <w:pPr>
        <w:ind w:left="520" w:hanging="316"/>
        <w:spacing w:after="0"/>
        <w:tabs>
          <w:tab w:leader="none" w:pos="5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12" w:lineRule="exact"/>
        <w:rPr>
          <w:sz w:val="20"/>
          <w:szCs w:val="20"/>
          <w:color w:val="auto"/>
        </w:rPr>
      </w:pPr>
    </w:p>
    <w:p>
      <w:pPr>
        <w:ind w:left="200" w:right="420" w:firstLine="551"/>
        <w:spacing w:after="0" w:line="246" w:lineRule="auto"/>
        <w:rPr>
          <w:sz w:val="20"/>
          <w:szCs w:val="20"/>
          <w:color w:val="auto"/>
        </w:rPr>
      </w:pPr>
      <w:r>
        <w:rPr>
          <w:rFonts w:ascii="Arial" w:cs="Arial" w:eastAsia="Arial" w:hAnsi="Arial"/>
          <w:sz w:val="18"/>
          <w:szCs w:val="18"/>
          <w:color w:val="auto"/>
        </w:rPr>
        <w:t>The Company’s accounts receivable as of December 31, 2017 and 2018 and June 30, 2019 (unaudited) was comprised of one partner.</w:t>
      </w: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Company’s total revenues by geographic region, based on the location of the customer, are as follows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w:t>
            </w:r>
          </w:p>
        </w:tc>
        <w:tc>
          <w:tcPr>
            <w:tcW w:w="60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57"/>
              <w:spacing w:after="0"/>
              <w:rPr>
                <w:sz w:val="20"/>
                <w:szCs w:val="20"/>
                <w:color w:val="auto"/>
              </w:rPr>
            </w:pPr>
            <w:r>
              <w:rPr>
                <w:rFonts w:ascii="Arial" w:cs="Arial" w:eastAsia="Arial" w:hAnsi="Arial"/>
                <w:sz w:val="14"/>
                <w:szCs w:val="14"/>
                <w:b w:val="1"/>
                <w:bCs w:val="1"/>
                <w:color w:val="auto"/>
              </w:rPr>
              <w:t>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Ended</w:t>
            </w:r>
          </w:p>
        </w:tc>
      </w:tr>
      <w:tr>
        <w:trPr>
          <w:trHeight w:val="162"/>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20" w:type="dxa"/>
            <w:vAlign w:val="bottom"/>
            <w:gridSpan w:val="3"/>
          </w:tcPr>
          <w:p>
            <w:pPr>
              <w:ind w:left="2280"/>
              <w:spacing w:after="0"/>
              <w:rPr>
                <w:sz w:val="20"/>
                <w:szCs w:val="20"/>
                <w:color w:val="auto"/>
              </w:rPr>
            </w:pPr>
            <w:r>
              <w:rPr>
                <w:rFonts w:ascii="Arial" w:cs="Arial" w:eastAsia="Arial" w:hAnsi="Arial"/>
                <w:sz w:val="14"/>
                <w:szCs w:val="14"/>
                <w:b w:val="1"/>
                <w:bCs w:val="1"/>
                <w:color w:val="auto"/>
              </w:rPr>
              <w:t>December 31,</w:t>
            </w:r>
          </w:p>
        </w:tc>
        <w:tc>
          <w:tcPr>
            <w:tcW w:w="1560" w:type="dxa"/>
            <w:vAlign w:val="bottom"/>
            <w:gridSpan w:val="3"/>
          </w:tcPr>
          <w:p>
            <w:pPr>
              <w:ind w:left="620"/>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June 30,</w:t>
            </w:r>
          </w:p>
        </w:tc>
      </w:tr>
      <w:tr>
        <w:trPr>
          <w:trHeight w:val="175"/>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13"/>
                <w:szCs w:val="13"/>
                <w:color w:val="auto"/>
              </w:rPr>
            </w:pPr>
          </w:p>
        </w:tc>
        <w:tc>
          <w:tcPr>
            <w:tcW w:w="8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Australia</w:t>
            </w:r>
          </w:p>
        </w:tc>
        <w:tc>
          <w:tcPr>
            <w:tcW w:w="2480" w:type="dxa"/>
            <w:vAlign w:val="bottom"/>
            <w:gridSpan w:val="2"/>
            <w:shd w:val="clear" w:color="auto" w:fill="CCEEFF"/>
          </w:tcPr>
          <w:p>
            <w:pPr>
              <w:ind w:left="22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408</w:t>
            </w:r>
          </w:p>
        </w:tc>
        <w:tc>
          <w:tcPr>
            <w:tcW w:w="82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tcPr>
          <w:p>
            <w:pPr>
              <w:spacing w:after="0" w:line="202" w:lineRule="exact"/>
              <w:rPr>
                <w:sz w:val="20"/>
                <w:szCs w:val="20"/>
                <w:color w:val="auto"/>
              </w:rPr>
            </w:pPr>
            <w:r>
              <w:rPr>
                <w:rFonts w:ascii="Arial" w:cs="Arial" w:eastAsia="Arial" w:hAnsi="Arial"/>
                <w:sz w:val="18"/>
                <w:szCs w:val="18"/>
                <w:color w:val="auto"/>
              </w:rPr>
              <w:t>Netherlands</w:t>
            </w:r>
          </w:p>
        </w:tc>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3,176</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Switzerland</w:t>
            </w:r>
          </w:p>
        </w:tc>
        <w:tc>
          <w:tcPr>
            <w:tcW w:w="2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839</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7,460</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4,027</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3,816</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line="202" w:lineRule="exact"/>
              <w:rPr>
                <w:sz w:val="20"/>
                <w:szCs w:val="20"/>
                <w:color w:val="auto"/>
              </w:rPr>
            </w:pPr>
            <w:r>
              <w:rPr>
                <w:rFonts w:ascii="Arial" w:cs="Arial" w:eastAsia="Arial" w:hAnsi="Arial"/>
                <w:sz w:val="18"/>
                <w:szCs w:val="18"/>
                <w:color w:val="auto"/>
              </w:rPr>
              <w:t>United States</w:t>
            </w:r>
          </w:p>
        </w:tc>
        <w:tc>
          <w:tcPr>
            <w:tcW w:w="2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1,367</w:t>
            </w:r>
          </w:p>
        </w:tc>
        <w:tc>
          <w:tcPr>
            <w:tcW w:w="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6,327</w:t>
            </w: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799</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567</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ind w:left="22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5,790</w:t>
            </w:r>
          </w:p>
        </w:tc>
        <w:tc>
          <w:tcPr>
            <w:tcW w:w="82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14,130</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5,069</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4,416</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and Cash Equivalents</w:t>
      </w:r>
    </w:p>
    <w:p>
      <w:pPr>
        <w:spacing w:after="0" w:line="126" w:lineRule="exact"/>
        <w:rPr>
          <w:sz w:val="20"/>
          <w:szCs w:val="20"/>
          <w:color w:val="auto"/>
        </w:rPr>
      </w:pPr>
    </w:p>
    <w:p>
      <w:pPr>
        <w:ind w:left="200" w:right="240" w:firstLine="551"/>
        <w:spacing w:after="0" w:line="246"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at the date of purchase to be cash equivalents. Cash equivalents consist of money market funds.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Risks and Uncertainties</w:t>
      </w:r>
    </w:p>
    <w:p>
      <w:pPr>
        <w:spacing w:after="0" w:line="126"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development by competitors of new technological innovations, protection of proprietary technology, dependence on key personnel, suppliers for key raw materials, contract manufacturing organizations (“CMOs”) and contract research organizations (“CROs”), compliance with government regulations and the need to obtain additional financing to fund operations. Product candidates currently under development will require significant additional research and development efforts, including extensive preclinical studies and clinical trials and regulatory approval, prior to commercialization. These efforts require significant amounts of additional capital, adequate personnel infrastructure and extensive compliance and reporting.</w:t>
      </w:r>
    </w:p>
    <w:p>
      <w:pPr>
        <w:spacing w:after="0" w:line="203"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240" w:top="459" w:right="41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other pharmaceutical and biotechnology companies. In addition, the Company is dependent upon the services of its employees, consultants and other third parties (including for clinical trials and some aspects of research and preclinical testing).</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Fair Value Measurements</w:t>
      </w:r>
    </w:p>
    <w:p>
      <w:pPr>
        <w:spacing w:after="0" w:line="126"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color w:val="auto"/>
        </w:rPr>
        <w:t>The Company applies fair value accounting for all financial assets and liabilities and non-financial assets and liabilities that are recognized or disclosed at fair value in the financial statements on a 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w:t>
      </w:r>
    </w:p>
    <w:p>
      <w:pPr>
        <w:spacing w:after="0" w:line="95" w:lineRule="exact"/>
        <w:rPr>
          <w:sz w:val="20"/>
          <w:szCs w:val="20"/>
          <w:color w:val="auto"/>
        </w:rPr>
      </w:pPr>
    </w:p>
    <w:p>
      <w:pPr>
        <w:ind w:left="200" w:right="240" w:firstLine="551"/>
        <w:spacing w:after="0" w:line="246" w:lineRule="auto"/>
        <w:rPr>
          <w:sz w:val="20"/>
          <w:szCs w:val="20"/>
          <w:color w:val="auto"/>
        </w:rPr>
      </w:pPr>
      <w:r>
        <w:rPr>
          <w:rFonts w:ascii="Arial" w:cs="Arial" w:eastAsia="Arial" w:hAnsi="Arial"/>
          <w:sz w:val="18"/>
          <w:szCs w:val="18"/>
          <w:color w:val="auto"/>
        </w:rPr>
        <w:t>As a basis for considering such assumptions, a three-level fair value hierarchy has been established, which prioritizes the inputs used in measuring fair value as follows:</w:t>
      </w:r>
    </w:p>
    <w:p>
      <w:pPr>
        <w:spacing w:after="0" w:line="84" w:lineRule="exact"/>
        <w:rPr>
          <w:sz w:val="20"/>
          <w:szCs w:val="20"/>
          <w:color w:val="auto"/>
        </w:rPr>
      </w:pPr>
    </w:p>
    <w:p>
      <w:pPr>
        <w:ind w:left="960" w:hanging="216"/>
        <w:spacing w:after="0"/>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—Observable inputs, such as quoted prices in active markets for identical assets and liabilities.</w:t>
      </w:r>
    </w:p>
    <w:p>
      <w:pPr>
        <w:spacing w:after="0" w:line="117" w:lineRule="exact"/>
        <w:rPr>
          <w:rFonts w:ascii="Arial" w:cs="Arial" w:eastAsia="Arial" w:hAnsi="Arial"/>
          <w:sz w:val="18"/>
          <w:szCs w:val="18"/>
          <w:color w:val="auto"/>
        </w:rPr>
      </w:pPr>
    </w:p>
    <w:p>
      <w:pPr>
        <w:ind w:left="960" w:right="120" w:hanging="216"/>
        <w:spacing w:after="0" w:line="251" w:lineRule="auto"/>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Level 1 that are observable, either directly or indirectly, such as quoted prices for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quoted prices in markets that are not active, or other inputs that are observable or can be corroborated by observable market data for substantially the full term of the assets or liabilities.</w:t>
      </w:r>
    </w:p>
    <w:p>
      <w:pPr>
        <w:spacing w:after="0" w:line="79" w:lineRule="exact"/>
        <w:rPr>
          <w:rFonts w:ascii="Arial" w:cs="Arial" w:eastAsia="Arial" w:hAnsi="Arial"/>
          <w:sz w:val="18"/>
          <w:szCs w:val="18"/>
          <w:color w:val="auto"/>
        </w:rPr>
      </w:pPr>
    </w:p>
    <w:p>
      <w:pPr>
        <w:ind w:left="960" w:right="660" w:hanging="216"/>
        <w:spacing w:after="0" w:line="267" w:lineRule="auto"/>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that are significant to the measurement of the fair value of the assets or liabilities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supported by little or no market data.</w:t>
      </w:r>
    </w:p>
    <w:p>
      <w:pPr>
        <w:spacing w:after="0" w:line="179" w:lineRule="exact"/>
        <w:rPr>
          <w:sz w:val="20"/>
          <w:szCs w:val="20"/>
          <w:color w:val="auto"/>
        </w:rPr>
      </w:pPr>
    </w:p>
    <w:p>
      <w:pPr>
        <w:ind w:left="200" w:right="160" w:firstLine="551"/>
        <w:spacing w:after="0" w:line="246" w:lineRule="auto"/>
        <w:rPr>
          <w:sz w:val="20"/>
          <w:szCs w:val="20"/>
          <w:color w:val="auto"/>
        </w:rPr>
      </w:pPr>
      <w:r>
        <w:rPr>
          <w:rFonts w:ascii="Arial" w:cs="Arial" w:eastAsia="Arial" w:hAnsi="Arial"/>
          <w:sz w:val="18"/>
          <w:szCs w:val="18"/>
          <w:color w:val="auto"/>
        </w:rPr>
        <w:t>The Company accounts for transfers of financial instruments between levels of the fair value hierarchy on the date of the event or change in circumstance that caused the transfer.</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Accounts Receivable—Allowance for Doubtful Accounts</w:t>
      </w:r>
    </w:p>
    <w:p>
      <w:pPr>
        <w:spacing w:after="0" w:line="126"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The Company regularly reviews accounts receivable for collectability and establishes an allowance for probable credit losses and writes off uncollectible accounts as necessary. The Company has determined that no allowance was required at December 31, 2017, December 31, 2018 and June 30, 2019 (unaudited). The Company did not have any write-offs relating to uncollectible accounts receivable during the years ended December 31, 2017 and 2018 and six months ended June 30, 2018 and 2019 (unaudited).</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Property and Equipment, net</w:t>
      </w:r>
    </w:p>
    <w:p>
      <w:pPr>
        <w:spacing w:after="0" w:line="126"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Property and equipment are stated at cost less accumulated depreciation for acquired assets. Depreciation is computed using the straight-line method over the estimated useful lives of assets, ranging from three to five years. Leasehold improvements are amortized over the shorter of the useful life of the assets or the length of the lease. Upon sale or retirement of assets, the costs and related accumulated depreciation are removed from the balance sheet and the resulting gain or loss is reflected within operating expenses in the statement of operations and comprehensive loss. Maintenance and repairs are charged to expense as incurred.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Impairment of Long-Lived Assets</w:t>
      </w:r>
    </w:p>
    <w:p>
      <w:pPr>
        <w:spacing w:after="0" w:line="126" w:lineRule="exact"/>
        <w:rPr>
          <w:sz w:val="20"/>
          <w:szCs w:val="20"/>
          <w:color w:val="auto"/>
        </w:rPr>
      </w:pPr>
    </w:p>
    <w:p>
      <w:pPr>
        <w:ind w:left="200" w:right="300" w:firstLine="551"/>
        <w:spacing w:after="0" w:line="246" w:lineRule="auto"/>
        <w:rPr>
          <w:sz w:val="20"/>
          <w:szCs w:val="20"/>
          <w:color w:val="auto"/>
        </w:rPr>
      </w:pPr>
      <w:r>
        <w:rPr>
          <w:rFonts w:ascii="Arial" w:cs="Arial" w:eastAsia="Arial" w:hAnsi="Arial"/>
          <w:sz w:val="18"/>
          <w:szCs w:val="18"/>
          <w:color w:val="auto"/>
        </w:rPr>
        <w:t>The Company reviews long-lived assets for impairment whenever events or changes in circumstances indicate that the carrying amount of an asset may not be recoverable. Recoverability is</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80"/>
          </w:cols>
          <w:pgMar w:left="240" w:top="460" w:right="4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measured by comparison of the carrying amount to the future undiscounted net cash flows, which the assets are expected to generate. If such assets are considered to be impaired, the impairment to be recognized is typically measured by the amount by which the carrying amount of the assets exceeds the projected discounted future net cash flows arising from the asset. There have been no such impairments of long-lived assets in the years ended December 31, 2017 and 2018 and six months ended June 30, 2018 and 2019 (unaudited).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126"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The Company records all shares of redeemable convertible preferred stock at their respective fair values on the dates of issuance, net of issuance costs. The redeemable convertible preferred stock is recorded outside of permanent equity because while it is not mandatorily redeemable, in certain events considered not solely within the Company’s control, such as a merger or consolidation, sale, lease, or license of substantially all of the Company’s assets (each, a “deemed liquidation event”), the convertible preferred stock will become redeemable at the option of the majority of outstanding shareholders of such series of redeemable convertible preferred stock. The Company has not adjusted the carrying values of the redeemable convertible preferred stock to the liquidation preference of such shares because a deemed liquidation event obligating the Company to pay the liquidation is not considered probable. Subsequent adjustments to the carrying values to the liquidation preference will be made only when it becomes probable that such a deemed liquidation event will occur.</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 Warrants</w:t>
      </w:r>
    </w:p>
    <w:p>
      <w:pPr>
        <w:spacing w:after="0" w:line="126"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The Company accounts for common stock warrants which meet the definition of a derivative as liabilities if the warrant requires net cash settlement or gives the holder the option of net cash settlement. The Company accounts for common stock warrants as equity if the contract requires physical settlement or net physical settlement or if the Company has the option of physical settlement or net physical settlement. Common stock warrants classified as liabilities are initially recorded at fair value and remeasured at fair value each balance sheet date with the offset adjustments recorded in other income (expense), net within the statements of operations and comprehensive loss. Common stock warrants classified as equity are initially measured at fair value on the grant date and are not subsequently remeasured.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 xml:space="preserve">Effective January 1, 2019, the Company adopted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(“ASC 606”), using the modified retrospective transition method. The Company determines revenue recognition for arrangements within the scope of ASC 606 by performing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w:t>
      </w:r>
    </w:p>
    <w:p>
      <w:pPr>
        <w:spacing w:after="0" w:line="203" w:lineRule="exact"/>
        <w:rPr>
          <w:sz w:val="20"/>
          <w:szCs w:val="20"/>
          <w:color w:val="auto"/>
        </w:rPr>
      </w:pPr>
    </w:p>
    <w:p>
      <w:pPr>
        <w:ind w:left="200" w:firstLine="551"/>
        <w:spacing w:after="0" w:line="248" w:lineRule="auto"/>
        <w:rPr>
          <w:sz w:val="20"/>
          <w:szCs w:val="20"/>
          <w:color w:val="auto"/>
        </w:rPr>
      </w:pPr>
      <w:r>
        <w:rPr>
          <w:rFonts w:ascii="Arial" w:cs="Arial" w:eastAsia="Arial" w:hAnsi="Arial"/>
          <w:sz w:val="17"/>
          <w:szCs w:val="17"/>
          <w:color w:val="auto"/>
        </w:rPr>
        <w:t>The Company’s revenues are primarily derived through its license, research, development and commercialization agreements. The terms of these types of agreements may include (i) licenses to the Company’s technology, (ii) research and development services, and</w:t>
      </w:r>
    </w:p>
    <w:p>
      <w:pPr>
        <w:spacing w:after="0" w:line="1" w:lineRule="exact"/>
        <w:rPr>
          <w:sz w:val="20"/>
          <w:szCs w:val="20"/>
          <w:color w:val="auto"/>
        </w:rPr>
      </w:pPr>
    </w:p>
    <w:p>
      <w:pPr>
        <w:jc w:val="both"/>
        <w:ind w:left="200" w:right="360" w:firstLine="4"/>
        <w:spacing w:after="0" w:line="239" w:lineRule="auto"/>
        <w:tabs>
          <w:tab w:leader="none" w:pos="49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60"/>
          </w:cols>
          <w:pgMar w:left="240" w:top="459" w:right="4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as well as royalties on sales of any commercialized products. Arrangements that include upfront payments are recorded as deferred revenue upon receipt or when due and may require deferral of revenue recognition to a future period until performance obligations are met. The event-based milestone payments, royalties and cost reimbursements represent variable consideration, and the Company uses the most likely amount method to estimate this variable consideration. Royalty payments are recognized when earned or as the sales occur. The Company records cost reimbursements as accounts receivable when right to consideration is unconditional.</w:t>
      </w:r>
    </w:p>
    <w:p>
      <w:pPr>
        <w:spacing w:after="0" w:line="203"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606. The Company allocates the total transaction price to each performance obligation based on the estimated relative to standalone selling price and recognizes revenue when, or as, the performance obligation is satisfied. The Company includes the unconstrained amount of estimated variable consideration in the transaction price. At the end of each reporting period, the Company re-evaluates the estimated variable consideration included in the transaction price and any related constraint, and if necessary, adjusts its estimate of the overall transaction price.</w:t>
      </w:r>
    </w:p>
    <w:p>
      <w:pPr>
        <w:spacing w:after="0" w:line="205"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Prior to the adoption of ASC 606 on January 1, 2019, the Company recognized revenue when all of the following criteria were met: persuasive evidence of an arrangement exists; transfer of technology has been completed or services have been rendered; the price to the customer is fixed or determinable and collectability is reasonably assured.</w:t>
      </w:r>
    </w:p>
    <w:p>
      <w:pPr>
        <w:spacing w:after="0" w:line="203"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In arrangements involving the delivery of more than one element, each required deliverable was evaluated to determine whether it qualified as a separate unit of accounting. The determination was based on whether the deliverable had “standalone value” to the customer. If a deliverable did not qualify as a separate unit of accounting, it was combined with the other applicable undelivered item(s) within the arrangement and these combined deliverables were treated as a single unit of accounting.</w:t>
      </w:r>
    </w:p>
    <w:p>
      <w:pPr>
        <w:spacing w:after="0" w:line="202"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The arrangement’s consideration that was fixed or determinable was allocated to each separate unit of accounting based on the relative selling price methodology in accordance with the selling price hierarchy, which included vendor-specific objective evidence (VSOE) of selling price, if available, or third-party evidence of selling price if VSOE was not available, or the best estimate of selling price, if neither VSOE nor third-party evidence was available.</w:t>
      </w:r>
    </w:p>
    <w:p>
      <w:pPr>
        <w:spacing w:after="0" w:line="202"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Payments or reimbursements for our research and development efforts for the arrangements where such efforts were considered as deliverables were recognized as the services were performed and were presented on a gross basis. When upfront payments were received and if there was no discernible pattern of performance, the Company recognized revenue ratably over the associated period of performance.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 Expenses</w:t>
      </w:r>
    </w:p>
    <w:p>
      <w:pPr>
        <w:spacing w:after="0" w:line="126"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Costs related to research, design and development of programs are charged to research and development expense as incurred. Research and development costs include, but are not limited to, payroll and personnel expenses including stock-based compensation, materials, laboratory supplies, outside services and allocated overhead, including rent, insurance, repairs and maintenance, depreciation and utilities. The Company expenses all research and development costs in the period in which they are incurred.</w:t>
      </w:r>
    </w:p>
    <w:p>
      <w:pPr>
        <w:spacing w:after="0" w:line="202" w:lineRule="exact"/>
        <w:rPr>
          <w:sz w:val="20"/>
          <w:szCs w:val="20"/>
          <w:color w:val="auto"/>
        </w:rPr>
      </w:pPr>
    </w:p>
    <w:p>
      <w:pPr>
        <w:ind w:left="200" w:right="640" w:firstLine="551"/>
        <w:spacing w:after="0" w:line="246" w:lineRule="auto"/>
        <w:rPr>
          <w:sz w:val="20"/>
          <w:szCs w:val="20"/>
          <w:color w:val="auto"/>
        </w:rPr>
      </w:pPr>
      <w:r>
        <w:rPr>
          <w:rFonts w:ascii="Arial" w:cs="Arial" w:eastAsia="Arial" w:hAnsi="Arial"/>
          <w:sz w:val="18"/>
          <w:szCs w:val="18"/>
          <w:color w:val="auto"/>
        </w:rPr>
        <w:t>Costs incurred in obtaining technology licenses are charged to research and development expense as acquired in-process research and development if the technology licensed has not reached technological feasibility and has no alternative future use.</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240" w:top="460" w:right="51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Accrued Research and Development</w:t>
      </w:r>
    </w:p>
    <w:p>
      <w:pPr>
        <w:spacing w:after="0" w:line="126" w:lineRule="exact"/>
        <w:rPr>
          <w:sz w:val="20"/>
          <w:szCs w:val="20"/>
          <w:color w:val="auto"/>
        </w:rPr>
      </w:pPr>
    </w:p>
    <w:p>
      <w:pPr>
        <w:ind w:left="200" w:right="180" w:firstLine="551"/>
        <w:spacing w:after="0" w:line="237" w:lineRule="auto"/>
        <w:rPr>
          <w:sz w:val="20"/>
          <w:szCs w:val="20"/>
          <w:color w:val="auto"/>
        </w:rPr>
      </w:pPr>
      <w:r>
        <w:rPr>
          <w:rFonts w:ascii="Arial" w:cs="Arial" w:eastAsia="Arial" w:hAnsi="Arial"/>
          <w:sz w:val="18"/>
          <w:szCs w:val="18"/>
          <w:color w:val="auto"/>
        </w:rPr>
        <w:t>The Company has entered into various agreements with CROs and CMOs. The Company’s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and other current liabilities on the balance sheet. If the actual timing of the performance of services or the level of effort varies from the original estimates, the Company will adjust the accrual accordingly. Payments made to CROs or CMOs under these arrangements in advance of the performance of the related services are recorded as prepaid expenses and other current assets until the services are rendered.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Stock-Based Compensation</w:t>
      </w:r>
    </w:p>
    <w:p>
      <w:pPr>
        <w:spacing w:after="0" w:line="126" w:lineRule="exact"/>
        <w:rPr>
          <w:sz w:val="20"/>
          <w:szCs w:val="20"/>
          <w:color w:val="auto"/>
        </w:rPr>
      </w:pPr>
    </w:p>
    <w:p>
      <w:pPr>
        <w:ind w:left="200" w:right="240" w:firstLine="551"/>
        <w:spacing w:after="0" w:line="238" w:lineRule="auto"/>
        <w:rPr>
          <w:sz w:val="20"/>
          <w:szCs w:val="20"/>
          <w:color w:val="auto"/>
        </w:rPr>
      </w:pPr>
      <w:r>
        <w:rPr>
          <w:rFonts w:ascii="Arial" w:cs="Arial" w:eastAsia="Arial" w:hAnsi="Arial"/>
          <w:sz w:val="18"/>
          <w:szCs w:val="18"/>
          <w:color w:val="auto"/>
        </w:rPr>
        <w:t>The Company accounts for stock-based compensation as measured at grant date, based on the fair value of the award. The Company measures the fair value of awards granted using the Black-Scholes option pricing model and recognizes the expense in the Company’s Statements of Operations and Comprehensive Loss over the requisite service period using the straight-line method. Forfeitures are accounted for as they occur. The Company’s policy for issuing stock upon stock option exercise is to issue new common stock.</w:t>
      </w:r>
    </w:p>
    <w:p>
      <w:pPr>
        <w:spacing w:after="0" w:line="203"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The Company recognizes the fair value of stock options granted to nonemployees as stock-based compensation expense over the period in which the related services are received. Stock-based compensation expense related to stock options granted to nonemployees is recognized based on the vesting date fair value of awards as the stock options are earned. The Company believes that the estimated fair value of stock options is more readily measurable than the fair value of the services rendered. In addition, the Company estimates the service period for the awards based on the time that would be required to satisfy the service condition, assuming the service condition will be satisfied. Stock-based compensation expense is recognized over the estimated service period but is accelerated if the performance condition is achieved earlier than estimated.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Taxes</w:t>
      </w:r>
    </w:p>
    <w:p>
      <w:pPr>
        <w:spacing w:after="0" w:line="126"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The Company accounts for income taxes under the asset and liability method, which requires, among other things, that deferred income taxes be provided for temporary differences between the tax basis of the Company’s assets and liabilities and their financial statement reported amounts. In addition, deferred tax assets are recorded for the future benefit of utilizing net operating losses and research and development credit carryforwards and are measured using the enacted tax rates and laws that will be in effect when such items are expected to reverse. A valuation allowance is provided against deferred tax assets unless it is more likely than not that they will be realized.</w:t>
      </w:r>
    </w:p>
    <w:p>
      <w:pPr>
        <w:spacing w:after="0" w:line="205" w:lineRule="exact"/>
        <w:rPr>
          <w:sz w:val="20"/>
          <w:szCs w:val="20"/>
          <w:color w:val="auto"/>
        </w:rPr>
      </w:pPr>
    </w:p>
    <w:p>
      <w:pPr>
        <w:ind w:left="200" w:right="280" w:firstLine="551"/>
        <w:spacing w:after="0" w:line="238" w:lineRule="auto"/>
        <w:rPr>
          <w:sz w:val="20"/>
          <w:szCs w:val="20"/>
          <w:color w:val="auto"/>
        </w:rPr>
      </w:pPr>
      <w:r>
        <w:rPr>
          <w:rFonts w:ascii="Arial" w:cs="Arial" w:eastAsia="Arial" w:hAnsi="Arial"/>
          <w:sz w:val="18"/>
          <w:szCs w:val="18"/>
          <w:color w:val="auto"/>
        </w:rPr>
        <w:t>The Company accounts for uncertain tax positions by assessing all material positions taken in any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Embedded Derivative</w:t>
      </w:r>
    </w:p>
    <w:p>
      <w:pPr>
        <w:spacing w:after="0" w:line="126" w:lineRule="exact"/>
        <w:rPr>
          <w:sz w:val="20"/>
          <w:szCs w:val="20"/>
          <w:color w:val="auto"/>
        </w:rPr>
      </w:pPr>
    </w:p>
    <w:p>
      <w:pPr>
        <w:ind w:left="200" w:right="380" w:firstLine="551"/>
        <w:spacing w:after="0" w:line="246" w:lineRule="auto"/>
        <w:rPr>
          <w:sz w:val="20"/>
          <w:szCs w:val="20"/>
          <w:color w:val="auto"/>
        </w:rPr>
      </w:pPr>
      <w:r>
        <w:rPr>
          <w:rFonts w:ascii="Arial" w:cs="Arial" w:eastAsia="Arial" w:hAnsi="Arial"/>
          <w:sz w:val="18"/>
          <w:szCs w:val="18"/>
          <w:color w:val="auto"/>
        </w:rPr>
        <w:t>Embedded derivatives that are required to be bifurcated from the underlying host instrument are accounted for and valued as a separate financial instrument. An embedded derivative exists in the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60"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award agreement with the Cystic Fibrosis Foundation Therapeutics, Inc. (“CFFT”). As described in Note 15, the embedded derivative has been bifurcated and is classified as a liability on the balance sheet and separately accounted for at its fair value. The derivative liability is subject to remeasurement to fair value each reporting period. Changes in the fair value of the derivative liability are recognized as a component of other income (expense), net within the statements of operations and comprehensive loss.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Loss Per Share Attributable to Common Stockholders</w:t>
      </w:r>
    </w:p>
    <w:p>
      <w:pPr>
        <w:spacing w:after="0" w:line="12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The Company calculates basic and diluted net loss per share to common stockholders in conformity with the two-class method required for companies with participating securities. The Company considers all series of redeemable convertible preferred stock and early exercised stock options to be participating securities as the holders are entitled to receive non-cumulative dividends on a pari passu basis in the event the dividend is paid on common shares. Under the two-class method, the net loss attributable to common stockholders is not allocated to the redeemable convertible preferred stock as the holders of redeemable convertible preferred stock do not have a contractual obligation to share in losses.</w:t>
      </w:r>
    </w:p>
    <w:p>
      <w:pPr>
        <w:spacing w:after="0" w:line="205"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Under the two-class method, basic net loss per share attributable to common stockholders is calculated by dividing the net loss by the weighted-average number of common shares outstanding during the period, less shares subject to repurchase. Diluted net loss per share attributable to common stockholders is computed by giving effect to all potentially dilutive common shares outstanding for the period. For purposes of this calculation, redeemable convertible preferred shares, stock options to acquire common shares and contingently issuable shares, and are considered potentially dilutive common shares, but have been excluded from the calculation of diluted net loss per share attributable to common stockholders as their effect is antidilutive.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Deferred Offering Costs</w:t>
      </w:r>
    </w:p>
    <w:p>
      <w:pPr>
        <w:spacing w:after="0" w:line="126"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The Company capitalizes certain legal, accounting and other third-party fees that are directly related to the Company’s in-process equity financings, including the planned IPO, until such financings are consummated. After consummation of the equity financing, these costs are recorded as a reduction of the proceeds received as a result of the offering. Should the planned equity financing be abandoned, the deferred offering costs will be expensed immediately within the Company’s statements of operations and comprehensive loss. As of June 30, 2019, $ 0.4 million (unaudited) of costs were recorded as deferred offering costs on the balance sheet. There were no material deferred offering costs capitalized as of December 31, 2017 and 2018.</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22"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In May 2014, the FASB issued ASC 606. This standard outlines a single comprehensive model for entities to use in accounting for revenue arising from contracts with customers and supersedes most current revenue recognition guidance, including industry-specific guidance. The main principle of ASC 606 is to recognize revenue when promised goods or services are transferred to customers in an amount that reflects the consideration that is expected to be received for those goods or services. Under ASC 606, an entity recognizes revenue when its customer obtains control of promised goods or services, in an amount that reflects the consideration which the entity expects to receive in exchange for those goods or services.</w:t>
      </w:r>
    </w:p>
    <w:p>
      <w:pPr>
        <w:spacing w:after="0" w:line="205" w:lineRule="exact"/>
        <w:rPr>
          <w:sz w:val="20"/>
          <w:szCs w:val="20"/>
          <w:color w:val="auto"/>
        </w:rPr>
      </w:pPr>
    </w:p>
    <w:p>
      <w:pPr>
        <w:ind w:left="200" w:right="20" w:firstLine="551"/>
        <w:spacing w:after="0" w:line="246" w:lineRule="auto"/>
        <w:rPr>
          <w:sz w:val="20"/>
          <w:szCs w:val="20"/>
          <w:color w:val="auto"/>
        </w:rPr>
      </w:pPr>
      <w:r>
        <w:rPr>
          <w:rFonts w:ascii="Arial" w:cs="Arial" w:eastAsia="Arial" w:hAnsi="Arial"/>
          <w:sz w:val="18"/>
          <w:szCs w:val="18"/>
          <w:color w:val="auto"/>
        </w:rPr>
        <w:t>The Company adopted ASC 606 effective January 1, 2019 using the modified retrospective method only to contracts not completed as of this date. The Company recognized the cumulative effect</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of initially applying ASC 606 as an adjustment to the balance of accumulated deficit at January 1, 2019. The new guidance has been applied to the most current period presented with a cumulative effect adjustment of $0.3 million (unaudited) reflected as a decrease to the opening balance of accumulated deficit and a decrease to deferred revenue. See Note 6 for further discussion on research and collaboration arrangements.</w:t>
      </w:r>
    </w:p>
    <w:p>
      <w:pPr>
        <w:spacing w:after="0" w:line="202" w:lineRule="exact"/>
        <w:rPr>
          <w:sz w:val="20"/>
          <w:szCs w:val="20"/>
          <w:color w:val="auto"/>
        </w:rPr>
      </w:pPr>
    </w:p>
    <w:p>
      <w:pPr>
        <w:ind w:left="200" w:right="880" w:firstLine="551"/>
        <w:spacing w:after="0" w:line="246" w:lineRule="auto"/>
        <w:rPr>
          <w:sz w:val="20"/>
          <w:szCs w:val="20"/>
          <w:color w:val="auto"/>
        </w:rPr>
      </w:pPr>
      <w:r>
        <w:rPr>
          <w:rFonts w:ascii="Arial" w:cs="Arial" w:eastAsia="Arial" w:hAnsi="Arial"/>
          <w:sz w:val="18"/>
          <w:szCs w:val="18"/>
          <w:color w:val="auto"/>
        </w:rPr>
        <w:t>The following tables summarize the amount by which each financial statement line item was affected by the impact of the cumulative adjustment and as compared with the guidance that was in effect prior to the adoption (in thousands):</w:t>
      </w: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Impact of ASC 606 Adoption on</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Balance Sheet as of January 1, 2019 (Unaudited)</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Balances</w:t>
            </w: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without</w:t>
            </w: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adoption</w:t>
            </w: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rPr>
              <w:t>under ASC</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 ASC</w:t>
            </w:r>
          </w:p>
        </w:tc>
      </w:tr>
      <w:tr>
        <w:trPr>
          <w:trHeight w:val="175"/>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606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Adjustments</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18"/>
              <w:spacing w:after="0"/>
              <w:rPr>
                <w:sz w:val="20"/>
                <w:szCs w:val="20"/>
                <w:color w:val="auto"/>
              </w:rPr>
            </w:pPr>
            <w:r>
              <w:rPr>
                <w:rFonts w:ascii="Arial" w:cs="Arial" w:eastAsia="Arial" w:hAnsi="Arial"/>
                <w:sz w:val="14"/>
                <w:szCs w:val="14"/>
                <w:b w:val="1"/>
                <w:bCs w:val="1"/>
                <w:color w:val="auto"/>
              </w:rPr>
              <w:t>606</w:t>
            </w:r>
          </w:p>
        </w:tc>
        <w:tc>
          <w:tcPr>
            <w:tcW w:w="1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revenue, current portion</w:t>
            </w:r>
          </w:p>
        </w:tc>
        <w:tc>
          <w:tcPr>
            <w:tcW w:w="3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(6,202)</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1,295</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(4,907)</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20" w:type="dxa"/>
            <w:vAlign w:val="bottom"/>
          </w:tcPr>
          <w:p>
            <w:pPr>
              <w:spacing w:after="0" w:line="202" w:lineRule="exact"/>
              <w:rPr>
                <w:sz w:val="20"/>
                <w:szCs w:val="20"/>
                <w:color w:val="auto"/>
              </w:rPr>
            </w:pPr>
            <w:r>
              <w:rPr>
                <w:rFonts w:ascii="Arial" w:cs="Arial" w:eastAsia="Arial" w:hAnsi="Arial"/>
                <w:sz w:val="18"/>
                <w:szCs w:val="18"/>
                <w:color w:val="auto"/>
              </w:rPr>
              <w:t>Deferred revenue, noncurrent portion</w:t>
            </w:r>
          </w:p>
        </w:tc>
        <w:tc>
          <w:tcPr>
            <w:tcW w:w="3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80" w:type="dxa"/>
            <w:vAlign w:val="bottom"/>
            <w:gridSpan w:val="5"/>
          </w:tcPr>
          <w:p>
            <w:pPr>
              <w:jc w:val="right"/>
              <w:ind w:right="200"/>
              <w:spacing w:after="0" w:line="202" w:lineRule="exact"/>
              <w:rPr>
                <w:sz w:val="20"/>
                <w:szCs w:val="20"/>
                <w:color w:val="auto"/>
              </w:rPr>
            </w:pPr>
            <w:r>
              <w:rPr>
                <w:rFonts w:ascii="Arial" w:cs="Arial" w:eastAsia="Arial" w:hAnsi="Arial"/>
                <w:sz w:val="18"/>
                <w:szCs w:val="18"/>
                <w:color w:val="auto"/>
                <w:w w:val="98"/>
              </w:rPr>
              <w:t>(11,474)</w:t>
            </w:r>
          </w:p>
        </w:tc>
        <w:tc>
          <w:tcPr>
            <w:tcW w:w="560" w:type="dxa"/>
            <w:vAlign w:val="bottom"/>
            <w:gridSpan w:val="3"/>
          </w:tcPr>
          <w:p>
            <w:pPr>
              <w:jc w:val="right"/>
              <w:ind w:right="125"/>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w w:val="98"/>
              </w:rPr>
              <w:t>(1,602)</w:t>
            </w:r>
          </w:p>
        </w:tc>
        <w:tc>
          <w:tcPr>
            <w:tcW w:w="132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$(13,076)</w:t>
            </w: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3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880" w:type="dxa"/>
            <w:vAlign w:val="bottom"/>
            <w:gridSpan w:val="5"/>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(29,719)</w:t>
            </w:r>
          </w:p>
        </w:tc>
        <w:tc>
          <w:tcPr>
            <w:tcW w:w="560" w:type="dxa"/>
            <w:vAlign w:val="bottom"/>
            <w:gridSpan w:val="3"/>
            <w:shd w:val="clear" w:color="auto" w:fill="CCEEFF"/>
          </w:tcPr>
          <w:p>
            <w:pPr>
              <w:jc w:val="right"/>
              <w:ind w:right="125"/>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(307)</w:t>
            </w:r>
          </w:p>
        </w:tc>
        <w:tc>
          <w:tcPr>
            <w:tcW w:w="132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$(30,026)</w:t>
            </w:r>
          </w:p>
        </w:tc>
      </w:tr>
      <w:tr>
        <w:trPr>
          <w:trHeight w:val="50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540" w:type="dxa"/>
            <w:vAlign w:val="bottom"/>
            <w:gridSpan w:val="3"/>
          </w:tcPr>
          <w:p>
            <w:pPr>
              <w:jc w:val="center"/>
              <w:ind w:left="712"/>
              <w:spacing w:after="0"/>
              <w:rPr>
                <w:sz w:val="20"/>
                <w:szCs w:val="20"/>
                <w:color w:val="auto"/>
              </w:rPr>
            </w:pPr>
            <w:r>
              <w:rPr>
                <w:rFonts w:ascii="Arial" w:cs="Arial" w:eastAsia="Arial" w:hAnsi="Arial"/>
                <w:sz w:val="18"/>
                <w:szCs w:val="18"/>
                <w:b w:val="1"/>
                <w:bCs w:val="1"/>
                <w:color w:val="auto"/>
              </w:rPr>
              <w:t>Impact of ASC 606 Adoption on</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80" w:type="dxa"/>
            <w:vAlign w:val="bottom"/>
            <w:gridSpan w:val="9"/>
          </w:tcPr>
          <w:p>
            <w:pPr>
              <w:jc w:val="center"/>
              <w:spacing w:after="0"/>
              <w:rPr>
                <w:sz w:val="20"/>
                <w:szCs w:val="20"/>
                <w:color w:val="auto"/>
              </w:rPr>
            </w:pPr>
            <w:r>
              <w:rPr>
                <w:rFonts w:ascii="Arial" w:cs="Arial" w:eastAsia="Arial" w:hAnsi="Arial"/>
                <w:sz w:val="18"/>
                <w:szCs w:val="18"/>
                <w:b w:val="1"/>
                <w:bCs w:val="1"/>
                <w:color w:val="auto"/>
              </w:rPr>
              <w:t>Balance Sheet as of June 30, 2019 (Unaudited)</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Balances</w:t>
            </w: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without</w:t>
            </w: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11"/>
          </w:tcPr>
          <w:p>
            <w:pPr>
              <w:ind w:left="36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adoption</w:t>
            </w: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10"/>
          </w:tcPr>
          <w:p>
            <w:pPr>
              <w:jc w:val="right"/>
              <w:ind w:right="480"/>
              <w:spacing w:after="0"/>
              <w:rPr>
                <w:sz w:val="20"/>
                <w:szCs w:val="20"/>
                <w:color w:val="auto"/>
              </w:rPr>
            </w:pPr>
            <w:r>
              <w:rPr>
                <w:rFonts w:ascii="Arial" w:cs="Arial" w:eastAsia="Arial" w:hAnsi="Arial"/>
                <w:sz w:val="14"/>
                <w:szCs w:val="14"/>
                <w:b w:val="1"/>
                <w:bCs w:val="1"/>
                <w:color w:val="auto"/>
              </w:rPr>
              <w:t>under ASC</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 ASC</w:t>
            </w:r>
          </w:p>
        </w:tc>
      </w:tr>
      <w:tr>
        <w:trPr>
          <w:trHeight w:val="175"/>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5"/>
          </w:tcPr>
          <w:p>
            <w:pPr>
              <w:jc w:val="right"/>
              <w:ind w:right="212"/>
              <w:spacing w:after="0"/>
              <w:rPr>
                <w:sz w:val="20"/>
                <w:szCs w:val="20"/>
                <w:color w:val="auto"/>
              </w:rPr>
            </w:pPr>
            <w:r>
              <w:rPr>
                <w:rFonts w:ascii="Arial" w:cs="Arial" w:eastAsia="Arial" w:hAnsi="Arial"/>
                <w:sz w:val="14"/>
                <w:szCs w:val="14"/>
                <w:b w:val="1"/>
                <w:bCs w:val="1"/>
                <w:color w:val="auto"/>
              </w:rPr>
              <w:t>606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7"/>
          </w:tcPr>
          <w:p>
            <w:pPr>
              <w:ind w:left="180"/>
              <w:spacing w:after="0"/>
              <w:rPr>
                <w:sz w:val="20"/>
                <w:szCs w:val="20"/>
                <w:color w:val="auto"/>
              </w:rPr>
            </w:pPr>
            <w:r>
              <w:rPr>
                <w:rFonts w:ascii="Arial" w:cs="Arial" w:eastAsia="Arial" w:hAnsi="Arial"/>
                <w:sz w:val="14"/>
                <w:szCs w:val="14"/>
                <w:b w:val="1"/>
                <w:bCs w:val="1"/>
                <w:color w:val="auto"/>
              </w:rPr>
              <w:t>Adjustments</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18"/>
              <w:spacing w:after="0"/>
              <w:rPr>
                <w:sz w:val="20"/>
                <w:szCs w:val="20"/>
                <w:color w:val="auto"/>
              </w:rPr>
            </w:pPr>
            <w:r>
              <w:rPr>
                <w:rFonts w:ascii="Arial" w:cs="Arial" w:eastAsia="Arial" w:hAnsi="Arial"/>
                <w:sz w:val="14"/>
                <w:szCs w:val="14"/>
                <w:b w:val="1"/>
                <w:bCs w:val="1"/>
                <w:color w:val="auto"/>
              </w:rPr>
              <w:t>606</w:t>
            </w:r>
          </w:p>
        </w:tc>
        <w:tc>
          <w:tcPr>
            <w:tcW w:w="1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revenue, current portion</w:t>
            </w:r>
          </w:p>
        </w:tc>
        <w:tc>
          <w:tcPr>
            <w:tcW w:w="3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5"/>
            <w:shd w:val="clear" w:color="auto" w:fill="CCEEFF"/>
          </w:tcPr>
          <w:p>
            <w:pPr>
              <w:jc w:val="right"/>
              <w:spacing w:after="0" w:line="196" w:lineRule="exact"/>
              <w:rPr>
                <w:sz w:val="20"/>
                <w:szCs w:val="20"/>
                <w:color w:val="auto"/>
              </w:rPr>
            </w:pPr>
            <w:r>
              <w:rPr>
                <w:rFonts w:ascii="Arial" w:cs="Arial" w:eastAsia="Arial" w:hAnsi="Arial"/>
                <w:sz w:val="18"/>
                <w:szCs w:val="18"/>
                <w:color w:val="auto"/>
              </w:rPr>
              <w:t>(4,246)</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306</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(3,940)</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20" w:type="dxa"/>
            <w:vAlign w:val="bottom"/>
          </w:tcPr>
          <w:p>
            <w:pPr>
              <w:spacing w:after="0" w:line="202" w:lineRule="exact"/>
              <w:rPr>
                <w:sz w:val="20"/>
                <w:szCs w:val="20"/>
                <w:color w:val="auto"/>
              </w:rPr>
            </w:pPr>
            <w:r>
              <w:rPr>
                <w:rFonts w:ascii="Arial" w:cs="Arial" w:eastAsia="Arial" w:hAnsi="Arial"/>
                <w:sz w:val="18"/>
                <w:szCs w:val="18"/>
                <w:color w:val="auto"/>
              </w:rPr>
              <w:t>Deferred revenue, noncurrent portion</w:t>
            </w:r>
          </w:p>
        </w:tc>
        <w:tc>
          <w:tcPr>
            <w:tcW w:w="3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(10,777)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(382)</w:t>
            </w:r>
          </w:p>
        </w:tc>
        <w:tc>
          <w:tcPr>
            <w:tcW w:w="60" w:type="dxa"/>
            <w:vAlign w:val="bottom"/>
          </w:tcPr>
          <w:p>
            <w:pPr>
              <w:spacing w:after="0"/>
              <w:rPr>
                <w:sz w:val="17"/>
                <w:szCs w:val="17"/>
                <w:color w:val="auto"/>
              </w:rPr>
            </w:pPr>
          </w:p>
        </w:tc>
        <w:tc>
          <w:tcPr>
            <w:tcW w:w="132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$(11,159)</w:t>
            </w: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3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(46,235)</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7"/>
                <w:szCs w:val="17"/>
                <w:color w:val="auto"/>
              </w:rPr>
            </w:pPr>
          </w:p>
        </w:tc>
        <w:tc>
          <w:tcPr>
            <w:tcW w:w="132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$(46,311)</w:t>
            </w:r>
          </w:p>
        </w:tc>
      </w:tr>
      <w:tr>
        <w:trPr>
          <w:trHeight w:val="504"/>
        </w:trPr>
        <w:tc>
          <w:tcPr>
            <w:tcW w:w="20" w:type="dxa"/>
            <w:vAlign w:val="bottom"/>
          </w:tcPr>
          <w:p>
            <w:pPr>
              <w:spacing w:after="0"/>
              <w:rPr>
                <w:sz w:val="24"/>
                <w:szCs w:val="24"/>
                <w:color w:val="auto"/>
              </w:rPr>
            </w:pPr>
          </w:p>
        </w:tc>
        <w:tc>
          <w:tcPr>
            <w:tcW w:w="9100" w:type="dxa"/>
            <w:vAlign w:val="bottom"/>
            <w:gridSpan w:val="19"/>
          </w:tcPr>
          <w:p>
            <w:pPr>
              <w:jc w:val="center"/>
              <w:ind w:left="1790"/>
              <w:spacing w:after="0"/>
              <w:rPr>
                <w:sz w:val="20"/>
                <w:szCs w:val="20"/>
                <w:color w:val="auto"/>
              </w:rPr>
            </w:pPr>
            <w:r>
              <w:rPr>
                <w:rFonts w:ascii="Arial" w:cs="Arial" w:eastAsia="Arial" w:hAnsi="Arial"/>
                <w:sz w:val="18"/>
                <w:szCs w:val="18"/>
                <w:b w:val="1"/>
                <w:bCs w:val="1"/>
                <w:color w:val="auto"/>
              </w:rPr>
              <w:t>Impact of ASC 606 Adoption on Statements of Operations and Comprehensive Loss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060" w:type="dxa"/>
            <w:vAlign w:val="bottom"/>
            <w:gridSpan w:val="5"/>
          </w:tcPr>
          <w:p>
            <w:pPr>
              <w:jc w:val="center"/>
              <w:ind w:left="192"/>
              <w:spacing w:after="0"/>
              <w:rPr>
                <w:sz w:val="20"/>
                <w:szCs w:val="20"/>
                <w:color w:val="auto"/>
              </w:rPr>
            </w:pPr>
            <w:r>
              <w:rPr>
                <w:rFonts w:ascii="Arial" w:cs="Arial" w:eastAsia="Arial" w:hAnsi="Arial"/>
                <w:sz w:val="18"/>
                <w:szCs w:val="18"/>
                <w:b w:val="1"/>
                <w:bCs w:val="1"/>
                <w:color w:val="auto"/>
              </w:rPr>
              <w:t>Six Month Ended June 30, 2019 (Unaudited)</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92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rPr>
              <w:t>As reported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Balances</w:t>
            </w: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rPr>
              <w:t>under ASC</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5"/>
          </w:tcPr>
          <w:p>
            <w:pPr>
              <w:ind w:left="20"/>
              <w:spacing w:after="0"/>
              <w:rPr>
                <w:sz w:val="20"/>
                <w:szCs w:val="20"/>
                <w:color w:val="auto"/>
              </w:rPr>
            </w:pPr>
            <w:r>
              <w:rPr>
                <w:rFonts w:ascii="Arial" w:cs="Arial" w:eastAsia="Arial" w:hAnsi="Arial"/>
                <w:sz w:val="14"/>
                <w:szCs w:val="14"/>
                <w:b w:val="1"/>
                <w:bCs w:val="1"/>
                <w:color w:val="auto"/>
              </w:rPr>
              <w:t>without adoption</w:t>
            </w:r>
          </w:p>
        </w:tc>
      </w:tr>
      <w:tr>
        <w:trPr>
          <w:trHeight w:val="175"/>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606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rPr>
              <w:t>Adjustments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of ASC 606</w:t>
            </w: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Collaboration and research revenue</w:t>
            </w:r>
          </w:p>
        </w:tc>
        <w:tc>
          <w:tcPr>
            <w:tcW w:w="3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5"/>
            <w:shd w:val="clear" w:color="auto" w:fill="CCEEFF"/>
          </w:tcPr>
          <w:p>
            <w:pPr>
              <w:jc w:val="right"/>
              <w:spacing w:after="0" w:line="196" w:lineRule="exact"/>
              <w:rPr>
                <w:sz w:val="20"/>
                <w:szCs w:val="20"/>
                <w:color w:val="auto"/>
              </w:rPr>
            </w:pPr>
            <w:r>
              <w:rPr>
                <w:rFonts w:ascii="Arial" w:cs="Arial" w:eastAsia="Arial" w:hAnsi="Arial"/>
                <w:sz w:val="18"/>
                <w:szCs w:val="18"/>
                <w:color w:val="auto"/>
              </w:rPr>
              <w:t>4,416</w:t>
            </w: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4"/>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231</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4,647</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35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6"/>
          </w:tcPr>
          <w:p>
            <w:pPr>
              <w:jc w:val="right"/>
              <w:ind w:right="20"/>
              <w:spacing w:after="0" w:line="202" w:lineRule="exact"/>
              <w:rPr>
                <w:sz w:val="20"/>
                <w:szCs w:val="20"/>
                <w:color w:val="auto"/>
              </w:rPr>
            </w:pPr>
            <w:r>
              <w:rPr>
                <w:rFonts w:ascii="Arial" w:cs="Arial" w:eastAsia="Arial" w:hAnsi="Arial"/>
                <w:sz w:val="18"/>
                <w:szCs w:val="18"/>
                <w:color w:val="auto"/>
              </w:rPr>
              <w:t>(16,516)</w:t>
            </w:r>
          </w:p>
        </w:tc>
        <w:tc>
          <w:tcPr>
            <w:tcW w:w="88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231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8"/>
              </w:rPr>
              <w:t>(16,285)</w:t>
            </w: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share—basic and diluted</w:t>
            </w:r>
          </w:p>
        </w:tc>
        <w:tc>
          <w:tcPr>
            <w:tcW w:w="35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6"/>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(3.22)</w:t>
            </w:r>
          </w:p>
        </w:tc>
        <w:tc>
          <w:tcPr>
            <w:tcW w:w="88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0.05</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(3.17)</w:t>
            </w:r>
          </w:p>
        </w:tc>
      </w:tr>
      <w:tr>
        <w:trPr>
          <w:trHeight w:val="504"/>
        </w:trPr>
        <w:tc>
          <w:tcPr>
            <w:tcW w:w="20" w:type="dxa"/>
            <w:vAlign w:val="bottom"/>
          </w:tcPr>
          <w:p>
            <w:pPr>
              <w:spacing w:after="0"/>
              <w:rPr>
                <w:sz w:val="24"/>
                <w:szCs w:val="24"/>
                <w:color w:val="auto"/>
              </w:rPr>
            </w:pPr>
          </w:p>
        </w:tc>
        <w:tc>
          <w:tcPr>
            <w:tcW w:w="8480" w:type="dxa"/>
            <w:vAlign w:val="bottom"/>
            <w:gridSpan w:val="15"/>
          </w:tcPr>
          <w:p>
            <w:pPr>
              <w:jc w:val="center"/>
              <w:ind w:left="2410"/>
              <w:spacing w:after="0"/>
              <w:rPr>
                <w:sz w:val="20"/>
                <w:szCs w:val="20"/>
                <w:color w:val="auto"/>
              </w:rPr>
            </w:pPr>
            <w:r>
              <w:rPr>
                <w:rFonts w:ascii="Arial" w:cs="Arial" w:eastAsia="Arial" w:hAnsi="Arial"/>
                <w:sz w:val="18"/>
                <w:szCs w:val="18"/>
                <w:b w:val="1"/>
                <w:bCs w:val="1"/>
                <w:color w:val="auto"/>
                <w:w w:val="99"/>
              </w:rPr>
              <w:t>Impact of ASC 606 Adoption on Statements of Cash Flows for the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060" w:type="dxa"/>
            <w:vAlign w:val="bottom"/>
            <w:gridSpan w:val="5"/>
          </w:tcPr>
          <w:p>
            <w:pPr>
              <w:jc w:val="center"/>
              <w:ind w:left="192"/>
              <w:spacing w:after="0"/>
              <w:rPr>
                <w:sz w:val="20"/>
                <w:szCs w:val="20"/>
                <w:color w:val="auto"/>
              </w:rPr>
            </w:pPr>
            <w:r>
              <w:rPr>
                <w:rFonts w:ascii="Arial" w:cs="Arial" w:eastAsia="Arial" w:hAnsi="Arial"/>
                <w:sz w:val="18"/>
                <w:szCs w:val="18"/>
                <w:b w:val="1"/>
                <w:bCs w:val="1"/>
                <w:color w:val="auto"/>
              </w:rPr>
              <w:t>Six Month Ended June 30, 2019 (Unaudited)</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280" w:type="dxa"/>
            <w:vAlign w:val="bottom"/>
            <w:gridSpan w:val="9"/>
          </w:tcPr>
          <w:p>
            <w:pPr>
              <w:ind w:left="3360"/>
              <w:spacing w:after="0"/>
              <w:rPr>
                <w:sz w:val="20"/>
                <w:szCs w:val="20"/>
                <w:color w:val="auto"/>
              </w:rPr>
            </w:pPr>
            <w:r>
              <w:rPr>
                <w:rFonts w:ascii="Arial" w:cs="Arial" w:eastAsia="Arial" w:hAnsi="Arial"/>
                <w:sz w:val="14"/>
                <w:szCs w:val="14"/>
                <w:b w:val="1"/>
                <w:bCs w:val="1"/>
                <w:color w:val="auto"/>
              </w:rPr>
              <w:t>As reported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Balances</w:t>
            </w: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5"/>
          </w:tcPr>
          <w:p>
            <w:pPr>
              <w:ind w:left="20"/>
              <w:spacing w:after="0"/>
              <w:rPr>
                <w:sz w:val="20"/>
                <w:szCs w:val="20"/>
                <w:color w:val="auto"/>
              </w:rPr>
            </w:pPr>
            <w:r>
              <w:rPr>
                <w:rFonts w:ascii="Arial" w:cs="Arial" w:eastAsia="Arial" w:hAnsi="Arial"/>
                <w:sz w:val="14"/>
                <w:szCs w:val="14"/>
                <w:b w:val="1"/>
                <w:bCs w:val="1"/>
                <w:color w:val="auto"/>
              </w:rPr>
              <w:t>without adoption</w:t>
            </w:r>
          </w:p>
        </w:tc>
      </w:tr>
      <w:tr>
        <w:trPr>
          <w:trHeight w:val="175"/>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rPr>
              <w:t>ASC 606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gridSpan w:val="8"/>
          </w:tcPr>
          <w:p>
            <w:pPr>
              <w:ind w:left="120"/>
              <w:spacing w:after="0"/>
              <w:rPr>
                <w:sz w:val="20"/>
                <w:szCs w:val="20"/>
                <w:color w:val="auto"/>
              </w:rPr>
            </w:pPr>
            <w:r>
              <w:rPr>
                <w:rFonts w:ascii="Arial" w:cs="Arial" w:eastAsia="Arial" w:hAnsi="Arial"/>
                <w:sz w:val="14"/>
                <w:szCs w:val="14"/>
                <w:b w:val="1"/>
                <w:bCs w:val="1"/>
                <w:color w:val="auto"/>
              </w:rPr>
              <w:t>Adjustments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of ASC 606</w:t>
            </w:r>
          </w:p>
        </w:tc>
      </w:tr>
      <w:tr>
        <w:trPr>
          <w:trHeight w:val="183"/>
        </w:trPr>
        <w:tc>
          <w:tcPr>
            <w:tcW w:w="20" w:type="dxa"/>
            <w:vAlign w:val="bottom"/>
          </w:tcPr>
          <w:p>
            <w:pPr>
              <w:spacing w:after="0"/>
              <w:rPr>
                <w:sz w:val="15"/>
                <w:szCs w:val="15"/>
                <w:color w:val="auto"/>
              </w:rPr>
            </w:pPr>
          </w:p>
        </w:tc>
        <w:tc>
          <w:tcPr>
            <w:tcW w:w="33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33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320" w:type="dxa"/>
            <w:vAlign w:val="bottom"/>
          </w:tcPr>
          <w:p>
            <w:pPr>
              <w:ind w:left="340"/>
              <w:spacing w:after="0" w:line="202" w:lineRule="exact"/>
              <w:rPr>
                <w:sz w:val="20"/>
                <w:szCs w:val="20"/>
                <w:color w:val="auto"/>
              </w:rPr>
            </w:pPr>
            <w:r>
              <w:rPr>
                <w:rFonts w:ascii="Arial" w:cs="Arial" w:eastAsia="Arial" w:hAnsi="Arial"/>
                <w:sz w:val="18"/>
                <w:szCs w:val="18"/>
                <w:color w:val="auto"/>
              </w:rPr>
              <w:t>Net loss</w:t>
            </w:r>
          </w:p>
        </w:tc>
        <w:tc>
          <w:tcPr>
            <w:tcW w:w="3540" w:type="dxa"/>
            <w:vAlign w:val="bottom"/>
            <w:gridSpan w:val="3"/>
          </w:tcPr>
          <w:p>
            <w:pPr>
              <w:ind w:left="334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6"/>
          </w:tcPr>
          <w:p>
            <w:pPr>
              <w:jc w:val="right"/>
              <w:ind w:right="60"/>
              <w:spacing w:after="0" w:line="202" w:lineRule="exact"/>
              <w:rPr>
                <w:sz w:val="20"/>
                <w:szCs w:val="20"/>
                <w:color w:val="auto"/>
              </w:rPr>
            </w:pPr>
            <w:r>
              <w:rPr>
                <w:rFonts w:ascii="Arial" w:cs="Arial" w:eastAsia="Arial" w:hAnsi="Arial"/>
                <w:sz w:val="18"/>
                <w:szCs w:val="18"/>
                <w:color w:val="auto"/>
                <w:w w:val="98"/>
              </w:rPr>
              <w:t>(16,516)</w:t>
            </w:r>
          </w:p>
        </w:tc>
        <w:tc>
          <w:tcPr>
            <w:tcW w:w="880" w:type="dxa"/>
            <w:vAlign w:val="bottom"/>
            <w:gridSpan w:val="5"/>
          </w:tcPr>
          <w:p>
            <w:pPr>
              <w:ind w:left="56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231</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8"/>
              </w:rPr>
              <w:t>(16,285)</w:t>
            </w:r>
          </w:p>
        </w:tc>
      </w:tr>
      <w:tr>
        <w:trPr>
          <w:trHeight w:val="203"/>
        </w:trPr>
        <w:tc>
          <w:tcPr>
            <w:tcW w:w="20" w:type="dxa"/>
            <w:vAlign w:val="bottom"/>
          </w:tcPr>
          <w:p>
            <w:pPr>
              <w:spacing w:after="0"/>
              <w:rPr>
                <w:sz w:val="17"/>
                <w:szCs w:val="17"/>
                <w:color w:val="auto"/>
              </w:rPr>
            </w:pPr>
          </w:p>
        </w:tc>
        <w:tc>
          <w:tcPr>
            <w:tcW w:w="68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Changes in operating assets and liabilities: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3540" w:type="dxa"/>
            <w:vAlign w:val="bottom"/>
            <w:gridSpan w:val="3"/>
          </w:tcPr>
          <w:p>
            <w:pPr>
              <w:ind w:left="3340"/>
              <w:spacing w:after="0"/>
              <w:rPr>
                <w:sz w:val="20"/>
                <w:szCs w:val="20"/>
                <w:color w:val="auto"/>
              </w:rPr>
            </w:pPr>
            <w:r>
              <w:rPr>
                <w:rFonts w:ascii="Arial" w:cs="Arial" w:eastAsia="Arial" w:hAnsi="Arial"/>
                <w:sz w:val="18"/>
                <w:szCs w:val="18"/>
                <w:color w:val="auto"/>
              </w:rPr>
              <w:t>$</w:t>
            </w:r>
          </w:p>
        </w:tc>
        <w:tc>
          <w:tcPr>
            <w:tcW w:w="740" w:type="dxa"/>
            <w:vAlign w:val="bottom"/>
            <w:gridSpan w:val="6"/>
          </w:tcPr>
          <w:p>
            <w:pPr>
              <w:jc w:val="right"/>
              <w:ind w:right="60"/>
              <w:spacing w:after="0"/>
              <w:rPr>
                <w:sz w:val="20"/>
                <w:szCs w:val="20"/>
                <w:color w:val="auto"/>
              </w:rPr>
            </w:pPr>
            <w:r>
              <w:rPr>
                <w:rFonts w:ascii="Arial" w:cs="Arial" w:eastAsia="Arial" w:hAnsi="Arial"/>
                <w:sz w:val="18"/>
                <w:szCs w:val="18"/>
                <w:color w:val="auto"/>
              </w:rPr>
              <w:t>(2,653)</w:t>
            </w:r>
          </w:p>
        </w:tc>
        <w:tc>
          <w:tcPr>
            <w:tcW w:w="880" w:type="dxa"/>
            <w:vAlign w:val="bottom"/>
            <w:gridSpan w:val="5"/>
          </w:tcPr>
          <w:p>
            <w:pPr>
              <w:ind w:left="560"/>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(2,884)</w:t>
            </w:r>
          </w:p>
        </w:tc>
      </w:tr>
      <w:tr>
        <w:trPr>
          <w:trHeight w:val="35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540" w:type="dxa"/>
            <w:vAlign w:val="bottom"/>
            <w:gridSpan w:val="3"/>
          </w:tcPr>
          <w:p>
            <w:pPr>
              <w:jc w:val="center"/>
              <w:ind w:left="712"/>
              <w:spacing w:after="0"/>
              <w:rPr>
                <w:sz w:val="20"/>
                <w:szCs w:val="20"/>
                <w:color w:val="auto"/>
              </w:rPr>
            </w:pPr>
            <w:r>
              <w:rPr>
                <w:rFonts w:ascii="Arial" w:cs="Arial" w:eastAsia="Arial" w:hAnsi="Arial"/>
                <w:sz w:val="18"/>
                <w:szCs w:val="18"/>
                <w:color w:val="auto"/>
              </w:rPr>
              <w:t>F-16</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firstLine="551"/>
        <w:spacing w:after="0" w:line="242" w:lineRule="auto"/>
        <w:rPr>
          <w:sz w:val="20"/>
          <w:szCs w:val="20"/>
          <w:color w:val="auto"/>
        </w:rPr>
      </w:pPr>
      <w:r>
        <w:rPr>
          <w:rFonts w:ascii="Arial" w:cs="Arial" w:eastAsia="Arial" w:hAnsi="Arial"/>
          <w:sz w:val="18"/>
          <w:szCs w:val="18"/>
          <w:color w:val="auto"/>
        </w:rPr>
        <w:t xml:space="preserve">In May 2017, the FASB issued Accounting Standards Update (“ASU”) 2017-09,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 xml:space="preserve"> </w:t>
      </w:r>
      <w:r>
        <w:rPr>
          <w:rFonts w:ascii="Arial" w:cs="Arial" w:eastAsia="Arial" w:hAnsi="Arial"/>
          <w:sz w:val="18"/>
          <w:szCs w:val="18"/>
          <w:i w:val="1"/>
          <w:iCs w:val="1"/>
          <w:color w:val="auto"/>
        </w:rPr>
        <w:t>Scope of Modification Accounting</w:t>
      </w:r>
      <w:r>
        <w:rPr>
          <w:rFonts w:ascii="Arial" w:cs="Arial" w:eastAsia="Arial" w:hAnsi="Arial"/>
          <w:sz w:val="18"/>
          <w:szCs w:val="18"/>
          <w:color w:val="auto"/>
        </w:rPr>
        <w:t>. This ASU provides guidance about which changes to the terms or conditions of a share-based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award require an entity to apply modification accounting. This ASU is effective for fiscal years beginning after December 15, 2017, and interim periods within those years. The Company adopted this standard on January 1, 2018 with no impact to the financial statements and related disclosures.</w:t>
      </w:r>
    </w:p>
    <w:p>
      <w:pPr>
        <w:spacing w:after="0" w:line="185" w:lineRule="exact"/>
        <w:rPr>
          <w:sz w:val="20"/>
          <w:szCs w:val="20"/>
          <w:color w:val="auto"/>
        </w:rPr>
      </w:pPr>
    </w:p>
    <w:p>
      <w:pPr>
        <w:ind w:left="200" w:right="180" w:firstLine="551"/>
        <w:spacing w:after="0" w:line="242"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This ASU amends existing guidance on income taxes to require the classification of all deferred tax assets and liabilities as non-current on the balance sheets. This ASU is effective for fiscal years beginning after December 15, 2016. Early adoption is permitted and the guidance may be applied either prospectively or retrospectively. The Company adopted this standard on January 1, 2017 with no impact to the financial statements and related disclosures.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04" w:lineRule="exact"/>
        <w:rPr>
          <w:sz w:val="20"/>
          <w:szCs w:val="20"/>
          <w:color w:val="auto"/>
        </w:rPr>
      </w:pPr>
    </w:p>
    <w:p>
      <w:pPr>
        <w:ind w:left="200" w:right="180" w:firstLine="551"/>
        <w:spacing w:after="0" w:line="239" w:lineRule="auto"/>
        <w:rPr>
          <w:sz w:val="20"/>
          <w:szCs w:val="20"/>
          <w:color w:val="auto"/>
        </w:rPr>
      </w:pPr>
      <w:r>
        <w:rPr>
          <w:rFonts w:ascii="Arial" w:cs="Arial" w:eastAsia="Arial" w:hAnsi="Arial"/>
          <w:sz w:val="18"/>
          <w:szCs w:val="18"/>
          <w:color w:val="auto"/>
        </w:rPr>
        <w:t xml:space="preserve">In November 2018, the FASB issued ASU 2018-18, </w:t>
      </w:r>
      <w:r>
        <w:rPr>
          <w:rFonts w:ascii="Arial" w:cs="Arial" w:eastAsia="Arial" w:hAnsi="Arial"/>
          <w:sz w:val="18"/>
          <w:szCs w:val="18"/>
          <w:i w:val="1"/>
          <w:iCs w:val="1"/>
          <w:color w:val="auto"/>
        </w:rPr>
        <w:t>Collaborative Arrangements (Topic 808): Clarifying the Interaction Between</w:t>
      </w:r>
      <w:r>
        <w:rPr>
          <w:rFonts w:ascii="Arial" w:cs="Arial" w:eastAsia="Arial" w:hAnsi="Arial"/>
          <w:sz w:val="18"/>
          <w:szCs w:val="18"/>
          <w:color w:val="auto"/>
        </w:rPr>
        <w:t xml:space="preserve"> </w:t>
      </w:r>
      <w:r>
        <w:rPr>
          <w:rFonts w:ascii="Arial" w:cs="Arial" w:eastAsia="Arial" w:hAnsi="Arial"/>
          <w:sz w:val="18"/>
          <w:szCs w:val="18"/>
          <w:i w:val="1"/>
          <w:iCs w:val="1"/>
          <w:color w:val="auto"/>
        </w:rPr>
        <w:t>Topic 808 and Topic 606</w:t>
      </w:r>
      <w:r>
        <w:rPr>
          <w:rFonts w:ascii="Arial" w:cs="Arial" w:eastAsia="Arial" w:hAnsi="Arial"/>
          <w:sz w:val="18"/>
          <w:szCs w:val="18"/>
          <w:color w:val="auto"/>
        </w:rPr>
        <w:t>. This ASU clarifies that certain transactions between participants in a collaborative arrangement should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accounted for 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when the counterparty is a customer. This ASU also precludes an entity from presenting consideration received from a transaction as revenue from contracts with customers if the counterparty is not a customer for that transaction. This ASU is effective for fiscal years beginning after December 15, 2020, and interim periods within fiscal years beginning after December 15, 2021. Early adoption is permitted for entities that have adopted ASC 606,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w:t>
      </w:r>
      <w:r>
        <w:rPr>
          <w:rFonts w:ascii="Arial" w:cs="Arial" w:eastAsia="Arial" w:hAnsi="Arial"/>
          <w:sz w:val="18"/>
          <w:szCs w:val="18"/>
          <w:color w:val="auto"/>
        </w:rPr>
        <w:t>. The Company is currently evaluating the impact the adoption of this standard will have on its financial statements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disclosures.</w:t>
      </w:r>
    </w:p>
    <w:p>
      <w:pPr>
        <w:spacing w:after="0" w:line="188"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 xml:space="preserve">In August 2018, FASB issued ASU 2018-13, </w:t>
      </w:r>
      <w:r>
        <w:rPr>
          <w:rFonts w:ascii="Arial" w:cs="Arial" w:eastAsia="Arial" w:hAnsi="Arial"/>
          <w:sz w:val="18"/>
          <w:szCs w:val="18"/>
          <w:i w:val="1"/>
          <w:iCs w:val="1"/>
          <w:color w:val="auto"/>
        </w:rPr>
        <w:t>Fair Value Measurement (Topic 820), Disclosure Framework—Changes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Requirements for Fair Value Measurement</w:t>
      </w:r>
      <w:r>
        <w:rPr>
          <w:rFonts w:ascii="Arial" w:cs="Arial" w:eastAsia="Arial" w:hAnsi="Arial"/>
          <w:sz w:val="18"/>
          <w:szCs w:val="18"/>
          <w:color w:val="auto"/>
        </w:rPr>
        <w:t>. This ASU amends the disclosure requirement in ASC 820,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by adding, changing, or removing certain disclosures. This ASU applies to all entities that are required under this guidance to provide disclosure about recurring or nonrecurring fair value measurements. The amendments require new disclosures related to: changes in unrealized gains and losses for the period included in other comprehensive income for recurring Level 3 fair value measurements held at the end of the reporting period; range and weighted-average of significant unobservable inputs used to develop Level 3 fair value measurements. In addition, there are certain changes in disclosure requirements in the existing guidance. For all entities, this ASU is effective for fiscal years beginning after December 15, 2019, and interim periods within those fiscal years. Early adoption is permitted. The Company is currently evaluating the impact the adoption of this standard will have on its financial statements and related disclosures.</w:t>
      </w:r>
    </w:p>
    <w:p>
      <w:pPr>
        <w:spacing w:after="0" w:line="189"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In June 2018, FASB issued ASU 2018-07</w:t>
      </w:r>
      <w:r>
        <w:rPr>
          <w:rFonts w:ascii="Arial" w:cs="Arial" w:eastAsia="Arial" w:hAnsi="Arial"/>
          <w:sz w:val="18"/>
          <w:szCs w:val="18"/>
          <w:i w:val="1"/>
          <w:iCs w:val="1"/>
          <w:color w:val="auto"/>
        </w:rPr>
        <w:t>, Compensation—Stock Compensation (Topic 718):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This ASU aligns the measurement and classification guidance for share-based payments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nonemployees with the guidance for share-based payment to employees. Under this ASU, the measurement of equity-classified nonemployee awards will be fixed at the grant date, which may lower their cost and reduce volatility in the statement of operations and comprehensive loss. The transition method provided by this ASU is on a modified retrospective basis, which recognizes a cumulative-effect adjustment to the opening balance of retained earnings in the period of adoption. This ASU is effective for fiscal years beginning after December 15, 2019, and interim periods within fiscal years beginning after December 15, 2020. Early adoption is permitted, but may take place no earlier than a company’s adoption date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is currently evaluating the impact the adoption of this standard will have on its financial statements and related disclosures.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00"/>
          </w:cols>
          <w:pgMar w:left="24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 xml:space="preserve">In July 2017, FASB issued ASU 2017-11, </w:t>
      </w:r>
      <w:r>
        <w:rPr>
          <w:rFonts w:ascii="Arial" w:cs="Arial" w:eastAsia="Arial" w:hAnsi="Arial"/>
          <w:sz w:val="18"/>
          <w:szCs w:val="18"/>
          <w:i w:val="1"/>
          <w:iCs w:val="1"/>
          <w:color w:val="auto"/>
        </w:rPr>
        <w:t>Earnings Per Share (Topic 260) Distinguishing Liabilities from Equity (Topic 480)</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8"/>
          <w:szCs w:val="18"/>
          <w:color w:val="auto"/>
        </w:rPr>
        <w:t>. This ASU simplifies the accounting for certain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with down round features, a provision in an equity-linked financial instrument (or embedded feature) that provides a downward adjustment of the current exercise price based on the price of future equity offerings. Down round features are common in warrants, preferred shares, and convertible debt instruments issued by private companies and early-stage public companies. This ASU requires companies to disregard the down round feature when assessing whether the instrument is indexed to its own stock, for purposes of determining liability or equity classification. The amendments in Part I of this ASU are effective for fiscal years beginning after December 15, 2019, and interim periods within fiscal years beginning after December 15, 2020. Early adoption is permitted. The amendments in Part I should be applied (1) retrospectively to outstanding financial instruments with a down round feature by means of a cumulative-effect adjustment to the balance sheet as of the beginning of the first fiscal year and interim periods; (2) retrospectively to outstanding financial instruments with a down round feature for each prior reporting period presented. The amendments in Part II of this ASU do not require any transition guidance because those amendments do not have an accounting effect. The Company is currently evaluating the impact the adoption of this standard will have on its financial statements and related disclosures.</w:t>
      </w:r>
    </w:p>
    <w:p>
      <w:pPr>
        <w:spacing w:after="0" w:line="189" w:lineRule="exact"/>
        <w:rPr>
          <w:sz w:val="20"/>
          <w:szCs w:val="20"/>
          <w:color w:val="auto"/>
        </w:rPr>
      </w:pPr>
    </w:p>
    <w:p>
      <w:pPr>
        <w:ind w:left="200" w:firstLine="551"/>
        <w:spacing w:after="0" w:line="242" w:lineRule="auto"/>
        <w:rPr>
          <w:sz w:val="20"/>
          <w:szCs w:val="20"/>
          <w:color w:val="auto"/>
        </w:rPr>
      </w:pPr>
      <w:r>
        <w:rPr>
          <w:rFonts w:ascii="Arial" w:cs="Arial" w:eastAsia="Arial" w:hAnsi="Arial"/>
          <w:sz w:val="18"/>
          <w:szCs w:val="18"/>
          <w:color w:val="auto"/>
        </w:rPr>
        <w:t>In August 2016, the FASB issued ASU 2016-15</w:t>
      </w:r>
      <w:r>
        <w:rPr>
          <w:rFonts w:ascii="Arial" w:cs="Arial" w:eastAsia="Arial" w:hAnsi="Arial"/>
          <w:sz w:val="18"/>
          <w:szCs w:val="18"/>
          <w:i w:val="1"/>
          <w:iCs w:val="1"/>
          <w:color w:val="auto"/>
        </w:rPr>
        <w:t>, Statement of Cash Flows (Topic 230): Classification of Certain Cash Receipts and</w:t>
      </w:r>
      <w:r>
        <w:rPr>
          <w:rFonts w:ascii="Arial" w:cs="Arial" w:eastAsia="Arial" w:hAnsi="Arial"/>
          <w:sz w:val="18"/>
          <w:szCs w:val="18"/>
          <w:color w:val="auto"/>
        </w:rPr>
        <w:t xml:space="preserve"> </w:t>
      </w:r>
      <w:r>
        <w:rPr>
          <w:rFonts w:ascii="Arial" w:cs="Arial" w:eastAsia="Arial" w:hAnsi="Arial"/>
          <w:sz w:val="18"/>
          <w:szCs w:val="18"/>
          <w:i w:val="1"/>
          <w:iCs w:val="1"/>
          <w:color w:val="auto"/>
        </w:rPr>
        <w:t>Cash Payments</w:t>
      </w:r>
      <w:r>
        <w:rPr>
          <w:rFonts w:ascii="Arial" w:cs="Arial" w:eastAsia="Arial" w:hAnsi="Arial"/>
          <w:sz w:val="18"/>
          <w:szCs w:val="18"/>
          <w:color w:val="auto"/>
        </w:rPr>
        <w:t>. This ASU requires changes to how cash receipts and cash payments are presented and classified in the statement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This ASU is effective for fiscal years beginning after December 15, 2018, and interim periods within fiscal years beginning after December 15, 2019. Early adoption is permitted. This ASU requires adoption on a retrospective basis. The Company is currently evaluating the impact the adoption of this standard will have on its financial statements and related disclosures.</w:t>
      </w:r>
    </w:p>
    <w:p>
      <w:pPr>
        <w:spacing w:after="0" w:line="185" w:lineRule="exact"/>
        <w:rPr>
          <w:sz w:val="20"/>
          <w:szCs w:val="20"/>
          <w:color w:val="auto"/>
        </w:rPr>
      </w:pPr>
    </w:p>
    <w:p>
      <w:pPr>
        <w:ind w:left="200" w:firstLine="551"/>
        <w:spacing w:after="0" w:line="25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 (“ASC 842”)</w:t>
      </w:r>
      <w:r>
        <w:rPr>
          <w:rFonts w:ascii="Arial" w:cs="Arial" w:eastAsia="Arial" w:hAnsi="Arial"/>
          <w:sz w:val="17"/>
          <w:szCs w:val="17"/>
          <w:color w:val="auto"/>
        </w:rPr>
        <w:t xml:space="preserve">, which sets out the principles for the recognition, measurement, presentation and disclosure of leases for both parties to a contract (i.e. lessees and lessors). In July 2018, the FASB issued ASU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which provides clarification to ASU 2016-02. These ASUs (collectively the “new leasing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w:t>
      </w:r>
    </w:p>
    <w:p>
      <w:pPr>
        <w:spacing w:after="0" w:line="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 xml:space="preserve">ASC 842 supersedes the previous leases standard, ASC 840 Leases. The new leasing standard is effective for fiscal years beginning after December 15, 2019, and interim periods within fiscal years beginning after December 15, 2020. Early adoption is permitted. In July 2018, the FASB issued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xml:space="preserve"> which allows entities to elect an optional transition method where entities may continue to apply the existing lease guidance during the comparative periods and apply the new lease requirements through a cumulative effect adjustment in the period of adoption rather than in the earliest period presented. In March 2019, the FASB issued ASU 2019-01, which provides clarification on implementation issues associated with adopting ASU 2016-02. The Company is currently evaluating the impact the adoption of this standard will have on its financial statements and related disclosures.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60"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100" w:firstLine="551"/>
        <w:spacing w:after="0"/>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Recognition and Measurement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and Financial Liabilities</w:t>
      </w:r>
      <w:r>
        <w:rPr>
          <w:rFonts w:ascii="Arial" w:cs="Arial" w:eastAsia="Arial" w:hAnsi="Arial"/>
          <w:sz w:val="18"/>
          <w:szCs w:val="18"/>
          <w:color w:val="auto"/>
        </w:rPr>
        <w:t>. This ASU enhances the reporting model for financial instruments, which includes amendments to address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aspects of recognition, measurement, presentation and disclosure. This ASU is effective for fiscal years beginning after December 15, 2018, and interim periods within fiscal years beginning after December 15, 2019. In February 2018, the FASB issued ASU 2018-03, </w:t>
      </w:r>
      <w:r>
        <w:rPr>
          <w:rFonts w:ascii="Arial" w:cs="Arial" w:eastAsia="Arial" w:hAnsi="Arial"/>
          <w:sz w:val="18"/>
          <w:szCs w:val="18"/>
          <w:i w:val="1"/>
          <w:iCs w:val="1"/>
          <w:color w:val="auto"/>
        </w:rPr>
        <w:t>Technical Corrections and Improvements to Financial Instruments—Overall (Subtopic 825-10)</w:t>
      </w:r>
      <w:r>
        <w:rPr>
          <w:rFonts w:ascii="Arial" w:cs="Arial" w:eastAsia="Arial" w:hAnsi="Arial"/>
          <w:sz w:val="18"/>
          <w:szCs w:val="18"/>
          <w:color w:val="auto"/>
        </w:rPr>
        <w:t>. This ASU clarified certain aspects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issued standard. This ASU is effective on the same effective date as ASU 2016-01. The Company is currently evaluating the impact the adoption of this standard will have on its financial statements and related disclosures.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3. Fair Value Measurements</w:t>
      </w:r>
    </w:p>
    <w:p>
      <w:pPr>
        <w:spacing w:after="0" w:line="126" w:lineRule="exact"/>
        <w:rPr>
          <w:sz w:val="20"/>
          <w:szCs w:val="20"/>
          <w:color w:val="auto"/>
        </w:rPr>
      </w:pPr>
    </w:p>
    <w:p>
      <w:pPr>
        <w:ind w:left="200" w:right="100" w:firstLine="551"/>
        <w:spacing w:after="0" w:line="246" w:lineRule="auto"/>
        <w:rPr>
          <w:sz w:val="20"/>
          <w:szCs w:val="20"/>
          <w:color w:val="auto"/>
        </w:rPr>
      </w:pPr>
      <w:r>
        <w:rPr>
          <w:rFonts w:ascii="Arial" w:cs="Arial" w:eastAsia="Arial" w:hAnsi="Arial"/>
          <w:sz w:val="18"/>
          <w:szCs w:val="18"/>
          <w:color w:val="auto"/>
        </w:rPr>
        <w:t>As of December 31, 2017, the Company’s fair value hierarchy for financial assets and financial liabilities measured at fair value are as follows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Basis for Fair Value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4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9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3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Measurements</w:t>
            </w: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4"/>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5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9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340"/>
              <w:spacing w:after="0" w:line="202" w:lineRule="exact"/>
              <w:rPr>
                <w:sz w:val="20"/>
                <w:szCs w:val="20"/>
                <w:color w:val="auto"/>
              </w:rPr>
            </w:pPr>
            <w:r>
              <w:rPr>
                <w:rFonts w:ascii="Arial" w:cs="Arial" w:eastAsia="Arial" w:hAnsi="Arial"/>
                <w:sz w:val="18"/>
                <w:szCs w:val="18"/>
                <w:color w:val="auto"/>
              </w:rPr>
              <w:t>Money market funds</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23,150</w:t>
            </w:r>
          </w:p>
        </w:tc>
        <w:tc>
          <w:tcPr>
            <w:tcW w:w="6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23,150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23,150</w:t>
            </w:r>
          </w:p>
        </w:tc>
        <w:tc>
          <w:tcPr>
            <w:tcW w:w="64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gridSpan w:val="2"/>
            <w:vMerge w:val="continue"/>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Common stock warrant obligation</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5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ind w:left="340"/>
              <w:spacing w:after="0" w:line="202" w:lineRule="exact"/>
              <w:rPr>
                <w:sz w:val="20"/>
                <w:szCs w:val="20"/>
                <w:color w:val="auto"/>
              </w:rPr>
            </w:pPr>
            <w:r>
              <w:rPr>
                <w:rFonts w:ascii="Arial" w:cs="Arial" w:eastAsia="Arial" w:hAnsi="Arial"/>
                <w:sz w:val="18"/>
                <w:szCs w:val="18"/>
                <w:color w:val="auto"/>
              </w:rPr>
              <w:t>Derivative liability</w:t>
            </w:r>
          </w:p>
        </w:tc>
        <w:tc>
          <w:tcPr>
            <w:tcW w:w="1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w:t>
            </w:r>
          </w:p>
        </w:tc>
        <w:tc>
          <w:tcPr>
            <w:tcW w:w="5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200" w:right="100" w:firstLine="551"/>
        <w:spacing w:after="0" w:line="246" w:lineRule="auto"/>
        <w:rPr>
          <w:sz w:val="20"/>
          <w:szCs w:val="20"/>
          <w:color w:val="auto"/>
        </w:rPr>
      </w:pPr>
      <w:r>
        <w:rPr>
          <w:rFonts w:ascii="Arial" w:cs="Arial" w:eastAsia="Arial" w:hAnsi="Arial"/>
          <w:sz w:val="18"/>
          <w:szCs w:val="18"/>
          <w:color w:val="auto"/>
        </w:rPr>
        <w:t>As of December 31, 2018, the Company’s fair value hierarchy for financial assets and financial liabilities measured at fair value are as follows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7"/>
            <w:vMerge w:val="restart"/>
          </w:tcPr>
          <w:p>
            <w:pPr>
              <w:jc w:val="center"/>
              <w:ind w:left="174"/>
              <w:spacing w:after="0"/>
              <w:rPr>
                <w:sz w:val="20"/>
                <w:szCs w:val="20"/>
                <w:color w:val="auto"/>
              </w:rPr>
            </w:pPr>
            <w:r>
              <w:rPr>
                <w:rFonts w:ascii="Arial" w:cs="Arial" w:eastAsia="Arial" w:hAnsi="Arial"/>
                <w:sz w:val="14"/>
                <w:szCs w:val="14"/>
                <w:b w:val="1"/>
                <w:bCs w:val="1"/>
                <w:color w:val="auto"/>
              </w:rPr>
              <w:t>Basis for Fair Value</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gridSpan w:val="7"/>
            <w:vMerge w:val="continue"/>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3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Measurements</w:t>
            </w: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4"/>
            <w:vMerge w:val="continue"/>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(Level 1)</w:t>
            </w:r>
          </w:p>
        </w:tc>
        <w:tc>
          <w:tcPr>
            <w:tcW w:w="1080" w:type="dxa"/>
            <w:vAlign w:val="bottom"/>
            <w:gridSpan w:val="4"/>
          </w:tcPr>
          <w:p>
            <w:pPr>
              <w:ind w:left="260"/>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5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36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340"/>
              <w:spacing w:after="0" w:line="202" w:lineRule="exact"/>
              <w:rPr>
                <w:sz w:val="20"/>
                <w:szCs w:val="20"/>
                <w:color w:val="auto"/>
              </w:rPr>
            </w:pPr>
            <w:r>
              <w:rPr>
                <w:rFonts w:ascii="Arial" w:cs="Arial" w:eastAsia="Arial" w:hAnsi="Arial"/>
                <w:sz w:val="18"/>
                <w:szCs w:val="18"/>
                <w:color w:val="auto"/>
              </w:rPr>
              <w:t>Money market funds</w:t>
            </w:r>
          </w:p>
        </w:tc>
        <w:tc>
          <w:tcPr>
            <w:tcW w:w="3720" w:type="dxa"/>
            <w:vAlign w:val="bottom"/>
            <w:gridSpan w:val="2"/>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91,761</w:t>
            </w:r>
          </w:p>
        </w:tc>
        <w:tc>
          <w:tcPr>
            <w:tcW w:w="52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91,761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w:t>
            </w:r>
          </w:p>
        </w:tc>
        <w:tc>
          <w:tcPr>
            <w:tcW w:w="3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91,761</w:t>
            </w:r>
          </w:p>
        </w:tc>
        <w:tc>
          <w:tcPr>
            <w:tcW w:w="52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91,761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gridSpan w:val="2"/>
            <w:vMerge w:val="continue"/>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Derivative liability</w:t>
            </w:r>
          </w:p>
        </w:tc>
        <w:tc>
          <w:tcPr>
            <w:tcW w:w="3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4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ind w:left="700"/>
              <w:spacing w:after="0"/>
              <w:rPr>
                <w:sz w:val="20"/>
                <w:szCs w:val="20"/>
                <w:color w:val="auto"/>
              </w:rPr>
            </w:pPr>
            <w:r>
              <w:rPr>
                <w:rFonts w:ascii="Arial" w:cs="Arial" w:eastAsia="Arial" w:hAnsi="Arial"/>
                <w:sz w:val="18"/>
                <w:szCs w:val="18"/>
                <w:color w:val="auto"/>
              </w:rPr>
              <w:t>Total</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20" w:type="dxa"/>
            <w:vAlign w:val="bottom"/>
            <w:gridSpan w:val="2"/>
          </w:tcPr>
          <w:p>
            <w:pPr>
              <w:jc w:val="right"/>
              <w:ind w:right="1608"/>
              <w:spacing w:after="0"/>
              <w:rPr>
                <w:sz w:val="20"/>
                <w:szCs w:val="20"/>
                <w:color w:val="auto"/>
              </w:rPr>
            </w:pPr>
            <w:r>
              <w:rPr>
                <w:rFonts w:ascii="Arial" w:cs="Arial" w:eastAsia="Arial" w:hAnsi="Arial"/>
                <w:sz w:val="18"/>
                <w:szCs w:val="18"/>
                <w:color w:val="auto"/>
              </w:rPr>
              <w:t>F-19</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firstLine="551"/>
        <w:spacing w:after="0" w:line="246" w:lineRule="auto"/>
        <w:rPr>
          <w:sz w:val="20"/>
          <w:szCs w:val="20"/>
          <w:color w:val="auto"/>
        </w:rPr>
      </w:pPr>
      <w:r>
        <w:rPr>
          <w:rFonts w:ascii="Arial" w:cs="Arial" w:eastAsia="Arial" w:hAnsi="Arial"/>
          <w:sz w:val="18"/>
          <w:szCs w:val="18"/>
          <w:color w:val="auto"/>
        </w:rPr>
        <w:t>As of June 30, 2019 (unaudited), the Company’s fair value hierarchy for financial assets and financial liabilities measured at fair value are as follows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7"/>
            <w:vMerge w:val="restart"/>
          </w:tcPr>
          <w:p>
            <w:pPr>
              <w:jc w:val="center"/>
              <w:ind w:left="174"/>
              <w:spacing w:after="0"/>
              <w:rPr>
                <w:sz w:val="20"/>
                <w:szCs w:val="20"/>
                <w:color w:val="auto"/>
              </w:rPr>
            </w:pPr>
            <w:r>
              <w:rPr>
                <w:rFonts w:ascii="Arial" w:cs="Arial" w:eastAsia="Arial" w:hAnsi="Arial"/>
                <w:sz w:val="14"/>
                <w:szCs w:val="14"/>
                <w:b w:val="1"/>
                <w:bCs w:val="1"/>
                <w:color w:val="auto"/>
              </w:rPr>
              <w:t>Basis for Fair Value</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gridSpan w:val="7"/>
            <w:vMerge w:val="continue"/>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Measurements</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gridSpan w:val="4"/>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(Level 1)</w:t>
            </w:r>
          </w:p>
        </w:tc>
        <w:tc>
          <w:tcPr>
            <w:tcW w:w="1080" w:type="dxa"/>
            <w:vAlign w:val="bottom"/>
            <w:gridSpan w:val="4"/>
          </w:tcPr>
          <w:p>
            <w:pPr>
              <w:ind w:left="260"/>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340"/>
              <w:spacing w:after="0" w:line="202" w:lineRule="exact"/>
              <w:rPr>
                <w:sz w:val="20"/>
                <w:szCs w:val="20"/>
                <w:color w:val="auto"/>
              </w:rPr>
            </w:pPr>
            <w:r>
              <w:rPr>
                <w:rFonts w:ascii="Arial" w:cs="Arial" w:eastAsia="Arial" w:hAnsi="Arial"/>
                <w:sz w:val="18"/>
                <w:szCs w:val="18"/>
                <w:color w:val="auto"/>
              </w:rPr>
              <w:t>Money market funds</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72,869</w:t>
            </w:r>
          </w:p>
        </w:tc>
        <w:tc>
          <w:tcPr>
            <w:tcW w:w="52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72,869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w:t>
            </w: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72,869</w:t>
            </w:r>
          </w:p>
        </w:tc>
        <w:tc>
          <w:tcPr>
            <w:tcW w:w="52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72,869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Derivative liability</w:t>
            </w: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4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700"/>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70</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Level 3 Inputs</w:t>
      </w:r>
    </w:p>
    <w:p>
      <w:pPr>
        <w:spacing w:after="0" w:line="126" w:lineRule="exact"/>
        <w:rPr>
          <w:sz w:val="20"/>
          <w:szCs w:val="20"/>
          <w:color w:val="auto"/>
        </w:rPr>
      </w:pPr>
    </w:p>
    <w:p>
      <w:pPr>
        <w:ind w:left="200" w:right="120" w:firstLine="551"/>
        <w:spacing w:after="0" w:line="257" w:lineRule="auto"/>
        <w:rPr>
          <w:sz w:val="20"/>
          <w:szCs w:val="20"/>
          <w:color w:val="auto"/>
        </w:rPr>
      </w:pPr>
      <w:r>
        <w:rPr>
          <w:rFonts w:ascii="Arial" w:cs="Arial" w:eastAsia="Arial" w:hAnsi="Arial"/>
          <w:sz w:val="17"/>
          <w:szCs w:val="17"/>
          <w:color w:val="auto"/>
        </w:rPr>
        <w:t>The fair value of the warrant obligation is based on significant inputs not observable in the market, which represents a Level 3 measurement within the fair value hierarchy. The fair value of the common stock warrant obligation was determined using the Black-Scholes option pricing model. In determining the fair value of the warrant obligation, the inputs impacting fair value include the expected term, expected volatility, risk-free interest rate and dividend yield. See Note 13 for further discussion on common stock warrant obligation.</w:t>
      </w:r>
    </w:p>
    <w:p>
      <w:pPr>
        <w:spacing w:after="0" w:line="189" w:lineRule="exact"/>
        <w:rPr>
          <w:sz w:val="20"/>
          <w:szCs w:val="20"/>
          <w:color w:val="auto"/>
        </w:rPr>
      </w:pPr>
    </w:p>
    <w:p>
      <w:pPr>
        <w:ind w:left="200" w:right="320" w:firstLine="551"/>
        <w:spacing w:after="0" w:line="238" w:lineRule="auto"/>
        <w:rPr>
          <w:sz w:val="20"/>
          <w:szCs w:val="20"/>
          <w:color w:val="auto"/>
        </w:rPr>
      </w:pPr>
      <w:r>
        <w:rPr>
          <w:rFonts w:ascii="Arial" w:cs="Arial" w:eastAsia="Arial" w:hAnsi="Arial"/>
          <w:sz w:val="18"/>
          <w:szCs w:val="18"/>
          <w:color w:val="auto"/>
        </w:rPr>
        <w:t>The fair value of the derivative liability is based on significant inputs not observable in the market, which represents a Level 3 measurement within the fair value hierarchy. The fair value of the derivative liability was determined using a present value analysis with multiple scenarios. In determining the fair value of the derivative liability, the inputs impacting fair value include the change of control payment to CFFT, the probability of a change of control event, the product status at time of a change of control event and the discount rate. See Note 15 for further discussion on embedded derivative.</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no transfers between Level 1, 2 and 3 during the periods presented.</w:t>
      </w:r>
    </w:p>
    <w:p>
      <w:pPr>
        <w:spacing w:after="0" w:line="212" w:lineRule="exact"/>
        <w:rPr>
          <w:sz w:val="20"/>
          <w:szCs w:val="20"/>
          <w:color w:val="auto"/>
        </w:rPr>
      </w:pPr>
    </w:p>
    <w:p>
      <w:pPr>
        <w:ind w:left="200" w:right="740" w:firstLine="551"/>
        <w:spacing w:after="0" w:line="246" w:lineRule="auto"/>
        <w:rPr>
          <w:sz w:val="20"/>
          <w:szCs w:val="20"/>
          <w:color w:val="auto"/>
        </w:rPr>
      </w:pPr>
      <w:r>
        <w:rPr>
          <w:rFonts w:ascii="Arial" w:cs="Arial" w:eastAsia="Arial" w:hAnsi="Arial"/>
          <w:sz w:val="18"/>
          <w:szCs w:val="18"/>
          <w:color w:val="auto"/>
        </w:rPr>
        <w:t>The following table sets forth a summary of the changes in the fair value of the Company’s Level 3 financial instruments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Warrant Obligation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December 31, 2016</w:t>
            </w:r>
          </w:p>
        </w:tc>
        <w:tc>
          <w:tcPr>
            <w:tcW w:w="1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340"/>
              <w:spacing w:after="0" w:line="202" w:lineRule="exact"/>
              <w:rPr>
                <w:sz w:val="20"/>
                <w:szCs w:val="20"/>
                <w:color w:val="auto"/>
              </w:rPr>
            </w:pPr>
            <w:r>
              <w:rPr>
                <w:rFonts w:ascii="Arial" w:cs="Arial" w:eastAsia="Arial" w:hAnsi="Arial"/>
                <w:sz w:val="18"/>
                <w:szCs w:val="18"/>
                <w:color w:val="auto"/>
              </w:rPr>
              <w:t>Issuance of derivative liability</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fair value included in other income (expense), net</w:t>
            </w:r>
          </w:p>
        </w:tc>
        <w:tc>
          <w:tcPr>
            <w:tcW w:w="1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Issuance of common stock warrants</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340"/>
              <w:spacing w:after="0" w:line="202" w:lineRule="exact"/>
              <w:rPr>
                <w:sz w:val="20"/>
                <w:szCs w:val="20"/>
                <w:color w:val="auto"/>
              </w:rPr>
            </w:pPr>
            <w:r>
              <w:rPr>
                <w:rFonts w:ascii="Arial" w:cs="Arial" w:eastAsia="Arial" w:hAnsi="Arial"/>
                <w:sz w:val="18"/>
                <w:szCs w:val="18"/>
                <w:color w:val="auto"/>
              </w:rPr>
              <w:t>Change in fair value included in other income (expense), net</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as of December 31, 2018</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ind w:left="340"/>
              <w:spacing w:after="0" w:line="202" w:lineRule="exact"/>
              <w:rPr>
                <w:sz w:val="20"/>
                <w:szCs w:val="20"/>
                <w:color w:val="auto"/>
              </w:rPr>
            </w:pPr>
            <w:r>
              <w:rPr>
                <w:rFonts w:ascii="Arial" w:cs="Arial" w:eastAsia="Arial" w:hAnsi="Arial"/>
                <w:sz w:val="18"/>
                <w:szCs w:val="18"/>
                <w:color w:val="auto"/>
              </w:rPr>
              <w:t>Change in fair value included in other income (expense), net (unaudited)</w:t>
            </w:r>
          </w:p>
        </w:tc>
        <w:tc>
          <w:tcPr>
            <w:tcW w:w="1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as of June 30, 2019 (unaudited)</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vMerge w:val="restart"/>
          </w:tcPr>
          <w:p>
            <w:pPr>
              <w:ind w:left="5300"/>
              <w:spacing w:after="0"/>
              <w:rPr>
                <w:sz w:val="20"/>
                <w:szCs w:val="20"/>
                <w:color w:val="auto"/>
              </w:rPr>
            </w:pPr>
            <w:r>
              <w:rPr>
                <w:rFonts w:ascii="Arial" w:cs="Arial" w:eastAsia="Arial" w:hAnsi="Arial"/>
                <w:sz w:val="18"/>
                <w:szCs w:val="18"/>
                <w:color w:val="auto"/>
              </w:rPr>
              <w:t>F-20</w:t>
            </w: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2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4. Property and Equipment, Net</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620" w:type="dxa"/>
            <w:vAlign w:val="bottom"/>
            <w:gridSpan w:val="4"/>
          </w:tcPr>
          <w:p>
            <w:pPr>
              <w:ind w:left="134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June 30,</w:t>
            </w:r>
          </w:p>
        </w:tc>
      </w:tr>
      <w:tr>
        <w:trPr>
          <w:trHeight w:val="182"/>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4"/>
          </w:tcPr>
          <w:p>
            <w:pPr>
              <w:ind w:left="280"/>
              <w:spacing w:after="0"/>
              <w:rPr>
                <w:sz w:val="20"/>
                <w:szCs w:val="20"/>
                <w:color w:val="auto"/>
              </w:rPr>
            </w:pPr>
            <w:r>
              <w:rPr>
                <w:rFonts w:ascii="Arial" w:cs="Arial" w:eastAsia="Arial" w:hAnsi="Arial"/>
                <w:sz w:val="14"/>
                <w:szCs w:val="14"/>
                <w:b w:val="1"/>
                <w:bCs w:val="1"/>
                <w:color w:val="auto"/>
              </w:rPr>
              <w:t>(Unaudited)</w:t>
            </w: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w:t>
            </w:r>
          </w:p>
        </w:tc>
        <w:tc>
          <w:tcPr>
            <w:tcW w:w="1500" w:type="dxa"/>
            <w:vAlign w:val="bottom"/>
            <w:gridSpan w:val="2"/>
            <w:shd w:val="clear" w:color="auto" w:fill="CCEEFF"/>
          </w:tcPr>
          <w:p>
            <w:pPr>
              <w:ind w:left="13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2,058</w:t>
            </w:r>
          </w:p>
        </w:tc>
        <w:tc>
          <w:tcPr>
            <w:tcW w:w="3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2,433</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3,035</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1,349</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1,349</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1,362</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Office equipment</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Construction in progress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1,235</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Property and Equipment</w:t>
            </w:r>
          </w:p>
        </w:tc>
        <w:tc>
          <w:tcPr>
            <w:tcW w:w="1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3,680</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4,124</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6,084</w:t>
            </w:r>
          </w:p>
        </w:tc>
        <w:tc>
          <w:tcPr>
            <w:tcW w:w="140" w:type="dxa"/>
            <w:vAlign w:val="bottom"/>
            <w:shd w:val="clear" w:color="auto" w:fill="CCEEFF"/>
          </w:tcPr>
          <w:p>
            <w:pPr>
              <w:spacing w:after="0"/>
              <w:rPr>
                <w:sz w:val="17"/>
                <w:szCs w:val="17"/>
                <w:color w:val="auto"/>
              </w:rPr>
            </w:pPr>
          </w:p>
        </w:tc>
      </w:tr>
      <w:tr>
        <w:trPr>
          <w:trHeight w:val="311"/>
        </w:trPr>
        <w:tc>
          <w:tcPr>
            <w:tcW w:w="20" w:type="dxa"/>
            <w:vAlign w:val="bottom"/>
          </w:tcPr>
          <w:p>
            <w:pPr>
              <w:spacing w:after="0"/>
              <w:rPr>
                <w:sz w:val="24"/>
                <w:szCs w:val="24"/>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Less: Accumulated depreciation and amortization</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(964)</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(1,652)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(2,058)</w:t>
            </w: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Property and equipment, net</w:t>
            </w:r>
          </w:p>
        </w:tc>
        <w:tc>
          <w:tcPr>
            <w:tcW w:w="1500" w:type="dxa"/>
            <w:vAlign w:val="bottom"/>
            <w:gridSpan w:val="2"/>
            <w:shd w:val="clear" w:color="auto" w:fill="CCEEFF"/>
          </w:tcPr>
          <w:p>
            <w:pPr>
              <w:ind w:left="13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2,716</w:t>
            </w:r>
          </w:p>
        </w:tc>
        <w:tc>
          <w:tcPr>
            <w:tcW w:w="3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2,472</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4,026</w:t>
            </w: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300" w:firstLine="551"/>
        <w:spacing w:after="0"/>
        <w:rPr>
          <w:sz w:val="20"/>
          <w:szCs w:val="20"/>
          <w:color w:val="auto"/>
        </w:rPr>
      </w:pPr>
      <w:r>
        <w:rPr>
          <w:rFonts w:ascii="Arial" w:cs="Arial" w:eastAsia="Arial" w:hAnsi="Arial"/>
          <w:sz w:val="18"/>
          <w:szCs w:val="18"/>
          <w:color w:val="auto"/>
        </w:rPr>
        <w:t>All property and equipment are maintained in the United States. Depreciation expense was $0.6 million and $0.7 million for the years ended December 31, 2017 and 2018 and $0.3 million (unaudited) and $0.4 million (unaudited) for the six months ended June 30, 2018 and 2019, respectively.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5. Accrued and Other Current Liabilities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600" w:type="dxa"/>
            <w:vAlign w:val="bottom"/>
            <w:gridSpan w:val="3"/>
          </w:tcPr>
          <w:p>
            <w:pPr>
              <w:ind w:left="660"/>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r>
      <w:tr>
        <w:trPr>
          <w:trHeight w:val="175"/>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Payroll and related</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787</w:t>
            </w:r>
          </w:p>
        </w:tc>
        <w:tc>
          <w:tcPr>
            <w:tcW w:w="86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1,313</w:t>
            </w:r>
          </w:p>
        </w:tc>
        <w:tc>
          <w:tcPr>
            <w:tcW w:w="74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1,069</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line="202" w:lineRule="exact"/>
              <w:rPr>
                <w:sz w:val="20"/>
                <w:szCs w:val="20"/>
                <w:color w:val="auto"/>
              </w:rPr>
            </w:pPr>
            <w:r>
              <w:rPr>
                <w:rFonts w:ascii="Arial" w:cs="Arial" w:eastAsia="Arial" w:hAnsi="Arial"/>
                <w:sz w:val="18"/>
                <w:szCs w:val="18"/>
                <w:color w:val="auto"/>
              </w:rPr>
              <w:t>Accrued clinical and preclinical study costs</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485</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Consulting and professional</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549</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1,284</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line="202" w:lineRule="exact"/>
              <w:rPr>
                <w:sz w:val="20"/>
                <w:szCs w:val="20"/>
                <w:color w:val="auto"/>
              </w:rPr>
            </w:pPr>
            <w:r>
              <w:rPr>
                <w:rFonts w:ascii="Arial" w:cs="Arial" w:eastAsia="Arial" w:hAnsi="Arial"/>
                <w:sz w:val="18"/>
                <w:szCs w:val="18"/>
                <w:color w:val="auto"/>
              </w:rPr>
              <w:t>Accrued state taxes</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accrued expenses</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6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223</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1,066</w:t>
            </w:r>
          </w:p>
        </w:tc>
        <w:tc>
          <w:tcPr>
            <w:tcW w:w="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2,193</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3,242</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6. Research and Collaboration Arrangements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Collaboration and license revenue for each period was as follows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Revenue</w:t>
            </w:r>
          </w:p>
        </w:tc>
        <w:tc>
          <w:tcPr>
            <w:tcW w:w="5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tcPr>
          <w:p>
            <w:pPr>
              <w:jc w:val="right"/>
              <w:ind w:right="433"/>
              <w:spacing w:after="0" w:line="143" w:lineRule="exact"/>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4"/>
          </w:tcPr>
          <w:p>
            <w:pPr>
              <w:jc w:val="right"/>
              <w:ind w:right="292"/>
              <w:spacing w:after="0" w:line="143" w:lineRule="exact"/>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380" w:type="dxa"/>
            <w:vAlign w:val="bottom"/>
          </w:tcPr>
          <w:p>
            <w:pPr>
              <w:spacing w:after="0"/>
              <w:rPr>
                <w:sz w:val="13"/>
                <w:szCs w:val="13"/>
                <w:color w:val="auto"/>
              </w:rPr>
            </w:pP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uniQure</w:t>
            </w:r>
          </w:p>
        </w:tc>
        <w:tc>
          <w:tcPr>
            <w:tcW w:w="3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3,176</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c>
          <w:tcPr>
            <w:tcW w:w="6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c>
          <w:tcPr>
            <w:tcW w:w="56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60" w:type="dxa"/>
            <w:vAlign w:val="bottom"/>
          </w:tcPr>
          <w:p>
            <w:pPr>
              <w:spacing w:after="0" w:line="202" w:lineRule="exact"/>
              <w:rPr>
                <w:sz w:val="20"/>
                <w:szCs w:val="20"/>
                <w:color w:val="auto"/>
              </w:rPr>
            </w:pPr>
            <w:r>
              <w:rPr>
                <w:rFonts w:ascii="Arial" w:cs="Arial" w:eastAsia="Arial" w:hAnsi="Arial"/>
                <w:sz w:val="18"/>
                <w:szCs w:val="18"/>
                <w:color w:val="auto"/>
              </w:rPr>
              <w:t>Benitec</w:t>
            </w: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AGTC</w:t>
            </w:r>
          </w:p>
        </w:tc>
        <w:tc>
          <w:tcPr>
            <w:tcW w:w="3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1,082</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160" w:type="dxa"/>
            <w:vAlign w:val="bottom"/>
          </w:tcPr>
          <w:p>
            <w:pPr>
              <w:spacing w:after="0" w:line="202" w:lineRule="exact"/>
              <w:rPr>
                <w:sz w:val="20"/>
                <w:szCs w:val="20"/>
                <w:color w:val="auto"/>
              </w:rPr>
            </w:pPr>
            <w:r>
              <w:rPr>
                <w:rFonts w:ascii="Arial" w:cs="Arial" w:eastAsia="Arial" w:hAnsi="Arial"/>
                <w:sz w:val="18"/>
                <w:szCs w:val="18"/>
                <w:color w:val="auto"/>
              </w:rPr>
              <w:t>CRF</w:t>
            </w: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166</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Pfizer</w:t>
            </w:r>
          </w:p>
        </w:tc>
        <w:tc>
          <w:tcPr>
            <w:tcW w:w="3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160" w:type="dxa"/>
            <w:vAlign w:val="bottom"/>
          </w:tcPr>
          <w:p>
            <w:pPr>
              <w:spacing w:after="0" w:line="202" w:lineRule="exact"/>
              <w:rPr>
                <w:sz w:val="20"/>
                <w:szCs w:val="20"/>
                <w:color w:val="auto"/>
              </w:rPr>
            </w:pPr>
            <w:r>
              <w:rPr>
                <w:rFonts w:ascii="Arial" w:cs="Arial" w:eastAsia="Arial" w:hAnsi="Arial"/>
                <w:sz w:val="18"/>
                <w:szCs w:val="18"/>
                <w:color w:val="auto"/>
              </w:rPr>
              <w:t>Roche</w:t>
            </w: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839</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7,460</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4,027</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3,816</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CFFT</w:t>
            </w:r>
          </w:p>
        </w:tc>
        <w:tc>
          <w:tcPr>
            <w:tcW w:w="3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line="202" w:lineRule="exact"/>
              <w:rPr>
                <w:sz w:val="20"/>
                <w:szCs w:val="20"/>
                <w:color w:val="auto"/>
              </w:rPr>
            </w:pPr>
            <w:r>
              <w:rPr>
                <w:rFonts w:ascii="Arial" w:cs="Arial" w:eastAsia="Arial" w:hAnsi="Arial"/>
                <w:sz w:val="18"/>
                <w:szCs w:val="18"/>
                <w:color w:val="auto"/>
              </w:rPr>
              <w:t>AstraZeneca</w:t>
            </w:r>
          </w:p>
        </w:tc>
        <w:tc>
          <w:tcPr>
            <w:tcW w:w="3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500</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548</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3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5,790</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14,130</w:t>
            </w:r>
          </w:p>
        </w:tc>
        <w:tc>
          <w:tcPr>
            <w:tcW w:w="6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5,069</w:t>
            </w:r>
          </w:p>
        </w:tc>
        <w:tc>
          <w:tcPr>
            <w:tcW w:w="56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4,416</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740" w:type="dxa"/>
            <w:vAlign w:val="bottom"/>
            <w:gridSpan w:val="2"/>
          </w:tcPr>
          <w:p>
            <w:pPr>
              <w:jc w:val="right"/>
              <w:ind w:right="1220"/>
              <w:spacing w:after="0"/>
              <w:rPr>
                <w:sz w:val="20"/>
                <w:szCs w:val="20"/>
                <w:color w:val="auto"/>
              </w:rPr>
            </w:pPr>
            <w:r>
              <w:rPr>
                <w:rFonts w:ascii="Arial" w:cs="Arial" w:eastAsia="Arial" w:hAnsi="Arial"/>
                <w:sz w:val="18"/>
                <w:szCs w:val="18"/>
                <w:color w:val="auto"/>
              </w:rPr>
              <w:t>F-21</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Deferred revenue for each period was as follows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Deferred Revenue</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9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1720" w:type="dxa"/>
            <w:vAlign w:val="bottom"/>
            <w:gridSpan w:val="4"/>
          </w:tcPr>
          <w:p>
            <w:pPr>
              <w:ind w:left="500"/>
              <w:spacing w:after="0" w:line="143"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3"/>
              <w:spacing w:after="0" w:line="143"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uniQure</w:t>
            </w:r>
          </w:p>
        </w:tc>
        <w:tc>
          <w:tcPr>
            <w:tcW w:w="3340" w:type="dxa"/>
            <w:vAlign w:val="bottom"/>
            <w:gridSpan w:val="2"/>
            <w:shd w:val="clear" w:color="auto" w:fill="CCEEFF"/>
          </w:tcPr>
          <w:p>
            <w:pPr>
              <w:ind w:left="314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70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140" w:type="dxa"/>
            <w:vAlign w:val="bottom"/>
          </w:tcPr>
          <w:p>
            <w:pPr>
              <w:spacing w:after="0" w:line="202" w:lineRule="exact"/>
              <w:rPr>
                <w:sz w:val="20"/>
                <w:szCs w:val="20"/>
                <w:color w:val="auto"/>
              </w:rPr>
            </w:pPr>
            <w:r>
              <w:rPr>
                <w:rFonts w:ascii="Arial" w:cs="Arial" w:eastAsia="Arial" w:hAnsi="Arial"/>
                <w:sz w:val="18"/>
                <w:szCs w:val="18"/>
                <w:color w:val="auto"/>
              </w:rPr>
              <w:t>Benitec</w:t>
            </w:r>
          </w:p>
        </w:tc>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383</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AGTC</w:t>
            </w:r>
          </w:p>
        </w:tc>
        <w:tc>
          <w:tcPr>
            <w:tcW w:w="3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140" w:type="dxa"/>
            <w:vAlign w:val="bottom"/>
          </w:tcPr>
          <w:p>
            <w:pPr>
              <w:spacing w:after="0" w:line="202" w:lineRule="exact"/>
              <w:rPr>
                <w:sz w:val="20"/>
                <w:szCs w:val="20"/>
                <w:color w:val="auto"/>
              </w:rPr>
            </w:pPr>
            <w:r>
              <w:rPr>
                <w:rFonts w:ascii="Arial" w:cs="Arial" w:eastAsia="Arial" w:hAnsi="Arial"/>
                <w:sz w:val="18"/>
                <w:szCs w:val="18"/>
                <w:color w:val="auto"/>
              </w:rPr>
              <w:t>CRF</w:t>
            </w:r>
          </w:p>
        </w:tc>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Pfizer</w:t>
            </w:r>
          </w:p>
        </w:tc>
        <w:tc>
          <w:tcPr>
            <w:tcW w:w="3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140" w:type="dxa"/>
            <w:vAlign w:val="bottom"/>
          </w:tcPr>
          <w:p>
            <w:pPr>
              <w:spacing w:after="0" w:line="202" w:lineRule="exact"/>
              <w:rPr>
                <w:sz w:val="20"/>
                <w:szCs w:val="20"/>
                <w:color w:val="auto"/>
              </w:rPr>
            </w:pPr>
            <w:r>
              <w:rPr>
                <w:rFonts w:ascii="Arial" w:cs="Arial" w:eastAsia="Arial" w:hAnsi="Arial"/>
                <w:sz w:val="18"/>
                <w:szCs w:val="18"/>
                <w:color w:val="auto"/>
              </w:rPr>
              <w:t>Roche</w:t>
            </w:r>
          </w:p>
        </w:tc>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20,522</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17,055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14,587</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CFFT</w:t>
            </w:r>
          </w:p>
        </w:tc>
        <w:tc>
          <w:tcPr>
            <w:tcW w:w="3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436</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140" w:type="dxa"/>
            <w:vAlign w:val="bottom"/>
          </w:tcPr>
          <w:p>
            <w:pPr>
              <w:spacing w:after="0" w:line="202" w:lineRule="exact"/>
              <w:rPr>
                <w:sz w:val="20"/>
                <w:szCs w:val="20"/>
                <w:color w:val="auto"/>
              </w:rPr>
            </w:pPr>
            <w:r>
              <w:rPr>
                <w:rFonts w:ascii="Arial" w:cs="Arial" w:eastAsia="Arial" w:hAnsi="Arial"/>
                <w:sz w:val="18"/>
                <w:szCs w:val="18"/>
                <w:color w:val="auto"/>
              </w:rPr>
              <w:t>AstraZeneca</w:t>
            </w:r>
          </w:p>
        </w:tc>
        <w:tc>
          <w:tcPr>
            <w:tcW w:w="3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ind w:left="314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26,570</w:t>
            </w:r>
          </w:p>
        </w:tc>
        <w:tc>
          <w:tcPr>
            <w:tcW w:w="70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17,983</w:t>
            </w:r>
          </w:p>
        </w:tc>
        <w:tc>
          <w:tcPr>
            <w:tcW w:w="2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15,023</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240" w:firstLine="551"/>
        <w:spacing w:after="0" w:line="246" w:lineRule="auto"/>
        <w:rPr>
          <w:sz w:val="20"/>
          <w:szCs w:val="20"/>
          <w:color w:val="auto"/>
        </w:rPr>
      </w:pPr>
      <w:r>
        <w:rPr>
          <w:rFonts w:ascii="Arial" w:cs="Arial" w:eastAsia="Arial" w:hAnsi="Arial"/>
          <w:sz w:val="18"/>
          <w:szCs w:val="18"/>
          <w:color w:val="auto"/>
        </w:rPr>
        <w:t>The total amount of revenue in the six months ended June 30, 2019, which was included in deferred revenue at January 1, 2019, was $4.2 million (unaudited).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uniQure</w:t>
      </w:r>
    </w:p>
    <w:p>
      <w:pPr>
        <w:spacing w:after="0" w:line="126"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color w:val="auto"/>
        </w:rPr>
        <w:t>In January 2014, the Company and uniQure biopharma B.V. (“uniQure”) entered into a Collaboration and License Agreement to collaborate on the discovery and non-clinical research activities related to the Company’s Therapeutic Vector Evolution platform in order to generate and validate vectors for gene delivery to treat diseases within the central nervous system and liver (the “uniQure Agreement”).</w:t>
      </w:r>
    </w:p>
    <w:p>
      <w:pPr>
        <w:spacing w:after="0" w:line="203"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The uniQure Agreement provides uniQure with a research license as well as an exclusive development and commercialization license for each project variant selected for further development. The initial research term is three years with an option for uniQure to extend the research term one time for an additional year. Once the Company’s research plan has concluded, uniQure is solely responsible for the continued development, manufacturing and commercialization of the project variants as potential product candidates. In October 2016, uniQure exercised its option to extend the research term for an additional year to January 2018.</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Pursuant to the uniQure Agreement, the Company received upfront payments of $0.2 million, and is entitled to receive</w:t>
      </w:r>
    </w:p>
    <w:p>
      <w:pPr>
        <w:ind w:left="200" w:right="320" w:firstLine="4"/>
        <w:spacing w:after="0" w:line="237" w:lineRule="auto"/>
        <w:tabs>
          <w:tab w:leader="none" w:pos="41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contingent payments for the achievement of research and development milestones of up to $5.0 million for each licensed product selected under the arrangement, and (ii) royalties in the single digit range on future sales of the potential product candidates and sublicense consideration in the low teens to low thirties range on any future sublicensing arrangements. The Company will also receive capped research and development service fees based on contractual full-time employee rates per year. In connection with the performance obligations under the uniQure Agreement, the founders of 4D Molecular Therapeutics, LLC received equity options to purchase an aggregate of 609,744 of uniQure ordinary shares that vest over the initial three-year term of the agreement.</w:t>
      </w:r>
    </w:p>
    <w:p>
      <w:pPr>
        <w:spacing w:after="0" w:line="205" w:lineRule="exact"/>
        <w:rPr>
          <w:sz w:val="20"/>
          <w:szCs w:val="20"/>
          <w:color w:val="auto"/>
        </w:rPr>
      </w:pPr>
    </w:p>
    <w:p>
      <w:pPr>
        <w:ind w:left="200" w:right="160" w:firstLine="551"/>
        <w:spacing w:after="0" w:line="238" w:lineRule="auto"/>
        <w:rPr>
          <w:sz w:val="20"/>
          <w:szCs w:val="20"/>
          <w:color w:val="auto"/>
        </w:rPr>
      </w:pPr>
      <w:r>
        <w:rPr>
          <w:rFonts w:ascii="Arial" w:cs="Arial" w:eastAsia="Arial" w:hAnsi="Arial"/>
          <w:sz w:val="18"/>
          <w:szCs w:val="18"/>
          <w:color w:val="auto"/>
        </w:rPr>
        <w:t>The upfront payment of $0.2 million was recorded as deferred revenue and was recognized on a ratable basis over the estimated performance period of four years. Payments and reimbursements for research costs are recognized on an as-incurred basis. The options to purchase uniQure shares were deemed to be a noncash component of the arrangement consideration, as the vesting of options is linked to the uniQure Agreement and there is a requirement for the holders of the options to provide services under the agreement. The fair value of the uniQure options, which was estimated to be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240" w:top="459" w:right="41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line="246" w:lineRule="auto"/>
        <w:rPr>
          <w:sz w:val="20"/>
          <w:szCs w:val="20"/>
          <w:color w:val="auto"/>
        </w:rPr>
      </w:pPr>
      <w:r>
        <w:rPr>
          <w:rFonts w:ascii="Arial" w:cs="Arial" w:eastAsia="Arial" w:hAnsi="Arial"/>
          <w:sz w:val="18"/>
          <w:szCs w:val="18"/>
          <w:color w:val="auto"/>
        </w:rPr>
        <w:t>$10.6 million, was recognized ratably as revenue over the estimated performance period of four years and the associated compensation expense related to the stock options were recorded as research and development expense.</w:t>
      </w:r>
    </w:p>
    <w:p>
      <w:pPr>
        <w:spacing w:after="0" w:line="197"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During the years ended December 31, 2017 and 2018, the Company recognized revenue of $ 3.2 million and $0.1 million under the uniQure Agreement, respectively. The revenue recognized in 2017 consisted of $2.7 million from the ratable recognition of the value of the options, $0.4 million for the reimbursement of research services and $0.1 million for the ratable recognition of the upfront payment. During the six months ended June 30, 2018 and 2019, the Company recognized revenue of $0.1 million (unaudited) and less than $0.1 million (unaudited), respectively. No adjustment was necessary upon adoption of ASC 606. As of December 31, 2017, December 31, 2018 and June 30, 2019, deferred revenue relating to the uniQure Agreement was less than $0.1 million, $0 and $ 0 (unaudited), respectively. There were no amounts due from uniQure under the uniQure Agreement as of December 31, 2017, December 31, 2018 and June 30, 2019 (unaudited).</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Benitec</w:t>
      </w:r>
    </w:p>
    <w:p>
      <w:pPr>
        <w:spacing w:after="0" w:line="126"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In November 2014, the Company and Benitec Biopharma Limited (“Benitec”) entered into a collaboration and license agreement to collaborate on the discovery and non-clinical research activities related to the Company’s Therapeutic Vector Evolution platform in order to generate and validate vectors for gene delivery to treat certain ophthalmic diseases (the “Benitec Agreement”). Benitec has the option of nominating up to three project variants as part of the Benitec Agreement.</w:t>
      </w:r>
    </w:p>
    <w:p>
      <w:pPr>
        <w:spacing w:after="0" w:line="202" w:lineRule="exact"/>
        <w:rPr>
          <w:sz w:val="20"/>
          <w:szCs w:val="20"/>
          <w:color w:val="auto"/>
        </w:rPr>
      </w:pPr>
    </w:p>
    <w:p>
      <w:pPr>
        <w:ind w:left="200" w:right="240" w:firstLine="551"/>
        <w:spacing w:after="0" w:line="238" w:lineRule="auto"/>
        <w:rPr>
          <w:sz w:val="20"/>
          <w:szCs w:val="20"/>
          <w:color w:val="auto"/>
        </w:rPr>
      </w:pPr>
      <w:r>
        <w:rPr>
          <w:rFonts w:ascii="Arial" w:cs="Arial" w:eastAsia="Arial" w:hAnsi="Arial"/>
          <w:sz w:val="18"/>
          <w:szCs w:val="18"/>
          <w:color w:val="auto"/>
        </w:rPr>
        <w:t>The Benitec Agreement provides Benitec with a temporary research license as well as an exclusive development and commercialization license for each project variant selected to further develop. The initial research term is two years and is automatically extended in six-month increments, if necessary, in order to complete additional required studies, for a maximum of five years. Once the Company’s research plan has concluded, Benitec is solely responsible for the continued development, manufacturing and commercialization of the project variants as potential product candidates.</w:t>
      </w:r>
    </w:p>
    <w:p>
      <w:pPr>
        <w:spacing w:after="0" w:line="203" w:lineRule="exact"/>
        <w:rPr>
          <w:sz w:val="20"/>
          <w:szCs w:val="20"/>
          <w:color w:val="auto"/>
        </w:rPr>
      </w:pPr>
    </w:p>
    <w:p>
      <w:pPr>
        <w:jc w:val="both"/>
        <w:ind w:left="200" w:right="460" w:firstLine="551"/>
        <w:spacing w:after="0"/>
        <w:rPr>
          <w:sz w:val="20"/>
          <w:szCs w:val="20"/>
          <w:color w:val="auto"/>
        </w:rPr>
      </w:pPr>
      <w:r>
        <w:rPr>
          <w:rFonts w:ascii="Arial" w:cs="Arial" w:eastAsia="Arial" w:hAnsi="Arial"/>
          <w:sz w:val="18"/>
          <w:szCs w:val="18"/>
          <w:color w:val="auto"/>
        </w:rPr>
        <w:t>Pursuant to the Benitec Agreement, the Company received as consideration (i) an upfront payment of $0.5 million, (ii) capped research and development service fees based in part on prescribed full-time equivalent labor rates and (iii) reimbursements of pass-through and overhead costs incurred on behalf of Benitec.</w:t>
      </w:r>
    </w:p>
    <w:p>
      <w:pPr>
        <w:spacing w:after="0" w:line="203" w:lineRule="exact"/>
        <w:rPr>
          <w:sz w:val="20"/>
          <w:szCs w:val="20"/>
          <w:color w:val="auto"/>
        </w:rPr>
      </w:pPr>
    </w:p>
    <w:p>
      <w:pPr>
        <w:ind w:left="200" w:right="320" w:firstLine="551"/>
        <w:spacing w:after="0" w:line="239" w:lineRule="auto"/>
        <w:rPr>
          <w:sz w:val="20"/>
          <w:szCs w:val="20"/>
          <w:color w:val="auto"/>
        </w:rPr>
      </w:pPr>
      <w:r>
        <w:rPr>
          <w:rFonts w:ascii="Arial" w:cs="Arial" w:eastAsia="Arial" w:hAnsi="Arial"/>
          <w:sz w:val="18"/>
          <w:szCs w:val="18"/>
          <w:color w:val="auto"/>
        </w:rPr>
        <w:t>On January 24, 2017, the Benitec Agreement was amended to give Benitec sole responsibility for the performance of certain research work which would have generated research services revenue for the Company under the original agreement. Pursuant to the amendment, the Company received $0.5 million as consideration. This $0.5 million was recorded as deferred revenue and is being recognized over the same period as the upfront payment.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March 2019, the Benitec Agreement was terminated based on mutual agreement between the Company and Benitec.</w:t>
      </w:r>
    </w:p>
    <w:p>
      <w:pPr>
        <w:spacing w:after="0" w:line="212"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Under ASC 605, the payments of $1.0 million were recorded as deferred revenue and were being recognized on a ratable basis over the estimated performance period of five years. Payments and reimbursements for research costs, including pass-through and other out-of-pocket costs, were recognized on an as-incurred basis under ASC 605. Under ASC 606, the Company uses the input method to measure progress toward completion of the performance obligation and concluded that revenue will be recognized based on actual costs incurred as a percentage of total budgeted costs as the Company completes its performance obligation. Upon adoption of ASC 606 on January 1, 2019, the Company recorded an additional $0.2 million of revenue through a decrease in deferred revenue</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240" w:top="460"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line="246" w:lineRule="auto"/>
        <w:rPr>
          <w:sz w:val="20"/>
          <w:szCs w:val="20"/>
          <w:color w:val="auto"/>
        </w:rPr>
      </w:pPr>
      <w:r>
        <w:rPr>
          <w:rFonts w:ascii="Arial" w:cs="Arial" w:eastAsia="Arial" w:hAnsi="Arial"/>
          <w:sz w:val="18"/>
          <w:szCs w:val="18"/>
          <w:color w:val="auto"/>
        </w:rPr>
        <w:t>and decrease in beginning accumulated deficit, based on the difference between the input method used under ASC 606 and the ratable recognition previously used under ASC 605.</w:t>
      </w:r>
    </w:p>
    <w:p>
      <w:pPr>
        <w:spacing w:after="0" w:line="197" w:lineRule="exact"/>
        <w:rPr>
          <w:sz w:val="20"/>
          <w:szCs w:val="20"/>
          <w:color w:val="auto"/>
        </w:rPr>
      </w:pPr>
    </w:p>
    <w:p>
      <w:pPr>
        <w:ind w:left="200" w:right="220" w:firstLine="551"/>
        <w:spacing w:after="0" w:line="237" w:lineRule="auto"/>
        <w:rPr>
          <w:sz w:val="20"/>
          <w:szCs w:val="20"/>
          <w:color w:val="auto"/>
        </w:rPr>
      </w:pPr>
      <w:r>
        <w:rPr>
          <w:rFonts w:ascii="Arial" w:cs="Arial" w:eastAsia="Arial" w:hAnsi="Arial"/>
          <w:sz w:val="18"/>
          <w:szCs w:val="18"/>
          <w:color w:val="auto"/>
        </w:rPr>
        <w:t>The Company identified one combined performance obligation to provide the research license, exclusive development and commercialization licenses for each project variance selected to further develop, research services and participation in the joint steering committee (“JSC”). The transaction price included the $1.0 million non-refundable upfront fees and $2.4 million reimbursement for costs incurred and the value of labor hours expended. The Company excluded any consideration related to sales-based milestones, including royalties, which are recognized when the related sales occur. For the six months ended June 30, 2019, there was no change in the transaction price.</w:t>
      </w:r>
    </w:p>
    <w:p>
      <w:pPr>
        <w:spacing w:after="0" w:line="205"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During the years ended December 31, 2017 and 2018, the Company recognized revenue of $0.4 million and $0.2 million under the Benitec Agreement, respectively. During the six months ended June 30, 2018 and 2019, the Company recognized revenue of $0.1 million (unaudited) and less than $0.1 million (unaudited), respectively. As of December 31, 2017, December 31, 2018 and June 30, 2019, deferred revenue relating to the Benitec Agreement was $0.4 million, $0.2 million and $0 (unaudited), respectively. There were no amounts due from Benitec under the Benitec Agreement as of December 31, 2017, December 31, 2018 and June 30, 2019 (unaudited). Upon termination of the Benitec Agreement in March 2019, the Company had no further obligations impacting revenue recognition.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AGTC</w:t>
      </w:r>
    </w:p>
    <w:p>
      <w:pPr>
        <w:spacing w:after="0" w:line="126"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In April 2015, the Company entered into a collaboration and option agreement with Applied Genetic Technologies Corporation (“AGTC”) to discover and develop optimized AAV vectors to treat specific ophthalmic disease indications with high unmet medical need (the “AGTC Agreement”). The AGTC Agreement included both a research funding component as well as a licensing component, wherein AGTC was granted the option to license up to three resulting project variants for up to six products for further development and commercialization. The AGTC Agreement expired in October 2018 when AGTC did not exercise their option to license during the option period.</w:t>
      </w:r>
    </w:p>
    <w:p>
      <w:pPr>
        <w:spacing w:after="0" w:line="205"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 accordance with ASC 605 the Company identified the following deliverables at the inception of the AGTC Agreement: (i) the research license, (ii) research services, and (iii) participation in a joint research steering committee. The Company determined that neither the research license nor participation in the joint research steering committee has stand-alone value to AGTC due to the specialized nature of the research services to be provided by the Company, and accordingly, this deliverable was combined with the research services as a single unit of accounting. Further, at the inception of the AGTC Agreement, AGTC’s options to obtain an exclusive development and commercialization license for each research project target did not represent deliverables because they are substantive options and do not contain a significant or incremental discount. No adjustment was necessary upon adoption of ASC 606. The Company elected to use the practical expedients permitted related to adoption, which do not require the Company to apply the revenue standard to contracts that are completed as of the date of initial application.</w:t>
      </w:r>
    </w:p>
    <w:p>
      <w:pPr>
        <w:spacing w:after="0" w:line="207" w:lineRule="exact"/>
        <w:rPr>
          <w:sz w:val="20"/>
          <w:szCs w:val="20"/>
          <w:color w:val="auto"/>
        </w:rPr>
      </w:pPr>
    </w:p>
    <w:p>
      <w:pPr>
        <w:ind w:left="200" w:right="100" w:firstLine="551"/>
        <w:spacing w:after="0"/>
        <w:rPr>
          <w:sz w:val="20"/>
          <w:szCs w:val="20"/>
          <w:color w:val="auto"/>
        </w:rPr>
      </w:pPr>
      <w:r>
        <w:rPr>
          <w:rFonts w:ascii="Arial" w:cs="Arial" w:eastAsia="Arial" w:hAnsi="Arial"/>
          <w:sz w:val="18"/>
          <w:szCs w:val="18"/>
          <w:color w:val="auto"/>
        </w:rPr>
        <w:t>Pursuant to the AGTC Agreement, the Company received two upfront payments totaling $3.0 million as consideration. The upfront payments of $3.0 million were recorded as deferred revenue and were recognized on a ratable basis over the estimated performance period of three years.</w:t>
      </w:r>
    </w:p>
    <w:p>
      <w:pPr>
        <w:spacing w:after="0" w:line="203" w:lineRule="exact"/>
        <w:rPr>
          <w:sz w:val="20"/>
          <w:szCs w:val="20"/>
          <w:color w:val="auto"/>
        </w:rPr>
      </w:pPr>
    </w:p>
    <w:p>
      <w:pPr>
        <w:ind w:left="200" w:right="200" w:firstLine="551"/>
        <w:spacing w:after="0"/>
        <w:rPr>
          <w:sz w:val="20"/>
          <w:szCs w:val="20"/>
          <w:color w:val="auto"/>
        </w:rPr>
      </w:pPr>
      <w:r>
        <w:rPr>
          <w:rFonts w:ascii="Arial" w:cs="Arial" w:eastAsia="Arial" w:hAnsi="Arial"/>
          <w:sz w:val="18"/>
          <w:szCs w:val="18"/>
          <w:color w:val="auto"/>
        </w:rPr>
        <w:t>Revenue was fully recognized on the AGTC Agreement in the year ended December 31, 2018. During the years ended December 31, 2017 and 2018, the Company recognized revenue of $1.1 million and $0.3 million, respectively. During the six months ended June 30, 2018, the Company recognized revenue of $0.3 million (unaudited). As of December 31, 2017, December 31, 2018 and</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00"/>
          </w:cols>
          <w:pgMar w:left="240" w:top="460"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line="246" w:lineRule="auto"/>
        <w:rPr>
          <w:sz w:val="20"/>
          <w:szCs w:val="20"/>
          <w:color w:val="auto"/>
        </w:rPr>
      </w:pPr>
      <w:r>
        <w:rPr>
          <w:rFonts w:ascii="Arial" w:cs="Arial" w:eastAsia="Arial" w:hAnsi="Arial"/>
          <w:sz w:val="18"/>
          <w:szCs w:val="18"/>
          <w:color w:val="auto"/>
        </w:rPr>
        <w:t>June 30, 2019, deferred revenue relating to the AGTC Agreement was $0.3 million, $0 and $ 0 (unaudited), respectively. No amount was due from AGTC under the AGTC Agreement as of December 31, 2017, December 31, 2018, and June 30, 2019 (unaudited).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CRF</w:t>
      </w:r>
    </w:p>
    <w:p>
      <w:pPr>
        <w:spacing w:after="0" w:line="126" w:lineRule="exact"/>
        <w:rPr>
          <w:sz w:val="20"/>
          <w:szCs w:val="20"/>
          <w:color w:val="auto"/>
        </w:rPr>
      </w:pPr>
    </w:p>
    <w:p>
      <w:pPr>
        <w:ind w:left="200" w:right="160" w:firstLine="551"/>
        <w:spacing w:after="0" w:line="237" w:lineRule="auto"/>
        <w:rPr>
          <w:sz w:val="20"/>
          <w:szCs w:val="20"/>
          <w:color w:val="auto"/>
        </w:rPr>
      </w:pPr>
      <w:r>
        <w:rPr>
          <w:rFonts w:ascii="Arial" w:cs="Arial" w:eastAsia="Arial" w:hAnsi="Arial"/>
          <w:sz w:val="18"/>
          <w:szCs w:val="18"/>
          <w:color w:val="auto"/>
        </w:rPr>
        <w:t>In November 2015, the Company entered into a research funding and collaboration agreement (the “CRF Agreement”) with the Choroideremia Research Foundation (“CRF”), a non-profit organization dedicated to finding a cure for Choroideremia, a rare inherited disorder that causes progressive vision loss, ultimately leading to complete blindness. The goal of the CRF Agreement is for CRF to contribute funding to help with the advancement of the Company’s Choroideremia research program. The Company is responsible for all decision making and execution of any and all of the related activities to be completed in its sole discretion. The initial term of the CRF Research Plan is two years. The agreement includes contribution to CRF of up to $2.5 million upon certain development or approval milestones. The overall arrangement has automatic extensions of up to three additional years.</w:t>
      </w:r>
    </w:p>
    <w:p>
      <w:pPr>
        <w:spacing w:after="0" w:line="203" w:lineRule="exact"/>
        <w:rPr>
          <w:sz w:val="20"/>
          <w:szCs w:val="20"/>
          <w:color w:val="auto"/>
        </w:rPr>
      </w:pPr>
    </w:p>
    <w:p>
      <w:pPr>
        <w:ind w:left="200" w:right="300" w:firstLine="551"/>
        <w:spacing w:after="0" w:line="246" w:lineRule="auto"/>
        <w:rPr>
          <w:sz w:val="20"/>
          <w:szCs w:val="20"/>
          <w:color w:val="auto"/>
        </w:rPr>
      </w:pPr>
      <w:r>
        <w:rPr>
          <w:rFonts w:ascii="Arial" w:cs="Arial" w:eastAsia="Arial" w:hAnsi="Arial"/>
          <w:sz w:val="18"/>
          <w:szCs w:val="18"/>
          <w:color w:val="auto"/>
        </w:rPr>
        <w:t>Pursuant to the CRF Agreement, the Company received an initial upfront grant of $50,000 in 2015 followed by a second upfront grant of $0.5 million in 2016 as consideration for the services to be provided.</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Revenue was fully recognized for this agreement in the year ended December 31, 2017. During the year ended December 31,</w:t>
      </w:r>
    </w:p>
    <w:p>
      <w:pPr>
        <w:ind w:left="200"/>
        <w:spacing w:after="0" w:line="234" w:lineRule="auto"/>
        <w:rPr>
          <w:sz w:val="20"/>
          <w:szCs w:val="20"/>
          <w:color w:val="auto"/>
        </w:rPr>
      </w:pPr>
      <w:r>
        <w:rPr>
          <w:rFonts w:ascii="Arial" w:cs="Arial" w:eastAsia="Arial" w:hAnsi="Arial"/>
          <w:sz w:val="18"/>
          <w:szCs w:val="18"/>
          <w:color w:val="auto"/>
        </w:rPr>
        <w:t>2017, the Company recognized revenue of $0.2 million. There was no deferred revenue relating to the CRF Agreement as of</w:t>
      </w:r>
    </w:p>
    <w:p>
      <w:pPr>
        <w:ind w:left="200"/>
        <w:spacing w:after="0" w:line="235" w:lineRule="auto"/>
        <w:rPr>
          <w:sz w:val="20"/>
          <w:szCs w:val="20"/>
          <w:color w:val="auto"/>
        </w:rPr>
      </w:pPr>
      <w:r>
        <w:rPr>
          <w:rFonts w:ascii="Arial" w:cs="Arial" w:eastAsia="Arial" w:hAnsi="Arial"/>
          <w:sz w:val="18"/>
          <w:szCs w:val="18"/>
          <w:color w:val="auto"/>
        </w:rPr>
        <w:t>December 31, 2017, December 31, 2018 and June 30, 2019 (unaudited). No amount was due from CRF under the CRF Agreement as of</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2017, December 31, 2018 and June 30, 2019 (unaudited).</w:t>
      </w:r>
    </w:p>
    <w:p>
      <w:pPr>
        <w:spacing w:after="0" w:line="212" w:lineRule="exact"/>
        <w:rPr>
          <w:sz w:val="20"/>
          <w:szCs w:val="20"/>
          <w:color w:val="auto"/>
        </w:rPr>
      </w:pPr>
    </w:p>
    <w:p>
      <w:pPr>
        <w:ind w:left="200" w:right="20" w:firstLine="551"/>
        <w:spacing w:after="0" w:line="246" w:lineRule="auto"/>
        <w:rPr>
          <w:sz w:val="20"/>
          <w:szCs w:val="20"/>
          <w:color w:val="auto"/>
        </w:rPr>
      </w:pPr>
      <w:r>
        <w:rPr>
          <w:rFonts w:ascii="Arial" w:cs="Arial" w:eastAsia="Arial" w:hAnsi="Arial"/>
          <w:sz w:val="18"/>
          <w:szCs w:val="18"/>
          <w:color w:val="auto"/>
        </w:rPr>
        <w:t>No adjustment was necessary upon adoption of ASC 606. The Company elected to use the practical expedient permitted related to adoption, which does not require the Company to apply ASC 606 to contracts that are completed as of the date of initial application.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Pfizer</w:t>
      </w:r>
    </w:p>
    <w:p>
      <w:pPr>
        <w:spacing w:after="0" w:line="126"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In December 2015, the Company signed a collaboration and license agreement with Pfizer, Inc. (“Pfizer”). Under the terms of the Agreement, the Company agreed to deploy its Therapeutic Vector Evolution platform to generate and validate up to three project variants for gene delivery to treat diseases in cardiac tissue (the “Pfizer Agreement”). Once the Company’s research activities concluded, Pfizer would be solely responsible for the continued development, manufacturing and commercialization of the project variants as potential product candidates.</w:t>
      </w:r>
    </w:p>
    <w:p>
      <w:pPr>
        <w:spacing w:after="0" w:line="203"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Pursuant to the Pfizer Agreement, the Company received a non-refundable upfront payment of $5.0 million as consideration. No revenue was recognized under the Pfizer Agreement until Pfizer terminated this agreement for convenience in December 2018. The entire upfront payment of $ 5.0 million was recognized as revenue in December 2018 as the Company had no further obligations impacting revenue recognition. As of December 31, 2017, December 31, 2018 and June 30, 2019, deferred revenue relating to the Pfizer Agreement was $ 5.0 million, $0 and $0 (unaudited), respectively. No amount was due from Pfizer under the Pfizer Agreement as of December 31, 2017, December 31, 2018 and June 30, 2019 (unaudited).</w:t>
      </w:r>
    </w:p>
    <w:p>
      <w:pPr>
        <w:spacing w:after="0" w:line="205" w:lineRule="exact"/>
        <w:rPr>
          <w:sz w:val="20"/>
          <w:szCs w:val="20"/>
          <w:color w:val="auto"/>
        </w:rPr>
      </w:pPr>
    </w:p>
    <w:p>
      <w:pPr>
        <w:ind w:left="200" w:right="20" w:firstLine="551"/>
        <w:spacing w:after="0" w:line="246" w:lineRule="auto"/>
        <w:rPr>
          <w:sz w:val="20"/>
          <w:szCs w:val="20"/>
          <w:color w:val="auto"/>
        </w:rPr>
      </w:pPr>
      <w:r>
        <w:rPr>
          <w:rFonts w:ascii="Arial" w:cs="Arial" w:eastAsia="Arial" w:hAnsi="Arial"/>
          <w:sz w:val="18"/>
          <w:szCs w:val="18"/>
          <w:color w:val="auto"/>
        </w:rPr>
        <w:t>No adjustment was necessary upon adoption of ASC 606. The Company elected to use the practical expedient permitted related to adoption, which does not require the Company to apply ASC 606 to contracts that are completed as of the date of initial application.</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00"/>
          </w:cols>
          <w:pgMar w:left="240" w:top="460"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Roche</w:t>
      </w:r>
    </w:p>
    <w:p>
      <w:pPr>
        <w:spacing w:after="0" w:line="126"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In February 2015, the Company entered into a collaboration and license agreement with F. Hoffmann-La Roche LTD and Hoffmann-La Roche Inc. (together “Roche”) to discover and develop optimized next-generation AAV vectors for indications focusing on various rare retinal diseases caused by gene defects (the “2015 Roche Agreement”). As part of the 2015 Roche Agreement, two agreements were executed: (i) a Research Funding and Option Agreement requiring the Company to provide certain early-stage research services to Roche which are dependent on the licensed technology and gives Roche the right to choose to license the resulting project variants for further development and commercialization and (ii) a License Agreement which goes into effect if Roche elects to license the project variants.</w:t>
      </w:r>
    </w:p>
    <w:p>
      <w:pPr>
        <w:spacing w:after="0" w:line="203" w:lineRule="exact"/>
        <w:rPr>
          <w:sz w:val="20"/>
          <w:szCs w:val="20"/>
          <w:color w:val="auto"/>
        </w:rPr>
      </w:pPr>
    </w:p>
    <w:p>
      <w:pPr>
        <w:ind w:left="200" w:right="340" w:firstLine="551"/>
        <w:spacing w:after="0"/>
        <w:rPr>
          <w:sz w:val="20"/>
          <w:szCs w:val="20"/>
          <w:color w:val="auto"/>
        </w:rPr>
      </w:pPr>
      <w:r>
        <w:rPr>
          <w:rFonts w:ascii="Arial" w:cs="Arial" w:eastAsia="Arial" w:hAnsi="Arial"/>
          <w:sz w:val="18"/>
          <w:szCs w:val="18"/>
          <w:color w:val="auto"/>
        </w:rPr>
        <w:t>The initial research term was two years with the option of three six-month extensions. The research program was completed on schedule and Roche chose not to extend the term. Roche also did not exercise its option to obtain the exclusive development and commercialization license for any of the research project targets.</w:t>
      </w:r>
    </w:p>
    <w:p>
      <w:pPr>
        <w:spacing w:after="0" w:line="203" w:lineRule="exact"/>
        <w:rPr>
          <w:sz w:val="20"/>
          <w:szCs w:val="20"/>
          <w:color w:val="auto"/>
        </w:rPr>
      </w:pPr>
    </w:p>
    <w:p>
      <w:pPr>
        <w:ind w:left="200" w:right="440" w:firstLine="551"/>
        <w:spacing w:after="0"/>
        <w:rPr>
          <w:sz w:val="20"/>
          <w:szCs w:val="20"/>
          <w:color w:val="auto"/>
        </w:rPr>
      </w:pPr>
      <w:r>
        <w:rPr>
          <w:rFonts w:ascii="Arial" w:cs="Arial" w:eastAsia="Arial" w:hAnsi="Arial"/>
          <w:sz w:val="18"/>
          <w:szCs w:val="18"/>
          <w:color w:val="auto"/>
        </w:rPr>
        <w:t>The upfront payments of $1.0 million were recorded as deferred revenue and initially recognized on a ratable basis over the estimated performance period of three and a half years. Once the extension notification date passed, the balance of the unamortized deferred revenue was recognized in Q1 2017.</w:t>
      </w:r>
    </w:p>
    <w:p>
      <w:pPr>
        <w:spacing w:after="0" w:line="203"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During the year ended December 31, 2017, the Company recognized revenue of $0.1 million under the 2015 Roche Agreement. There was no deferred revenue balance related to the 2015 Roche Agreement as of December 31, 2017, December 31, 2018 and June 30, 2019. No amount was due from Roche under the 2015 Roche Agreement as of December 31, 2017, December 31, 2018 and June 30, 2019.</w:t>
      </w:r>
    </w:p>
    <w:p>
      <w:pPr>
        <w:spacing w:after="0" w:line="202" w:lineRule="exact"/>
        <w:rPr>
          <w:sz w:val="20"/>
          <w:szCs w:val="20"/>
          <w:color w:val="auto"/>
        </w:rPr>
      </w:pPr>
    </w:p>
    <w:p>
      <w:pPr>
        <w:ind w:left="200" w:right="60" w:firstLine="551"/>
        <w:spacing w:after="0"/>
        <w:rPr>
          <w:sz w:val="20"/>
          <w:szCs w:val="20"/>
          <w:color w:val="auto"/>
        </w:rPr>
      </w:pPr>
      <w:r>
        <w:rPr>
          <w:rFonts w:ascii="Arial" w:cs="Arial" w:eastAsia="Arial" w:hAnsi="Arial"/>
          <w:sz w:val="18"/>
          <w:szCs w:val="18"/>
          <w:color w:val="auto"/>
        </w:rPr>
        <w:t>No adjustment was necessary upon adoption of ASC 606 as it relates to the 2015 Roche Agreement. The Company elected to use the practical expedient permitted related to adoption, which does not require the Company to apply ASC 606 to contracts that are completed as of the date of initial application.</w:t>
      </w:r>
    </w:p>
    <w:p>
      <w:pPr>
        <w:spacing w:after="0" w:line="203" w:lineRule="exact"/>
        <w:rPr>
          <w:sz w:val="20"/>
          <w:szCs w:val="20"/>
          <w:color w:val="auto"/>
        </w:rPr>
      </w:pPr>
    </w:p>
    <w:p>
      <w:pPr>
        <w:ind w:left="200" w:right="320" w:firstLine="551"/>
        <w:spacing w:after="0" w:line="239" w:lineRule="auto"/>
        <w:rPr>
          <w:sz w:val="20"/>
          <w:szCs w:val="20"/>
          <w:color w:val="auto"/>
        </w:rPr>
      </w:pPr>
      <w:r>
        <w:rPr>
          <w:rFonts w:ascii="Arial" w:cs="Arial" w:eastAsia="Arial" w:hAnsi="Arial"/>
          <w:sz w:val="18"/>
          <w:szCs w:val="18"/>
          <w:color w:val="auto"/>
        </w:rPr>
        <w:t>In November 2017, the Company entered into a new collaboration and license agreement (the “2017 Roche Agreement”) with Roche to discover and develop products containing optimized next generation AAV Vectors focused on ophthalmological diseases and disorders excluding select criteria. The Company and Roche both have the ability to nominate products to discover, develop and commercialize.</w:t>
      </w:r>
    </w:p>
    <w:p>
      <w:pPr>
        <w:spacing w:after="0" w:line="202" w:lineRule="exact"/>
        <w:rPr>
          <w:sz w:val="20"/>
          <w:szCs w:val="20"/>
          <w:color w:val="auto"/>
        </w:rPr>
      </w:pPr>
    </w:p>
    <w:p>
      <w:pPr>
        <w:ind w:left="200" w:right="240" w:firstLine="551"/>
        <w:spacing w:after="0" w:line="238" w:lineRule="auto"/>
        <w:rPr>
          <w:sz w:val="20"/>
          <w:szCs w:val="20"/>
          <w:color w:val="auto"/>
        </w:rPr>
      </w:pPr>
      <w:r>
        <w:rPr>
          <w:rFonts w:ascii="Arial" w:cs="Arial" w:eastAsia="Arial" w:hAnsi="Arial"/>
          <w:sz w:val="18"/>
          <w:szCs w:val="18"/>
          <w:color w:val="auto"/>
        </w:rPr>
        <w:t>At the effective date, Choroideremia was designated a Roche product. The Company is responsible for conducting research and development services prior to pivotal clinical studies, and Roche is responsible for conducting subsequent development and commercialization activities. In addition, Roche agreed to pay for research and development services at the agreed upon full-time employee rate for work performed for Choroideremia under the 2017 Roche Agreement, except for the costs associated with the manufacturing work for Choroideremia.</w:t>
      </w:r>
    </w:p>
    <w:p>
      <w:pPr>
        <w:spacing w:after="0" w:line="203" w:lineRule="exact"/>
        <w:rPr>
          <w:sz w:val="20"/>
          <w:szCs w:val="20"/>
          <w:color w:val="auto"/>
        </w:rPr>
      </w:pPr>
    </w:p>
    <w:p>
      <w:pPr>
        <w:ind w:left="200" w:right="200" w:firstLine="551"/>
        <w:spacing w:after="0" w:line="239" w:lineRule="auto"/>
        <w:rPr>
          <w:sz w:val="20"/>
          <w:szCs w:val="20"/>
          <w:color w:val="auto"/>
        </w:rPr>
      </w:pPr>
      <w:r>
        <w:rPr>
          <w:rFonts w:ascii="Arial" w:cs="Arial" w:eastAsia="Arial" w:hAnsi="Arial"/>
          <w:sz w:val="18"/>
          <w:szCs w:val="18"/>
          <w:color w:val="auto"/>
        </w:rPr>
        <w:t>For any product that the Company nominates and conducts research and development services prior to pivotal clinical studies, Roche has an option to convert the status of the product to a Roche product during the 90-day option period. If Roche chooses to not exercise its option, the Company can continue subsequent development and commercialization activities and Roche will have no further rights with respect to such product.</w:t>
      </w:r>
    </w:p>
    <w:p>
      <w:pPr>
        <w:spacing w:after="0" w:line="202" w:lineRule="exact"/>
        <w:rPr>
          <w:sz w:val="20"/>
          <w:szCs w:val="20"/>
          <w:color w:val="auto"/>
        </w:rPr>
      </w:pPr>
    </w:p>
    <w:p>
      <w:pPr>
        <w:ind w:left="200" w:right="160" w:firstLine="551"/>
        <w:spacing w:after="0" w:line="246" w:lineRule="auto"/>
        <w:rPr>
          <w:sz w:val="20"/>
          <w:szCs w:val="20"/>
          <w:color w:val="auto"/>
        </w:rPr>
      </w:pPr>
      <w:r>
        <w:rPr>
          <w:rFonts w:ascii="Arial" w:cs="Arial" w:eastAsia="Arial" w:hAnsi="Arial"/>
          <w:sz w:val="18"/>
          <w:szCs w:val="18"/>
          <w:color w:val="auto"/>
        </w:rPr>
        <w:t>Pursuant to the 2017 Roche Agreement, the Company received an upfront payment of $21.0 million as consideration. In addition, the Company is entitled to contingent payments including</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00"/>
          </w:cols>
          <w:pgMar w:left="24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firstLine="4"/>
        <w:spacing w:after="0" w:line="237" w:lineRule="auto"/>
        <w:tabs>
          <w:tab w:leader="none" w:pos="41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$1.0 million for each Roche nominated product beyond the first three, (ii) up to $30.0 million upon exercise of the option to convert a product the Company nominated and developed prior to pivotal clinical studies (iii) development milestone payments of up to $223.0 million, $86.0 million of which relate to Choroideremia and the rest relate to other licensed products; and (iv) sales-based milestones of up to $123.0 million in connection with licensed products. The 2017 Roche Agreement also includes provisions that entitle the Company to receive royalty payments ranging from the mid-single digits to the mid-teens for the net sales of the licensed products, in each case subject to the reductions in accordance with the terms of the agreement.</w:t>
      </w:r>
    </w:p>
    <w:p>
      <w:pPr>
        <w:spacing w:after="0" w:line="205"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Under ASC 605, the upfront payment of $21.0 million was recorded as deferred revenue and was being recognized on a ratable basis over the estimated performance period of five and a half years. Under ASC 606, the Company uses the input method to measure progress toward completion of the performance obligation and concluded that revenue will be recognized based on actual resources consumed, labor hours expended and costs incurred as a percentage of total budgeted costs. Upon adoption of ASC 606, the Company recognized an additional $0.4 million of revenue through a decrease to deferred revenue and a decrease in beginning accumulated deficit, based on the difference between the input method used under ASC 606 and the ratable recognition previously used under ASC 605.</w:t>
      </w:r>
    </w:p>
    <w:p>
      <w:pPr>
        <w:spacing w:after="0" w:line="205"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Under ASC 606, the Company identified one single combined performance obligation for the license, research services and participation in the JSC. Furthermore, the Company concluded that at the inception of the agreement, Roche’s option, exercisable prior to pivotal clinical study initiation, does not represent a material right and should be allocated to the single performance obligation and recognized as revenue upon Roche’s exercise of the option. The transaction price related to the agreement includes the $21.0 million non-refundable upfront fee and $15.0 million for estimated reimbursements for research and development services at the agreed upon full-time employee rate and third party costs. The Company’s contract with Roche does not include a significant financing component. The Company concluded that the transaction price should not include the variable consideration related to development milestones as they were considered to be constrained as it is probable that the inclusion of such variable consideration could result in a significant reversal of cumulative revenue in the future. The Company excluded any consideration related to sales-based milestones, including royalties, which are recognized when the related sales occur. The transaction price and estimated period of performance will be re-evaluated at each reporting period. For the six months ended June 30, 2019, an adjustment of $4.4 million was made to the transaction price to reflect an increase in the scope of the project and expected reimbursable costs. The increase in the transaction price and total budgeted costs resulted in a $0.1 million decrease in revenue recognized in the six months ended June 30, 2019 related to performance obligations partially satisfied in periods prior to January 1, 2019.</w:t>
      </w:r>
    </w:p>
    <w:p>
      <w:pPr>
        <w:spacing w:after="0" w:line="20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During the years ended December 31, 2017 and 2018, the Company recognized revenue of $0.7 million and $ 7.5 million, respectively. During the six months ended June 30, 2018 and 2019, the Company recognized revenue of $4.0 million (unaudited) and $3.8 million (unaudited), respectively. As of December 31, 2017, December 31, 2018 and June 30, 2019, deferred revenue relating to the Roche Agreement was $20.5 million, $17.1 million, and $14.6 million (unaudited), respectively. Accounts receivable from Roche under this agreement as of December 31, 2017, December 31, 2018 and June 30, 2019 was $0.3 million, $ 1.1 million and $1.2 million (unaudited), respectively. As of June 30, 2019, the aggregate amount of the transaction price allocated to the remaining performance obligation was $23.7 million (unaudited). Based on current timelines, the revenue is expected to be recognized over the next five to seven years as the Company continues to develop nominated products until the initiation of pivotal studies.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00"/>
          </w:cols>
          <w:pgMar w:left="240" w:top="460"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CFFT</w:t>
      </w:r>
    </w:p>
    <w:p>
      <w:pPr>
        <w:spacing w:after="0" w:line="126" w:lineRule="exact"/>
        <w:rPr>
          <w:sz w:val="20"/>
          <w:szCs w:val="20"/>
          <w:color w:val="auto"/>
        </w:rPr>
      </w:pPr>
    </w:p>
    <w:p>
      <w:pPr>
        <w:ind w:left="200" w:right="80" w:firstLine="551"/>
        <w:spacing w:after="0" w:line="234" w:lineRule="auto"/>
        <w:rPr>
          <w:sz w:val="20"/>
          <w:szCs w:val="20"/>
          <w:color w:val="auto"/>
        </w:rPr>
      </w:pPr>
      <w:r>
        <w:rPr>
          <w:rFonts w:ascii="Arial" w:cs="Arial" w:eastAsia="Arial" w:hAnsi="Arial"/>
          <w:sz w:val="18"/>
          <w:szCs w:val="18"/>
          <w:color w:val="auto"/>
        </w:rPr>
        <w:t>In September 2016, the Company entered into an award agreement for the Optimized Adeno- Associated Virus for Lung Epithelia Gene Delivery Development Program with CFFT, a non-profit organization dedicated to finding a cure for Cystic Fibrosis (“CF”), an inherited disorder that causes disease in the pulmonary airways leading to morbidity and mortality. Under this agreement, CFFT contributes funding to help advance the Company’s CF research program. The agreement was subsequently amended in September 2017 and August 2018 (all three agreements are collectively referred to as the “CFFT Agreements”). The total amount of the award under the CFFT Agreements is $3.5 million. As of December 31, 2017, December 31, 2018 and June 30, 2019, the Company received</w:t>
      </w:r>
    </w:p>
    <w:p>
      <w:pPr>
        <w:spacing w:after="0" w:line="5" w:lineRule="exact"/>
        <w:rPr>
          <w:sz w:val="20"/>
          <w:szCs w:val="20"/>
          <w:color w:val="auto"/>
        </w:rPr>
      </w:pPr>
    </w:p>
    <w:p>
      <w:pPr>
        <w:ind w:left="200" w:right="960"/>
        <w:spacing w:after="0" w:line="246" w:lineRule="auto"/>
        <w:rPr>
          <w:sz w:val="20"/>
          <w:szCs w:val="20"/>
          <w:color w:val="auto"/>
        </w:rPr>
      </w:pPr>
      <w:r>
        <w:rPr>
          <w:rFonts w:ascii="Arial" w:cs="Arial" w:eastAsia="Arial" w:hAnsi="Arial"/>
          <w:sz w:val="18"/>
          <w:szCs w:val="18"/>
          <w:color w:val="auto"/>
        </w:rPr>
        <w:t>$0.6 million under the CFFT Agreements. The remaining award amount will be paid by CFFT based on achievement of certain development milestones by the Company.</w:t>
      </w:r>
    </w:p>
    <w:p>
      <w:pPr>
        <w:spacing w:after="0" w:line="197"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The Company expects to make payments to CFFT equal to six times the actual award received by the Company in three installments within the first four years of the first commercial sale of a product developed under this agreement. The Company also has agreed to make future sales-based milestone payments to CFFT of up to three times the actual award received upon achieving specified commercialization milestones with respect to the first of any product developed utilizing any compound covered under the collaboration agreement. The CFFT Agreements also require the Company to pay to CFFT royalties of a mid-single digit percentage, up to six times the actual award received, on any amounts received by the Company from the sale, license or transfer to a third-party of rights in the technology developed as a result of this collaboration. Any such royalty payments shall be credited against the payments owed by the Company upon first commercial sale. In the event of a change of control of the Company, CFFT will receive certain payments, depending on the timing of the change of control and the size of the transaction.</w:t>
      </w:r>
    </w:p>
    <w:p>
      <w:pPr>
        <w:spacing w:after="0" w:line="207" w:lineRule="exact"/>
        <w:rPr>
          <w:sz w:val="20"/>
          <w:szCs w:val="20"/>
          <w:color w:val="auto"/>
        </w:rPr>
      </w:pPr>
    </w:p>
    <w:p>
      <w:pPr>
        <w:ind w:left="200" w:right="160" w:firstLine="551"/>
        <w:spacing w:after="0" w:line="246" w:lineRule="auto"/>
        <w:rPr>
          <w:sz w:val="20"/>
          <w:szCs w:val="20"/>
          <w:color w:val="auto"/>
        </w:rPr>
      </w:pPr>
      <w:r>
        <w:rPr>
          <w:rFonts w:ascii="Arial" w:cs="Arial" w:eastAsia="Arial" w:hAnsi="Arial"/>
          <w:sz w:val="18"/>
          <w:szCs w:val="18"/>
          <w:color w:val="auto"/>
        </w:rPr>
        <w:t>To date, the Company had not developed a commercial product in connection with this award agreement, and it had not licensed, sold or otherwise transferred to another party the product developed under the agreement or the underlying technology.</w:t>
      </w:r>
    </w:p>
    <w:p>
      <w:pPr>
        <w:spacing w:after="0" w:line="197"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If at any time prior to the first commercial sale of a product developed as a result of the agreement, the Company ceases to use commercially reasonable efforts to develop or commercialize any product under this agreement for a continuous period of 180 consecutive days and fails to present a reasonable plan to resume commercially reasonable efforts, the Company will grant to CFFT an irrevocable, exclusive worldwide interruption license under all of the Company’s interest in the research plan technology to exploit such product. Any third-party license granted by the Company shall be subject to such interruption license.</w:t>
      </w:r>
    </w:p>
    <w:p>
      <w:pPr>
        <w:spacing w:after="0" w:line="203"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Under ASC 605, the Company recognizes revenue under this agreement on a ratable basis over the estimated performance period of all milestones. Under ASC 606, the Company uses the input method to measure progress toward completion of the performance obligation and concluded that revenue will be recognized based on actual resources consumed, labor hours expended and costs incurred as a percentage of total budgeted costs. Upon adoption of ASC 606, the Company decreased revenue by $ 0.2 million through an increase to deferred revenue and an increase to beginning accumulated deficit, based on the difference between the input method under ASC 606 and the ratable recognition previously used under ASC 605.</w:t>
      </w:r>
    </w:p>
    <w:p>
      <w:pPr>
        <w:spacing w:after="0" w:line="205" w:lineRule="exact"/>
        <w:rPr>
          <w:sz w:val="20"/>
          <w:szCs w:val="20"/>
          <w:color w:val="auto"/>
        </w:rPr>
      </w:pPr>
    </w:p>
    <w:p>
      <w:pPr>
        <w:jc w:val="both"/>
        <w:ind w:left="200" w:right="120" w:firstLine="551"/>
        <w:spacing w:after="0" w:line="239" w:lineRule="auto"/>
        <w:rPr>
          <w:sz w:val="20"/>
          <w:szCs w:val="20"/>
          <w:color w:val="auto"/>
        </w:rPr>
      </w:pPr>
      <w:r>
        <w:rPr>
          <w:rFonts w:ascii="Arial" w:cs="Arial" w:eastAsia="Arial" w:hAnsi="Arial"/>
          <w:sz w:val="18"/>
          <w:szCs w:val="18"/>
          <w:color w:val="auto"/>
        </w:rPr>
        <w:t>Under ASC 606, the Company identified one performance obligation within the CFFT grant agreement for research activities. The transaction price related to the agreement includes the $0.6 million non-refundable upfront fees and milestones previously met under the initial grant agreement. The Company’s contract with CFFT does not include a significant financing component. The Company concluded that the transaction price should not include the variable consideration related to future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00"/>
          </w:cols>
          <w:pgMar w:left="240" w:top="460"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research milestones as they were considered to be constrained as it is probable that the inclusion of such variable consideration could result in a significant reversal of cumulative revenue in the future. The Company will re-evaluate the transaction price and estimated period of performance at each reporting period. For the six months ended June 30, 2019 there were no adjustments made to the transaction price.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each of the years ended December 31, 2017 and 2018, the Company recognized revenue of $0.1 million. During each of</w:t>
      </w:r>
    </w:p>
    <w:p>
      <w:pPr>
        <w:ind w:left="200"/>
        <w:spacing w:after="0" w:line="234" w:lineRule="auto"/>
        <w:rPr>
          <w:sz w:val="20"/>
          <w:szCs w:val="20"/>
          <w:color w:val="auto"/>
        </w:rPr>
      </w:pPr>
      <w:r>
        <w:rPr>
          <w:rFonts w:ascii="Arial" w:cs="Arial" w:eastAsia="Arial" w:hAnsi="Arial"/>
          <w:sz w:val="18"/>
          <w:szCs w:val="18"/>
          <w:color w:val="auto"/>
        </w:rPr>
        <w:t>the six months ended June 30, 2018 and 2019, the Company recognized revenue of less than $0.1 million (unaudited). As of</w:t>
      </w:r>
    </w:p>
    <w:p>
      <w:pPr>
        <w:ind w:left="200"/>
        <w:spacing w:after="0" w:line="235" w:lineRule="auto"/>
        <w:rPr>
          <w:sz w:val="20"/>
          <w:szCs w:val="20"/>
          <w:color w:val="auto"/>
        </w:rPr>
      </w:pPr>
      <w:r>
        <w:rPr>
          <w:rFonts w:ascii="Arial" w:cs="Arial" w:eastAsia="Arial" w:hAnsi="Arial"/>
          <w:sz w:val="18"/>
          <w:szCs w:val="18"/>
          <w:color w:val="auto"/>
        </w:rPr>
        <w:t>December 31, 2017, December 31, 2018 and June 30, 2019, deferred revenue relating to the CFFT Agreement was $0.3 million,</w:t>
      </w:r>
    </w:p>
    <w:p>
      <w:pPr>
        <w:ind w:left="200"/>
        <w:spacing w:after="0" w:line="235" w:lineRule="auto"/>
        <w:rPr>
          <w:sz w:val="20"/>
          <w:szCs w:val="20"/>
          <w:color w:val="auto"/>
        </w:rPr>
      </w:pPr>
      <w:r>
        <w:rPr>
          <w:rFonts w:ascii="Arial" w:cs="Arial" w:eastAsia="Arial" w:hAnsi="Arial"/>
          <w:sz w:val="18"/>
          <w:szCs w:val="18"/>
          <w:color w:val="auto"/>
        </w:rPr>
        <w:t>$0.2 million and $0.4 million (unaudited), respectively. No amount was due from CFFT under this agreement as of December 31, 2017,</w:t>
      </w:r>
    </w:p>
    <w:p>
      <w:pPr>
        <w:ind w:left="200"/>
        <w:spacing w:after="0" w:line="235" w:lineRule="auto"/>
        <w:rPr>
          <w:sz w:val="20"/>
          <w:szCs w:val="20"/>
          <w:color w:val="auto"/>
        </w:rPr>
      </w:pPr>
      <w:r>
        <w:rPr>
          <w:rFonts w:ascii="Arial" w:cs="Arial" w:eastAsia="Arial" w:hAnsi="Arial"/>
          <w:sz w:val="18"/>
          <w:szCs w:val="18"/>
          <w:color w:val="auto"/>
        </w:rPr>
        <w:t>December 31, 2018 and June 30, 2019 (unaudited). As of June 30, 2019, the aggregate amount of the transaction price allocated to the</w:t>
      </w:r>
    </w:p>
    <w:p>
      <w:pPr>
        <w:ind w:left="200"/>
        <w:spacing w:after="0" w:line="235" w:lineRule="auto"/>
        <w:rPr>
          <w:sz w:val="20"/>
          <w:szCs w:val="20"/>
          <w:color w:val="auto"/>
        </w:rPr>
      </w:pPr>
      <w:r>
        <w:rPr>
          <w:rFonts w:ascii="Arial" w:cs="Arial" w:eastAsia="Arial" w:hAnsi="Arial"/>
          <w:sz w:val="18"/>
          <w:szCs w:val="18"/>
          <w:color w:val="auto"/>
        </w:rPr>
        <w:t>remaining performance obligation was $0.4 million (unaudited). Based on current timelines, the revenue is expected to be recognized over</w:t>
      </w:r>
    </w:p>
    <w:p>
      <w:pPr>
        <w:ind w:left="200"/>
        <w:spacing w:after="0"/>
        <w:rPr>
          <w:sz w:val="20"/>
          <w:szCs w:val="20"/>
          <w:color w:val="auto"/>
        </w:rPr>
      </w:pPr>
      <w:r>
        <w:rPr>
          <w:rFonts w:ascii="Arial" w:cs="Arial" w:eastAsia="Arial" w:hAnsi="Arial"/>
          <w:sz w:val="18"/>
          <w:szCs w:val="18"/>
          <w:color w:val="auto"/>
        </w:rPr>
        <w:t>the next five years as the Company performs research services through the completion of IND-enabling studies.</w:t>
      </w:r>
    </w:p>
    <w:p>
      <w:pPr>
        <w:spacing w:after="0" w:line="212"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The obligation to make payments to CFFT upon a change of control meets the definition of an embedded derivative that is required to be bifurcated and separately accounted for as a derivative liability. The Company determined the estimated fair value of this derivative liability to be $0.1 million as of December 31, 2017, December 31, 2018 and June 30, 2019. See Note 15 for further discussion of the embedded derivative.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AstraZeneca</w:t>
      </w:r>
    </w:p>
    <w:p>
      <w:pPr>
        <w:spacing w:after="0" w:line="126"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In December 2017, the Company entered into a collaboration and option agreement with MedImmune, Inc., the global biologics research and development arm of AstraZeneca, (“AstraZeneca”) to discover and develop optimized AAV vectors to treat specific lung disease indications (“the AstraZeneca Agreement”). The AstraZeneca agreement included both a research funding component as well as a licensing component, wherein AstraZeneca was granted the option to license up to three resulting project vector variants for further development and commercialization.</w:t>
      </w:r>
    </w:p>
    <w:p>
      <w:pPr>
        <w:spacing w:after="0" w:line="203"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color w:val="auto"/>
        </w:rPr>
        <w:t>The initial research term was approximately twelve months with AstraZeneca’s option to extend the term for an additional six months. AstraZeneca requested the six-month extension in October 2018. AstraZeneca’s option to license the resulting project variants expires twelve months after the conclusion of the research phase. Once the Company’s research activities have concluded, AstraZeneca is solely responsible for the continued development, manufacturing and eventual commercialization of the project variants as potential product candidates.</w:t>
      </w:r>
    </w:p>
    <w:p>
      <w:pPr>
        <w:spacing w:after="0" w:line="203"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Pursuant to the AstraZeneca Agreement, the Company received an upfront payment of $1.5 million as consideration. In addition, the Company is entitled to contingent payments including (i) a non-refundable license option exercise fee of $2.0 million and (ii) milestones up to $45.0 million for each product. The AstraZeneca Agreement also includes provisions that entitle the Company to receive royalties in the single digit range on future sales of the potential product candidates.</w:t>
      </w:r>
    </w:p>
    <w:p>
      <w:pPr>
        <w:spacing w:after="0" w:line="202" w:lineRule="exact"/>
        <w:rPr>
          <w:sz w:val="20"/>
          <w:szCs w:val="20"/>
          <w:color w:val="auto"/>
        </w:rPr>
      </w:pPr>
    </w:p>
    <w:p>
      <w:pPr>
        <w:ind w:left="200" w:right="100" w:firstLine="551"/>
        <w:spacing w:after="0" w:line="255" w:lineRule="auto"/>
        <w:rPr>
          <w:sz w:val="20"/>
          <w:szCs w:val="20"/>
          <w:color w:val="auto"/>
        </w:rPr>
      </w:pPr>
      <w:r>
        <w:rPr>
          <w:rFonts w:ascii="Arial" w:cs="Arial" w:eastAsia="Arial" w:hAnsi="Arial"/>
          <w:sz w:val="17"/>
          <w:szCs w:val="17"/>
          <w:color w:val="auto"/>
        </w:rPr>
        <w:t>The Company has identified one single combined performance obligations within the AstraZeneca agreement for the research program license, research and development activities and participation in the joint project team and JSC. The Company concluded that the performance obligations are not distinct and, therefore, should be combined into a single combined performance obligation. Furthermore, the Company concluded that at the inception of the agreement, AstraZeneca’s license option, does not represent a material right and should be allocated to the single performance obligation and recognized as revenue upon AstraZeneca’s exercise of the Option.</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The transaction price related to the agreement consists of the $ 1.5 million non-refundable upfront fee. The Company concluded that the transaction price should not include the variable consideration related to developmental milestones as they were considered to be constrained as it is probable that the inclusion of such variable consideration could result in a significant reversal of cumulative revenue in the future. The Company excluded any consideration related to sales-based milestones, including royalties, which are recognized when the related sales occur. The Company will re-evaluate the transaction price and estimated period of performance at each reporting period. The Company’s contract with AstraZeneca does not include a significant financing component.</w:t>
      </w:r>
    </w:p>
    <w:p>
      <w:pPr>
        <w:spacing w:after="0" w:line="205"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Under ASC 605, the $1.5 million upfront payment was recorded as deferred revenue and was being recognized as revenue on a ratable basis over the estimated performance period of one and a half years. Under ASC 606, the Company used the input method to measure progress toward completion of the performance obligation and concluded that revenue will be recognized based on actual resources consumed, labor hours expended and costs incurred as a percentage of total budgeted costs. Upon adoption of ASC 606, the Company reduced revenue by $48,000 through an increase to deferred revenue and an increase to beginning accumulated deficit, based on the difference between the input method used under ASC 606 and the ratable recognition previously used under ASC 605.</w:t>
      </w:r>
    </w:p>
    <w:p>
      <w:pPr>
        <w:spacing w:after="0" w:line="205"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In June 2019, the research phase concluded and the Company delivered their final report to AstraZeneca. The option term continues for twelve months after AstraZeneca’s receipt of the final report where they may exercise the option to obtain the license of up to three project vector variants.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years ended December 31, 2017 and 2018, the Company recognized revenue of $0 and $1.0 million, respectively.</w:t>
      </w:r>
    </w:p>
    <w:p>
      <w:pPr>
        <w:ind w:left="200"/>
        <w:spacing w:after="0" w:line="234" w:lineRule="auto"/>
        <w:rPr>
          <w:sz w:val="20"/>
          <w:szCs w:val="20"/>
          <w:color w:val="auto"/>
        </w:rPr>
      </w:pPr>
      <w:r>
        <w:rPr>
          <w:rFonts w:ascii="Arial" w:cs="Arial" w:eastAsia="Arial" w:hAnsi="Arial"/>
          <w:sz w:val="18"/>
          <w:szCs w:val="18"/>
          <w:color w:val="auto"/>
        </w:rPr>
        <w:t>During each of the six months ended June 30, 2018 and 2019, the Company recognized revenue of $0.5 million (unaudited). As of</w:t>
      </w:r>
    </w:p>
    <w:p>
      <w:pPr>
        <w:ind w:left="200"/>
        <w:spacing w:after="0" w:line="235" w:lineRule="auto"/>
        <w:rPr>
          <w:sz w:val="20"/>
          <w:szCs w:val="20"/>
          <w:color w:val="auto"/>
        </w:rPr>
      </w:pPr>
      <w:r>
        <w:rPr>
          <w:rFonts w:ascii="Arial" w:cs="Arial" w:eastAsia="Arial" w:hAnsi="Arial"/>
          <w:sz w:val="18"/>
          <w:szCs w:val="18"/>
          <w:color w:val="auto"/>
        </w:rPr>
        <w:t>December 31, 2017, December 31, 2018 and June 30, 2019, deferred revenue relating to the AstraZeneca Agreement was $0,</w:t>
      </w:r>
    </w:p>
    <w:p>
      <w:pPr>
        <w:ind w:left="200"/>
        <w:spacing w:after="0" w:line="235" w:lineRule="auto"/>
        <w:rPr>
          <w:sz w:val="20"/>
          <w:szCs w:val="20"/>
          <w:color w:val="auto"/>
        </w:rPr>
      </w:pPr>
      <w:r>
        <w:rPr>
          <w:rFonts w:ascii="Arial" w:cs="Arial" w:eastAsia="Arial" w:hAnsi="Arial"/>
          <w:sz w:val="18"/>
          <w:szCs w:val="18"/>
          <w:color w:val="auto"/>
        </w:rPr>
        <w:t>$0.5 million and $0 (unaudited), respectively. No amount was due from AstraZeneca under this agreement as of December 31, 2017,</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and June 30, 2019 (unaudited).</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7. License Arrangements</w:t>
      </w:r>
    </w:p>
    <w:p>
      <w:pPr>
        <w:spacing w:after="0" w:line="126"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The Company has exclusive, worldwide license agreements (the “UC Agreements”) with the Regents of the University of California (the “UC Regents”) relating to the use of certain patents and intellectual property surrounding its core technologies, including Therapeutic Vector Evolution. Pursuant to each of the UC Agreements executed prior to January 2019, the Company was obligated to pay a (i) non-refundable license fee of $ 5,000 upon execution, (ii) a non-refundable license fee of $5,000 each year thereafter, until sales of a licensed product are made and royalties are paid to the UC Regents, (iii) reimbursement of domestic and foreign patent filing, prosecution and maintenance fees, and (iv) either $50,000 or issuance of a 3% equity interest in the Company upon the closing of the first qualified financing at the option of the UC Regents. The Company’s first qualified financing occurred in 2015 and at the election of the UC Regents, the Company issued the UC Regents in January 2016 an amount of common stock equal to 6% of the equity interests in the Company pursuant to the applicable clause in each of the UC Agreements.</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Pursuant to an agreement with the UC Regents executed on January 2019 the Company paid a non-refundable license fee of</w:t>
      </w:r>
    </w:p>
    <w:p>
      <w:pPr>
        <w:ind w:left="200"/>
        <w:spacing w:after="0" w:line="234" w:lineRule="auto"/>
        <w:rPr>
          <w:sz w:val="20"/>
          <w:szCs w:val="20"/>
          <w:color w:val="auto"/>
        </w:rPr>
      </w:pPr>
      <w:r>
        <w:rPr>
          <w:rFonts w:ascii="Arial" w:cs="Arial" w:eastAsia="Arial" w:hAnsi="Arial"/>
          <w:sz w:val="18"/>
          <w:szCs w:val="18"/>
          <w:color w:val="auto"/>
        </w:rPr>
        <w:t>$50,000 to the UC Regents upon execution of the agreement. The Company is obligated pay a non-refundable license fee of $5,000 on</w:t>
      </w:r>
    </w:p>
    <w:p>
      <w:pPr>
        <w:ind w:left="200"/>
        <w:spacing w:after="0" w:line="235" w:lineRule="auto"/>
        <w:rPr>
          <w:sz w:val="20"/>
          <w:szCs w:val="20"/>
          <w:color w:val="auto"/>
        </w:rPr>
      </w:pPr>
      <w:r>
        <w:rPr>
          <w:rFonts w:ascii="Arial" w:cs="Arial" w:eastAsia="Arial" w:hAnsi="Arial"/>
          <w:sz w:val="18"/>
          <w:szCs w:val="18"/>
          <w:color w:val="auto"/>
        </w:rPr>
        <w:t>the one-year anniversary of the contract effective date and each year thereafter, until sales of a licensed product are made and royalties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are paid to the UC Regents.</w:t>
      </w:r>
    </w:p>
    <w:p>
      <w:pPr>
        <w:spacing w:after="0" w:line="212" w:lineRule="exact"/>
        <w:rPr>
          <w:sz w:val="20"/>
          <w:szCs w:val="20"/>
          <w:color w:val="auto"/>
        </w:rPr>
      </w:pPr>
    </w:p>
    <w:p>
      <w:pPr>
        <w:ind w:left="200" w:right="80" w:firstLine="551"/>
        <w:spacing w:after="0" w:line="246" w:lineRule="auto"/>
        <w:rPr>
          <w:sz w:val="20"/>
          <w:szCs w:val="20"/>
          <w:color w:val="auto"/>
        </w:rPr>
      </w:pPr>
      <w:r>
        <w:rPr>
          <w:rFonts w:ascii="Arial" w:cs="Arial" w:eastAsia="Arial" w:hAnsi="Arial"/>
          <w:sz w:val="18"/>
          <w:szCs w:val="18"/>
          <w:color w:val="auto"/>
        </w:rPr>
        <w:t>In addition, the Company is obligated to make certain contingent payments including (i) development milestones up to $3.1 million, (ii) low single digit royalties on the net sales of its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60"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developed products that consists of a minimum annual royalty of up to $0.1 million per year for the term of the Agreement beginning in the first calendar year after the year in which net sales first occurred, and (iii) sublicense consideration in the mid-teens to the mid-twenties-range on any future sublicensing arrangements the Company may enter into with third-party licensees.</w:t>
      </w:r>
    </w:p>
    <w:p>
      <w:pPr>
        <w:spacing w:after="0" w:line="203" w:lineRule="exact"/>
        <w:rPr>
          <w:sz w:val="20"/>
          <w:szCs w:val="20"/>
          <w:color w:val="auto"/>
        </w:rPr>
      </w:pPr>
    </w:p>
    <w:p>
      <w:pPr>
        <w:jc w:val="both"/>
        <w:ind w:left="200" w:right="20" w:firstLine="551"/>
        <w:spacing w:after="0"/>
        <w:rPr>
          <w:sz w:val="20"/>
          <w:szCs w:val="20"/>
          <w:color w:val="auto"/>
        </w:rPr>
      </w:pPr>
      <w:r>
        <w:rPr>
          <w:rFonts w:ascii="Arial" w:cs="Arial" w:eastAsia="Arial" w:hAnsi="Arial"/>
          <w:sz w:val="18"/>
          <w:szCs w:val="18"/>
          <w:color w:val="auto"/>
        </w:rPr>
        <w:t>During each of the years ended December 31, 2017 and 2018, the Company incurred expenses of $0.1 million under the provisions of the UC Agreements. During the six months ended June 30, 2018 and 2019, the Company incurred expenses of $0.1 million (unaudited) and $0.2 million (unaudited), respectively, under the provisions of the UC Agreements.</w:t>
      </w:r>
    </w:p>
    <w:p>
      <w:pPr>
        <w:spacing w:after="0" w:line="289" w:lineRule="exact"/>
        <w:rPr>
          <w:sz w:val="20"/>
          <w:szCs w:val="20"/>
          <w:color w:val="auto"/>
        </w:rPr>
      </w:pPr>
    </w:p>
    <w:p>
      <w:pPr>
        <w:ind w:left="200" w:right="7980" w:firstLine="4"/>
        <w:spacing w:after="0" w:line="394" w:lineRule="auto"/>
        <w:tabs>
          <w:tab w:leader="none" w:pos="400" w:val="left"/>
        </w:tabs>
        <w:numPr>
          <w:ilvl w:val="0"/>
          <w:numId w:val="14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Commitments and Contingencies </w:t>
      </w:r>
      <w:r>
        <w:rPr>
          <w:rFonts w:ascii="Arial" w:cs="Arial" w:eastAsia="Arial" w:hAnsi="Arial"/>
          <w:sz w:val="17"/>
          <w:szCs w:val="17"/>
          <w:b w:val="1"/>
          <w:bCs w:val="1"/>
          <w:color w:val="auto"/>
        </w:rPr>
        <w:t>Operating Lease Commitments</w:t>
      </w:r>
    </w:p>
    <w:p>
      <w:pPr>
        <w:spacing w:after="0" w:line="1"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In May 2015, the Company executed a lease agreement for office and laboratory space in Emeryville, California. In January 2016, the Company executed the first amendment to the lease agreement for additional rentable office and laboratory space which extends the lease to March 31, 2023. In October 2018, the Company executed a second amendment to extend the lease to end at the same time as the new lease discussed below. Additionally, the second amendment provided a tenant improvement allowance of $0.2 million, which was paid to the Company in November 2018. The Company amortizes the tenant improvement allowance on a straight-line basis over the remaining term of the lease as a reduction of rent expense.</w:t>
      </w:r>
    </w:p>
    <w:p>
      <w:pPr>
        <w:spacing w:after="0" w:line="205" w:lineRule="exact"/>
        <w:rPr>
          <w:sz w:val="20"/>
          <w:szCs w:val="20"/>
          <w:color w:val="auto"/>
        </w:rPr>
      </w:pPr>
    </w:p>
    <w:p>
      <w:pPr>
        <w:ind w:left="200" w:right="240" w:firstLine="551"/>
        <w:spacing w:after="0" w:line="239" w:lineRule="auto"/>
        <w:rPr>
          <w:sz w:val="20"/>
          <w:szCs w:val="20"/>
          <w:color w:val="auto"/>
        </w:rPr>
      </w:pPr>
      <w:r>
        <w:rPr>
          <w:rFonts w:ascii="Arial" w:cs="Arial" w:eastAsia="Arial" w:hAnsi="Arial"/>
          <w:sz w:val="18"/>
          <w:szCs w:val="18"/>
          <w:color w:val="auto"/>
        </w:rPr>
        <w:t>In October 2018, the Company executed a second lease agreement for additional office and laboratory space in Emeryville, California. The new lease has an initial term of 87 months beginning on the rent commencement date with the option to renew the lease for one additional term of five years. The Company did not have to pay rent until March 2019. This lease agreement also provides for a tenant improvement allowance of $0.4 million.</w:t>
      </w:r>
    </w:p>
    <w:p>
      <w:pPr>
        <w:spacing w:after="0" w:line="202"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In May 2019, the Company amended the second lease agreement executed in October 2018 to add additional office and laboratory space. The amendment extended the term of the lease to December 31, 2029. The Company does not have to pay rent until December 2019. The annual rent for the additional space is $ 1.0 million per annum and escalates at 3% annually. This lease agreement also provides for a tenant improvement allowance of at least $1.6 million.</w:t>
      </w:r>
    </w:p>
    <w:p>
      <w:pPr>
        <w:spacing w:after="0" w:line="202"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The Company recognizes rent expense on a straight-line basis over the lease term with the difference between the rent payments and the straight-line rent expense recorded as deferred rent. Rent expense for the years ended December 31, 2017 and 2018 and six months ended June 30, 2018 and 2019 for these facilities was $0.5 million, $0.5 million, $0.2 million (unaudited) and $0.3 million (unaudited), respectively. Deferred rent as of December 31, 2017, December 31, 2018 and June 30, 2019 was $0.1 million, $0.4 million and $0.2 million (unaudited), respectively. In conjunction with the lease agreements and amendments, the Company paid total security deposits of $0.1 million, $0.3 million and $0.6 million (unaudited), which are included in other assets within the balance sheets as of December 31, 2017, December 31, 2018 and June 30, 2019, respectively. The following table summarizes the Company’s future minimum commitments under lease contracts (in thousands):</w:t>
      </w:r>
    </w:p>
    <w:p>
      <w:pPr>
        <w:spacing w:after="0" w:line="23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6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6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850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6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1,728</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1,804</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6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1,855</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1,911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 and beyond</w:t>
            </w:r>
          </w:p>
        </w:tc>
        <w:tc>
          <w:tcPr>
            <w:tcW w:w="68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5,379</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Total</w:t>
            </w:r>
          </w:p>
        </w:tc>
        <w:tc>
          <w:tcPr>
            <w:tcW w:w="69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13,527</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960" w:type="dxa"/>
            <w:vAlign w:val="bottom"/>
            <w:gridSpan w:val="2"/>
          </w:tcPr>
          <w:p>
            <w:pPr>
              <w:jc w:val="right"/>
              <w:ind w:right="4720"/>
              <w:spacing w:after="0"/>
              <w:rPr>
                <w:sz w:val="20"/>
                <w:szCs w:val="20"/>
                <w:color w:val="auto"/>
              </w:rPr>
            </w:pPr>
            <w:r>
              <w:rPr>
                <w:rFonts w:ascii="Arial" w:cs="Arial" w:eastAsia="Arial" w:hAnsi="Arial"/>
                <w:sz w:val="18"/>
                <w:szCs w:val="18"/>
                <w:color w:val="auto"/>
              </w:rPr>
              <w:t>F-31</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56" w:name="page257"/>
    <w:bookmarkEnd w:id="2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4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20" w:type="dxa"/>
            <w:vAlign w:val="bottom"/>
            <w:tcBorders>
              <w:top w:val="single" w:sz="8" w:color="0000EE"/>
            </w:tcBorders>
            <w:vMerge w:val="restart"/>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9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0" w:type="dxa"/>
            <w:vAlign w:val="bottom"/>
            <w:vMerge w:val="continue"/>
          </w:tcPr>
          <w:p>
            <w:pPr>
              <w:spacing w:after="0"/>
              <w:rPr>
                <w:sz w:val="17"/>
                <w:szCs w:val="17"/>
                <w:color w:val="auto"/>
              </w:rPr>
            </w:pPr>
          </w:p>
        </w:tc>
        <w:tc>
          <w:tcPr>
            <w:tcW w:w="10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June 30, 2019 (unaudited)</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0220" w:type="dxa"/>
            <w:vAlign w:val="bottom"/>
            <w:gridSpan w:val="2"/>
          </w:tcPr>
          <w:p>
            <w:pPr>
              <w:spacing w:after="0" w:line="202" w:lineRule="exact"/>
              <w:rPr>
                <w:sz w:val="20"/>
                <w:szCs w:val="20"/>
                <w:color w:val="auto"/>
              </w:rPr>
            </w:pPr>
            <w:r>
              <w:rPr>
                <w:rFonts w:ascii="Arial" w:cs="Arial" w:eastAsia="Arial" w:hAnsi="Arial"/>
                <w:sz w:val="18"/>
                <w:szCs w:val="18"/>
                <w:color w:val="auto"/>
              </w:rPr>
              <w:t>Remainder of 2019</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9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9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2,885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9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9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3,058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0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2024 and beyond</w:t>
            </w: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18,213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02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 Warrant Obligation</w:t>
      </w:r>
    </w:p>
    <w:p>
      <w:pPr>
        <w:spacing w:after="0" w:line="126" w:lineRule="exact"/>
        <w:rPr>
          <w:sz w:val="20"/>
          <w:szCs w:val="20"/>
          <w:color w:val="auto"/>
        </w:rPr>
      </w:pPr>
    </w:p>
    <w:p>
      <w:pPr>
        <w:jc w:val="both"/>
        <w:ind w:left="200" w:right="40" w:firstLine="551"/>
        <w:spacing w:after="0" w:line="275" w:lineRule="auto"/>
        <w:rPr>
          <w:sz w:val="20"/>
          <w:szCs w:val="20"/>
          <w:color w:val="auto"/>
        </w:rPr>
      </w:pPr>
      <w:r>
        <w:rPr>
          <w:rFonts w:ascii="Arial" w:cs="Arial" w:eastAsia="Arial" w:hAnsi="Arial"/>
          <w:sz w:val="17"/>
          <w:szCs w:val="17"/>
          <w:color w:val="auto"/>
        </w:rPr>
        <w:t>As of December 31, 2017, the Company had an obligation to issue a warrant for 23,669 shares of the Company’s common stock to a service provider. The Company issued the warrant in May 2018. See Note 13 for further discussion on common stock warrant obligation.</w:t>
      </w:r>
    </w:p>
    <w:p>
      <w:pPr>
        <w:spacing w:after="0" w:line="25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6" w:lineRule="exact"/>
        <w:rPr>
          <w:sz w:val="20"/>
          <w:szCs w:val="20"/>
          <w:color w:val="auto"/>
        </w:rPr>
      </w:pPr>
    </w:p>
    <w:p>
      <w:pPr>
        <w:ind w:left="200" w:right="160" w:firstLine="551"/>
        <w:spacing w:after="0" w:line="236"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require the Company, among other things, to indemnify them against certain liabilities that may arise by reason of their status or service as directors or officers to the fullest extent permitted by Delaware corporate law. The Company currently maintains directors’ and officers’ liability insurance that would generally enable it to recover a portion of any future amounts paid. The Company believes the estimated fair value of its indemnification agreements in excess of applicable insurance coverage is not material.</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6"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From time to time, the Company may become involved in legal proceedings arising from the ordinary course of its business. If applicable, the Company records a legal liability when it believes that it is both probable that a liability may be imputed, and the amount of the liability can be reasonably estimated. Significant judgment by the Company is required to determine both probability and the estimated amount. Management is currently not aware of any matters that could have a material adverse effect on the Company’s financial position, results of operations or cash flows.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9. Income Taxes</w:t>
      </w:r>
    </w:p>
    <w:p>
      <w:pPr>
        <w:spacing w:after="0" w:line="126" w:lineRule="exact"/>
        <w:rPr>
          <w:sz w:val="20"/>
          <w:szCs w:val="20"/>
          <w:color w:val="auto"/>
        </w:rPr>
      </w:pPr>
    </w:p>
    <w:p>
      <w:pPr>
        <w:jc w:val="both"/>
        <w:ind w:left="200" w:right="160" w:firstLine="551"/>
        <w:spacing w:after="0"/>
        <w:rPr>
          <w:sz w:val="20"/>
          <w:szCs w:val="20"/>
          <w:color w:val="auto"/>
        </w:rPr>
      </w:pPr>
      <w:r>
        <w:rPr>
          <w:rFonts w:ascii="Arial" w:cs="Arial" w:eastAsia="Arial" w:hAnsi="Arial"/>
          <w:sz w:val="18"/>
          <w:szCs w:val="18"/>
          <w:color w:val="auto"/>
        </w:rPr>
        <w:t>The Company did not record any income tax expense during the years ended December 31, 2017 and 2018. The Company has a net operating loss and has provided a valuation allowance against net deferred tax assets due to uncertainties regarding the Company’s ability to realize these assets. All losses before income taxes arose in the United States.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240" w:top="446" w:right="41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effective tax rate of the Company’s income tax expense (benefit) differs from the federal statutory rate as follows: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760" w:type="dxa"/>
            <w:vAlign w:val="bottom"/>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14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2018</w:t>
            </w:r>
          </w:p>
        </w:tc>
      </w:tr>
      <w:tr>
        <w:trPr>
          <w:trHeight w:val="196"/>
        </w:trPr>
        <w:tc>
          <w:tcPr>
            <w:tcW w:w="20" w:type="dxa"/>
            <w:vAlign w:val="bottom"/>
          </w:tcPr>
          <w:p>
            <w:pPr>
              <w:spacing w:after="0"/>
              <w:rPr>
                <w:sz w:val="17"/>
                <w:szCs w:val="17"/>
                <w:color w:val="auto"/>
              </w:rPr>
            </w:pPr>
          </w:p>
        </w:tc>
        <w:tc>
          <w:tcPr>
            <w:tcW w:w="8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Federal statutory income tax rate</w:t>
            </w:r>
          </w:p>
        </w:tc>
        <w:tc>
          <w:tcPr>
            <w:tcW w:w="76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34.0%</w:t>
            </w:r>
          </w:p>
        </w:tc>
        <w:tc>
          <w:tcPr>
            <w:tcW w:w="7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21.0%</w:t>
            </w: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Research tax credit</w:t>
            </w: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4.4%</w:t>
            </w:r>
          </w:p>
        </w:tc>
        <w:tc>
          <w:tcPr>
            <w:tcW w:w="14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10.0%</w:t>
            </w: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Permanent differences</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(27.4%)</w:t>
            </w: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2017 Tax Act—Tax rate change</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w:t>
            </w:r>
          </w:p>
        </w:tc>
        <w:tc>
          <w:tcPr>
            <w:tcW w:w="146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0.0%</w:t>
            </w:r>
          </w:p>
        </w:tc>
      </w:tr>
      <w:tr>
        <w:trPr>
          <w:trHeight w:val="210"/>
        </w:trPr>
        <w:tc>
          <w:tcPr>
            <w:tcW w:w="20" w:type="dxa"/>
            <w:vAlign w:val="bottom"/>
          </w:tcPr>
          <w:p>
            <w:pPr>
              <w:spacing w:after="0"/>
              <w:rPr>
                <w:sz w:val="18"/>
                <w:szCs w:val="18"/>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Section 382 limitation</w:t>
            </w:r>
          </w:p>
        </w:tc>
        <w:tc>
          <w:tcPr>
            <w:tcW w:w="7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0.0%</w:t>
            </w:r>
          </w:p>
        </w:tc>
        <w:tc>
          <w:tcPr>
            <w:tcW w:w="700" w:type="dxa"/>
            <w:vAlign w:val="bottom"/>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0.0%</w:t>
            </w:r>
          </w:p>
        </w:tc>
        <w:tc>
          <w:tcPr>
            <w:tcW w:w="146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0.0%</w:t>
            </w: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tax effects of temporary differences that give rise to significant components of the deferred taxes are as follows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120" w:type="dxa"/>
            <w:vAlign w:val="bottom"/>
            <w:tcBorders>
              <w:bottom w:val="single" w:sz="8" w:color="CCEEFF"/>
            </w:tcBorders>
          </w:tcPr>
          <w:p>
            <w:pPr>
              <w:spacing w:after="0"/>
              <w:rPr>
                <w:sz w:val="15"/>
                <w:szCs w:val="15"/>
                <w:color w:val="auto"/>
              </w:rPr>
            </w:pPr>
          </w:p>
        </w:tc>
        <w:tc>
          <w:tcPr>
            <w:tcW w:w="3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Deferred Tax Assets</w:t>
            </w:r>
          </w:p>
        </w:tc>
        <w:tc>
          <w:tcPr>
            <w:tcW w:w="3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340"/>
              <w:spacing w:after="0" w:line="202" w:lineRule="exact"/>
              <w:rPr>
                <w:sz w:val="20"/>
                <w:szCs w:val="20"/>
                <w:color w:val="auto"/>
              </w:rPr>
            </w:pPr>
            <w:r>
              <w:rPr>
                <w:rFonts w:ascii="Arial" w:cs="Arial" w:eastAsia="Arial" w:hAnsi="Arial"/>
                <w:sz w:val="18"/>
                <w:szCs w:val="18"/>
                <w:color w:val="auto"/>
              </w:rPr>
              <w:t>Net operating loss carryforwards</w:t>
            </w:r>
          </w:p>
        </w:tc>
        <w:tc>
          <w:tcPr>
            <w:tcW w:w="3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2,853</w:t>
            </w:r>
          </w:p>
        </w:tc>
        <w:tc>
          <w:tcPr>
            <w:tcW w:w="1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1,990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accrued liabilities</w:t>
            </w:r>
          </w:p>
        </w:tc>
        <w:tc>
          <w:tcPr>
            <w:tcW w:w="3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340"/>
              <w:spacing w:after="0" w:line="202" w:lineRule="exact"/>
              <w:rPr>
                <w:sz w:val="20"/>
                <w:szCs w:val="20"/>
                <w:color w:val="auto"/>
              </w:rPr>
            </w:pPr>
            <w:r>
              <w:rPr>
                <w:rFonts w:ascii="Arial" w:cs="Arial" w:eastAsia="Arial" w:hAnsi="Arial"/>
                <w:sz w:val="18"/>
                <w:szCs w:val="18"/>
                <w:color w:val="auto"/>
              </w:rPr>
              <w:t>Deferred revenue</w:t>
            </w:r>
          </w:p>
        </w:tc>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1,152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3,598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tax credits</w:t>
            </w:r>
          </w:p>
        </w:tc>
        <w:tc>
          <w:tcPr>
            <w:tcW w:w="3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ind w:left="340"/>
              <w:spacing w:after="0" w:line="202" w:lineRule="exact"/>
              <w:rPr>
                <w:sz w:val="20"/>
                <w:szCs w:val="20"/>
                <w:color w:val="auto"/>
              </w:rPr>
            </w:pPr>
            <w:r>
              <w:rPr>
                <w:rFonts w:ascii="Arial" w:cs="Arial" w:eastAsia="Arial" w:hAnsi="Arial"/>
                <w:sz w:val="18"/>
                <w:szCs w:val="18"/>
                <w:color w:val="auto"/>
              </w:rPr>
              <w:t>Stock compensation</w:t>
            </w:r>
          </w:p>
        </w:tc>
        <w:tc>
          <w:tcPr>
            <w:tcW w:w="3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tax assets</w:t>
            </w:r>
          </w:p>
        </w:tc>
        <w:tc>
          <w:tcPr>
            <w:tcW w:w="3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5,158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7,775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40" w:type="dxa"/>
            <w:vAlign w:val="bottom"/>
            <w:gridSpan w:val="2"/>
          </w:tcPr>
          <w:p>
            <w:pPr>
              <w:spacing w:after="0"/>
              <w:rPr>
                <w:sz w:val="20"/>
                <w:szCs w:val="20"/>
                <w:color w:val="auto"/>
              </w:rPr>
            </w:pPr>
            <w:r>
              <w:rPr>
                <w:rFonts w:ascii="Arial" w:cs="Arial" w:eastAsia="Arial" w:hAnsi="Arial"/>
                <w:sz w:val="18"/>
                <w:szCs w:val="18"/>
                <w:color w:val="auto"/>
              </w:rPr>
              <w:t>Less: valuation allowance</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(5,158)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(7,775)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w:t>
            </w:r>
          </w:p>
        </w:tc>
        <w:tc>
          <w:tcPr>
            <w:tcW w:w="3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future tax benefits is currently not likely to be realized and, accordingly, has provided a full valuation allowance. The valuation allowance increased by $1.7 million and $2.6 million during the years ended December 31, 2017 and 2018, respectively.</w:t>
      </w:r>
    </w:p>
    <w:p>
      <w:pPr>
        <w:spacing w:after="0" w:line="205"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makes broad and complex changes to the U.S. tax code, including, but not limited to: (i) reducing the U.S. federal corporate tax rate from 35% to 21%; (ii) requiring companies to pay a one-time transition tax on certain unrepatriated earnings of foreign subsidiaries; (iii) generally eliminating U.S. federal income taxes on dividends from foreign subsidiaries; (iv) requiring a current inclusion in U.S. federal taxable income of certain earnings of controlled foreign corporations; (v) eliminating the corporate alternative minimum tax (“AMT”) and changing how existing AMT credits can be realized; (vi) creating the base erosion anti-abuse tax (“BEAT”), a new minimum tax; (vii) creating a new limitation on deductible interest expense; and (viii) changing rules related to uses and limitations of net operating loss carryforwards created in tax years beginning after December 31, 2017.</w:t>
      </w:r>
    </w:p>
    <w:p>
      <w:pPr>
        <w:spacing w:after="0" w:line="208" w:lineRule="exact"/>
        <w:rPr>
          <w:sz w:val="20"/>
          <w:szCs w:val="20"/>
          <w:color w:val="auto"/>
        </w:rPr>
      </w:pPr>
    </w:p>
    <w:p>
      <w:pPr>
        <w:ind w:left="200" w:right="560" w:firstLine="551"/>
        <w:spacing w:after="0"/>
        <w:rPr>
          <w:sz w:val="20"/>
          <w:szCs w:val="20"/>
          <w:color w:val="auto"/>
        </w:rPr>
      </w:pPr>
      <w:r>
        <w:rPr>
          <w:rFonts w:ascii="Arial" w:cs="Arial" w:eastAsia="Arial" w:hAnsi="Arial"/>
          <w:sz w:val="18"/>
          <w:szCs w:val="18"/>
          <w:color w:val="auto"/>
        </w:rPr>
        <w:t>As of December 31, 2018, the Company has completed its analysis of the income tax effects of the Tax Act and there was no material impact to the Company’s financial statements when the analysis was complete. As of December 31, 2017 and 2018, the Company had federal net operating loss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60" w:right="41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20"/>
        <w:spacing w:after="0" w:line="246" w:lineRule="auto"/>
        <w:rPr>
          <w:sz w:val="20"/>
          <w:szCs w:val="20"/>
          <w:color w:val="auto"/>
        </w:rPr>
      </w:pPr>
      <w:r>
        <w:rPr>
          <w:rFonts w:ascii="Arial" w:cs="Arial" w:eastAsia="Arial" w:hAnsi="Arial"/>
          <w:sz w:val="18"/>
          <w:szCs w:val="18"/>
          <w:color w:val="auto"/>
        </w:rPr>
        <w:t>carryforwards of $13.6 million and $9.5 million, respectively, available to reduce future taxable income, if any, for federal income tax purposes, respectively. The federal net operating loss carryforwards expire in 2037.</w:t>
      </w:r>
    </w:p>
    <w:p>
      <w:pPr>
        <w:spacing w:after="0" w:line="197"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As of December 31, 2017 and 2018, the Company had federal research and development credit carryforwards of $0.7 million and $1.3 million and state research and development credit carryforwards of $0.8 million and $1.4 million available to reduce future taxable income, if any, for federal and California state income tax purposes, respectively. The federal credit carryforwards begin expiring in 2035 and the state credits carryforward indefinitely.</w:t>
      </w:r>
    </w:p>
    <w:p>
      <w:pPr>
        <w:spacing w:after="0" w:line="202" w:lineRule="exact"/>
        <w:rPr>
          <w:sz w:val="20"/>
          <w:szCs w:val="20"/>
          <w:color w:val="auto"/>
        </w:rPr>
      </w:pPr>
    </w:p>
    <w:p>
      <w:pPr>
        <w:ind w:left="200" w:right="100" w:firstLine="551"/>
        <w:spacing w:after="0" w:line="253" w:lineRule="auto"/>
        <w:rPr>
          <w:sz w:val="20"/>
          <w:szCs w:val="20"/>
          <w:color w:val="auto"/>
        </w:rPr>
      </w:pPr>
      <w:r>
        <w:rPr>
          <w:rFonts w:ascii="Arial" w:cs="Arial" w:eastAsia="Arial" w:hAnsi="Arial"/>
          <w:sz w:val="17"/>
          <w:szCs w:val="17"/>
          <w:color w:val="auto"/>
        </w:rPr>
        <w:t>Utilization of the net operating loss carryforwards and research credit carryforwards may be subject to an annual limitation due to the ownership percentage change limitations provided by the Internal Revenue Code and similar state provisions. Annual limitations may result in the expiration of the net operating losses and tax credit carryforwards before they are utilized. The Company has experienced ownership changes in the past as a result of its Series B redeemable convertible preferred stock financing. As a result of the ownership changes, the Company has determined that $0.9 million of its NOLs will expire unutilized for federal income tax purposes and such amounts are excluded from its NOLs as of December 31, 2018. Subsequent ownership changes may affect the limitation in future years.</w:t>
      </w:r>
    </w:p>
    <w:p>
      <w:pPr>
        <w:sectPr>
          <w:pgSz w:w="11900" w:h="16838" w:orient="portrait"/>
          <w:cols w:equalWidth="0" w:num="1">
            <w:col w:w="11160"/>
          </w:cols>
          <w:pgMar w:left="240" w:top="460" w:right="499" w:bottom="1440" w:gutter="0" w:footer="0" w:header="0"/>
        </w:sectPr>
      </w:pPr>
    </w:p>
    <w:p>
      <w:pPr>
        <w:spacing w:after="0" w:line="19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reconciliation of the beginning and ending unrecognized tax benefits amounts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Balance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1371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Additions for current year tax positions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Balance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6997700" cy="1289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560"/>
        <w:spacing w:after="0" w:line="234" w:lineRule="auto"/>
        <w:rPr>
          <w:sz w:val="20"/>
          <w:szCs w:val="20"/>
          <w:color w:val="auto"/>
        </w:rPr>
      </w:pPr>
      <w:r>
        <w:rPr>
          <w:rFonts w:ascii="Arial" w:cs="Arial" w:eastAsia="Arial" w:hAnsi="Arial"/>
          <w:sz w:val="18"/>
          <w:szCs w:val="18"/>
          <w:color w:val="auto"/>
        </w:rPr>
        <w:t>Additions for current year tax positions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Reductions of prior year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1289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Balance as of December 31,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0"/>
        <w:spacing w:after="0" w:line="254" w:lineRule="auto"/>
        <w:rPr>
          <w:sz w:val="20"/>
          <w:szCs w:val="20"/>
          <w:color w:val="auto"/>
        </w:rPr>
      </w:pPr>
      <w:r>
        <w:rPr>
          <w:rFonts w:ascii="Arial" w:cs="Arial" w:eastAsia="Arial" w:hAnsi="Arial"/>
          <w:sz w:val="14"/>
          <w:szCs w:val="14"/>
          <w:b w:val="1"/>
          <w:bCs w:val="1"/>
          <w:color w:val="auto"/>
        </w:rPr>
        <w:t>Unrecognized Income Tax Benefits</w:t>
      </w:r>
    </w:p>
    <w:p>
      <w:pPr>
        <w:ind w:left="660" w:hanging="656"/>
        <w:spacing w:after="0" w:line="235"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143</w:t>
      </w:r>
    </w:p>
    <w:p>
      <w:pPr>
        <w:ind w:left="660"/>
        <w:spacing w:after="0"/>
        <w:rPr>
          <w:rFonts w:ascii="Arial" w:cs="Arial" w:eastAsia="Arial" w:hAnsi="Arial"/>
          <w:sz w:val="18"/>
          <w:szCs w:val="18"/>
          <w:color w:val="auto"/>
        </w:rPr>
      </w:pPr>
      <w:r>
        <w:rPr>
          <w:rFonts w:ascii="Arial" w:cs="Arial" w:eastAsia="Arial" w:hAnsi="Arial"/>
          <w:sz w:val="18"/>
          <w:szCs w:val="18"/>
          <w:color w:val="auto"/>
        </w:rPr>
        <w:t>209</w:t>
      </w:r>
    </w:p>
    <w:p>
      <w:pPr>
        <w:spacing w:after="0" w:line="1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352</w:t>
      </w:r>
    </w:p>
    <w:p>
      <w:pPr>
        <w:ind w:left="660"/>
        <w:spacing w:after="0" w:line="234" w:lineRule="auto"/>
        <w:rPr>
          <w:rFonts w:ascii="Arial" w:cs="Arial" w:eastAsia="Arial" w:hAnsi="Arial"/>
          <w:sz w:val="18"/>
          <w:szCs w:val="18"/>
          <w:color w:val="auto"/>
        </w:rPr>
      </w:pPr>
      <w:r>
        <w:rPr>
          <w:rFonts w:ascii="Arial" w:cs="Arial" w:eastAsia="Arial" w:hAnsi="Arial"/>
          <w:sz w:val="18"/>
          <w:szCs w:val="18"/>
          <w:color w:val="auto"/>
        </w:rPr>
        <w:t>333</w:t>
      </w:r>
    </w:p>
    <w:p>
      <w:pPr>
        <w:ind w:left="700"/>
        <w:spacing w:after="0"/>
        <w:rPr>
          <w:rFonts w:ascii="Arial" w:cs="Arial" w:eastAsia="Arial" w:hAnsi="Arial"/>
          <w:sz w:val="18"/>
          <w:szCs w:val="18"/>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-397510</wp:posOffset>
            </wp:positionV>
            <wp:extent cx="60896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5080</wp:posOffset>
            </wp:positionV>
            <wp:extent cx="60896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14" w:lineRule="exact"/>
        <w:rPr>
          <w:sz w:val="20"/>
          <w:szCs w:val="20"/>
          <w:color w:val="auto"/>
        </w:rPr>
      </w:pPr>
    </w:p>
    <w:p>
      <w:pPr>
        <w:ind w:left="660" w:hanging="656"/>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-1905</wp:posOffset>
            </wp:positionV>
            <wp:extent cx="60896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14605</wp:posOffset>
            </wp:positionV>
            <wp:extent cx="60896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40" w:space="600"/>
            <w:col w:w="1020"/>
          </w:cols>
          <w:pgMar w:left="240" w:top="460" w:right="499" w:bottom="1440" w:gutter="0" w:footer="0" w:header="0"/>
          <w:type w:val="continuous"/>
        </w:sectPr>
      </w:pPr>
    </w:p>
    <w:p>
      <w:pPr>
        <w:spacing w:after="0" w:line="66" w:lineRule="exact"/>
        <w:rPr>
          <w:sz w:val="20"/>
          <w:szCs w:val="20"/>
          <w:color w:val="auto"/>
        </w:rPr>
      </w:pPr>
    </w:p>
    <w:p>
      <w:pPr>
        <w:ind w:left="200" w:right="260" w:firstLine="551"/>
        <w:spacing w:after="0" w:line="239" w:lineRule="auto"/>
        <w:rPr>
          <w:sz w:val="20"/>
          <w:szCs w:val="20"/>
          <w:color w:val="auto"/>
        </w:rPr>
      </w:pPr>
      <w:r>
        <w:rPr>
          <w:rFonts w:ascii="Arial" w:cs="Arial" w:eastAsia="Arial" w:hAnsi="Arial"/>
          <w:sz w:val="18"/>
          <w:szCs w:val="18"/>
          <w:color w:val="auto"/>
        </w:rPr>
        <w:t>The entire amount of the unrecognized tax benefits would not impact the Company’s effective tax rate if recognized. During the years ended December 31, 2017 and 2018, the Company did not recognize accrued interest and penalties related to unrecognized tax benefits. The Company does not anticipate that the amount of existing unrecognized tax benefits will materially increase or decrease during the next 12 months.</w:t>
      </w:r>
    </w:p>
    <w:p>
      <w:pPr>
        <w:spacing w:after="0" w:line="202" w:lineRule="exact"/>
        <w:rPr>
          <w:sz w:val="20"/>
          <w:szCs w:val="20"/>
          <w:color w:val="auto"/>
        </w:rPr>
      </w:pPr>
    </w:p>
    <w:p>
      <w:pPr>
        <w:ind w:left="200" w:right="20" w:firstLine="551"/>
        <w:spacing w:after="0" w:line="275" w:lineRule="auto"/>
        <w:rPr>
          <w:sz w:val="20"/>
          <w:szCs w:val="20"/>
          <w:color w:val="auto"/>
        </w:rPr>
      </w:pPr>
      <w:r>
        <w:rPr>
          <w:rFonts w:ascii="Arial" w:cs="Arial" w:eastAsia="Arial" w:hAnsi="Arial"/>
          <w:sz w:val="17"/>
          <w:szCs w:val="17"/>
          <w:color w:val="auto"/>
        </w:rPr>
        <w:t>The Company files income tax returns in the U.S. federal and California tax jurisdictions. All tax returns from inception to December 31, 2018 remain subject to examination. The Company has no ongoing income tax examinations by tax authorities at this time.</w:t>
      </w:r>
    </w:p>
    <w:p>
      <w:pPr>
        <w:spacing w:after="0" w:line="25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10. Redeemable Convertible Preferred Stock</w:t>
      </w:r>
    </w:p>
    <w:p>
      <w:pPr>
        <w:spacing w:after="0" w:line="126" w:lineRule="exact"/>
        <w:rPr>
          <w:sz w:val="20"/>
          <w:szCs w:val="20"/>
          <w:color w:val="auto"/>
        </w:rPr>
      </w:pPr>
    </w:p>
    <w:p>
      <w:pPr>
        <w:ind w:left="200" w:right="40" w:firstLine="551"/>
        <w:spacing w:after="0" w:line="246" w:lineRule="auto"/>
        <w:rPr>
          <w:sz w:val="20"/>
          <w:szCs w:val="20"/>
          <w:color w:val="auto"/>
        </w:rPr>
      </w:pPr>
      <w:r>
        <w:rPr>
          <w:rFonts w:ascii="Arial" w:cs="Arial" w:eastAsia="Arial" w:hAnsi="Arial"/>
          <w:sz w:val="18"/>
          <w:szCs w:val="18"/>
          <w:color w:val="auto"/>
        </w:rPr>
        <w:t>In August 2018, the Company issued 5,154,632 shares of Series B redeemable convertible preferred stock at $17.46 per share for gross proceeds of $90.0 million.</w:t>
      </w:r>
    </w:p>
    <w:p>
      <w:pPr>
        <w:spacing w:after="0" w:line="197"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As of December 31, 2017, December 31, 2018 and June 30, 2019 (unaudited), the Company’s certificate of incorporation authorized the Company to issue up to 2,309,312 shares and 7,375,638 and 7,375,638 shares of redeemable convertible preferred stock, respectively, at a par value of $0.0001 per share.</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60"/>
          </w:cols>
          <w:pgMar w:left="240" w:top="460" w:right="499" w:bottom="1440" w:gutter="0" w:footer="0" w:header="0"/>
          <w:type w:val="continuous"/>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40" w:firstLine="551"/>
        <w:spacing w:after="0" w:line="246" w:lineRule="auto"/>
        <w:rPr>
          <w:sz w:val="20"/>
          <w:szCs w:val="20"/>
          <w:color w:val="auto"/>
        </w:rPr>
      </w:pPr>
      <w:r>
        <w:rPr>
          <w:rFonts w:ascii="Arial" w:cs="Arial" w:eastAsia="Arial" w:hAnsi="Arial"/>
          <w:sz w:val="18"/>
          <w:szCs w:val="18"/>
          <w:color w:val="auto"/>
        </w:rPr>
        <w:t>Redeemable convertible preferred stock consists of the following as of December 31, 2017 (in thousands, except per share and share amounts):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Original</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Proceeds</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4"/>
                <w:szCs w:val="14"/>
                <w:b w:val="1"/>
                <w:bCs w:val="1"/>
                <w:color w:val="auto"/>
              </w:rPr>
              <w:t>Shares</w:t>
            </w:r>
          </w:p>
        </w:tc>
        <w:tc>
          <w:tcPr>
            <w:tcW w:w="1360" w:type="dxa"/>
            <w:vAlign w:val="bottom"/>
            <w:gridSpan w:val="4"/>
          </w:tcPr>
          <w:p>
            <w:pPr>
              <w:ind w:left="360"/>
              <w:spacing w:after="0"/>
              <w:rPr>
                <w:sz w:val="20"/>
                <w:szCs w:val="20"/>
                <w:color w:val="auto"/>
              </w:rPr>
            </w:pPr>
            <w:r>
              <w:rPr>
                <w:rFonts w:ascii="Arial" w:cs="Arial" w:eastAsia="Arial" w:hAnsi="Arial"/>
                <w:sz w:val="14"/>
                <w:szCs w:val="14"/>
                <w:b w:val="1"/>
                <w:bCs w:val="1"/>
                <w:color w:val="auto"/>
              </w:rPr>
              <w:t>Issuance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Issued and</w:t>
            </w:r>
          </w:p>
        </w:tc>
        <w:tc>
          <w:tcPr>
            <w:tcW w:w="1140" w:type="dxa"/>
            <w:vAlign w:val="bottom"/>
            <w:gridSpan w:val="3"/>
          </w:tcPr>
          <w:p>
            <w:pPr>
              <w:ind w:left="360"/>
              <w:spacing w:after="0"/>
              <w:rPr>
                <w:sz w:val="20"/>
                <w:szCs w:val="20"/>
                <w:color w:val="auto"/>
              </w:rPr>
            </w:pPr>
            <w:r>
              <w:rPr>
                <w:rFonts w:ascii="Arial" w:cs="Arial" w:eastAsia="Arial" w:hAnsi="Arial"/>
                <w:sz w:val="14"/>
                <w:szCs w:val="14"/>
                <w:b w:val="1"/>
                <w:bCs w:val="1"/>
                <w:color w:val="auto"/>
              </w:rPr>
              <w:t>Liquidation</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Net of</w:t>
            </w:r>
          </w:p>
        </w:tc>
      </w:tr>
      <w:tr>
        <w:trPr>
          <w:trHeight w:val="175"/>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Authorized</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Price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Value</w:t>
            </w:r>
          </w:p>
        </w:tc>
        <w:tc>
          <w:tcPr>
            <w:tcW w:w="1420" w:type="dxa"/>
            <w:vAlign w:val="bottom"/>
            <w:gridSpan w:val="4"/>
          </w:tcPr>
          <w:p>
            <w:pPr>
              <w:jc w:val="center"/>
              <w:ind w:left="199"/>
              <w:spacing w:after="0"/>
              <w:rPr>
                <w:sz w:val="20"/>
                <w:szCs w:val="20"/>
                <w:color w:val="auto"/>
              </w:rPr>
            </w:pPr>
            <w:r>
              <w:rPr>
                <w:rFonts w:ascii="Arial" w:cs="Arial" w:eastAsia="Arial" w:hAnsi="Arial"/>
                <w:sz w:val="14"/>
                <w:szCs w:val="14"/>
                <w:b w:val="1"/>
                <w:bCs w:val="1"/>
                <w:color w:val="auto"/>
              </w:rPr>
              <w:t>Issuance Cost</w:t>
            </w:r>
          </w:p>
        </w:tc>
      </w:tr>
      <w:tr>
        <w:trPr>
          <w:trHeight w:val="196"/>
        </w:trPr>
        <w:tc>
          <w:tcPr>
            <w:tcW w:w="20" w:type="dxa"/>
            <w:vAlign w:val="bottom"/>
          </w:tcPr>
          <w:p>
            <w:pPr>
              <w:spacing w:after="0"/>
              <w:rPr>
                <w:sz w:val="17"/>
                <w:szCs w:val="17"/>
                <w:color w:val="auto"/>
              </w:rPr>
            </w:pPr>
          </w:p>
        </w:tc>
        <w:tc>
          <w:tcPr>
            <w:tcW w:w="5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909,312</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7.70</w:t>
            </w: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909,312</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7,001</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6,960</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Series A-1</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1,400,000</w:t>
            </w:r>
          </w:p>
        </w:tc>
        <w:tc>
          <w:tcPr>
            <w:tcW w:w="48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8.84</w:t>
            </w:r>
          </w:p>
        </w:tc>
        <w:tc>
          <w:tcPr>
            <w:tcW w:w="380" w:type="dxa"/>
            <w:vAlign w:val="bottom"/>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1,311,687</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11,595</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11,548</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2,309,312</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2,220,999</w:t>
            </w:r>
          </w:p>
        </w:tc>
        <w:tc>
          <w:tcPr>
            <w:tcW w:w="5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18,596</w:t>
            </w: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340" w:firstLine="551"/>
        <w:spacing w:after="0" w:line="246" w:lineRule="auto"/>
        <w:rPr>
          <w:sz w:val="20"/>
          <w:szCs w:val="20"/>
          <w:color w:val="auto"/>
        </w:rPr>
      </w:pPr>
      <w:r>
        <w:rPr>
          <w:rFonts w:ascii="Arial" w:cs="Arial" w:eastAsia="Arial" w:hAnsi="Arial"/>
          <w:sz w:val="18"/>
          <w:szCs w:val="18"/>
          <w:color w:val="auto"/>
        </w:rPr>
        <w:t>Redeemable convertible preferred stock consists of the following as of December 31, 2018 (in thousands, except per share and share amounts):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Original</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Proceeds</w:t>
            </w: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80" w:type="dxa"/>
            <w:vAlign w:val="bottom"/>
          </w:tcPr>
          <w:p>
            <w:pPr>
              <w:jc w:val="right"/>
              <w:ind w:right="116"/>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Issuance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Issued and</w:t>
            </w:r>
          </w:p>
        </w:tc>
        <w:tc>
          <w:tcPr>
            <w:tcW w:w="26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Liquidation</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Net of</w:t>
            </w:r>
          </w:p>
        </w:tc>
      </w:tr>
      <w:tr>
        <w:trPr>
          <w:trHeight w:val="175"/>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Authorized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Price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54"/>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5"/>
                <w:szCs w:val="15"/>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Issuance Cost</w:t>
            </w:r>
          </w:p>
        </w:tc>
      </w:tr>
      <w:tr>
        <w:trPr>
          <w:trHeight w:val="196"/>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909,312</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7.70</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909,312</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7,001</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6,960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Series A-1</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1,311,687</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8.84</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1,311,687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11,595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11,548</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5,154,639</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17.46</w:t>
            </w:r>
          </w:p>
        </w:tc>
        <w:tc>
          <w:tcPr>
            <w:tcW w:w="26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5,154,632</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90,000</w:t>
            </w:r>
          </w:p>
        </w:tc>
        <w:tc>
          <w:tcPr>
            <w:tcW w:w="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84,472</w:t>
            </w: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spacing w:after="0"/>
              <w:rPr>
                <w:sz w:val="20"/>
                <w:szCs w:val="20"/>
                <w:color w:val="auto"/>
              </w:rPr>
            </w:pPr>
            <w:r>
              <w:rPr>
                <w:rFonts w:ascii="Arial" w:cs="Arial" w:eastAsia="Arial" w:hAnsi="Arial"/>
                <w:sz w:val="18"/>
                <w:szCs w:val="18"/>
                <w:color w:val="auto"/>
              </w:rPr>
              <w:t>7,375,638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7,375,631</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108,596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102,980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180" w:firstLine="551"/>
        <w:spacing w:after="0" w:line="246" w:lineRule="auto"/>
        <w:rPr>
          <w:sz w:val="20"/>
          <w:szCs w:val="20"/>
          <w:color w:val="auto"/>
        </w:rPr>
      </w:pPr>
      <w:r>
        <w:rPr>
          <w:rFonts w:ascii="Arial" w:cs="Arial" w:eastAsia="Arial" w:hAnsi="Arial"/>
          <w:sz w:val="18"/>
          <w:szCs w:val="18"/>
          <w:color w:val="auto"/>
        </w:rPr>
        <w:t>Redeemable convertible preferred stock consists of the following as of June 30, 2019 (unaudited) (in thousands, except per share and share amounts):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Original</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Proceeds</w:t>
            </w: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80" w:type="dxa"/>
            <w:vAlign w:val="bottom"/>
          </w:tcPr>
          <w:p>
            <w:pPr>
              <w:jc w:val="right"/>
              <w:ind w:right="116"/>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Issuance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Issued and</w:t>
            </w:r>
          </w:p>
        </w:tc>
        <w:tc>
          <w:tcPr>
            <w:tcW w:w="26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Liquidation</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Net of</w:t>
            </w:r>
          </w:p>
        </w:tc>
      </w:tr>
      <w:tr>
        <w:trPr>
          <w:trHeight w:val="175"/>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Authorized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Price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54"/>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5"/>
                <w:szCs w:val="15"/>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Issuance Cost</w:t>
            </w:r>
          </w:p>
        </w:tc>
      </w:tr>
      <w:tr>
        <w:trPr>
          <w:trHeight w:val="196"/>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909,312</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7.70</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909,312</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7,001</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6,960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Series A-1</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1,311,687</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8.84</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1,311,687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11,595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11,548</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5,154,639</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17.46</w:t>
            </w:r>
          </w:p>
        </w:tc>
        <w:tc>
          <w:tcPr>
            <w:tcW w:w="26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5,154,632</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90,000</w:t>
            </w:r>
          </w:p>
        </w:tc>
        <w:tc>
          <w:tcPr>
            <w:tcW w:w="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84,472</w:t>
            </w: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spacing w:after="0"/>
              <w:rPr>
                <w:sz w:val="20"/>
                <w:szCs w:val="20"/>
                <w:color w:val="auto"/>
              </w:rPr>
            </w:pPr>
            <w:r>
              <w:rPr>
                <w:rFonts w:ascii="Arial" w:cs="Arial" w:eastAsia="Arial" w:hAnsi="Arial"/>
                <w:sz w:val="18"/>
                <w:szCs w:val="18"/>
                <w:color w:val="auto"/>
              </w:rPr>
              <w:t>7,375,638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7,375,631</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108,596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102,980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holders of redeemable convertible preferred stock have various rights and preferences including the following:</w:t>
      </w:r>
    </w:p>
    <w:p>
      <w:pPr>
        <w:spacing w:after="0" w:line="194" w:lineRule="exact"/>
        <w:rPr>
          <w:sz w:val="20"/>
          <w:szCs w:val="20"/>
          <w:color w:val="auto"/>
        </w:rPr>
      </w:pPr>
    </w:p>
    <w:p>
      <w:pPr>
        <w:ind w:left="200" w:right="160" w:firstLine="551"/>
        <w:spacing w:after="0" w:line="251" w:lineRule="auto"/>
        <w:rPr>
          <w:sz w:val="20"/>
          <w:szCs w:val="20"/>
          <w:color w:val="auto"/>
        </w:rPr>
      </w:pPr>
      <w:r>
        <w:rPr>
          <w:rFonts w:ascii="Arial" w:cs="Arial" w:eastAsia="Arial" w:hAnsi="Arial"/>
          <w:sz w:val="17"/>
          <w:szCs w:val="17"/>
          <w:i w:val="1"/>
          <w:iCs w:val="1"/>
          <w:color w:val="auto"/>
        </w:rPr>
        <w:t>Liquidation Preference—</w:t>
      </w:r>
      <w:r>
        <w:rPr>
          <w:rFonts w:ascii="Arial" w:cs="Arial" w:eastAsia="Arial" w:hAnsi="Arial"/>
          <w:sz w:val="17"/>
          <w:szCs w:val="17"/>
          <w:color w:val="auto"/>
        </w:rPr>
        <w:t>In the event of a liquidation event, the holders of the Series B redeemable convertible preferred stock are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receive any distribution of any of the assets of the Company in preference to the holders of the Series A-1 redeemable convertible preferred stock, Series A redeemable convertible preferred stock or common stock, an amount per share equal to the greater of (i) the Original Series B issue price plus all declared but unpaid dividends and (ii) such amount per share payable had all shares of Series B redeemable convertible preferred stock been converted into common stock. After full payment to holders of the Series B redeemable convertible preferred stock, payment should be made to the holders of Series A-1 redeemable convertible preferred stock, in preference to the holders of the Series A redeemable convertible preferred stock or common stock, in an amount equal to the greater of</w:t>
      </w:r>
    </w:p>
    <w:p>
      <w:pPr>
        <w:spacing w:after="0" w:line="5" w:lineRule="exact"/>
        <w:rPr>
          <w:sz w:val="20"/>
          <w:szCs w:val="20"/>
          <w:color w:val="auto"/>
        </w:rPr>
      </w:pPr>
    </w:p>
    <w:p>
      <w:pPr>
        <w:ind w:left="200" w:right="200" w:firstLine="4"/>
        <w:spacing w:after="0" w:line="238" w:lineRule="auto"/>
        <w:tabs>
          <w:tab w:leader="none" w:pos="41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Original Series A-1 issue price plus all declared but unpaid dividends and (ii) such amount per share payable had all shares of Series A-1 redeemable convertible preferred stock been converted into common stock. After full payment to holders of the Series A-1 redeemable convertible preferred stock, payment should be made to the holders of Series A redeemable convertible preferred stock, in preference to the holders of the common stock, in an amount equal to the greater of (i) the Original Series A issue price plus all declared but unpaid dividends and (ii) such amount per share payable had all shares of Series A</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240" w:top="460" w:right="41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redeemable convertible preferred stock been converted into common stock. If upon the occurrence of a liquidation event, the available assets are insufficient to pay the holders of a given series of redeemable convertible preferred stock the full amount to which they are entitled, then the available assets shall be distributed to the holders of such preferred stock on pro rata, on an equal priority, pari passu basis, in proportion to the full preferential amount such holder is otherwise entitled to receive.</w:t>
      </w:r>
    </w:p>
    <w:p>
      <w:pPr>
        <w:spacing w:after="0" w:line="202"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Notwithstanding the above, for purposes of determining the amount each holder of shares of redeemable convertible preferred stock is entitled to receive with respect to a Liquidation Event, each such holder of shares of a series of redeemable convertible preferred stock shall be deemed to have converted such holder’s shares of such series into shares of common stock immediately prior to the Liquidation Event if, as a result of an actual conversion, such holder would receive, in the aggregate, an amount greater than the amount that would be distributed to such holder if such holder did not convert such series of redeemable convertible preferred stock into shares of common stock. If any such holder shall be deemed to have converted shares of redeemable convertible preferred stock into common stock pursuant to this paragraph, then such holder shall not be entitled to receive any distribution that would otherwise be made to holders of redeemable convertible preferred stock that have not converted into shares of common stock.</w:t>
      </w:r>
    </w:p>
    <w:p>
      <w:pPr>
        <w:spacing w:after="0" w:line="190" w:lineRule="exact"/>
        <w:rPr>
          <w:sz w:val="20"/>
          <w:szCs w:val="20"/>
          <w:color w:val="auto"/>
        </w:rPr>
      </w:pPr>
    </w:p>
    <w:p>
      <w:pPr>
        <w:ind w:left="200" w:right="160" w:firstLine="551"/>
        <w:spacing w:after="0" w:line="239" w:lineRule="auto"/>
        <w:rPr>
          <w:sz w:val="20"/>
          <w:szCs w:val="20"/>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Shares of any series of redeemable convertible preferred stock can be converted, at the option of the holder, into</w:t>
      </w:r>
      <w:r>
        <w:rPr>
          <w:rFonts w:ascii="Arial" w:cs="Arial" w:eastAsia="Arial" w:hAnsi="Arial"/>
          <w:sz w:val="18"/>
          <w:szCs w:val="18"/>
          <w:i w:val="1"/>
          <w:iCs w:val="1"/>
          <w:color w:val="auto"/>
        </w:rPr>
        <w:t xml:space="preserve"> </w:t>
      </w:r>
      <w:r>
        <w:rPr>
          <w:rFonts w:ascii="Arial" w:cs="Arial" w:eastAsia="Arial" w:hAnsi="Arial"/>
          <w:sz w:val="18"/>
          <w:szCs w:val="18"/>
          <w:color w:val="auto"/>
        </w:rPr>
        <w:t>such number of fully paid and non-assessable shares of common stock using a conversion rate determined by dividing the applicable original issue price by the applicable conversion price, as adjusted for any anti-dilution adjustments. If, after the issuance date of the redeemable convertible preferred stock, the Company issues or sells, or is deemed to have sold, additional shares of common stock at a price lower than the original issuance price, except for certain exceptions allowed, the conversion price of the redeemable convertible preferred stock would be adjusted. As of December 31, 2018 and June 30, 2019 (unaudited), the conversion price for the Series A, A-1 and B redeemable convertible preferred stock is $7.700 per share, $8.839 per share and $17.460 per share, respectively, and the conversion ratio is one-for-one.</w:t>
      </w:r>
    </w:p>
    <w:p>
      <w:pPr>
        <w:spacing w:after="0" w:line="20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As of December 31, 2018 and June 30, 2019, shares of redeemable convertible preferred stock shall automatically be converted into shares of common stock at the then effective conversion price for such share, immediately prior to either: (i) the completion of an underwritten public offering of the Company’s common stock at a price of at least 1.5 times the original Series B issuance price for any initial public offering consummated at any time prior to the first anniversary of the Series B original issuance date, or 1.25 times the original Series B issuance price for any such IPO thereafter and that provides at least $30.0 million of gross proceeds to the Company (a “Qualified IPO”) or (ii) the conversion by the holders of redeemable convertible preferred stock, which requires the vote of the holders of a majority of the then outstanding shares of redeemable convertible preferred stock, voting together as a single class on an as-converted to common stock basis.</w:t>
      </w:r>
    </w:p>
    <w:p>
      <w:pPr>
        <w:spacing w:after="0" w:line="190" w:lineRule="exact"/>
        <w:rPr>
          <w:sz w:val="20"/>
          <w:szCs w:val="20"/>
          <w:color w:val="auto"/>
        </w:rPr>
      </w:pPr>
    </w:p>
    <w:p>
      <w:pPr>
        <w:ind w:left="200" w:right="40" w:firstLine="551"/>
        <w:spacing w:after="0" w:line="242"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Holders of shares of redeemable convertible preferred stock shall be entitled to non-cumulative dividends prior to, and</w:t>
      </w:r>
      <w:r>
        <w:rPr>
          <w:rFonts w:ascii="Arial" w:cs="Arial" w:eastAsia="Arial" w:hAnsi="Arial"/>
          <w:sz w:val="18"/>
          <w:szCs w:val="18"/>
          <w:i w:val="1"/>
          <w:iCs w:val="1"/>
          <w:color w:val="auto"/>
        </w:rPr>
        <w:t xml:space="preserve"> </w:t>
      </w:r>
      <w:r>
        <w:rPr>
          <w:rFonts w:ascii="Arial" w:cs="Arial" w:eastAsia="Arial" w:hAnsi="Arial"/>
          <w:sz w:val="18"/>
          <w:szCs w:val="18"/>
          <w:color w:val="auto"/>
        </w:rPr>
        <w:t>in preference to any declaration or payment of any dividend on common stock. The amount of such dividends payable per share of preferred stock is at least equal to the dividend payable per share of common stock. Through December 31, 2018 and June 30, 2019 (unaudited), no dividends had been declared. Given this dividend preference, the Company considers all series of redeemable convertible preferred stock to be participating securities.</w:t>
      </w:r>
    </w:p>
    <w:p>
      <w:pPr>
        <w:spacing w:after="0" w:line="185" w:lineRule="exact"/>
        <w:rPr>
          <w:sz w:val="20"/>
          <w:szCs w:val="20"/>
          <w:color w:val="auto"/>
        </w:rPr>
      </w:pPr>
    </w:p>
    <w:p>
      <w:pPr>
        <w:ind w:left="200" w:right="40" w:firstLine="551"/>
        <w:spacing w:after="0" w:line="245"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Each holder of redeemable convertible preferred stock shall be entitled to the number of votes equal to the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of common stock into which the shares of redeemable convertible preferred stock held by such holder could be converted as of the record date. Holders of redeemable convertible preferred stock and common stock generally vote as a single class. So long as at least 916,380 of the Series B redeemable convertible preferred stock issued remain outstanding, the</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20"/>
          </w:cols>
          <w:pgMar w:left="24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holders of a majority of the Series B redeemable convertible preferred stock will be entitled to designate one director. So long as Pfizer and its Affiliates continue to own at least 25% of the Series A-1 redeemable convertible preferred stock, Pfizer will be entitled to designate one director.</w:t>
      </w:r>
    </w:p>
    <w:p>
      <w:pPr>
        <w:spacing w:after="0" w:line="185" w:lineRule="exact"/>
        <w:rPr>
          <w:sz w:val="20"/>
          <w:szCs w:val="20"/>
          <w:color w:val="auto"/>
        </w:rPr>
      </w:pPr>
    </w:p>
    <w:p>
      <w:pPr>
        <w:ind w:left="200" w:right="480" w:firstLine="551"/>
        <w:spacing w:after="0" w:line="251" w:lineRule="auto"/>
        <w:rPr>
          <w:sz w:val="20"/>
          <w:szCs w:val="20"/>
          <w:color w:val="auto"/>
        </w:rPr>
      </w:pPr>
      <w:r>
        <w:rPr>
          <w:rFonts w:ascii="Arial" w:cs="Arial" w:eastAsia="Arial" w:hAnsi="Arial"/>
          <w:sz w:val="18"/>
          <w:szCs w:val="18"/>
          <w:i w:val="1"/>
          <w:iCs w:val="1"/>
          <w:color w:val="auto"/>
        </w:rPr>
        <w:t>Redemption and Balance Sheet Classification—</w:t>
      </w:r>
      <w:r>
        <w:rPr>
          <w:rFonts w:ascii="Arial" w:cs="Arial" w:eastAsia="Arial" w:hAnsi="Arial"/>
          <w:sz w:val="18"/>
          <w:szCs w:val="18"/>
          <w:color w:val="auto"/>
        </w:rPr>
        <w:t>The redeemable convertible preferred stock is recorded in mezzanine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while it is not mandatorily redeemable, it will become redeemable at the option of the stockholders upon the occurrence of a deemed liquidation event that is considered not solely within the Company’s control.</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11. Common Stock</w:t>
      </w:r>
    </w:p>
    <w:p>
      <w:pPr>
        <w:spacing w:after="0" w:line="126" w:lineRule="exact"/>
        <w:rPr>
          <w:sz w:val="20"/>
          <w:szCs w:val="20"/>
          <w:color w:val="auto"/>
        </w:rPr>
      </w:pPr>
    </w:p>
    <w:p>
      <w:pPr>
        <w:ind w:left="200" w:right="140" w:firstLine="551"/>
        <w:spacing w:after="0"/>
        <w:rPr>
          <w:sz w:val="20"/>
          <w:szCs w:val="20"/>
          <w:color w:val="auto"/>
        </w:rPr>
      </w:pPr>
      <w:r>
        <w:rPr>
          <w:rFonts w:ascii="Arial" w:cs="Arial" w:eastAsia="Arial" w:hAnsi="Arial"/>
          <w:sz w:val="18"/>
          <w:szCs w:val="18"/>
          <w:color w:val="auto"/>
        </w:rPr>
        <w:t>As of December 31, 2017, December 31, 2018 and June 30, 2019 (unaudited), the Company’s certificate of incorporation authorized the Company to issue 50,000,000 shares of common stock at the par value of $0.0001 per share. The holder of each share of common stock is entitled to one vote per share.</w:t>
      </w:r>
    </w:p>
    <w:p>
      <w:pPr>
        <w:spacing w:after="0" w:line="203" w:lineRule="exact"/>
        <w:rPr>
          <w:sz w:val="20"/>
          <w:szCs w:val="20"/>
          <w:color w:val="auto"/>
        </w:rPr>
      </w:pPr>
    </w:p>
    <w:p>
      <w:pPr>
        <w:jc w:val="both"/>
        <w:ind w:left="200" w:right="460" w:firstLine="551"/>
        <w:spacing w:after="0"/>
        <w:rPr>
          <w:sz w:val="20"/>
          <w:szCs w:val="20"/>
          <w:color w:val="auto"/>
        </w:rPr>
      </w:pPr>
      <w:r>
        <w:rPr>
          <w:rFonts w:ascii="Arial" w:cs="Arial" w:eastAsia="Arial" w:hAnsi="Arial"/>
          <w:sz w:val="18"/>
          <w:szCs w:val="18"/>
          <w:color w:val="auto"/>
        </w:rPr>
        <w:t>Common stockholders are entitled to dividends if and when declared by the board of directors, subject to the prior rights of the redeemable preferred stockholders. As of December 31, 2017, December 31, 2018 and June 30, 2019 (unaudited), no dividends on common stock had been declared by the board of directors.</w:t>
      </w:r>
    </w:p>
    <w:p>
      <w:pPr>
        <w:spacing w:after="0" w:line="203" w:lineRule="exact"/>
        <w:rPr>
          <w:sz w:val="20"/>
          <w:szCs w:val="20"/>
          <w:color w:val="auto"/>
        </w:rPr>
      </w:pPr>
    </w:p>
    <w:p>
      <w:pPr>
        <w:ind w:left="200" w:right="160" w:firstLine="551"/>
        <w:spacing w:after="0" w:line="261" w:lineRule="auto"/>
        <w:rPr>
          <w:sz w:val="20"/>
          <w:szCs w:val="20"/>
          <w:color w:val="auto"/>
        </w:rPr>
      </w:pPr>
      <w:r>
        <w:rPr>
          <w:rFonts w:ascii="Arial" w:cs="Arial" w:eastAsia="Arial" w:hAnsi="Arial"/>
          <w:sz w:val="17"/>
          <w:szCs w:val="17"/>
          <w:color w:val="auto"/>
        </w:rPr>
        <w:t>The number of authorized shares of common stock may be increased or decreased (but not below the number of shares thereof then outstanding or reserved for issuance) by the affirmative vote of the holders of a majority (assuming the conversion of all redeemable convertible preferred stock) of the capital stock of the Company entitled to vote and without a separate class vote of the common stock.</w:t>
      </w:r>
    </w:p>
    <w:p>
      <w:pPr>
        <w:spacing w:after="0" w:line="186" w:lineRule="exact"/>
        <w:rPr>
          <w:sz w:val="20"/>
          <w:szCs w:val="20"/>
          <w:color w:val="auto"/>
        </w:rPr>
      </w:pPr>
    </w:p>
    <w:p>
      <w:pPr>
        <w:ind w:left="200" w:right="240" w:firstLine="551"/>
        <w:spacing w:after="0" w:line="246" w:lineRule="auto"/>
        <w:rPr>
          <w:sz w:val="20"/>
          <w:szCs w:val="20"/>
          <w:color w:val="auto"/>
        </w:rPr>
      </w:pPr>
      <w:r>
        <w:rPr>
          <w:rFonts w:ascii="Arial" w:cs="Arial" w:eastAsia="Arial" w:hAnsi="Arial"/>
          <w:sz w:val="18"/>
          <w:szCs w:val="18"/>
          <w:color w:val="auto"/>
        </w:rPr>
        <w:t>As of December 31, 2017, December 31, 2018 and June 30, 2019 (unaudited), the Company has reserved common stock, on an as-converted basis, for future issuance as follows: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100" w:type="dxa"/>
            <w:vAlign w:val="bottom"/>
          </w:tcPr>
          <w:p>
            <w:pPr>
              <w:jc w:val="right"/>
              <w:ind w:right="15"/>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20" w:type="dxa"/>
            <w:vAlign w:val="bottom"/>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June 30,</w:t>
            </w:r>
          </w:p>
        </w:tc>
      </w:tr>
      <w:tr>
        <w:trPr>
          <w:trHeight w:val="175"/>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100" w:type="dxa"/>
            <w:vAlign w:val="bottom"/>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128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30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Conversion of redeemable convertible preferred stock</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2,220,999</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7,375,631</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7,375,631</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Stock options available for future stock option grant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1,004,239</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578,842</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399,886</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issued and outstanding</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792,290</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2,028,274</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2,192,230</w:t>
            </w: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Common stock warrants</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68,669</w:t>
            </w:r>
          </w:p>
        </w:tc>
        <w:tc>
          <w:tcPr>
            <w:tcW w:w="16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68,669</w:t>
            </w:r>
          </w:p>
        </w:tc>
        <w:tc>
          <w:tcPr>
            <w:tcW w:w="160" w:type="dxa"/>
            <w:vAlign w:val="bottom"/>
          </w:tcPr>
          <w:p>
            <w:pPr>
              <w:spacing w:after="0"/>
              <w:rPr>
                <w:sz w:val="18"/>
                <w:szCs w:val="18"/>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68,669</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common stock reserved</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4,086,197</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10,051,416</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10,036,416</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Restricted Common Stock</w:t>
      </w:r>
    </w:p>
    <w:p>
      <w:pPr>
        <w:spacing w:after="0" w:line="126" w:lineRule="exact"/>
        <w:rPr>
          <w:sz w:val="20"/>
          <w:szCs w:val="20"/>
          <w:color w:val="auto"/>
        </w:rPr>
      </w:pPr>
    </w:p>
    <w:p>
      <w:pPr>
        <w:ind w:left="200" w:right="180" w:firstLine="551"/>
        <w:spacing w:after="0" w:line="237" w:lineRule="auto"/>
        <w:rPr>
          <w:sz w:val="20"/>
          <w:szCs w:val="20"/>
          <w:color w:val="auto"/>
        </w:rPr>
      </w:pPr>
      <w:r>
        <w:rPr>
          <w:rFonts w:ascii="Arial" w:cs="Arial" w:eastAsia="Arial" w:hAnsi="Arial"/>
          <w:sz w:val="18"/>
          <w:szCs w:val="18"/>
          <w:color w:val="auto"/>
        </w:rPr>
        <w:t>During 2015, the Company issued common stock to the Company founders of 4,710,060 shares, of which 4,473,374 were fully vested upon issuance. The remainder were deemed to be restricted based on their vesting conditions. The stock agreement contains certain provisions that allow the Company to repurchase unvested portions of stock from such founders in the event they depart from the Company. The repurchase rights on the restricted common stock lapse over time and fully expired in March 2019. As of December 31, 2017, December 31, 2018, and June 30, 2019, 73,964, 14,793 and 0 (unaudited) shares of restricted common stock remained subject to repurchase, respectively.</w:t>
      </w:r>
    </w:p>
    <w:p>
      <w:pPr>
        <w:spacing w:after="0" w:line="291" w:lineRule="exact"/>
        <w:rPr>
          <w:sz w:val="20"/>
          <w:szCs w:val="20"/>
          <w:color w:val="auto"/>
        </w:rPr>
      </w:pPr>
    </w:p>
    <w:p>
      <w:pPr>
        <w:ind w:left="200" w:right="8360" w:firstLine="4"/>
        <w:spacing w:after="0" w:line="372" w:lineRule="auto"/>
        <w:tabs>
          <w:tab w:leader="none" w:pos="500" w:val="left"/>
        </w:tabs>
        <w:numPr>
          <w:ilvl w:val="0"/>
          <w:numId w:val="1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b w:val="1"/>
          <w:bCs w:val="1"/>
          <w:color w:val="auto"/>
        </w:rPr>
        <w:t>2015 Equity Incentive Plan</w:t>
      </w:r>
    </w:p>
    <w:p>
      <w:pPr>
        <w:spacing w:after="0" w:line="2" w:lineRule="exact"/>
        <w:rPr>
          <w:sz w:val="20"/>
          <w:szCs w:val="20"/>
          <w:color w:val="auto"/>
        </w:rPr>
      </w:pPr>
    </w:p>
    <w:p>
      <w:pPr>
        <w:ind w:left="200" w:right="620" w:firstLine="551"/>
        <w:spacing w:after="0" w:line="246" w:lineRule="auto"/>
        <w:rPr>
          <w:sz w:val="20"/>
          <w:szCs w:val="20"/>
          <w:color w:val="auto"/>
        </w:rPr>
      </w:pPr>
      <w:r>
        <w:rPr>
          <w:rFonts w:ascii="Arial" w:cs="Arial" w:eastAsia="Arial" w:hAnsi="Arial"/>
          <w:sz w:val="18"/>
          <w:szCs w:val="18"/>
          <w:color w:val="auto"/>
        </w:rPr>
        <w:t>In March 2015, the Company adopted the 2015 Equity Incentive Plan (the “2015 Plan”) under which the board of directors is authorized to issue grants of stock options, stock appreciation rights,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240" w:top="459" w:right="41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restricted stock and restricted stock unit awards to employees, directors and consultants of the Company. As of December 31, 2018 and June 30, 2019 (unaudited), there were 2,694,528 shares authorized and reserved for issuance. Under the 2015 Plan, as of December 31, 2018 and June 30, 2019, 578,842 and 399,886 (unaudited) of these shares respectively were available for grant. All options are exercisable over a period not to exceed the contractual term of ten years from the date the stock options were issued and are granted at prices not less than the estimated fair market value of the Company’s common stock on the grant date as determined by the board of directors. If an individual owns stock representing more than 10% of the Company’s outstanding shares, the exercise price of each share shall be at least 110% of the fair market value on the date of grant.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Options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stock options activity:</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Borders>
              <w:bottom w:val="single" w:sz="8" w:color="auto"/>
            </w:tcBorders>
            <w:gridSpan w:val="5"/>
          </w:tcPr>
          <w:p>
            <w:pPr>
              <w:jc w:val="right"/>
              <w:ind w:right="271"/>
              <w:spacing w:after="0"/>
              <w:rPr>
                <w:sz w:val="20"/>
                <w:szCs w:val="20"/>
                <w:color w:val="auto"/>
              </w:rPr>
            </w:pPr>
            <w:r>
              <w:rPr>
                <w:rFonts w:ascii="Arial" w:cs="Arial" w:eastAsia="Arial" w:hAnsi="Arial"/>
                <w:sz w:val="14"/>
                <w:szCs w:val="14"/>
                <w:b w:val="1"/>
                <w:bCs w:val="1"/>
                <w:color w:val="auto"/>
              </w:rPr>
              <w:t>Options Outstanding</w:t>
            </w:r>
          </w:p>
        </w:tc>
        <w:tc>
          <w:tcPr>
            <w:tcW w:w="52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 of</w:t>
            </w:r>
          </w:p>
        </w:tc>
        <w:tc>
          <w:tcPr>
            <w:tcW w:w="50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3"/>
          </w:tcPr>
          <w:p>
            <w:pPr>
              <w:ind w:left="260"/>
              <w:spacing w:after="0"/>
              <w:rPr>
                <w:sz w:val="20"/>
                <w:szCs w:val="20"/>
                <w:color w:val="auto"/>
              </w:rPr>
            </w:pPr>
            <w:r>
              <w:rPr>
                <w:rFonts w:ascii="Arial" w:cs="Arial" w:eastAsia="Arial" w:hAnsi="Arial"/>
                <w:sz w:val="14"/>
                <w:szCs w:val="14"/>
                <w:b w:val="1"/>
                <w:bCs w:val="1"/>
                <w:color w:val="auto"/>
              </w:rPr>
              <w:t>Weighted-</w:t>
            </w:r>
          </w:p>
        </w:tc>
        <w:tc>
          <w:tcPr>
            <w:tcW w:w="5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50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Underlying</w:t>
            </w:r>
          </w:p>
        </w:tc>
        <w:tc>
          <w:tcPr>
            <w:tcW w:w="2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w:t>
            </w:r>
          </w:p>
        </w:tc>
        <w:tc>
          <w:tcPr>
            <w:tcW w:w="5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Available</w:t>
            </w:r>
          </w:p>
        </w:tc>
        <w:tc>
          <w:tcPr>
            <w:tcW w:w="50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5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for Grant</w:t>
            </w:r>
          </w:p>
        </w:tc>
        <w:tc>
          <w:tcPr>
            <w:tcW w:w="5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center"/>
              <w:ind w:right="51"/>
              <w:spacing w:after="0"/>
              <w:rPr>
                <w:sz w:val="20"/>
                <w:szCs w:val="20"/>
                <w:color w:val="auto"/>
              </w:rPr>
            </w:pPr>
            <w:r>
              <w:rPr>
                <w:rFonts w:ascii="Arial" w:cs="Arial" w:eastAsia="Arial" w:hAnsi="Arial"/>
                <w:sz w:val="14"/>
                <w:szCs w:val="14"/>
                <w:b w:val="1"/>
                <w:bCs w:val="1"/>
                <w:color w:val="auto"/>
                <w:w w:val="99"/>
              </w:rPr>
              <w:t>Price</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Term (in years)</w:t>
            </w:r>
          </w:p>
        </w:tc>
        <w:tc>
          <w:tcPr>
            <w:tcW w:w="1580" w:type="dxa"/>
            <w:vAlign w:val="bottom"/>
            <w:gridSpan w:val="4"/>
          </w:tcPr>
          <w:p>
            <w:pPr>
              <w:jc w:val="center"/>
              <w:ind w:left="35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Balances at December 31, 2016</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975,785</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835,115</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w:t>
            </w:r>
          </w:p>
        </w:tc>
        <w:tc>
          <w:tcPr>
            <w:tcW w:w="5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9.10</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Options granted</w:t>
            </w: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(163,000)</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163,000</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exercised</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(14,371)</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Options expired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10,833</w:t>
            </w:r>
          </w:p>
        </w:tc>
        <w:tc>
          <w:tcPr>
            <w:tcW w:w="80" w:type="dxa"/>
            <w:vAlign w:val="bottom"/>
          </w:tcPr>
          <w:p>
            <w:pPr>
              <w:spacing w:after="0"/>
              <w:rPr>
                <w:sz w:val="17"/>
                <w:szCs w:val="17"/>
                <w:color w:val="auto"/>
              </w:rPr>
            </w:pPr>
          </w:p>
        </w:tc>
        <w:tc>
          <w:tcPr>
            <w:tcW w:w="16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(10,833)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forfeited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180,621</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(180,621)</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Balances at December 31, 2017</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1,004,239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792,290</w:t>
            </w:r>
          </w:p>
        </w:tc>
        <w:tc>
          <w:tcPr>
            <w:tcW w:w="32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8.27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authorized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873,628</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Options granted</w:t>
            </w: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(1,454,173)</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1,454,173</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6.56</w:t>
            </w: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exercised</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(63,041)</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w:t>
            </w: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Options expired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111,401</w:t>
            </w:r>
          </w:p>
        </w:tc>
        <w:tc>
          <w:tcPr>
            <w:tcW w:w="80" w:type="dxa"/>
            <w:vAlign w:val="bottom"/>
          </w:tcPr>
          <w:p>
            <w:pPr>
              <w:spacing w:after="0"/>
              <w:rPr>
                <w:sz w:val="17"/>
                <w:szCs w:val="17"/>
                <w:color w:val="auto"/>
              </w:rPr>
            </w:pPr>
          </w:p>
        </w:tc>
        <w:tc>
          <w:tcPr>
            <w:tcW w:w="16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(111,401)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forfeited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43,747</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(43,747)</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w:t>
            </w: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Balances at December 31, 2018</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578,842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2,028,274</w:t>
            </w:r>
          </w:p>
        </w:tc>
        <w:tc>
          <w:tcPr>
            <w:tcW w:w="32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8.97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granted (unaudited)</w:t>
            </w:r>
          </w:p>
        </w:tc>
        <w:tc>
          <w:tcPr>
            <w:tcW w:w="10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(688,740)</w:t>
            </w:r>
          </w:p>
        </w:tc>
        <w:tc>
          <w:tcPr>
            <w:tcW w:w="1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688,740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9.41</w:t>
            </w: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Options exercised (unaudited)</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(15,000)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expired (unaudited)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72,833</w:t>
            </w:r>
          </w:p>
        </w:tc>
        <w:tc>
          <w:tcPr>
            <w:tcW w:w="8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(72,833)</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w:t>
            </w: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Options forfeited (unaudited)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436,951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(436,951)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7.09</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Balances at June 30, 2019 (unaudited)</w:t>
            </w: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399,886</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2,192,230</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6.10</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8.78</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gridSpan w:val="2"/>
          </w:tcPr>
          <w:p>
            <w:pPr>
              <w:spacing w:after="0" w:line="196" w:lineRule="exact"/>
              <w:rPr>
                <w:sz w:val="20"/>
                <w:szCs w:val="20"/>
                <w:color w:val="auto"/>
              </w:rPr>
            </w:pPr>
            <w:r>
              <w:rPr>
                <w:rFonts w:ascii="Arial" w:cs="Arial" w:eastAsia="Arial" w:hAnsi="Arial"/>
                <w:sz w:val="18"/>
                <w:szCs w:val="18"/>
                <w:color w:val="auto"/>
              </w:rPr>
              <w:t>Exercisable, December 31, 2018</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603,141</w:t>
            </w:r>
          </w:p>
        </w:tc>
        <w:tc>
          <w:tcPr>
            <w:tcW w:w="320" w:type="dxa"/>
            <w:vAlign w:val="bottom"/>
          </w:tcPr>
          <w:p>
            <w:pPr>
              <w:spacing w:after="0"/>
              <w:rPr>
                <w:sz w:val="17"/>
                <w:szCs w:val="17"/>
                <w:color w:val="auto"/>
              </w:rPr>
            </w:pPr>
          </w:p>
        </w:tc>
        <w:tc>
          <w:tcPr>
            <w:tcW w:w="40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7.64</w:t>
            </w: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4,733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Vested and expected to vest, December 31,</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2018</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2,028,274</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w:t>
            </w:r>
          </w:p>
        </w:tc>
        <w:tc>
          <w:tcPr>
            <w:tcW w:w="15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8.97</w:t>
            </w:r>
          </w:p>
        </w:tc>
        <w:tc>
          <w:tcPr>
            <w:tcW w:w="6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Exercisable, June 30, 2019 (unaudited)</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696,012</w:t>
            </w:r>
          </w:p>
        </w:tc>
        <w:tc>
          <w:tcPr>
            <w:tcW w:w="320" w:type="dxa"/>
            <w:vAlign w:val="bottom"/>
          </w:tcPr>
          <w:p>
            <w:pPr>
              <w:spacing w:after="0"/>
              <w:rPr>
                <w:sz w:val="17"/>
                <w:szCs w:val="17"/>
                <w:color w:val="auto"/>
              </w:rPr>
            </w:pPr>
          </w:p>
        </w:tc>
        <w:tc>
          <w:tcPr>
            <w:tcW w:w="4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3.78</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7.45</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7,540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Vested and expected to vest, June 30, 2019</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(unaudited)</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2,192,230</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6.10</w:t>
            </w:r>
          </w:p>
        </w:tc>
        <w:tc>
          <w:tcPr>
            <w:tcW w:w="15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8.78</w:t>
            </w:r>
          </w:p>
        </w:tc>
        <w:tc>
          <w:tcPr>
            <w:tcW w:w="6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15,319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3"/>
          </w:tcPr>
          <w:p>
            <w:pPr>
              <w:jc w:val="right"/>
              <w:ind w:right="1260"/>
              <w:spacing w:after="0"/>
              <w:rPr>
                <w:sz w:val="20"/>
                <w:szCs w:val="20"/>
                <w:color w:val="auto"/>
              </w:rPr>
            </w:pPr>
            <w:r>
              <w:rPr>
                <w:rFonts w:ascii="Arial" w:cs="Arial" w:eastAsia="Arial" w:hAnsi="Arial"/>
                <w:sz w:val="18"/>
                <w:szCs w:val="18"/>
                <w:color w:val="auto"/>
              </w:rPr>
              <w:t>F-38</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is a summary of stock compensation expense for employees and nonemployees by function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9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Year Ended</w:t>
            </w: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2080" w:type="dxa"/>
            <w:vAlign w:val="bottom"/>
            <w:gridSpan w:val="4"/>
          </w:tcPr>
          <w:p>
            <w:pPr>
              <w:jc w:val="center"/>
              <w:ind w:left="596"/>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40" w:type="dxa"/>
            <w:vAlign w:val="bottom"/>
            <w:gridSpan w:val="3"/>
          </w:tcPr>
          <w:p>
            <w:pPr>
              <w:ind w:left="680"/>
              <w:spacing w:after="0"/>
              <w:rPr>
                <w:sz w:val="20"/>
                <w:szCs w:val="20"/>
                <w:color w:val="auto"/>
              </w:rPr>
            </w:pPr>
            <w:r>
              <w:rPr>
                <w:rFonts w:ascii="Arial" w:cs="Arial" w:eastAsia="Arial" w:hAnsi="Arial"/>
                <w:sz w:val="14"/>
                <w:szCs w:val="14"/>
                <w:b w:val="1"/>
                <w:bCs w:val="1"/>
                <w:color w:val="auto"/>
              </w:rPr>
              <w:t>December 31,</w:t>
            </w:r>
          </w:p>
        </w:tc>
        <w:tc>
          <w:tcPr>
            <w:tcW w:w="1700" w:type="dxa"/>
            <w:vAlign w:val="bottom"/>
            <w:gridSpan w:val="3"/>
          </w:tcPr>
          <w:p>
            <w:pPr>
              <w:ind w:left="740"/>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79"/>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June 30,</w:t>
            </w:r>
          </w:p>
        </w:tc>
      </w:tr>
      <w:tr>
        <w:trPr>
          <w:trHeight w:val="175"/>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2018</w:t>
            </w:r>
          </w:p>
        </w:tc>
        <w:tc>
          <w:tcPr>
            <w:tcW w:w="7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79"/>
              <w:spacing w:after="0" w:line="155" w:lineRule="exact"/>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99"/>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88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w:t>
            </w:r>
          </w:p>
        </w:tc>
        <w:tc>
          <w:tcPr>
            <w:tcW w:w="940" w:type="dxa"/>
            <w:vAlign w:val="bottom"/>
            <w:gridSpan w:val="2"/>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60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w:t>
            </w:r>
          </w:p>
        </w:tc>
        <w:tc>
          <w:tcPr>
            <w:tcW w:w="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682</w:t>
            </w:r>
          </w:p>
        </w:tc>
        <w:tc>
          <w:tcPr>
            <w:tcW w:w="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w:t>
            </w:r>
          </w:p>
        </w:tc>
        <w:tc>
          <w:tcPr>
            <w:tcW w:w="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522</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stock-based compensation</w:t>
            </w:r>
          </w:p>
        </w:tc>
        <w:tc>
          <w:tcPr>
            <w:tcW w:w="88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w:t>
            </w:r>
          </w:p>
        </w:tc>
        <w:tc>
          <w:tcPr>
            <w:tcW w:w="940" w:type="dxa"/>
            <w:vAlign w:val="bottom"/>
            <w:gridSpan w:val="2"/>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1,377</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403</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1,472</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years ended December 31, 2017 and 2018, the Company granted 153,000 and 1,234,173 stock options to employees</w:t>
      </w:r>
    </w:p>
    <w:p>
      <w:pPr>
        <w:ind w:left="200"/>
        <w:spacing w:after="0" w:line="234" w:lineRule="auto"/>
        <w:rPr>
          <w:sz w:val="20"/>
          <w:szCs w:val="20"/>
          <w:color w:val="auto"/>
        </w:rPr>
      </w:pPr>
      <w:r>
        <w:rPr>
          <w:rFonts w:ascii="Arial" w:cs="Arial" w:eastAsia="Arial" w:hAnsi="Arial"/>
          <w:sz w:val="18"/>
          <w:szCs w:val="18"/>
          <w:color w:val="auto"/>
        </w:rPr>
        <w:t>with a weighted-average grant date fair value of $1.12 and $5.50 per share, respectively, and 10,000 and 220,000 stock options to</w:t>
      </w:r>
    </w:p>
    <w:p>
      <w:pPr>
        <w:ind w:left="200"/>
        <w:spacing w:after="0" w:line="235" w:lineRule="auto"/>
        <w:rPr>
          <w:sz w:val="20"/>
          <w:szCs w:val="20"/>
          <w:color w:val="auto"/>
        </w:rPr>
      </w:pPr>
      <w:r>
        <w:rPr>
          <w:rFonts w:ascii="Arial" w:cs="Arial" w:eastAsia="Arial" w:hAnsi="Arial"/>
          <w:sz w:val="18"/>
          <w:szCs w:val="18"/>
          <w:color w:val="auto"/>
        </w:rPr>
        <w:t>nonemployees with a weighted-average grant date fair value of $1.32 and $3.38, respectively. During the six month ended June 30, 2018</w:t>
      </w:r>
    </w:p>
    <w:p>
      <w:pPr>
        <w:ind w:left="200"/>
        <w:spacing w:after="0" w:line="235" w:lineRule="auto"/>
        <w:rPr>
          <w:sz w:val="20"/>
          <w:szCs w:val="20"/>
          <w:color w:val="auto"/>
        </w:rPr>
      </w:pPr>
      <w:r>
        <w:rPr>
          <w:rFonts w:ascii="Arial" w:cs="Arial" w:eastAsia="Arial" w:hAnsi="Arial"/>
          <w:sz w:val="18"/>
          <w:szCs w:val="18"/>
          <w:color w:val="auto"/>
        </w:rPr>
        <w:t>and 2019, the Company granted 298,436 (unaudited) and 653,740 (unaudited) stock options to employees with a weighted-average grant</w:t>
      </w:r>
    </w:p>
    <w:p>
      <w:pPr>
        <w:ind w:left="200"/>
        <w:spacing w:after="0" w:line="235" w:lineRule="auto"/>
        <w:rPr>
          <w:sz w:val="20"/>
          <w:szCs w:val="20"/>
          <w:color w:val="auto"/>
        </w:rPr>
      </w:pPr>
      <w:r>
        <w:rPr>
          <w:rFonts w:ascii="Arial" w:cs="Arial" w:eastAsia="Arial" w:hAnsi="Arial"/>
          <w:sz w:val="18"/>
          <w:szCs w:val="18"/>
          <w:color w:val="auto"/>
        </w:rPr>
        <w:t>date fair value of $2.30 (unaudited) and $7.32 (unaudited) per share, respectively, and 190,000 and 35,000 stock options to</w:t>
      </w:r>
    </w:p>
    <w:p>
      <w:pPr>
        <w:ind w:left="200"/>
        <w:spacing w:after="0" w:line="235" w:lineRule="auto"/>
        <w:rPr>
          <w:sz w:val="20"/>
          <w:szCs w:val="20"/>
          <w:color w:val="auto"/>
        </w:rPr>
      </w:pPr>
      <w:r>
        <w:rPr>
          <w:rFonts w:ascii="Arial" w:cs="Arial" w:eastAsia="Arial" w:hAnsi="Arial"/>
          <w:sz w:val="18"/>
          <w:szCs w:val="18"/>
          <w:color w:val="auto"/>
        </w:rPr>
        <w:t>nonemployees with a weighted-average grant date fair value of $2.67 and $8.43 and respectively. The total fair value of options vested</w:t>
      </w:r>
    </w:p>
    <w:p>
      <w:pPr>
        <w:ind w:left="200"/>
        <w:spacing w:after="0" w:line="235" w:lineRule="auto"/>
        <w:rPr>
          <w:sz w:val="20"/>
          <w:szCs w:val="20"/>
          <w:color w:val="auto"/>
        </w:rPr>
      </w:pPr>
      <w:r>
        <w:rPr>
          <w:rFonts w:ascii="Arial" w:cs="Arial" w:eastAsia="Arial" w:hAnsi="Arial"/>
          <w:sz w:val="18"/>
          <w:szCs w:val="18"/>
          <w:color w:val="auto"/>
        </w:rPr>
        <w:t>during the years ended December 31, 2017 and 2018 was $0.3 million and $0.8 million, respectively, and $0.3 million (unaudited) and</w:t>
      </w:r>
    </w:p>
    <w:p>
      <w:pPr>
        <w:ind w:left="200"/>
        <w:spacing w:after="0" w:line="235" w:lineRule="auto"/>
        <w:rPr>
          <w:sz w:val="20"/>
          <w:szCs w:val="20"/>
          <w:color w:val="auto"/>
        </w:rPr>
      </w:pPr>
      <w:r>
        <w:rPr>
          <w:rFonts w:ascii="Arial" w:cs="Arial" w:eastAsia="Arial" w:hAnsi="Arial"/>
          <w:sz w:val="18"/>
          <w:szCs w:val="18"/>
          <w:color w:val="auto"/>
        </w:rPr>
        <w:t>$0.6 million (unaudited) during the six months ended June 30, 2018 and 2019, respectively. As of December 31, 2018 and June 30, 2019,</w:t>
      </w:r>
    </w:p>
    <w:p>
      <w:pPr>
        <w:ind w:left="200"/>
        <w:spacing w:after="0" w:line="235" w:lineRule="auto"/>
        <w:rPr>
          <w:sz w:val="20"/>
          <w:szCs w:val="20"/>
          <w:color w:val="auto"/>
        </w:rPr>
      </w:pPr>
      <w:r>
        <w:rPr>
          <w:rFonts w:ascii="Arial" w:cs="Arial" w:eastAsia="Arial" w:hAnsi="Arial"/>
          <w:sz w:val="18"/>
          <w:szCs w:val="18"/>
          <w:color w:val="auto"/>
        </w:rPr>
        <w:t>the unrecognized stock-based compensation of unvested options was $8.0 million and $9.4 million (unaudited), respectively, and is</w:t>
      </w:r>
    </w:p>
    <w:p>
      <w:pPr>
        <w:ind w:left="200"/>
        <w:spacing w:after="0" w:line="235" w:lineRule="auto"/>
        <w:rPr>
          <w:sz w:val="20"/>
          <w:szCs w:val="20"/>
          <w:color w:val="auto"/>
        </w:rPr>
      </w:pPr>
      <w:r>
        <w:rPr>
          <w:rFonts w:ascii="Arial" w:cs="Arial" w:eastAsia="Arial" w:hAnsi="Arial"/>
          <w:sz w:val="18"/>
          <w:szCs w:val="18"/>
          <w:color w:val="auto"/>
        </w:rPr>
        <w:t>expected to be recognized over a weighted-average period of 3.4 years and 3.2 years (unaudited), respectively. Stock-based</w:t>
      </w:r>
    </w:p>
    <w:p>
      <w:pPr>
        <w:ind w:left="200"/>
        <w:spacing w:after="0" w:line="234" w:lineRule="auto"/>
        <w:rPr>
          <w:sz w:val="20"/>
          <w:szCs w:val="20"/>
          <w:color w:val="auto"/>
        </w:rPr>
      </w:pPr>
      <w:r>
        <w:rPr>
          <w:rFonts w:ascii="Arial" w:cs="Arial" w:eastAsia="Arial" w:hAnsi="Arial"/>
          <w:sz w:val="18"/>
          <w:szCs w:val="18"/>
          <w:color w:val="auto"/>
        </w:rPr>
        <w:t>compensation expense recorded for employee options was $0.2 million and $0.6 million for the years end December 31, 2017 and 2018</w:t>
      </w:r>
    </w:p>
    <w:p>
      <w:pPr>
        <w:ind w:left="200"/>
        <w:spacing w:after="0" w:line="235" w:lineRule="auto"/>
        <w:rPr>
          <w:sz w:val="20"/>
          <w:szCs w:val="20"/>
          <w:color w:val="auto"/>
        </w:rPr>
      </w:pPr>
      <w:r>
        <w:rPr>
          <w:rFonts w:ascii="Arial" w:cs="Arial" w:eastAsia="Arial" w:hAnsi="Arial"/>
          <w:sz w:val="18"/>
          <w:szCs w:val="18"/>
          <w:color w:val="auto"/>
        </w:rPr>
        <w:t>and $0.2 million (unaudited) and $1.1 million (unaudited) for the six months ended June 30, 2018 and June 30, 2019, respectively. Stock-</w:t>
      </w:r>
    </w:p>
    <w:p>
      <w:pPr>
        <w:ind w:left="200"/>
        <w:spacing w:after="0" w:line="235" w:lineRule="auto"/>
        <w:rPr>
          <w:sz w:val="20"/>
          <w:szCs w:val="20"/>
          <w:color w:val="auto"/>
        </w:rPr>
      </w:pPr>
      <w:r>
        <w:rPr>
          <w:rFonts w:ascii="Arial" w:cs="Arial" w:eastAsia="Arial" w:hAnsi="Arial"/>
          <w:sz w:val="18"/>
          <w:szCs w:val="18"/>
          <w:color w:val="auto"/>
        </w:rPr>
        <w:t>based compensation expense recorded for nonemployee consultants was $0.1 million and $0.8 million for years ended December 31,</w:t>
      </w:r>
    </w:p>
    <w:p>
      <w:pPr>
        <w:ind w:left="200"/>
        <w:spacing w:after="0" w:line="235" w:lineRule="auto"/>
        <w:rPr>
          <w:sz w:val="20"/>
          <w:szCs w:val="20"/>
          <w:color w:val="auto"/>
        </w:rPr>
      </w:pPr>
      <w:r>
        <w:rPr>
          <w:rFonts w:ascii="Arial" w:cs="Arial" w:eastAsia="Arial" w:hAnsi="Arial"/>
          <w:sz w:val="18"/>
          <w:szCs w:val="18"/>
          <w:color w:val="auto"/>
        </w:rPr>
        <w:t>2017 and 2018, respectively, and $0.2 million (unaudited) and $0.4 million (unaudited) for the six months ended June 30, 2018 and 2019,</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respectively.</w:t>
      </w:r>
    </w:p>
    <w:p>
      <w:pPr>
        <w:spacing w:after="0" w:line="212"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 xml:space="preserve">The Company is a privately held company with no active public market for the Company’s common stock. The fair value of the shares of common stock underlying the stock options was estimated by the board of directors at various dates considering the Company’s most recently available third-party valuations of common stock as well as a number of objective and subjective factors including valuation of comparable companies, sales of redeemable convertible preferred stock, operating and financial performance and general and industry specific economic outlook, amongst other factors. The fair value was determined in accordance with the guidance provided by the American Institute of Certified Public Accountants’ Practice Guide, </w:t>
      </w:r>
      <w:r>
        <w:rPr>
          <w:rFonts w:ascii="Arial" w:cs="Arial" w:eastAsia="Arial" w:hAnsi="Arial"/>
          <w:sz w:val="18"/>
          <w:szCs w:val="18"/>
          <w:i w:val="1"/>
          <w:iCs w:val="1"/>
          <w:color w:val="auto"/>
        </w:rPr>
        <w:t>Valuation of Privately-Held-Company Equity Securities Issued as</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240" w:top="460" w:right="41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firstLine="551"/>
        <w:spacing w:after="0" w:line="239" w:lineRule="auto"/>
        <w:rPr>
          <w:sz w:val="20"/>
          <w:szCs w:val="20"/>
          <w:color w:val="auto"/>
        </w:rPr>
      </w:pPr>
      <w:r>
        <w:rPr>
          <w:rFonts w:ascii="Arial" w:cs="Arial" w:eastAsia="Arial" w:hAnsi="Arial"/>
          <w:sz w:val="18"/>
          <w:szCs w:val="18"/>
          <w:color w:val="auto"/>
        </w:rPr>
        <w:t>The Company estimates the fair value of employee and nonemployee stock options using the Black-Scholes valuation model. The fair value of employee and nonemployee stock options is recognized on a straight-line basis over the requisite service period of the awards. The fair value of the Company’s stock options was estimated using the following assumptions for the years ended December 31, 2017 and 2018 and six months ended June 30, 2018 and 2019 (unaudited), respectively:</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24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5"/>
              </w:rPr>
              <w:t>Year Ended</w:t>
            </w:r>
          </w:p>
        </w:tc>
        <w:tc>
          <w:tcPr>
            <w:tcW w:w="22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5"/>
              </w:rPr>
              <w:t>Year Ended</w:t>
            </w:r>
          </w:p>
        </w:tc>
        <w:tc>
          <w:tcPr>
            <w:tcW w:w="22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5"/>
              </w:rPr>
              <w:t>Six Months Ended</w:t>
            </w:r>
          </w:p>
        </w:tc>
        <w:tc>
          <w:tcPr>
            <w:tcW w:w="21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Six Months Ended</w:t>
            </w:r>
          </w:p>
        </w:tc>
      </w:tr>
      <w:tr>
        <w:trPr>
          <w:trHeight w:val="135"/>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24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96"/>
              </w:rPr>
              <w:t>December 31,</w:t>
            </w:r>
          </w:p>
        </w:tc>
        <w:tc>
          <w:tcPr>
            <w:tcW w:w="22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December 31,</w:t>
            </w:r>
          </w:p>
        </w:tc>
        <w:tc>
          <w:tcPr>
            <w:tcW w:w="222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rPr>
              <w:t>June 30,</w:t>
            </w:r>
          </w:p>
        </w:tc>
        <w:tc>
          <w:tcPr>
            <w:tcW w:w="21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rPr>
              <w:t>June 30,</w:t>
            </w:r>
          </w:p>
        </w:tc>
      </w:tr>
      <w:tr>
        <w:trPr>
          <w:trHeight w:val="157"/>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2017</w:t>
            </w:r>
          </w:p>
        </w:tc>
        <w:tc>
          <w:tcPr>
            <w:tcW w:w="140" w:type="dxa"/>
            <w:vAlign w:val="bottom"/>
          </w:tcPr>
          <w:p>
            <w:pPr>
              <w:spacing w:after="0"/>
              <w:rPr>
                <w:sz w:val="13"/>
                <w:szCs w:val="13"/>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3"/>
                <w:szCs w:val="13"/>
                <w:color w:val="auto"/>
              </w:rPr>
            </w:pPr>
          </w:p>
        </w:tc>
        <w:tc>
          <w:tcPr>
            <w:tcW w:w="1160" w:type="dxa"/>
            <w:vAlign w:val="bottom"/>
            <w:tcBorders>
              <w:bottom w:val="single" w:sz="8" w:color="auto"/>
            </w:tcBorders>
          </w:tcPr>
          <w:p>
            <w:pPr>
              <w:jc w:val="center"/>
              <w:ind w:left="817"/>
              <w:spacing w:after="0"/>
              <w:rPr>
                <w:sz w:val="20"/>
                <w:szCs w:val="20"/>
                <w:color w:val="auto"/>
              </w:rPr>
            </w:pPr>
            <w:r>
              <w:rPr>
                <w:rFonts w:ascii="Arial" w:cs="Arial" w:eastAsia="Arial" w:hAnsi="Arial"/>
                <w:sz w:val="13"/>
                <w:szCs w:val="13"/>
                <w:b w:val="1"/>
                <w:bCs w:val="1"/>
                <w:color w:val="auto"/>
                <w:w w:val="96"/>
              </w:rPr>
              <w:t>2018</w:t>
            </w:r>
          </w:p>
        </w:tc>
        <w:tc>
          <w:tcPr>
            <w:tcW w:w="9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Borders>
              <w:bottom w:val="single" w:sz="8" w:color="auto"/>
            </w:tcBorders>
          </w:tcPr>
          <w:p>
            <w:pPr>
              <w:jc w:val="center"/>
              <w:ind w:left="837"/>
              <w:spacing w:after="0"/>
              <w:rPr>
                <w:sz w:val="20"/>
                <w:szCs w:val="20"/>
                <w:color w:val="auto"/>
              </w:rPr>
            </w:pPr>
            <w:r>
              <w:rPr>
                <w:rFonts w:ascii="Arial" w:cs="Arial" w:eastAsia="Arial" w:hAnsi="Arial"/>
                <w:sz w:val="13"/>
                <w:szCs w:val="13"/>
                <w:b w:val="1"/>
                <w:bCs w:val="1"/>
                <w:color w:val="auto"/>
                <w:w w:val="96"/>
              </w:rPr>
              <w:t>2019</w:t>
            </w:r>
          </w:p>
        </w:tc>
        <w:tc>
          <w:tcPr>
            <w:tcW w:w="9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94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Employee</w:t>
            </w:r>
          </w:p>
        </w:tc>
        <w:tc>
          <w:tcPr>
            <w:tcW w:w="140" w:type="dxa"/>
            <w:vAlign w:val="bottom"/>
          </w:tcPr>
          <w:p>
            <w:pPr>
              <w:spacing w:after="0"/>
              <w:rPr>
                <w:sz w:val="11"/>
                <w:szCs w:val="11"/>
                <w:color w:val="auto"/>
              </w:rPr>
            </w:pPr>
          </w:p>
        </w:tc>
        <w:tc>
          <w:tcPr>
            <w:tcW w:w="102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Nonemployee</w:t>
            </w:r>
          </w:p>
        </w:tc>
        <w:tc>
          <w:tcPr>
            <w:tcW w:w="140" w:type="dxa"/>
            <w:vAlign w:val="bottom"/>
          </w:tcPr>
          <w:p>
            <w:pPr>
              <w:spacing w:after="0"/>
              <w:rPr>
                <w:sz w:val="11"/>
                <w:szCs w:val="11"/>
                <w:color w:val="auto"/>
              </w:rPr>
            </w:pPr>
          </w:p>
        </w:tc>
        <w:tc>
          <w:tcPr>
            <w:tcW w:w="96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Employee</w:t>
            </w:r>
          </w:p>
        </w:tc>
        <w:tc>
          <w:tcPr>
            <w:tcW w:w="140" w:type="dxa"/>
            <w:vAlign w:val="bottom"/>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Nonemployee</w:t>
            </w:r>
          </w:p>
        </w:tc>
        <w:tc>
          <w:tcPr>
            <w:tcW w:w="160" w:type="dxa"/>
            <w:vAlign w:val="bottom"/>
          </w:tcPr>
          <w:p>
            <w:pPr>
              <w:spacing w:after="0"/>
              <w:rPr>
                <w:sz w:val="11"/>
                <w:szCs w:val="11"/>
                <w:color w:val="auto"/>
              </w:rPr>
            </w:pPr>
          </w:p>
        </w:tc>
        <w:tc>
          <w:tcPr>
            <w:tcW w:w="1160" w:type="dxa"/>
            <w:vAlign w:val="bottom"/>
            <w:tcBorders>
              <w:bottom w:val="single" w:sz="8" w:color="auto"/>
            </w:tcBorders>
          </w:tcPr>
          <w:p>
            <w:pPr>
              <w:jc w:val="right"/>
              <w:ind w:right="337"/>
              <w:spacing w:after="0" w:line="129" w:lineRule="exact"/>
              <w:rPr>
                <w:sz w:val="20"/>
                <w:szCs w:val="20"/>
                <w:color w:val="auto"/>
              </w:rPr>
            </w:pPr>
            <w:r>
              <w:rPr>
                <w:rFonts w:ascii="Arial" w:cs="Arial" w:eastAsia="Arial" w:hAnsi="Arial"/>
                <w:sz w:val="13"/>
                <w:szCs w:val="13"/>
                <w:b w:val="1"/>
                <w:bCs w:val="1"/>
                <w:color w:val="auto"/>
              </w:rPr>
              <w:t>Employee</w:t>
            </w:r>
          </w:p>
        </w:tc>
        <w:tc>
          <w:tcPr>
            <w:tcW w:w="90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93"/>
              </w:rPr>
              <w:t>Nonemployee</w:t>
            </w:r>
          </w:p>
        </w:tc>
        <w:tc>
          <w:tcPr>
            <w:tcW w:w="160" w:type="dxa"/>
            <w:vAlign w:val="bottom"/>
          </w:tcPr>
          <w:p>
            <w:pPr>
              <w:spacing w:after="0"/>
              <w:rPr>
                <w:sz w:val="11"/>
                <w:szCs w:val="11"/>
                <w:color w:val="auto"/>
              </w:rPr>
            </w:pPr>
          </w:p>
        </w:tc>
        <w:tc>
          <w:tcPr>
            <w:tcW w:w="1180" w:type="dxa"/>
            <w:vAlign w:val="bottom"/>
            <w:tcBorders>
              <w:bottom w:val="single" w:sz="8" w:color="auto"/>
            </w:tcBorders>
          </w:tcPr>
          <w:p>
            <w:pPr>
              <w:jc w:val="right"/>
              <w:ind w:right="357"/>
              <w:spacing w:after="0" w:line="129" w:lineRule="exact"/>
              <w:rPr>
                <w:sz w:val="20"/>
                <w:szCs w:val="20"/>
                <w:color w:val="auto"/>
              </w:rPr>
            </w:pPr>
            <w:r>
              <w:rPr>
                <w:rFonts w:ascii="Arial" w:cs="Arial" w:eastAsia="Arial" w:hAnsi="Arial"/>
                <w:sz w:val="13"/>
                <w:szCs w:val="13"/>
                <w:b w:val="1"/>
                <w:bCs w:val="1"/>
                <w:color w:val="auto"/>
              </w:rPr>
              <w:t>Employee</w:t>
            </w:r>
          </w:p>
        </w:tc>
        <w:tc>
          <w:tcPr>
            <w:tcW w:w="92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96"/>
              </w:rPr>
              <w:t>Nonemployee</w:t>
            </w:r>
          </w:p>
        </w:tc>
        <w:tc>
          <w:tcPr>
            <w:tcW w:w="60" w:type="dxa"/>
            <w:vAlign w:val="bottom"/>
          </w:tcPr>
          <w:p>
            <w:pPr>
              <w:spacing w:after="0"/>
              <w:rPr>
                <w:sz w:val="11"/>
                <w:szCs w:val="11"/>
                <w:color w:val="auto"/>
              </w:rPr>
            </w:pPr>
          </w:p>
        </w:tc>
      </w:tr>
      <w:tr>
        <w:trPr>
          <w:trHeight w:val="156"/>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6"/>
              </w:rPr>
              <w:t>(Unaudited)</w:t>
            </w:r>
          </w:p>
        </w:tc>
        <w:tc>
          <w:tcPr>
            <w:tcW w:w="21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(Unaudited)</w:t>
            </w:r>
          </w:p>
        </w:tc>
      </w:tr>
      <w:tr>
        <w:trPr>
          <w:trHeight w:val="135"/>
        </w:trPr>
        <w:tc>
          <w:tcPr>
            <w:tcW w:w="20" w:type="dxa"/>
            <w:vAlign w:val="bottom"/>
          </w:tcPr>
          <w:p>
            <w:pPr>
              <w:spacing w:after="0"/>
              <w:rPr>
                <w:sz w:val="11"/>
                <w:szCs w:val="11"/>
                <w:color w:val="auto"/>
              </w:rPr>
            </w:pPr>
          </w:p>
        </w:tc>
        <w:tc>
          <w:tcPr>
            <w:tcW w:w="2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Expected term</w:t>
            </w:r>
          </w:p>
        </w:tc>
        <w:tc>
          <w:tcPr>
            <w:tcW w:w="108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5.6 –5.9 years</w:t>
            </w:r>
          </w:p>
        </w:tc>
        <w:tc>
          <w:tcPr>
            <w:tcW w:w="11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7.7 –10.0 years</w:t>
            </w:r>
          </w:p>
        </w:tc>
        <w:tc>
          <w:tcPr>
            <w:tcW w:w="11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5.5 –6.3 years</w:t>
            </w:r>
          </w:p>
        </w:tc>
        <w:tc>
          <w:tcPr>
            <w:tcW w:w="11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6.7 –9.9 years</w:t>
            </w:r>
          </w:p>
        </w:tc>
        <w:tc>
          <w:tcPr>
            <w:tcW w:w="11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5.5 –6.3 years</w:t>
            </w:r>
          </w:p>
        </w:tc>
        <w:tc>
          <w:tcPr>
            <w:tcW w:w="10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7.2 –9.9 years</w:t>
            </w:r>
          </w:p>
        </w:tc>
        <w:tc>
          <w:tcPr>
            <w:tcW w:w="11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5.3 –6.3 years</w:t>
            </w:r>
          </w:p>
        </w:tc>
        <w:tc>
          <w:tcPr>
            <w:tcW w:w="9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6.2 –9.7 years</w:t>
            </w:r>
          </w:p>
        </w:tc>
      </w:tr>
      <w:tr>
        <w:trPr>
          <w:trHeight w:val="135"/>
        </w:trPr>
        <w:tc>
          <w:tcPr>
            <w:tcW w:w="20" w:type="dxa"/>
            <w:vAlign w:val="bottom"/>
          </w:tcPr>
          <w:p>
            <w:pPr>
              <w:spacing w:after="0"/>
              <w:rPr>
                <w:sz w:val="11"/>
                <w:szCs w:val="11"/>
                <w:color w:val="auto"/>
              </w:rPr>
            </w:pPr>
          </w:p>
        </w:tc>
        <w:tc>
          <w:tcPr>
            <w:tcW w:w="2200" w:type="dxa"/>
            <w:vAlign w:val="bottom"/>
          </w:tcPr>
          <w:p>
            <w:pPr>
              <w:spacing w:after="0" w:line="135" w:lineRule="exact"/>
              <w:rPr>
                <w:sz w:val="20"/>
                <w:szCs w:val="20"/>
                <w:color w:val="auto"/>
              </w:rPr>
            </w:pPr>
            <w:r>
              <w:rPr>
                <w:rFonts w:ascii="Arial" w:cs="Arial" w:eastAsia="Arial" w:hAnsi="Arial"/>
                <w:sz w:val="13"/>
                <w:szCs w:val="13"/>
                <w:color w:val="auto"/>
              </w:rPr>
              <w:t>Expected volatility</w:t>
            </w: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84.7% –84.9%</w:t>
            </w:r>
          </w:p>
        </w:tc>
        <w:tc>
          <w:tcPr>
            <w:tcW w:w="11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81.9% –85.6%</w:t>
            </w:r>
          </w:p>
        </w:tc>
        <w:tc>
          <w:tcPr>
            <w:tcW w:w="11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81.4% –84.1%</w:t>
            </w:r>
          </w:p>
        </w:tc>
        <w:tc>
          <w:tcPr>
            <w:tcW w:w="11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80.8% –83.9%</w:t>
            </w:r>
          </w:p>
        </w:tc>
        <w:tc>
          <w:tcPr>
            <w:tcW w:w="11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83.4% –84.1%</w:t>
            </w:r>
          </w:p>
        </w:tc>
        <w:tc>
          <w:tcPr>
            <w:tcW w:w="10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81.8% –83.9%</w:t>
            </w:r>
          </w:p>
        </w:tc>
        <w:tc>
          <w:tcPr>
            <w:tcW w:w="11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82.8% –83.0%</w:t>
            </w:r>
          </w:p>
        </w:tc>
        <w:tc>
          <w:tcPr>
            <w:tcW w:w="9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81.5% –83.7%</w:t>
            </w:r>
          </w:p>
        </w:tc>
      </w:tr>
      <w:tr>
        <w:trPr>
          <w:trHeight w:val="135"/>
        </w:trPr>
        <w:tc>
          <w:tcPr>
            <w:tcW w:w="20" w:type="dxa"/>
            <w:vAlign w:val="bottom"/>
          </w:tcPr>
          <w:p>
            <w:pPr>
              <w:spacing w:after="0"/>
              <w:rPr>
                <w:sz w:val="11"/>
                <w:szCs w:val="11"/>
                <w:color w:val="auto"/>
              </w:rPr>
            </w:pPr>
          </w:p>
        </w:tc>
        <w:tc>
          <w:tcPr>
            <w:tcW w:w="2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Risk-free interest rate</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 –1.9%</w:t>
            </w:r>
          </w:p>
        </w:tc>
        <w:tc>
          <w:tcPr>
            <w:tcW w:w="11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 – 2.4%</w:t>
            </w:r>
          </w:p>
        </w:tc>
        <w:tc>
          <w:tcPr>
            <w:tcW w:w="11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2.7% –3.0%</w:t>
            </w:r>
          </w:p>
        </w:tc>
        <w:tc>
          <w:tcPr>
            <w:tcW w:w="11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2.6% –3.2%</w:t>
            </w:r>
          </w:p>
        </w:tc>
        <w:tc>
          <w:tcPr>
            <w:tcW w:w="11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2.8% –2.9%</w:t>
            </w: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2.7% –2.9%</w:t>
            </w:r>
          </w:p>
        </w:tc>
        <w:tc>
          <w:tcPr>
            <w:tcW w:w="11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2.3% –2.3%</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1.8% –2.4%</w:t>
            </w:r>
          </w:p>
        </w:tc>
      </w:tr>
      <w:tr>
        <w:trPr>
          <w:trHeight w:val="152"/>
        </w:trPr>
        <w:tc>
          <w:tcPr>
            <w:tcW w:w="20" w:type="dxa"/>
            <w:vAlign w:val="bottom"/>
          </w:tcPr>
          <w:p>
            <w:pPr>
              <w:spacing w:after="0"/>
              <w:rPr>
                <w:sz w:val="13"/>
                <w:szCs w:val="13"/>
                <w:color w:val="auto"/>
              </w:rPr>
            </w:pPr>
          </w:p>
        </w:tc>
        <w:tc>
          <w:tcPr>
            <w:tcW w:w="2200" w:type="dxa"/>
            <w:vAlign w:val="bottom"/>
          </w:tcPr>
          <w:p>
            <w:pPr>
              <w:spacing w:after="0"/>
              <w:rPr>
                <w:sz w:val="20"/>
                <w:szCs w:val="20"/>
                <w:color w:val="auto"/>
              </w:rPr>
            </w:pPr>
            <w:r>
              <w:rPr>
                <w:rFonts w:ascii="Arial" w:cs="Arial" w:eastAsia="Arial" w:hAnsi="Arial"/>
                <w:sz w:val="13"/>
                <w:szCs w:val="13"/>
                <w:color w:val="auto"/>
              </w:rPr>
              <w:t>Dividend yield</w:t>
            </w:r>
          </w:p>
        </w:tc>
        <w:tc>
          <w:tcPr>
            <w:tcW w:w="940" w:type="dxa"/>
            <w:vAlign w:val="bottom"/>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160" w:type="dxa"/>
            <w:vAlign w:val="bottom"/>
          </w:tcPr>
          <w:p>
            <w:pPr>
              <w:jc w:val="right"/>
              <w:ind w:right="157"/>
              <w:spacing w:after="0"/>
              <w:rPr>
                <w:sz w:val="20"/>
                <w:szCs w:val="20"/>
                <w:color w:val="auto"/>
              </w:rPr>
            </w:pPr>
            <w:r>
              <w:rPr>
                <w:rFonts w:ascii="Arial" w:cs="Arial" w:eastAsia="Arial" w:hAnsi="Arial"/>
                <w:sz w:val="13"/>
                <w:szCs w:val="13"/>
                <w:color w:val="auto"/>
              </w:rPr>
              <w:t>0%</w:t>
            </w:r>
          </w:p>
        </w:tc>
        <w:tc>
          <w:tcPr>
            <w:tcW w:w="90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180" w:type="dxa"/>
            <w:vAlign w:val="bottom"/>
          </w:tcPr>
          <w:p>
            <w:pPr>
              <w:jc w:val="right"/>
              <w:ind w:right="157"/>
              <w:spacing w:after="0"/>
              <w:rPr>
                <w:sz w:val="20"/>
                <w:szCs w:val="20"/>
                <w:color w:val="auto"/>
              </w:rPr>
            </w:pPr>
            <w:r>
              <w:rPr>
                <w:rFonts w:ascii="Arial" w:cs="Arial" w:eastAsia="Arial" w:hAnsi="Arial"/>
                <w:sz w:val="13"/>
                <w:szCs w:val="13"/>
                <w:color w:val="auto"/>
              </w:rPr>
              <w:t>0%</w:t>
            </w:r>
          </w:p>
        </w:tc>
        <w:tc>
          <w:tcPr>
            <w:tcW w:w="920" w:type="dxa"/>
            <w:vAlign w:val="bottom"/>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3"/>
                <w:szCs w:val="13"/>
                <w:color w:val="auto"/>
              </w:rPr>
            </w:pPr>
          </w:p>
        </w:tc>
      </w:tr>
    </w:tbl>
    <w:p>
      <w:pPr>
        <w:spacing w:after="0" w:line="180" w:lineRule="exact"/>
        <w:rPr>
          <w:sz w:val="20"/>
          <w:szCs w:val="20"/>
          <w:color w:val="auto"/>
        </w:rPr>
      </w:pPr>
    </w:p>
    <w:p>
      <w:pPr>
        <w:ind w:left="200" w:right="40" w:firstLine="551"/>
        <w:spacing w:after="0" w:line="251"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for employee options is calculated using the simplified method as the Company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have sufficient historical information to provide a basis for estimate. The simplified method is based on the average of the vesting tranches and the contractual life of each grant. The expected term for nonemployee options is the contractual term of the options.</w:t>
      </w:r>
    </w:p>
    <w:p>
      <w:pPr>
        <w:spacing w:after="0" w:line="174" w:lineRule="exact"/>
        <w:rPr>
          <w:sz w:val="20"/>
          <w:szCs w:val="20"/>
          <w:color w:val="auto"/>
        </w:rPr>
      </w:pPr>
    </w:p>
    <w:p>
      <w:pPr>
        <w:ind w:left="200" w:right="260" w:firstLine="551"/>
        <w:spacing w:after="0" w:line="245"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expected volatility was estimated based on a study of publicly traded peer companies as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did not have any trading history for its common stock. The Company selected the peer group based on similarities in industry, stage of development, size and financial leverage with the Company’s principal business operations. For each grant, the Company measured historical volatility over a period equivalent to the expected term.</w:t>
      </w:r>
    </w:p>
    <w:p>
      <w:pPr>
        <w:spacing w:after="0" w:line="181" w:lineRule="exact"/>
        <w:rPr>
          <w:sz w:val="20"/>
          <w:szCs w:val="20"/>
          <w:color w:val="auto"/>
        </w:rPr>
      </w:pPr>
    </w:p>
    <w:p>
      <w:pPr>
        <w:ind w:left="200" w:right="400" w:firstLine="551"/>
        <w:spacing w:after="0" w:line="26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yield available on U.S. Treasury zero-coupon issues whose</w:t>
      </w:r>
      <w:r>
        <w:rPr>
          <w:rFonts w:ascii="Arial" w:cs="Arial" w:eastAsia="Arial" w:hAnsi="Arial"/>
          <w:sz w:val="18"/>
          <w:szCs w:val="18"/>
          <w:i w:val="1"/>
          <w:iCs w:val="1"/>
          <w:color w:val="auto"/>
        </w:rPr>
        <w:t xml:space="preserve"> </w:t>
      </w:r>
      <w:r>
        <w:rPr>
          <w:rFonts w:ascii="Arial" w:cs="Arial" w:eastAsia="Arial" w:hAnsi="Arial"/>
          <w:sz w:val="18"/>
          <w:szCs w:val="18"/>
          <w:color w:val="auto"/>
        </w:rPr>
        <w:t>term is similar in duration to the expected term of the respective stock option.</w:t>
      </w:r>
    </w:p>
    <w:p>
      <w:pPr>
        <w:spacing w:after="0" w:line="161" w:lineRule="exact"/>
        <w:rPr>
          <w:sz w:val="20"/>
          <w:szCs w:val="20"/>
          <w:color w:val="auto"/>
        </w:rPr>
      </w:pPr>
    </w:p>
    <w:p>
      <w:pPr>
        <w:ind w:left="200" w:right="300" w:firstLine="551"/>
        <w:spacing w:after="0" w:line="26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Company has not paid and does not anticipate paying any dividends on its common stock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Accordingly, the Company has estimated the dividend yield to be zero.</w:t>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13. Common Stock Warrants</w:t>
      </w:r>
    </w:p>
    <w:p>
      <w:pPr>
        <w:spacing w:after="0" w:line="126"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In 2016, the Company issued a warrant for 45,000 shares of the Company’s common stock to a service provider with an exercise price of $1.14 per share, of which 15,000 warrant shares become exercisable upon completion of an offering of securities in a private placement by the Company with net proceeds in excess of $25.0 million and 30,000 warrant shares become exercisable upon completion of an IPO by the Company. As the services had been completed at the date the warrant had been issued, the fair value of the warrant was determined at the issuance date. In 2018, 15,000 of these warrant shares became exercisable upon the completion of the Series B financing and the $13,000 fair value of these warrant shares, as determined under the Black-Scholes Model, was recorded within operating expenses in the statements of operations and comprehensive loss and within additional paid-in-capital in the balance sheets. The Company has not recognized expense for the remaining 30,000 warrant shares that become exercisable upon completion of an IPO as the vesting condition was not considered probable as of December 31, 2018 and June 30, 2019 (unaudited). If an IPO had occurred on June 30, 2019 (unaudited), the Company would have recorded less than $ 0.1 million within operating expenses in the statements of operations and comprehensive loss and within additional paid-in-capital in the balance sheets for the 30,000 warrant shares becoming exercisable. The warrant expires in 2023.</w:t>
      </w:r>
    </w:p>
    <w:p>
      <w:pPr>
        <w:spacing w:after="0" w:line="205"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The Company also agreed to issue a warrant for 23,669 common stock shares with an exercise price of $3.19 per share to a third-party. As the Company had not issued the warrant as of December 31, 2017, the obligation to issue this common stock warrant was remeasured to its fair value of $60,000 as of December 31, 2017 using the Black-Scholes option pricing model. The warrant was issued in May 2018 and</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240" w:top="459" w:right="41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80"/>
        <w:spacing w:after="0" w:line="246" w:lineRule="auto"/>
        <w:rPr>
          <w:sz w:val="20"/>
          <w:szCs w:val="20"/>
          <w:color w:val="auto"/>
        </w:rPr>
      </w:pPr>
      <w:r>
        <w:rPr>
          <w:rFonts w:ascii="Arial" w:cs="Arial" w:eastAsia="Arial" w:hAnsi="Arial"/>
          <w:sz w:val="18"/>
          <w:szCs w:val="18"/>
          <w:color w:val="auto"/>
        </w:rPr>
        <w:t>the obligation to issue the common stock warrant was remeasured at the fair value of $59,000 and recorded within additional paid-in-capital in the balance sheets upon issuance of the warrants. The warrant expires in 2025.</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14. Net Loss Per Share Attributable to Common Stockholders</w:t>
      </w:r>
    </w:p>
    <w:p>
      <w:pPr>
        <w:spacing w:after="0" w:line="126" w:lineRule="exact"/>
        <w:rPr>
          <w:sz w:val="20"/>
          <w:szCs w:val="20"/>
          <w:color w:val="auto"/>
        </w:rPr>
      </w:pPr>
    </w:p>
    <w:p>
      <w:pPr>
        <w:ind w:left="200" w:right="580" w:firstLine="551"/>
        <w:spacing w:after="0" w:line="246"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4"/>
                <w:szCs w:val="14"/>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20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Six Months Ended</w:t>
            </w:r>
          </w:p>
        </w:tc>
        <w:tc>
          <w:tcPr>
            <w:tcW w:w="1740" w:type="dxa"/>
            <w:vAlign w:val="bottom"/>
            <w:gridSpan w:val="4"/>
          </w:tcPr>
          <w:p>
            <w:pPr>
              <w:jc w:val="center"/>
              <w:ind w:left="136"/>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8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c>
          <w:tcPr>
            <w:tcW w:w="170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June 30,</w:t>
            </w:r>
          </w:p>
        </w:tc>
      </w:tr>
      <w:tr>
        <w:trPr>
          <w:trHeight w:val="175"/>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97"/>
              <w:spacing w:after="0" w:line="155" w:lineRule="exact"/>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77"/>
              <w:spacing w:after="0" w:line="155" w:lineRule="exact"/>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Net loss attributable to common</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160"/>
              <w:spacing w:after="0" w:line="203" w:lineRule="exact"/>
              <w:rPr>
                <w:sz w:val="20"/>
                <w:szCs w:val="20"/>
                <w:color w:val="auto"/>
              </w:rPr>
            </w:pPr>
            <w:r>
              <w:rPr>
                <w:rFonts w:ascii="Arial" w:cs="Arial" w:eastAsia="Arial" w:hAnsi="Arial"/>
                <w:sz w:val="18"/>
                <w:szCs w:val="18"/>
                <w:color w:val="auto"/>
              </w:rPr>
              <w:t>stockholders</w:t>
            </w:r>
          </w:p>
        </w:tc>
        <w:tc>
          <w:tcPr>
            <w:tcW w:w="460" w:type="dxa"/>
            <w:vAlign w:val="bottom"/>
            <w:gridSpan w:val="2"/>
          </w:tcPr>
          <w:p>
            <w:pPr>
              <w:ind w:left="34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(11,223)</w:t>
            </w:r>
          </w:p>
        </w:tc>
        <w:tc>
          <w:tcPr>
            <w:tcW w:w="480" w:type="dxa"/>
            <w:vAlign w:val="bottom"/>
            <w:gridSpan w:val="2"/>
          </w:tcPr>
          <w:p>
            <w:pPr>
              <w:ind w:left="36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(9,551)</w:t>
            </w:r>
          </w:p>
        </w:tc>
        <w:tc>
          <w:tcPr>
            <w:tcW w:w="5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(5,186)</w:t>
            </w:r>
          </w:p>
        </w:tc>
        <w:tc>
          <w:tcPr>
            <w:tcW w:w="5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(16,516)</w:t>
            </w: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Weighted average shares outstanding</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5,054,375</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5,090,988</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5,077,668</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5,135,166</w:t>
            </w:r>
          </w:p>
        </w:tc>
        <w:tc>
          <w:tcPr>
            <w:tcW w:w="1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weighted average shares subject to</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repurchase used in computing net loss per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share attributable to common</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stockholders, basic and diluted</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(100,956)</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(41,785)</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(56,665)</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(2,452)</w:t>
            </w:r>
          </w:p>
        </w:tc>
      </w:tr>
      <w:tr>
        <w:trPr>
          <w:trHeight w:val="209"/>
        </w:trPr>
        <w:tc>
          <w:tcPr>
            <w:tcW w:w="3900" w:type="dxa"/>
            <w:vAlign w:val="bottom"/>
            <w:gridSpan w:val="2"/>
          </w:tcPr>
          <w:p>
            <w:pPr>
              <w:spacing w:after="0"/>
              <w:rPr>
                <w:sz w:val="20"/>
                <w:szCs w:val="20"/>
                <w:color w:val="auto"/>
              </w:rPr>
            </w:pPr>
            <w:r>
              <w:rPr>
                <w:rFonts w:ascii="Arial" w:cs="Arial" w:eastAsia="Arial" w:hAnsi="Arial"/>
                <w:sz w:val="18"/>
                <w:szCs w:val="18"/>
                <w:color w:val="auto"/>
              </w:rPr>
              <w:t>Weighted average shares outstanding used</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in computing net loss per share</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attributable to common stockholders,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160"/>
              <w:spacing w:after="0" w:line="203" w:lineRule="exact"/>
              <w:rPr>
                <w:sz w:val="20"/>
                <w:szCs w:val="20"/>
                <w:color w:val="auto"/>
              </w:rPr>
            </w:pPr>
            <w:r>
              <w:rPr>
                <w:rFonts w:ascii="Arial" w:cs="Arial" w:eastAsia="Arial" w:hAnsi="Arial"/>
                <w:sz w:val="18"/>
                <w:szCs w:val="18"/>
                <w:color w:val="auto"/>
              </w:rPr>
              <w:t>basic and diluted</w:t>
            </w: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4,953,419</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5,049,203</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5,021,003</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5,132,714</w:t>
            </w:r>
          </w:p>
        </w:tc>
        <w:tc>
          <w:tcPr>
            <w:tcW w:w="1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stockholders – basic and diluted</w:t>
            </w:r>
          </w:p>
        </w:tc>
        <w:tc>
          <w:tcPr>
            <w:tcW w:w="46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(2.27)</w:t>
            </w:r>
          </w:p>
        </w:tc>
        <w:tc>
          <w:tcPr>
            <w:tcW w:w="480" w:type="dxa"/>
            <w:vAlign w:val="bottom"/>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(1.89)</w:t>
            </w:r>
          </w:p>
        </w:tc>
        <w:tc>
          <w:tcPr>
            <w:tcW w:w="5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(1.03)</w:t>
            </w:r>
          </w:p>
        </w:tc>
        <w:tc>
          <w:tcPr>
            <w:tcW w:w="52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(3.22)</w:t>
            </w: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160" w:firstLine="551"/>
        <w:spacing w:after="0" w:line="246"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 presented because including them would have been anti-dilutive:</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1740" w:type="dxa"/>
            <w:vAlign w:val="bottom"/>
            <w:gridSpan w:val="2"/>
          </w:tcPr>
          <w:p>
            <w:pPr>
              <w:jc w:val="center"/>
              <w:ind w:left="376"/>
              <w:spacing w:after="0"/>
              <w:rPr>
                <w:sz w:val="20"/>
                <w:szCs w:val="20"/>
                <w:color w:val="auto"/>
              </w:rPr>
            </w:pPr>
            <w:r>
              <w:rPr>
                <w:rFonts w:ascii="Arial" w:cs="Arial" w:eastAsia="Arial" w:hAnsi="Arial"/>
                <w:sz w:val="14"/>
                <w:szCs w:val="14"/>
                <w:b w:val="1"/>
                <w:bCs w:val="1"/>
                <w:color w:val="auto"/>
              </w:rPr>
              <w:t>Six Months Ended</w:t>
            </w:r>
          </w:p>
        </w:tc>
        <w:tc>
          <w:tcPr>
            <w:tcW w:w="1800" w:type="dxa"/>
            <w:vAlign w:val="bottom"/>
            <w:gridSpan w:val="3"/>
          </w:tcPr>
          <w:p>
            <w:pPr>
              <w:jc w:val="center"/>
              <w:ind w:left="317"/>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900" w:type="dxa"/>
            <w:vAlign w:val="bottom"/>
            <w:gridSpan w:val="2"/>
          </w:tcPr>
          <w:p>
            <w:pPr>
              <w:jc w:val="center"/>
              <w:ind w:left="856"/>
              <w:spacing w:after="0"/>
              <w:rPr>
                <w:sz w:val="20"/>
                <w:szCs w:val="20"/>
                <w:color w:val="auto"/>
              </w:rPr>
            </w:pPr>
            <w:r>
              <w:rPr>
                <w:rFonts w:ascii="Arial" w:cs="Arial" w:eastAsia="Arial" w:hAnsi="Arial"/>
                <w:sz w:val="14"/>
                <w:szCs w:val="14"/>
                <w:b w:val="1"/>
                <w:bCs w:val="1"/>
                <w:color w:val="auto"/>
              </w:rPr>
              <w:t>December 31,</w:t>
            </w:r>
          </w:p>
        </w:tc>
        <w:tc>
          <w:tcPr>
            <w:tcW w:w="1440" w:type="dxa"/>
            <w:vAlign w:val="bottom"/>
            <w:gridSpan w:val="2"/>
          </w:tcPr>
          <w:p>
            <w:pPr>
              <w:jc w:val="center"/>
              <w:ind w:left="376"/>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48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June 30,</w:t>
            </w:r>
          </w:p>
        </w:tc>
      </w:tr>
      <w:tr>
        <w:trPr>
          <w:trHeight w:val="175"/>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900" w:type="dxa"/>
            <w:vAlign w:val="bottom"/>
            <w:gridSpan w:val="2"/>
          </w:tcPr>
          <w:p>
            <w:pPr>
              <w:jc w:val="center"/>
              <w:ind w:left="856"/>
              <w:spacing w:after="0"/>
              <w:rPr>
                <w:sz w:val="20"/>
                <w:szCs w:val="20"/>
                <w:color w:val="auto"/>
              </w:rPr>
            </w:pPr>
            <w:r>
              <w:rPr>
                <w:rFonts w:ascii="Arial" w:cs="Arial" w:eastAsia="Arial" w:hAnsi="Arial"/>
                <w:sz w:val="14"/>
                <w:szCs w:val="14"/>
                <w:b w:val="1"/>
                <w:bCs w:val="1"/>
                <w:color w:val="auto"/>
              </w:rPr>
              <w:t>2017</w:t>
            </w:r>
          </w:p>
        </w:tc>
        <w:tc>
          <w:tcPr>
            <w:tcW w:w="1440" w:type="dxa"/>
            <w:vAlign w:val="bottom"/>
            <w:gridSpan w:val="2"/>
          </w:tcPr>
          <w:p>
            <w:pPr>
              <w:jc w:val="center"/>
              <w:ind w:left="396"/>
              <w:spacing w:after="0"/>
              <w:rPr>
                <w:sz w:val="20"/>
                <w:szCs w:val="20"/>
                <w:color w:val="auto"/>
              </w:rPr>
            </w:pPr>
            <w:r>
              <w:rPr>
                <w:rFonts w:ascii="Arial" w:cs="Arial" w:eastAsia="Arial" w:hAnsi="Arial"/>
                <w:sz w:val="14"/>
                <w:szCs w:val="14"/>
                <w:b w:val="1"/>
                <w:bCs w:val="1"/>
                <w:color w:val="auto"/>
              </w:rPr>
              <w:t>2018</w:t>
            </w:r>
          </w:p>
        </w:tc>
        <w:tc>
          <w:tcPr>
            <w:tcW w:w="1740" w:type="dxa"/>
            <w:vAlign w:val="bottom"/>
            <w:gridSpan w:val="2"/>
          </w:tcPr>
          <w:p>
            <w:pPr>
              <w:jc w:val="center"/>
              <w:ind w:left="376"/>
              <w:spacing w:after="0"/>
              <w:rPr>
                <w:sz w:val="20"/>
                <w:szCs w:val="20"/>
                <w:color w:val="auto"/>
              </w:rPr>
            </w:pPr>
            <w:r>
              <w:rPr>
                <w:rFonts w:ascii="Arial" w:cs="Arial" w:eastAsia="Arial" w:hAnsi="Arial"/>
                <w:sz w:val="14"/>
                <w:szCs w:val="14"/>
                <w:b w:val="1"/>
                <w:bCs w:val="1"/>
                <w:color w:val="auto"/>
              </w:rPr>
              <w:t>2018</w:t>
            </w:r>
          </w:p>
        </w:tc>
        <w:tc>
          <w:tcPr>
            <w:tcW w:w="1740" w:type="dxa"/>
            <w:vAlign w:val="bottom"/>
            <w:gridSpan w:val="2"/>
          </w:tcPr>
          <w:p>
            <w:pPr>
              <w:jc w:val="center"/>
              <w:ind w:left="377"/>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13"/>
                <w:szCs w:val="13"/>
                <w:color w:val="auto"/>
              </w:rPr>
            </w:pPr>
          </w:p>
        </w:tc>
        <w:tc>
          <w:tcPr>
            <w:tcW w:w="12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1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2,220,999</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7,375,631</w:t>
            </w:r>
          </w:p>
        </w:tc>
        <w:tc>
          <w:tcPr>
            <w:tcW w:w="1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2,220,999</w:t>
            </w:r>
          </w:p>
        </w:tc>
        <w:tc>
          <w:tcPr>
            <w:tcW w:w="1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7,375,631</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40" w:type="dxa"/>
            <w:vAlign w:val="bottom"/>
          </w:tcPr>
          <w:p>
            <w:pPr>
              <w:spacing w:after="0" w:line="202" w:lineRule="exact"/>
              <w:rPr>
                <w:sz w:val="20"/>
                <w:szCs w:val="20"/>
                <w:color w:val="auto"/>
              </w:rPr>
            </w:pPr>
            <w:r>
              <w:rPr>
                <w:rFonts w:ascii="Arial" w:cs="Arial" w:eastAsia="Arial" w:hAnsi="Arial"/>
                <w:sz w:val="18"/>
                <w:szCs w:val="18"/>
                <w:color w:val="auto"/>
              </w:rPr>
              <w:t>Options to purchase common stock</w:t>
            </w:r>
          </w:p>
        </w:tc>
        <w:tc>
          <w:tcPr>
            <w:tcW w:w="1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792,290</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2,028,274</w:t>
            </w:r>
          </w:p>
        </w:tc>
        <w:tc>
          <w:tcPr>
            <w:tcW w:w="1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1,154,988</w:t>
            </w:r>
          </w:p>
        </w:tc>
        <w:tc>
          <w:tcPr>
            <w:tcW w:w="1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2,192,230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restricted stock awards</w:t>
            </w:r>
          </w:p>
        </w:tc>
        <w:tc>
          <w:tcPr>
            <w:tcW w:w="1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73,964</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14,793</w:t>
            </w:r>
          </w:p>
        </w:tc>
        <w:tc>
          <w:tcPr>
            <w:tcW w:w="1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44,379</w:t>
            </w:r>
          </w:p>
        </w:tc>
        <w:tc>
          <w:tcPr>
            <w:tcW w:w="4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140" w:type="dxa"/>
            <w:vAlign w:val="bottom"/>
          </w:tcPr>
          <w:p>
            <w:pPr>
              <w:spacing w:after="0" w:line="202" w:lineRule="exact"/>
              <w:rPr>
                <w:sz w:val="20"/>
                <w:szCs w:val="20"/>
                <w:color w:val="auto"/>
              </w:rPr>
            </w:pPr>
            <w:r>
              <w:rPr>
                <w:rFonts w:ascii="Arial" w:cs="Arial" w:eastAsia="Arial" w:hAnsi="Arial"/>
                <w:sz w:val="18"/>
                <w:szCs w:val="18"/>
                <w:color w:val="auto"/>
              </w:rPr>
              <w:t>Common stock warrant</w:t>
            </w:r>
          </w:p>
        </w:tc>
        <w:tc>
          <w:tcPr>
            <w:tcW w:w="960" w:type="dxa"/>
            <w:vAlign w:val="bottom"/>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68,669</w:t>
            </w:r>
          </w:p>
        </w:tc>
        <w:tc>
          <w:tcPr>
            <w:tcW w:w="480" w:type="dxa"/>
            <w:vAlign w:val="bottom"/>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68,669</w:t>
            </w:r>
          </w:p>
        </w:tc>
        <w:tc>
          <w:tcPr>
            <w:tcW w:w="480" w:type="dxa"/>
            <w:vAlign w:val="bottom"/>
          </w:tcPr>
          <w:p>
            <w:pPr>
              <w:spacing w:after="0"/>
              <w:rPr>
                <w:sz w:val="18"/>
                <w:szCs w:val="18"/>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68,669</w:t>
            </w:r>
          </w:p>
        </w:tc>
        <w:tc>
          <w:tcPr>
            <w:tcW w:w="480" w:type="dxa"/>
            <w:vAlign w:val="bottom"/>
          </w:tcPr>
          <w:p>
            <w:pPr>
              <w:spacing w:after="0"/>
              <w:rPr>
                <w:sz w:val="18"/>
                <w:szCs w:val="18"/>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68,669</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3,155,922</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9,487,367</w:t>
            </w:r>
          </w:p>
        </w:tc>
        <w:tc>
          <w:tcPr>
            <w:tcW w:w="1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3,489,035</w:t>
            </w:r>
          </w:p>
        </w:tc>
        <w:tc>
          <w:tcPr>
            <w:tcW w:w="1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9,636,530</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Pro Forma Net Loss Per Share</w:t>
      </w:r>
    </w:p>
    <w:p>
      <w:pPr>
        <w:spacing w:after="0" w:line="126" w:lineRule="exact"/>
        <w:rPr>
          <w:sz w:val="20"/>
          <w:szCs w:val="20"/>
          <w:color w:val="auto"/>
        </w:rPr>
      </w:pPr>
    </w:p>
    <w:p>
      <w:pPr>
        <w:ind w:left="200" w:right="180" w:firstLine="551"/>
        <w:spacing w:after="0" w:line="246" w:lineRule="auto"/>
        <w:rPr>
          <w:sz w:val="20"/>
          <w:szCs w:val="20"/>
          <w:color w:val="auto"/>
        </w:rPr>
      </w:pPr>
      <w:r>
        <w:rPr>
          <w:rFonts w:ascii="Arial" w:cs="Arial" w:eastAsia="Arial" w:hAnsi="Arial"/>
          <w:sz w:val="18"/>
          <w:szCs w:val="18"/>
          <w:color w:val="auto"/>
        </w:rPr>
        <w:t>Unaudited pro forma basic and diluted net loss per share were computed to give effect to the automatic one-for-one conversion of all outstanding shares of redeemable convertible preferred stock</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240" w:top="460" w:right="41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46" w:lineRule="auto"/>
        <w:rPr>
          <w:sz w:val="20"/>
          <w:szCs w:val="20"/>
          <w:color w:val="auto"/>
        </w:rPr>
      </w:pPr>
      <w:r>
        <w:rPr>
          <w:rFonts w:ascii="Arial" w:cs="Arial" w:eastAsia="Arial" w:hAnsi="Arial"/>
          <w:sz w:val="18"/>
          <w:szCs w:val="18"/>
          <w:color w:val="auto"/>
        </w:rPr>
        <w:t>into shares of common stock in connection with the closing of the planned IPO, using the as-converted method as though the conversion had occurred as of the beginning of the period presented or the date of issuance, if later.</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Unaudited pro forma basic and diluted loss per share is computed as follows (in thousands, except share and per share data):</w:t>
      </w:r>
    </w:p>
    <w:p>
      <w:pPr>
        <w:spacing w:after="0" w:line="226" w:lineRule="exact"/>
        <w:rPr>
          <w:sz w:val="20"/>
          <w:szCs w:val="20"/>
          <w:color w:val="auto"/>
        </w:rPr>
      </w:pPr>
    </w:p>
    <w:tbl>
      <w:tblPr>
        <w:tblLayout w:type="fixed"/>
        <w:tblInd w:w="8200" w:type="dxa"/>
        <w:tblCellMar>
          <w:top w:w="0" w:type="dxa"/>
          <w:left w:w="0" w:type="dxa"/>
          <w:bottom w:w="0" w:type="dxa"/>
          <w:right w:w="0" w:type="dxa"/>
        </w:tblCellMar>
      </w:tblPr>
      <w:tr>
        <w:trPr>
          <w:trHeight w:val="162"/>
        </w:trPr>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Year Ended</w:t>
            </w:r>
          </w:p>
        </w:tc>
        <w:tc>
          <w:tcPr>
            <w:tcW w:w="1640" w:type="dxa"/>
            <w:vAlign w:val="bottom"/>
          </w:tcPr>
          <w:p>
            <w:pPr>
              <w:jc w:val="center"/>
              <w:ind w:left="328"/>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December 31,</w:t>
            </w:r>
          </w:p>
        </w:tc>
        <w:tc>
          <w:tcPr>
            <w:tcW w:w="1640" w:type="dxa"/>
            <w:vAlign w:val="bottom"/>
          </w:tcPr>
          <w:p>
            <w:pPr>
              <w:jc w:val="center"/>
              <w:ind w:left="348"/>
              <w:spacing w:after="0"/>
              <w:rPr>
                <w:sz w:val="20"/>
                <w:szCs w:val="20"/>
                <w:color w:val="auto"/>
              </w:rPr>
            </w:pPr>
            <w:r>
              <w:rPr>
                <w:rFonts w:ascii="Arial" w:cs="Arial" w:eastAsia="Arial" w:hAnsi="Arial"/>
                <w:sz w:val="14"/>
                <w:szCs w:val="14"/>
                <w:b w:val="1"/>
                <w:bCs w:val="1"/>
                <w:color w:val="auto"/>
              </w:rPr>
              <w:t>June 30,</w:t>
            </w:r>
          </w:p>
        </w:tc>
      </w:tr>
      <w:tr>
        <w:trPr>
          <w:trHeight w:val="174"/>
        </w:trPr>
        <w:tc>
          <w:tcPr>
            <w:tcW w:w="1320" w:type="dxa"/>
            <w:vAlign w:val="bottom"/>
          </w:tcPr>
          <w:p>
            <w:pPr>
              <w:jc w:val="center"/>
              <w:ind w:right="288"/>
              <w:spacing w:after="0"/>
              <w:rPr>
                <w:sz w:val="20"/>
                <w:szCs w:val="20"/>
                <w:color w:val="auto"/>
              </w:rPr>
            </w:pPr>
            <w:r>
              <w:rPr>
                <w:rFonts w:ascii="Arial" w:cs="Arial" w:eastAsia="Arial" w:hAnsi="Arial"/>
                <w:sz w:val="14"/>
                <w:szCs w:val="14"/>
                <w:b w:val="1"/>
                <w:bCs w:val="1"/>
                <w:color w:val="auto"/>
              </w:rPr>
              <w:t>2018</w:t>
            </w:r>
          </w:p>
        </w:tc>
        <w:tc>
          <w:tcPr>
            <w:tcW w:w="1640" w:type="dxa"/>
            <w:vAlign w:val="bottom"/>
          </w:tcPr>
          <w:p>
            <w:pPr>
              <w:jc w:val="center"/>
              <w:ind w:left="328"/>
              <w:spacing w:after="0"/>
              <w:rPr>
                <w:sz w:val="20"/>
                <w:szCs w:val="20"/>
                <w:color w:val="auto"/>
              </w:rPr>
            </w:pPr>
            <w:r>
              <w:rPr>
                <w:rFonts w:ascii="Arial" w:cs="Arial" w:eastAsia="Arial" w:hAnsi="Arial"/>
                <w:sz w:val="14"/>
                <w:szCs w:val="14"/>
                <w:b w:val="1"/>
                <w:bCs w:val="1"/>
                <w:color w:val="auto"/>
              </w:rPr>
              <w:t>2019</w:t>
            </w:r>
          </w:p>
        </w:tc>
      </w:tr>
    </w:tbl>
    <w:p>
      <w:pPr>
        <w:ind w:left="200"/>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1371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Net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-1905</wp:posOffset>
            </wp:positionV>
            <wp:extent cx="188658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886585" cy="26035"/>
                    </a:xfrm>
                    <a:prstGeom prst="rect">
                      <a:avLst/>
                    </a:prstGeom>
                    <a:noFill/>
                  </pic:spPr>
                </pic:pic>
              </a:graphicData>
            </a:graphic>
          </wp:anchor>
        </w:drawing>
      </w:r>
    </w:p>
    <w:p>
      <w:pPr>
        <w:spacing w:after="0" w:line="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-116205</wp:posOffset>
            </wp:positionV>
            <wp:extent cx="6997700" cy="1289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right="4260"/>
        <w:spacing w:after="0" w:line="234" w:lineRule="auto"/>
        <w:rPr>
          <w:sz w:val="20"/>
          <w:szCs w:val="20"/>
          <w:color w:val="auto"/>
        </w:rPr>
      </w:pPr>
      <w:r>
        <w:rPr>
          <w:rFonts w:ascii="Arial" w:cs="Arial" w:eastAsia="Arial" w:hAnsi="Arial"/>
          <w:sz w:val="18"/>
          <w:szCs w:val="18"/>
          <w:color w:val="auto"/>
        </w:rPr>
        <w:t>Weighted-average shares used in computing net loss per share, basic and diluted Adjust: Conversion of redeemable convertible preferred stock Weighted-average shares used in computing pro forma net loss per share, basic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-254635</wp:posOffset>
            </wp:positionV>
            <wp:extent cx="6997700" cy="1289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-1905</wp:posOffset>
            </wp:positionV>
            <wp:extent cx="188658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886585" cy="26035"/>
                    </a:xfrm>
                    <a:prstGeom prst="rect">
                      <a:avLst/>
                    </a:prstGeom>
                    <a:noFill/>
                  </pic:spPr>
                </pic:pic>
              </a:graphicData>
            </a:graphic>
          </wp:anchor>
        </w:drawing>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 forma 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1543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7700" cy="154305"/>
                    </a:xfrm>
                    <a:prstGeom prst="rect">
                      <a:avLst/>
                    </a:prstGeom>
                    <a:noFill/>
                  </pic:spPr>
                </pic:pic>
              </a:graphicData>
            </a:graphic>
          </wp:anchor>
        </w:drawing>
      </w:r>
    </w:p>
    <w:p>
      <w:pPr>
        <w:spacing w:after="0" w:line="3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15. Derivative Liability</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Company identified an embedded derivative resulting from the change of control provision in the CFFT collaboration agreement. Embedded derivatives that are required to be bifurcated from the underlying host instrument are accounted for and valued as separate financial instruments. At the inception of the derivative in 2017, the Company recognized this derivative as a liability and revenue was reduced by the initial fair value of the derivative liability. The Company remeasures the derivative liability to fair value at each reporting period and records the change in fair value of the derivative liability as other income (expense), net. The Company uses a present value analysis with multiple scenarios, which incorporates assumptions and estimates to value the derivative instrument. The Company assesses these assumptions and estimates on a periodic basis as additional information impacting the assumptions is obtained. Estimates and assumptions impacting the fair value measurement include the change of control payment to CFFT, the probability of a change of control event, the probability of the product achieving development or commercial status at time of change of control and the discount rate. The Company determined the estimated fair value of this liability as of the inception date of the CFFT Agreement and concluded that the amount was immaterial. The Company determined the fair value of this derivative liability was $0.1 million as of December 31, 2017, December 31, 2018 and June 30, 2019 (unaudited).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16. Related Party Transactions</w:t>
      </w:r>
    </w:p>
    <w:p>
      <w:pPr>
        <w:spacing w:after="0" w:line="126" w:lineRule="exact"/>
        <w:rPr>
          <w:sz w:val="20"/>
          <w:szCs w:val="20"/>
          <w:color w:val="auto"/>
        </w:rPr>
      </w:pPr>
    </w:p>
    <w:p>
      <w:pPr>
        <w:ind w:left="200" w:right="300" w:firstLine="551"/>
        <w:spacing w:after="0" w:line="239" w:lineRule="auto"/>
        <w:rPr>
          <w:sz w:val="20"/>
          <w:szCs w:val="20"/>
          <w:color w:val="auto"/>
        </w:rPr>
      </w:pPr>
      <w:r>
        <w:rPr>
          <w:rFonts w:ascii="Arial" w:cs="Arial" w:eastAsia="Arial" w:hAnsi="Arial"/>
          <w:sz w:val="18"/>
          <w:szCs w:val="18"/>
          <w:color w:val="auto"/>
        </w:rPr>
        <w:t>In January 2014, in connection with the performance obligations under the uniQure Agreement, the founders of the Company received equity options to purchase an aggregate of 609,744 of uniQure ordinary shares that vest over the initial three-year term of the agreement and one of the founders of the Company agreed to serve as a director of uniQure. The accounting for this arrangement is discussed in Note 6. See Note 17 for subsequent events related to the Company’s agreements with uniQure.</w:t>
      </w:r>
    </w:p>
    <w:p>
      <w:pPr>
        <w:spacing w:after="0" w:line="202" w:lineRule="exact"/>
        <w:rPr>
          <w:sz w:val="20"/>
          <w:szCs w:val="20"/>
          <w:color w:val="auto"/>
        </w:rPr>
      </w:pPr>
    </w:p>
    <w:p>
      <w:pPr>
        <w:ind w:left="200" w:right="300" w:firstLine="551"/>
        <w:spacing w:after="0"/>
        <w:rPr>
          <w:sz w:val="20"/>
          <w:szCs w:val="20"/>
          <w:color w:val="auto"/>
        </w:rPr>
      </w:pPr>
      <w:r>
        <w:rPr>
          <w:rFonts w:ascii="Arial" w:cs="Arial" w:eastAsia="Arial" w:hAnsi="Arial"/>
          <w:sz w:val="18"/>
          <w:szCs w:val="18"/>
          <w:color w:val="auto"/>
        </w:rPr>
        <w:t>In 2015, the Company signed a collaboration and license agreement with Pfizer and recorded deferred revenue of $5.0 million related to the upfront payment received from Pfizer under the arrangement. In 2018, Pfizer terminated this agreement for convenience. Upon the termination of the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00"/>
          </w:cols>
          <w:pgMar w:left="24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agreement, the Company recognized revenue on the $5.0 million upfront payment. As of December 31, 2018 and June 30, 2019 (unaudited), Pfizer owns 1,474,992 shares of the Company’s redeemable convertible preferred stock and has a representative director on the Company’s board of directors.</w:t>
      </w:r>
    </w:p>
    <w:p>
      <w:pPr>
        <w:spacing w:after="0" w:line="203"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The Company’s former Chief Operating Officer, who was employed at the Company through November 2017, was the Executive Chairman of Dark Horse Consulting. During the year ended December 31, 2017, the Company paid $0.2 million to Dark Horse Consulting under a consulting agreement to design and implement pharmaceutical quality manufacturing of and controls for drug products. The consulting agreement terminated in December 2017.</w:t>
      </w:r>
    </w:p>
    <w:p>
      <w:pPr>
        <w:spacing w:after="0" w:line="202" w:lineRule="exact"/>
        <w:rPr>
          <w:sz w:val="20"/>
          <w:szCs w:val="20"/>
          <w:color w:val="auto"/>
        </w:rPr>
      </w:pPr>
    </w:p>
    <w:p>
      <w:pPr>
        <w:ind w:left="200" w:right="180" w:firstLine="551"/>
        <w:spacing w:after="0" w:line="239" w:lineRule="auto"/>
        <w:rPr>
          <w:sz w:val="20"/>
          <w:szCs w:val="20"/>
          <w:color w:val="auto"/>
        </w:rPr>
      </w:pPr>
      <w:r>
        <w:rPr>
          <w:rFonts w:ascii="Arial" w:cs="Arial" w:eastAsia="Arial" w:hAnsi="Arial"/>
          <w:sz w:val="18"/>
          <w:szCs w:val="18"/>
          <w:color w:val="auto"/>
        </w:rPr>
        <w:t>In each of the years ended December 31, 2017 and 2018, the Company paid $56,500 and $50,000, respectively, and $25,000 (unaudited) in each of the six months ended June 30, 2018 and 2019 to the co-founder and Chief Scientific Advisor of the Company for consulting services. In April 2019, the Company entered into two sponsored research agreements with the UC Regents. See Note 17 for further details of this transaction involving the co-founder and Chief Scientific Advisor of the Company.</w:t>
      </w:r>
    </w:p>
    <w:p>
      <w:pPr>
        <w:spacing w:after="0" w:line="202" w:lineRule="exact"/>
        <w:rPr>
          <w:sz w:val="20"/>
          <w:szCs w:val="20"/>
          <w:color w:val="auto"/>
        </w:rPr>
      </w:pPr>
    </w:p>
    <w:p>
      <w:pPr>
        <w:ind w:left="200" w:right="220" w:firstLine="551"/>
        <w:spacing w:after="0" w:line="238" w:lineRule="auto"/>
        <w:rPr>
          <w:sz w:val="20"/>
          <w:szCs w:val="20"/>
          <w:color w:val="auto"/>
        </w:rPr>
      </w:pPr>
      <w:r>
        <w:rPr>
          <w:rFonts w:ascii="Arial" w:cs="Arial" w:eastAsia="Arial" w:hAnsi="Arial"/>
          <w:sz w:val="18"/>
          <w:szCs w:val="18"/>
          <w:color w:val="auto"/>
        </w:rPr>
        <w:t>In 2016, the Company entered into a consulting agreement with one its former directors, who resigned as a director in December 2018, to provide business development strategy services. In connection with this agreement, the former director was granted stock options. In the years ended December 31, 2017 and 2018, the Company recorded $14,700 and $219,500 of stock-based compensation expense related to such stock options. In the six months ended June 30, 2018, the Company recorded $61,400 (unaudited) of stock-based compensation expense related to such stock options.</w:t>
      </w:r>
    </w:p>
    <w:p>
      <w:pPr>
        <w:spacing w:after="0" w:line="203"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In 2016, the Chief Executive Officer and several other employees of the Company founded Ignite Immunotherapy (“Ignite”). The Company’s Chief Executive Officer also serves as the Chief Executive Officer and Executive Chairman of Ignite. Certain executives of the Company hold ownership interests in Ignite and are members of the board of directors of Ignite. Additionally, Pfizer, who is a related party of the Company holds a significant equity stake in Ignite. There have been no transactions between the Company and Ignite in the years ended December 31, 2017 and 2018.</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17. Subsequent Events</w:t>
      </w:r>
    </w:p>
    <w:p>
      <w:pPr>
        <w:spacing w:after="0" w:line="126" w:lineRule="exact"/>
        <w:rPr>
          <w:sz w:val="20"/>
          <w:szCs w:val="20"/>
          <w:color w:val="auto"/>
        </w:rPr>
      </w:pPr>
    </w:p>
    <w:p>
      <w:pPr>
        <w:ind w:left="200" w:right="100" w:firstLine="551"/>
        <w:spacing w:after="0" w:line="246" w:lineRule="auto"/>
        <w:rPr>
          <w:sz w:val="20"/>
          <w:szCs w:val="20"/>
          <w:color w:val="auto"/>
        </w:rPr>
      </w:pPr>
      <w:r>
        <w:rPr>
          <w:rFonts w:ascii="Arial" w:cs="Arial" w:eastAsia="Arial" w:hAnsi="Arial"/>
          <w:sz w:val="18"/>
          <w:szCs w:val="18"/>
          <w:color w:val="auto"/>
        </w:rPr>
        <w:t>The Company evaluated subsequent events through August 2, 2019, the date on which the financial statements were available for issuance.</w:t>
      </w:r>
    </w:p>
    <w:p>
      <w:pPr>
        <w:spacing w:after="0" w:line="197" w:lineRule="exact"/>
        <w:rPr>
          <w:sz w:val="20"/>
          <w:szCs w:val="20"/>
          <w:color w:val="auto"/>
        </w:rPr>
      </w:pPr>
    </w:p>
    <w:p>
      <w:pPr>
        <w:jc w:val="both"/>
        <w:ind w:left="200" w:right="360" w:firstLine="551"/>
        <w:spacing w:after="0"/>
        <w:rPr>
          <w:sz w:val="20"/>
          <w:szCs w:val="20"/>
          <w:color w:val="auto"/>
        </w:rPr>
      </w:pPr>
      <w:r>
        <w:rPr>
          <w:rFonts w:ascii="Arial" w:cs="Arial" w:eastAsia="Arial" w:hAnsi="Arial"/>
          <w:sz w:val="18"/>
          <w:szCs w:val="18"/>
          <w:color w:val="auto"/>
        </w:rPr>
        <w:t>In January 2019, the Company entered into a license agreement with the UC Regents relating to the use of certain patents and intellectual property surrounding its core technologies. The Company paid a non-refundable license fee of $50,000 to the UC Regents upon execution of the agreement.</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March 2019, the Benitec Agreement was terminated based on mutual agreement between the Company and Benitec.</w:t>
      </w:r>
    </w:p>
    <w:p>
      <w:pPr>
        <w:spacing w:after="0" w:line="21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In April 2019, the Company entered into two sponsored research agreements (“SRAs”) with the UC Regents to conduct research in a research facility on the Berkeley campus, under the direction of Professor David Schaffer, the Company’s co-founder and Chief Scientific Advisor. The SRAs have a three year term ending in May 2022. Under the SRAs, the Company has an option to license (on a royalty-bearing basis) all intellectual property generated under the SRAs. The total amount the Company is committed to pay to the UC Regents under the SRAs is $1.5 million, of which $0.4 million was paid upon the execution of the SRAs. Any patent prosecution costs incurred under the SRAs will</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20"/>
          </w:cols>
          <w:pgMar w:left="240" w:top="460"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also be borne by the Company. The Company can terminate the SRAs for convenience and without cause with 60 days’ notice.</w:t>
      </w:r>
    </w:p>
    <w:p>
      <w:pPr>
        <w:spacing w:after="0" w:line="212"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In May 2019, the Company amended the lease agreement executed in October 2018 to add 17,497 square feet to the space being leased in Emeryville, California. The amendment extended the term of the lease to December 31, 2029. The Company does not have to pay rent until December 2019. The annual rent for the additional space is $1.0 million per annum and escalates at 3% annually. This lease agreement also provides for a tenant improvement allowance of $1.6 million.</w:t>
      </w:r>
    </w:p>
    <w:p>
      <w:pPr>
        <w:spacing w:after="0" w:line="202" w:lineRule="exact"/>
        <w:rPr>
          <w:sz w:val="20"/>
          <w:szCs w:val="20"/>
          <w:color w:val="auto"/>
        </w:rPr>
      </w:pPr>
    </w:p>
    <w:p>
      <w:pPr>
        <w:ind w:left="200" w:right="40" w:firstLine="551"/>
        <w:spacing w:after="0" w:line="246" w:lineRule="auto"/>
        <w:rPr>
          <w:sz w:val="20"/>
          <w:szCs w:val="20"/>
          <w:color w:val="auto"/>
        </w:rPr>
      </w:pPr>
      <w:r>
        <w:rPr>
          <w:rFonts w:ascii="Arial" w:cs="Arial" w:eastAsia="Arial" w:hAnsi="Arial"/>
          <w:sz w:val="18"/>
          <w:szCs w:val="18"/>
          <w:color w:val="auto"/>
        </w:rPr>
        <w:t>From January 1, 2019 through August 2, 2019, the Company has granted options for the purchase of 1.0 million shares of common stock at an exercise price ranging from $9.41 to $10.10 per share. These options vest over a period of one to four years.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18. Subsequent Events (unaudited)</w:t>
      </w:r>
    </w:p>
    <w:p>
      <w:pPr>
        <w:spacing w:after="0" w:line="126" w:lineRule="exact"/>
        <w:rPr>
          <w:sz w:val="20"/>
          <w:szCs w:val="20"/>
          <w:color w:val="auto"/>
        </w:rPr>
      </w:pPr>
    </w:p>
    <w:p>
      <w:pPr>
        <w:ind w:left="200" w:right="480" w:firstLine="551"/>
        <w:spacing w:after="0" w:line="246" w:lineRule="auto"/>
        <w:rPr>
          <w:sz w:val="20"/>
          <w:szCs w:val="20"/>
          <w:color w:val="auto"/>
        </w:rPr>
      </w:pPr>
      <w:r>
        <w:rPr>
          <w:rFonts w:ascii="Arial" w:cs="Arial" w:eastAsia="Arial" w:hAnsi="Arial"/>
          <w:sz w:val="18"/>
          <w:szCs w:val="18"/>
          <w:color w:val="auto"/>
        </w:rPr>
        <w:t>In connection with the issuance of the unaudited interim financial statements, the Company has evaluated subsequent events through August 30, 2019, the date the financial statements were available to be issued.</w:t>
      </w:r>
    </w:p>
    <w:p>
      <w:pPr>
        <w:spacing w:after="0" w:line="197" w:lineRule="exact"/>
        <w:rPr>
          <w:sz w:val="20"/>
          <w:szCs w:val="20"/>
          <w:color w:val="auto"/>
        </w:rPr>
      </w:pPr>
    </w:p>
    <w:p>
      <w:pPr>
        <w:ind w:left="200" w:right="180" w:firstLine="551"/>
        <w:spacing w:after="0" w:line="238" w:lineRule="auto"/>
        <w:rPr>
          <w:sz w:val="20"/>
          <w:szCs w:val="20"/>
          <w:color w:val="auto"/>
        </w:rPr>
      </w:pPr>
      <w:r>
        <w:rPr>
          <w:rFonts w:ascii="Arial" w:cs="Arial" w:eastAsia="Arial" w:hAnsi="Arial"/>
          <w:sz w:val="18"/>
          <w:szCs w:val="18"/>
          <w:color w:val="auto"/>
        </w:rPr>
        <w:t>In August 2019, the Company entered into an Amended and Restated Collaboration and License Agreement (“amended uniQure Agreement”) with uniQure which amended and restated the uniQure Agreement. Under the amended uniQure Agreement, the Company granted uniQure a license for select AAV capsid variants (Selected Variants) in the central nervous system and the liver (together the uniQure Field). uniQure is solely responsible, at its cost and expense, to develop and commercialize the compounds and products containing the Selected Variants.</w:t>
      </w:r>
    </w:p>
    <w:p>
      <w:pPr>
        <w:spacing w:after="0" w:line="203"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Also in August 2019, the Company entered into a separate Collaboration and License Agreement with uniQure (“Second uniQure Agreement”). Under the Second uniQure Agreement, the parties agreed to research and develop new AAV capsid variants that are not Selected Variants (New Variants) in the uniQure Field and that affect certain targets (uniQure Targets). The Company is responsible for the research of the New Variants. The Company granted uniQure a license for a certain number of the New Variants (uniQure New Variants) that affect the uniQure Targets. uniQure is solely responsible, at its cost and expense, to develop and commercialize the compounds and products containing the uniQure New Variants that affect the uniQure Targets.</w:t>
      </w:r>
    </w:p>
    <w:p>
      <w:pPr>
        <w:spacing w:after="0" w:line="205"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Under both the Amended and Restated uniQure Agreement and the Second uniQure Agreement, uniQure will be required to pay the Company royalties on worldwide annual net sales of licensed products at a mid-single digit percentage rate, subject to certain specified reductions. uniQure will also be required to pay the Company a portion of the amounts it receives for sublicensing to third parties the Company’s intellectual property rights licensed under the agreement at a rate between mid-single digit to mid-twenties percentages.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20"/>
          </w:cols>
          <w:pgMar w:left="240" w:top="460" w:right="439" w:bottom="1440" w:gutter="0" w:footer="0" w:header="0"/>
        </w:sectPr>
      </w:pPr>
    </w:p>
    <w:bookmarkStart w:id="269" w:name="page270"/>
    <w:bookmarkEnd w:id="2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160"/>
        <w:spacing w:after="0"/>
        <w:rPr>
          <w:sz w:val="20"/>
          <w:szCs w:val="20"/>
          <w:color w:val="auto"/>
        </w:rPr>
      </w:pPr>
      <w:r>
        <w:rPr>
          <w:rFonts w:ascii="Arial" w:cs="Arial" w:eastAsia="Arial" w:hAnsi="Arial"/>
          <w:sz w:val="25"/>
          <w:szCs w:val="25"/>
          <w:color w:val="auto"/>
        </w:rPr>
        <w:t>Shares</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4D Molecular Therapeutics, Inc.</w:t>
      </w:r>
    </w:p>
    <w:p>
      <w:pPr>
        <w:spacing w:after="0" w:line="200" w:lineRule="exact"/>
        <w:rPr>
          <w:sz w:val="20"/>
          <w:szCs w:val="20"/>
          <w:color w:val="auto"/>
        </w:rPr>
      </w:pP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708660</wp:posOffset>
            </wp:positionV>
            <wp:extent cx="112331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2028825</wp:posOffset>
            </wp:positionV>
            <wp:extent cx="112331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974090</wp:posOffset>
            </wp:positionV>
            <wp:extent cx="2487295" cy="7543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48729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0"/>
        <w:spacing w:after="0"/>
        <w:tabs>
          <w:tab w:leader="none" w:pos="4600" w:val="left"/>
          <w:tab w:leader="none" w:pos="970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Evercore ISI</w:t>
      </w:r>
      <w:r>
        <w:rPr>
          <w:sz w:val="20"/>
          <w:szCs w:val="20"/>
          <w:color w:val="auto"/>
        </w:rPr>
        <w:tab/>
      </w:r>
      <w:r>
        <w:rPr>
          <w:rFonts w:ascii="Arial" w:cs="Arial" w:eastAsia="Arial" w:hAnsi="Arial"/>
          <w:sz w:val="24"/>
          <w:szCs w:val="24"/>
          <w:b w:val="1"/>
          <w:bCs w:val="1"/>
          <w:color w:val="auto"/>
        </w:rPr>
        <w:t>William Blair</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color w:val="auto"/>
        </w:rPr>
        <w:t>Chardan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314325</wp:posOffset>
            </wp:positionV>
            <wp:extent cx="112331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0" w:right="40" w:firstLine="551"/>
        <w:spacing w:after="0" w:line="248" w:lineRule="auto"/>
        <w:rPr>
          <w:sz w:val="20"/>
          <w:szCs w:val="20"/>
          <w:color w:val="auto"/>
        </w:rPr>
      </w:pPr>
      <w:r>
        <w:rPr>
          <w:rFonts w:ascii="Arial" w:cs="Arial" w:eastAsia="Arial" w:hAnsi="Arial"/>
          <w:sz w:val="18"/>
          <w:szCs w:val="18"/>
          <w:b w:val="1"/>
          <w:bCs w:val="1"/>
          <w:color w:val="auto"/>
        </w:rPr>
        <w:t>Through and including , 2019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1390650</wp:posOffset>
            </wp:positionV>
            <wp:extent cx="6997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1450975</wp:posOffset>
            </wp:positionV>
            <wp:extent cx="6997700"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3080" w:firstLine="3068"/>
        <w:spacing w:after="0" w:line="372" w:lineRule="auto"/>
        <w:rPr>
          <w:sz w:val="20"/>
          <w:szCs w:val="20"/>
          <w:color w:val="auto"/>
        </w:rPr>
      </w:pPr>
      <w:r>
        <w:rPr>
          <w:rFonts w:ascii="Arial" w:cs="Arial" w:eastAsia="Arial" w:hAnsi="Arial"/>
          <w:sz w:val="18"/>
          <w:szCs w:val="18"/>
          <w:b w:val="1"/>
          <w:bCs w:val="1"/>
          <w:color w:val="auto"/>
        </w:rPr>
        <w:t xml:space="preserve">PART II INFORMATION NOT REQUIRED IN PROSPECTUS </w:t>
      </w:r>
      <w:r>
        <w:rPr>
          <w:rFonts w:ascii="Arial" w:cs="Arial" w:eastAsia="Arial" w:hAnsi="Arial"/>
          <w:sz w:val="18"/>
          <w:szCs w:val="18"/>
          <w:b w:val="1"/>
          <w:bCs w:val="1"/>
          <w:i w:val="1"/>
          <w:iCs w:val="1"/>
          <w:color w:val="auto"/>
        </w:rPr>
        <w:t>Item 13. Other Expenses of Issuance and Distribution.</w:t>
      </w:r>
    </w:p>
    <w:p>
      <w:pPr>
        <w:spacing w:after="0" w:line="2" w:lineRule="exact"/>
        <w:rPr>
          <w:sz w:val="20"/>
          <w:szCs w:val="20"/>
          <w:color w:val="auto"/>
        </w:rPr>
      </w:pPr>
    </w:p>
    <w:p>
      <w:pPr>
        <w:ind w:left="200" w:right="60" w:firstLine="551"/>
        <w:spacing w:after="0"/>
        <w:rPr>
          <w:sz w:val="20"/>
          <w:szCs w:val="20"/>
          <w:color w:val="auto"/>
        </w:rPr>
      </w:pPr>
      <w:r>
        <w:rPr>
          <w:rFonts w:ascii="Arial" w:cs="Arial" w:eastAsia="Arial" w:hAnsi="Arial"/>
          <w:sz w:val="18"/>
          <w:szCs w:val="18"/>
          <w:color w:val="auto"/>
        </w:rPr>
        <w:t>The following table sets forth the costs and expenses, other than the underwriting discounts and commissions, payable by the registrant in connection with the sale of common stock being registered. All amounts are estimates except for the SEC registration fee, the Financial Industry Regulatory Authority, Inc. (FINRA) filing fee and The Nasdaq Global Market listing fee.</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Amount paid</w:t>
            </w:r>
          </w:p>
        </w:tc>
        <w:tc>
          <w:tcPr>
            <w:tcW w:w="0" w:type="dxa"/>
            <w:vAlign w:val="bottom"/>
          </w:tcPr>
          <w:p>
            <w:pPr>
              <w:spacing w:after="0"/>
              <w:rPr>
                <w:sz w:val="1"/>
                <w:szCs w:val="1"/>
                <w:color w:val="auto"/>
              </w:rPr>
            </w:pPr>
          </w:p>
        </w:tc>
      </w:tr>
      <w:tr>
        <w:trPr>
          <w:trHeight w:val="162"/>
        </w:trPr>
        <w:tc>
          <w:tcPr>
            <w:tcW w:w="10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Item</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or to</w:t>
            </w:r>
          </w:p>
        </w:tc>
        <w:tc>
          <w:tcPr>
            <w:tcW w:w="0" w:type="dxa"/>
            <w:vAlign w:val="bottom"/>
          </w:tcPr>
          <w:p>
            <w:pPr>
              <w:spacing w:after="0"/>
              <w:rPr>
                <w:sz w:val="1"/>
                <w:szCs w:val="1"/>
                <w:color w:val="auto"/>
              </w:rPr>
            </w:pPr>
          </w:p>
        </w:tc>
      </w:tr>
      <w:tr>
        <w:trPr>
          <w:trHeight w:val="162"/>
        </w:trPr>
        <w:tc>
          <w:tcPr>
            <w:tcW w:w="10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be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9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0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SEC registration fee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12,120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60" w:type="dxa"/>
            <w:vAlign w:val="bottom"/>
            <w:gridSpan w:val="2"/>
          </w:tcPr>
          <w:p>
            <w:pPr>
              <w:spacing w:after="0" w:line="202" w:lineRule="exact"/>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The Nasdaq Global Market listing fee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60" w:type="dxa"/>
            <w:vAlign w:val="bottom"/>
            <w:gridSpan w:val="2"/>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60" w:type="dxa"/>
            <w:vAlign w:val="bottom"/>
            <w:gridSpan w:val="2"/>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Blue Sky, qualification fees and expenses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60" w:type="dxa"/>
            <w:vAlign w:val="bottom"/>
            <w:gridSpan w:val="2"/>
          </w:tcPr>
          <w:p>
            <w:pPr>
              <w:spacing w:after="0" w:line="202" w:lineRule="exact"/>
              <w:rPr>
                <w:sz w:val="20"/>
                <w:szCs w:val="20"/>
                <w:color w:val="auto"/>
              </w:rPr>
            </w:pPr>
            <w:r>
              <w:rPr>
                <w:rFonts w:ascii="Arial" w:cs="Arial" w:eastAsia="Arial" w:hAnsi="Arial"/>
                <w:sz w:val="18"/>
                <w:szCs w:val="18"/>
                <w:color w:val="auto"/>
              </w:rPr>
              <w:t>Transfer Agent fees and expenses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Miscellaneous fees and expenses</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87" w:lineRule="exact"/>
        <w:rPr>
          <w:sz w:val="20"/>
          <w:szCs w:val="20"/>
          <w:color w:val="auto"/>
        </w:rPr>
      </w:pPr>
    </w:p>
    <w:p>
      <w:pPr>
        <w:ind w:left="520" w:hanging="316"/>
        <w:spacing w:after="0"/>
        <w:tabs>
          <w:tab w:leader="none" w:pos="5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To be completed by amendment.</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26"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As permitted by Section 102 of the Delaware General Corporation Law, we have adopted provisions in our amended and restated certificate of incorporation and amended and restated bylaws, to be in effect immediately prior to the consummation of this offering, that will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11" w:lineRule="exact"/>
        <w:rPr>
          <w:sz w:val="20"/>
          <w:szCs w:val="20"/>
          <w:color w:val="auto"/>
        </w:rPr>
      </w:pPr>
    </w:p>
    <w:p>
      <w:pPr>
        <w:ind w:left="960" w:hanging="216"/>
        <w:spacing w:after="0"/>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 of dividends; or</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12"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These limitations of liability do not affect the availability of equitable remedies such as injunctive relief or rescission. Our amended and restated certificate of incorporation will also authorize us to indemnify our officers, directors and other agents to the fullest extent permitted under Delaware law.</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permitted by Section 145 of the Delaware General Corporation Law, our amended and restated bylaws will provide that:</w:t>
      </w:r>
    </w:p>
    <w:p>
      <w:pPr>
        <w:spacing w:after="0" w:line="117" w:lineRule="exact"/>
        <w:rPr>
          <w:sz w:val="20"/>
          <w:szCs w:val="20"/>
          <w:color w:val="auto"/>
        </w:rPr>
      </w:pPr>
    </w:p>
    <w:p>
      <w:pPr>
        <w:ind w:left="960" w:right="400" w:hanging="216"/>
        <w:spacing w:after="0" w:line="246" w:lineRule="auto"/>
        <w:tabs>
          <w:tab w:leader="none" w:pos="9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we may indemnify our directors, officers, and employees to the fullest extent permitted by the Delaware General Corporation Law, subject to limited exceptions;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240" w:top="460" w:right="41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280" w:hanging="216"/>
        <w:spacing w:after="0" w:line="246" w:lineRule="auto"/>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rights provided in our amended and restated bylaws are not exclusive.</w:t>
      </w:r>
    </w:p>
    <w:p>
      <w:pPr>
        <w:spacing w:after="0" w:line="212"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Our amended and restated certificate of incorporation, to be attached as Exhibit 3.2 hereto, and our amended and restated bylaws, to be attached as Exhibit 3.4 hereto, will provide for the indemnification provisions described above and elsewhere herein. We have entered into separate indemnification agreements with our directors and officers which may be broader than the specific indemnification provisions contained in the Delaware General Corporation Law.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w:t>
      </w:r>
    </w:p>
    <w:p>
      <w:pPr>
        <w:spacing w:after="0" w:line="206" w:lineRule="exact"/>
        <w:rPr>
          <w:sz w:val="20"/>
          <w:szCs w:val="20"/>
          <w:color w:val="auto"/>
        </w:rPr>
      </w:pPr>
    </w:p>
    <w:p>
      <w:pPr>
        <w:jc w:val="both"/>
        <w:ind w:left="200" w:right="240" w:firstLine="551"/>
        <w:spacing w:after="0"/>
        <w:rPr>
          <w:sz w:val="20"/>
          <w:szCs w:val="20"/>
          <w:color w:val="auto"/>
        </w:rPr>
      </w:pPr>
      <w:r>
        <w:rPr>
          <w:rFonts w:ascii="Arial" w:cs="Arial" w:eastAsia="Arial" w:hAnsi="Arial"/>
          <w:sz w:val="18"/>
          <w:szCs w:val="18"/>
          <w:color w:val="auto"/>
        </w:rPr>
        <w:t>The form of Underwriting Agreement, to be attached as Exhibit 1.1 hereto, provides for indemnification by the underwriters of us and our officers who sign this Registration Statement and directors for specified liabilities, including matters arising under the Securities Act.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26"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The following list sets forth information as to all securities we have sold since January 1, 2016, which were not registered under the Securities Act.</w:t>
      </w:r>
    </w:p>
    <w:p>
      <w:pPr>
        <w:spacing w:after="0" w:line="102" w:lineRule="exact"/>
        <w:rPr>
          <w:sz w:val="20"/>
          <w:szCs w:val="20"/>
          <w:color w:val="auto"/>
        </w:rPr>
      </w:pPr>
    </w:p>
    <w:p>
      <w:pPr>
        <w:ind w:left="740" w:right="300" w:hanging="536"/>
        <w:spacing w:after="0" w:line="246" w:lineRule="auto"/>
        <w:tabs>
          <w:tab w:leader="none" w:pos="7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On August 27, 2018 and August 28, 2018, we issued an aggregate of 5,154,632 shares of our Series B redeemable convertible preferred stock at a price per share of $17.46 for aggregate proceeds to us of $89,999,874.72.</w:t>
      </w:r>
    </w:p>
    <w:p>
      <w:pPr>
        <w:spacing w:after="0" w:line="102" w:lineRule="exact"/>
        <w:rPr>
          <w:rFonts w:ascii="Arial" w:cs="Arial" w:eastAsia="Arial" w:hAnsi="Arial"/>
          <w:sz w:val="18"/>
          <w:szCs w:val="18"/>
          <w:color w:val="auto"/>
        </w:rPr>
      </w:pPr>
    </w:p>
    <w:p>
      <w:pPr>
        <w:ind w:left="740" w:hanging="536"/>
        <w:spacing w:after="0"/>
        <w:tabs>
          <w:tab w:leader="none" w:pos="7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On June 30, 2016, we issued a warrant to purchase 45,000 shares of our common stock at a per share exercise price of $1.14.</w:t>
      </w:r>
    </w:p>
    <w:p>
      <w:pPr>
        <w:spacing w:after="0" w:line="117" w:lineRule="exact"/>
        <w:rPr>
          <w:rFonts w:ascii="Arial" w:cs="Arial" w:eastAsia="Arial" w:hAnsi="Arial"/>
          <w:sz w:val="18"/>
          <w:szCs w:val="18"/>
          <w:color w:val="auto"/>
        </w:rPr>
      </w:pPr>
    </w:p>
    <w:p>
      <w:pPr>
        <w:ind w:left="740" w:hanging="536"/>
        <w:spacing w:after="0"/>
        <w:tabs>
          <w:tab w:leader="none" w:pos="7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On May 18, 2018, we issued a warrant to purchase 23,669 shares of our common stock at a per share exercise price of $3.19.</w:t>
      </w:r>
    </w:p>
    <w:p>
      <w:pPr>
        <w:spacing w:after="0" w:line="117" w:lineRule="exact"/>
        <w:rPr>
          <w:rFonts w:ascii="Arial" w:cs="Arial" w:eastAsia="Arial" w:hAnsi="Arial"/>
          <w:sz w:val="18"/>
          <w:szCs w:val="18"/>
          <w:color w:val="auto"/>
        </w:rPr>
      </w:pPr>
    </w:p>
    <w:p>
      <w:pPr>
        <w:ind w:left="740" w:right="160" w:hanging="536"/>
        <w:spacing w:after="0"/>
        <w:tabs>
          <w:tab w:leader="none" w:pos="7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We granted stock options and stock awards to employees, directors and consultants under our 2015 Equity Incentive Plan, covering 3,239,613 shares of common stock, at a weighted-average exercise price of $6.32 per share. Of these, options covering an aggregate of 848,397 shares of common stock were cancelled without being exercised.</w:t>
      </w:r>
    </w:p>
    <w:p>
      <w:pPr>
        <w:spacing w:after="0" w:line="203"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We claimed exemption from registration under the Securities Act for the sale and issuance of securities in the transactions described in paragraphs (1) through (3) by virtue of Section 4(a)(2) and/or Regulation D promulgated thereunder as transactions not involving any public offering. All of the purchasers of unregistered securities for which we relied on Section 4(a)(2) and/or Regulation D represented that they were accredited investors as defined under the Securities Act. We claimed such exemption on the basis that (a) the purchasers in each case represented that they intended to acquire the securities for investment only and not with a view to the distribution thereof and that they either received adequate information about the registrant or had access, through employment or other relationships, to such information and (b) appropriate legends were affixed to the stock certificates issued in such transactions.</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80"/>
          </w:cols>
          <w:pgMar w:left="240" w:top="459" w:right="47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60" w:firstLine="551"/>
        <w:spacing w:after="0" w:line="239" w:lineRule="auto"/>
        <w:rPr>
          <w:sz w:val="20"/>
          <w:szCs w:val="20"/>
          <w:color w:val="auto"/>
        </w:rPr>
      </w:pPr>
      <w:r>
        <w:rPr>
          <w:rFonts w:ascii="Arial" w:cs="Arial" w:eastAsia="Arial" w:hAnsi="Arial"/>
          <w:sz w:val="18"/>
          <w:szCs w:val="18"/>
          <w:color w:val="auto"/>
        </w:rPr>
        <w:t>We claimed exemption from registration under the Securities Act for the sales and issuances of securities in the transactions described in paragraph (4) above under Section 4(a)(2) of the Securities Act in that such sales and issuances did not involve a public offering or under Rule 701 promulgated under the Securities Act, in that they were offered and sold either pursuant to written compensatory plans or pursuant to a written contract relating to compensation, as provided by Rule 701.</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Item 16. Exhibits and Financial Statement Schedules.</w:t>
      </w:r>
    </w:p>
    <w:p>
      <w:pPr>
        <w:spacing w:after="0" w:line="139" w:lineRule="exact"/>
        <w:rPr>
          <w:sz w:val="20"/>
          <w:szCs w:val="20"/>
          <w:color w:val="auto"/>
        </w:rPr>
      </w:pPr>
    </w:p>
    <w:p>
      <w:pPr>
        <w:ind w:left="740" w:hanging="536"/>
        <w:spacing w:after="0"/>
        <w:tabs>
          <w:tab w:leader="none" w:pos="7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Exhibits.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Exhibit</w:t>
            </w: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5"/>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Number</w:t>
            </w:r>
          </w:p>
        </w:tc>
        <w:tc>
          <w:tcPr>
            <w:tcW w:w="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380" w:type="dxa"/>
            <w:vAlign w:val="bottom"/>
            <w:gridSpan w:val="6"/>
          </w:tcPr>
          <w:p>
            <w:pPr>
              <w:ind w:left="2000"/>
              <w:spacing w:after="0"/>
              <w:rPr>
                <w:sz w:val="20"/>
                <w:szCs w:val="20"/>
                <w:color w:val="auto"/>
              </w:rPr>
            </w:pPr>
            <w:r>
              <w:rPr>
                <w:rFonts w:ascii="Arial" w:cs="Arial" w:eastAsia="Arial" w:hAnsi="Arial"/>
                <w:sz w:val="14"/>
                <w:szCs w:val="14"/>
                <w:b w:val="1"/>
                <w:bCs w:val="1"/>
                <w:color w:val="auto"/>
              </w:rPr>
              <w:t>Exhibit Description</w:t>
            </w:r>
          </w:p>
        </w:tc>
      </w:tr>
      <w:tr>
        <w:trPr>
          <w:trHeight w:val="318"/>
        </w:trPr>
        <w:tc>
          <w:tcPr>
            <w:tcW w:w="100" w:type="dxa"/>
            <w:vAlign w:val="bottom"/>
          </w:tcPr>
          <w:p>
            <w:pPr>
              <w:spacing w:after="0"/>
              <w:rPr>
                <w:sz w:val="24"/>
                <w:szCs w:val="24"/>
                <w:color w:val="auto"/>
              </w:rPr>
            </w:pPr>
          </w:p>
        </w:tc>
        <w:tc>
          <w:tcPr>
            <w:tcW w:w="560" w:type="dxa"/>
            <w:vAlign w:val="bottom"/>
            <w:tcBorders>
              <w:top w:val="single" w:sz="8" w:color="auto"/>
            </w:tcBorders>
          </w:tcPr>
          <w:p>
            <w:pPr>
              <w:jc w:val="right"/>
              <w:ind w:right="162"/>
              <w:spacing w:after="0"/>
              <w:rPr>
                <w:sz w:val="20"/>
                <w:szCs w:val="20"/>
                <w:color w:val="auto"/>
              </w:rPr>
            </w:pPr>
            <w:r>
              <w:rPr>
                <w:rFonts w:ascii="Arial" w:cs="Arial" w:eastAsia="Arial" w:hAnsi="Arial"/>
                <w:sz w:val="18"/>
                <w:szCs w:val="18"/>
                <w:color w:val="auto"/>
                <w:w w:val="93"/>
              </w:rPr>
              <w:t>1.1*</w:t>
            </w:r>
          </w:p>
        </w:tc>
        <w:tc>
          <w:tcPr>
            <w:tcW w:w="700" w:type="dxa"/>
            <w:vAlign w:val="bottom"/>
          </w:tcPr>
          <w:p>
            <w:pPr>
              <w:spacing w:after="0"/>
              <w:rPr>
                <w:sz w:val="24"/>
                <w:szCs w:val="24"/>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Form of Underwriting Agreement.</w:t>
            </w:r>
          </w:p>
        </w:tc>
        <w:tc>
          <w:tcPr>
            <w:tcW w:w="1320" w:type="dxa"/>
            <w:vAlign w:val="bottom"/>
            <w:tcBorders>
              <w:top w:val="single" w:sz="8" w:color="auto"/>
            </w:tcBorders>
            <w:gridSpan w:val="2"/>
          </w:tcPr>
          <w:p>
            <w:pPr>
              <w:spacing w:after="0"/>
              <w:rPr>
                <w:sz w:val="24"/>
                <w:szCs w:val="24"/>
                <w:color w:val="auto"/>
              </w:rPr>
            </w:pPr>
          </w:p>
        </w:tc>
        <w:tc>
          <w:tcPr>
            <w:tcW w:w="4060" w:type="dxa"/>
            <w:vAlign w:val="bottom"/>
            <w:gridSpan w:val="3"/>
          </w:tcPr>
          <w:p>
            <w:pPr>
              <w:spacing w:after="0"/>
              <w:rPr>
                <w:sz w:val="24"/>
                <w:szCs w:val="24"/>
                <w:color w:val="auto"/>
              </w:rPr>
            </w:pPr>
          </w:p>
        </w:tc>
      </w:tr>
      <w:tr>
        <w:trPr>
          <w:trHeight w:val="270"/>
        </w:trPr>
        <w:tc>
          <w:tcPr>
            <w:tcW w:w="660" w:type="dxa"/>
            <w:vAlign w:val="bottom"/>
            <w:gridSpan w:val="2"/>
          </w:tcPr>
          <w:p>
            <w:pPr>
              <w:jc w:val="right"/>
              <w:ind w:right="222"/>
              <w:spacing w:after="0"/>
              <w:rPr>
                <w:sz w:val="20"/>
                <w:szCs w:val="20"/>
                <w:color w:val="auto"/>
              </w:rPr>
            </w:pPr>
            <w:r>
              <w:rPr>
                <w:rFonts w:ascii="Arial" w:cs="Arial" w:eastAsia="Arial" w:hAnsi="Arial"/>
                <w:sz w:val="18"/>
                <w:szCs w:val="18"/>
                <w:color w:val="auto"/>
              </w:rPr>
              <w:t>3.1</w:t>
            </w:r>
          </w:p>
        </w:tc>
        <w:tc>
          <w:tcPr>
            <w:tcW w:w="700" w:type="dxa"/>
            <w:vAlign w:val="bottom"/>
          </w:tcPr>
          <w:p>
            <w:pPr>
              <w:spacing w:after="0"/>
              <w:rPr>
                <w:sz w:val="23"/>
                <w:szCs w:val="23"/>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0000EE"/>
              </w:rPr>
              <w:t>Amended and Restated Certificate of Incorporation, currently in effect.</w:t>
            </w:r>
          </w:p>
        </w:tc>
      </w:tr>
      <w:tr>
        <w:trPr>
          <w:trHeight w:val="20"/>
        </w:trPr>
        <w:tc>
          <w:tcPr>
            <w:tcW w:w="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17"/>
        </w:trPr>
        <w:tc>
          <w:tcPr>
            <w:tcW w:w="660" w:type="dxa"/>
            <w:vAlign w:val="bottom"/>
            <w:gridSpan w:val="2"/>
          </w:tcPr>
          <w:p>
            <w:pPr>
              <w:jc w:val="right"/>
              <w:ind w:right="162"/>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24"/>
                <w:szCs w:val="24"/>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auto"/>
                <w:w w:val="99"/>
              </w:rPr>
              <w:t>Form of Amended and Restated Certificate of Incorporation, to be in effect immediately prior to the consummation of this</w:t>
            </w: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auto"/>
              </w:rPr>
              <w:t>offering.</w:t>
            </w:r>
          </w:p>
        </w:tc>
      </w:tr>
      <w:tr>
        <w:trPr>
          <w:trHeight w:val="270"/>
        </w:trPr>
        <w:tc>
          <w:tcPr>
            <w:tcW w:w="660" w:type="dxa"/>
            <w:vAlign w:val="bottom"/>
            <w:gridSpan w:val="2"/>
          </w:tcPr>
          <w:p>
            <w:pPr>
              <w:jc w:val="right"/>
              <w:ind w:right="222"/>
              <w:spacing w:after="0"/>
              <w:rPr>
                <w:sz w:val="20"/>
                <w:szCs w:val="20"/>
                <w:color w:val="auto"/>
              </w:rPr>
            </w:pPr>
            <w:r>
              <w:rPr>
                <w:rFonts w:ascii="Arial" w:cs="Arial" w:eastAsia="Arial" w:hAnsi="Arial"/>
                <w:sz w:val="18"/>
                <w:szCs w:val="18"/>
                <w:color w:val="auto"/>
              </w:rPr>
              <w:t>3.3</w:t>
            </w:r>
          </w:p>
        </w:tc>
        <w:tc>
          <w:tcPr>
            <w:tcW w:w="700" w:type="dxa"/>
            <w:vAlign w:val="bottom"/>
          </w:tcPr>
          <w:p>
            <w:pPr>
              <w:spacing w:after="0"/>
              <w:rPr>
                <w:sz w:val="23"/>
                <w:szCs w:val="23"/>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0000EE"/>
              </w:rPr>
              <w:t>Bylaws, currently in effect.</w:t>
            </w:r>
          </w:p>
        </w:tc>
      </w:tr>
      <w:tr>
        <w:trPr>
          <w:trHeight w:val="20"/>
        </w:trPr>
        <w:tc>
          <w:tcPr>
            <w:tcW w:w="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31"/>
        </w:trPr>
        <w:tc>
          <w:tcPr>
            <w:tcW w:w="660" w:type="dxa"/>
            <w:vAlign w:val="bottom"/>
            <w:gridSpan w:val="2"/>
          </w:tcPr>
          <w:p>
            <w:pPr>
              <w:jc w:val="right"/>
              <w:ind w:right="162"/>
              <w:spacing w:after="0"/>
              <w:rPr>
                <w:sz w:val="20"/>
                <w:szCs w:val="20"/>
                <w:color w:val="auto"/>
              </w:rPr>
            </w:pPr>
            <w:r>
              <w:rPr>
                <w:rFonts w:ascii="Arial" w:cs="Arial" w:eastAsia="Arial" w:hAnsi="Arial"/>
                <w:sz w:val="18"/>
                <w:szCs w:val="18"/>
                <w:color w:val="auto"/>
              </w:rPr>
              <w:t>3.4*</w:t>
            </w:r>
          </w:p>
        </w:tc>
        <w:tc>
          <w:tcPr>
            <w:tcW w:w="700" w:type="dxa"/>
            <w:vAlign w:val="bottom"/>
          </w:tcPr>
          <w:p>
            <w:pPr>
              <w:spacing w:after="0"/>
              <w:rPr>
                <w:sz w:val="24"/>
                <w:szCs w:val="24"/>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auto"/>
              </w:rPr>
              <w:t>Form of Amended and Restated Bylaws, to be in effect immediately prior to the consummation of this offering.</w:t>
            </w:r>
          </w:p>
        </w:tc>
      </w:tr>
      <w:tr>
        <w:trPr>
          <w:trHeight w:val="311"/>
        </w:trPr>
        <w:tc>
          <w:tcPr>
            <w:tcW w:w="660" w:type="dxa"/>
            <w:vAlign w:val="bottom"/>
            <w:gridSpan w:val="2"/>
          </w:tcPr>
          <w:p>
            <w:pPr>
              <w:jc w:val="right"/>
              <w:ind w:right="222"/>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24"/>
                <w:szCs w:val="24"/>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auto"/>
              </w:rPr>
              <w:t>Reference is made to exhibits 3.1 through 3.4.</w:t>
            </w:r>
          </w:p>
        </w:tc>
      </w:tr>
      <w:tr>
        <w:trPr>
          <w:trHeight w:val="311"/>
        </w:trPr>
        <w:tc>
          <w:tcPr>
            <w:tcW w:w="660" w:type="dxa"/>
            <w:vAlign w:val="bottom"/>
            <w:gridSpan w:val="2"/>
          </w:tcPr>
          <w:p>
            <w:pPr>
              <w:jc w:val="right"/>
              <w:ind w:right="162"/>
              <w:spacing w:after="0"/>
              <w:rPr>
                <w:sz w:val="20"/>
                <w:szCs w:val="20"/>
                <w:color w:val="auto"/>
              </w:rPr>
            </w:pPr>
            <w:r>
              <w:rPr>
                <w:rFonts w:ascii="Arial" w:cs="Arial" w:eastAsia="Arial" w:hAnsi="Arial"/>
                <w:sz w:val="18"/>
                <w:szCs w:val="18"/>
                <w:color w:val="auto"/>
              </w:rPr>
              <w:t>4.2*</w:t>
            </w:r>
          </w:p>
        </w:tc>
        <w:tc>
          <w:tcPr>
            <w:tcW w:w="700" w:type="dxa"/>
            <w:vAlign w:val="bottom"/>
          </w:tcPr>
          <w:p>
            <w:pPr>
              <w:spacing w:after="0"/>
              <w:rPr>
                <w:sz w:val="24"/>
                <w:szCs w:val="24"/>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auto"/>
              </w:rPr>
              <w:t>Form of Common Stock Certificate.</w:t>
            </w:r>
          </w:p>
        </w:tc>
      </w:tr>
      <w:tr>
        <w:trPr>
          <w:trHeight w:val="270"/>
        </w:trPr>
        <w:tc>
          <w:tcPr>
            <w:tcW w:w="660" w:type="dxa"/>
            <w:vAlign w:val="bottom"/>
            <w:gridSpan w:val="2"/>
          </w:tcPr>
          <w:p>
            <w:pPr>
              <w:jc w:val="right"/>
              <w:ind w:right="222"/>
              <w:spacing w:after="0"/>
              <w:rPr>
                <w:sz w:val="20"/>
                <w:szCs w:val="20"/>
                <w:color w:val="auto"/>
              </w:rPr>
            </w:pPr>
            <w:r>
              <w:rPr>
                <w:rFonts w:ascii="Arial" w:cs="Arial" w:eastAsia="Arial" w:hAnsi="Arial"/>
                <w:sz w:val="18"/>
                <w:szCs w:val="18"/>
                <w:color w:val="auto"/>
              </w:rPr>
              <w:t>4.3</w:t>
            </w:r>
          </w:p>
        </w:tc>
        <w:tc>
          <w:tcPr>
            <w:tcW w:w="700" w:type="dxa"/>
            <w:vAlign w:val="bottom"/>
          </w:tcPr>
          <w:p>
            <w:pPr>
              <w:spacing w:after="0"/>
              <w:rPr>
                <w:sz w:val="23"/>
                <w:szCs w:val="23"/>
                <w:color w:val="auto"/>
              </w:rPr>
            </w:pPr>
          </w:p>
        </w:tc>
        <w:tc>
          <w:tcPr>
            <w:tcW w:w="90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9"/>
              </w:rPr>
              <w:t>Amended and Restated Investors’ Rights Agreement, dated as of August 27, 2018, among the Registrant and the</w:t>
            </w:r>
          </w:p>
        </w:tc>
        <w:tc>
          <w:tcPr>
            <w:tcW w:w="540" w:type="dxa"/>
            <w:vAlign w:val="bottom"/>
          </w:tcPr>
          <w:p>
            <w:pPr>
              <w:spacing w:after="0"/>
              <w:rPr>
                <w:sz w:val="23"/>
                <w:szCs w:val="23"/>
                <w:color w:val="auto"/>
              </w:rPr>
            </w:pPr>
          </w:p>
        </w:tc>
      </w:tr>
      <w:tr>
        <w:trPr>
          <w:trHeight w:val="183"/>
        </w:trPr>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560" w:type="dxa"/>
            <w:vAlign w:val="bottom"/>
            <w:gridSpan w:val="9"/>
          </w:tcPr>
          <w:p>
            <w:pPr>
              <w:spacing w:after="0" w:line="182" w:lineRule="exact"/>
              <w:rPr>
                <w:sz w:val="20"/>
                <w:szCs w:val="20"/>
                <w:color w:val="auto"/>
              </w:rPr>
            </w:pPr>
            <w:r>
              <w:rPr>
                <w:rFonts w:ascii="Arial" w:cs="Arial" w:eastAsia="Arial" w:hAnsi="Arial"/>
                <w:sz w:val="18"/>
                <w:szCs w:val="18"/>
                <w:color w:val="0000EE"/>
              </w:rPr>
              <w:t>investors party thereto.</w:t>
            </w:r>
          </w:p>
        </w:tc>
      </w:tr>
      <w:tr>
        <w:trPr>
          <w:trHeight w:val="20"/>
        </w:trPr>
        <w:tc>
          <w:tcPr>
            <w:tcW w:w="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r>
      <w:tr>
        <w:trPr>
          <w:trHeight w:val="331"/>
        </w:trPr>
        <w:tc>
          <w:tcPr>
            <w:tcW w:w="660" w:type="dxa"/>
            <w:vAlign w:val="bottom"/>
            <w:gridSpan w:val="2"/>
          </w:tcPr>
          <w:p>
            <w:pPr>
              <w:jc w:val="right"/>
              <w:ind w:right="162"/>
              <w:spacing w:after="0"/>
              <w:rPr>
                <w:sz w:val="20"/>
                <w:szCs w:val="20"/>
                <w:color w:val="auto"/>
              </w:rPr>
            </w:pPr>
            <w:r>
              <w:rPr>
                <w:rFonts w:ascii="Arial" w:cs="Arial" w:eastAsia="Arial" w:hAnsi="Arial"/>
                <w:sz w:val="18"/>
                <w:szCs w:val="18"/>
                <w:color w:val="auto"/>
              </w:rPr>
              <w:t>5.1*</w:t>
            </w:r>
          </w:p>
        </w:tc>
        <w:tc>
          <w:tcPr>
            <w:tcW w:w="700" w:type="dxa"/>
            <w:vAlign w:val="bottom"/>
          </w:tcPr>
          <w:p>
            <w:pPr>
              <w:spacing w:after="0"/>
              <w:rPr>
                <w:sz w:val="24"/>
                <w:szCs w:val="24"/>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auto"/>
              </w:rPr>
              <w:t>Opinion of Latham &amp; Watkins LLP.</w:t>
            </w:r>
          </w:p>
        </w:tc>
      </w:tr>
      <w:tr>
        <w:trPr>
          <w:trHeight w:val="270"/>
        </w:trPr>
        <w:tc>
          <w:tcPr>
            <w:tcW w:w="1360" w:type="dxa"/>
            <w:vAlign w:val="bottom"/>
            <w:gridSpan w:val="3"/>
          </w:tcPr>
          <w:p>
            <w:pPr>
              <w:jc w:val="right"/>
              <w:ind w:right="680"/>
              <w:spacing w:after="0"/>
              <w:rPr>
                <w:sz w:val="20"/>
                <w:szCs w:val="20"/>
                <w:color w:val="auto"/>
              </w:rPr>
            </w:pPr>
            <w:r>
              <w:rPr>
                <w:rFonts w:ascii="Arial" w:cs="Arial" w:eastAsia="Arial" w:hAnsi="Arial"/>
                <w:sz w:val="18"/>
                <w:szCs w:val="18"/>
                <w:color w:val="auto"/>
                <w:w w:val="98"/>
              </w:rPr>
              <w:t>10.1(a)#</w:t>
            </w:r>
          </w:p>
        </w:tc>
        <w:tc>
          <w:tcPr>
            <w:tcW w:w="21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9"/>
              </w:rPr>
              <w:t>2015 Equity Incentive Plan.</w:t>
            </w:r>
          </w:p>
        </w:tc>
        <w:tc>
          <w:tcPr>
            <w:tcW w:w="7380" w:type="dxa"/>
            <w:vAlign w:val="bottom"/>
            <w:gridSpan w:val="6"/>
          </w:tcPr>
          <w:p>
            <w:pPr>
              <w:spacing w:after="0"/>
              <w:rPr>
                <w:sz w:val="23"/>
                <w:szCs w:val="23"/>
                <w:color w:val="auto"/>
              </w:rPr>
            </w:pPr>
          </w:p>
        </w:tc>
      </w:tr>
      <w:tr>
        <w:trPr>
          <w:trHeight w:val="291"/>
        </w:trPr>
        <w:tc>
          <w:tcPr>
            <w:tcW w:w="1360" w:type="dxa"/>
            <w:vAlign w:val="bottom"/>
            <w:gridSpan w:val="3"/>
          </w:tcPr>
          <w:p>
            <w:pPr>
              <w:jc w:val="right"/>
              <w:ind w:right="680"/>
              <w:spacing w:after="0"/>
              <w:rPr>
                <w:sz w:val="20"/>
                <w:szCs w:val="20"/>
                <w:color w:val="auto"/>
              </w:rPr>
            </w:pPr>
            <w:r>
              <w:rPr>
                <w:rFonts w:ascii="Arial" w:cs="Arial" w:eastAsia="Arial" w:hAnsi="Arial"/>
                <w:sz w:val="18"/>
                <w:szCs w:val="18"/>
                <w:color w:val="auto"/>
                <w:w w:val="98"/>
              </w:rPr>
              <w:t>10.1(b)#</w:t>
            </w:r>
          </w:p>
        </w:tc>
        <w:tc>
          <w:tcPr>
            <w:tcW w:w="9560" w:type="dxa"/>
            <w:vAlign w:val="bottom"/>
            <w:gridSpan w:val="9"/>
          </w:tcPr>
          <w:p>
            <w:pPr>
              <w:spacing w:after="0"/>
              <w:rPr>
                <w:sz w:val="20"/>
                <w:szCs w:val="20"/>
                <w:color w:val="auto"/>
              </w:rPr>
            </w:pPr>
            <w:r>
              <w:rPr>
                <w:rFonts w:ascii="Arial" w:cs="Arial" w:eastAsia="Arial" w:hAnsi="Arial"/>
                <w:sz w:val="18"/>
                <w:szCs w:val="18"/>
                <w:color w:val="0000EE"/>
              </w:rPr>
              <w:t>Form of Stock Option Agreement under 2015 Equity Incentive Plan.</w:t>
            </w:r>
          </w:p>
        </w:tc>
      </w:tr>
      <w:tr>
        <w:trPr>
          <w:trHeight w:val="331"/>
        </w:trPr>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w w:val="97"/>
              </w:rPr>
              <w:t>10.2(a)#*</w:t>
            </w:r>
          </w:p>
        </w:tc>
        <w:tc>
          <w:tcPr>
            <w:tcW w:w="53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2019 Incentive Award Plan.</w:t>
            </w:r>
          </w:p>
        </w:tc>
        <w:tc>
          <w:tcPr>
            <w:tcW w:w="4200" w:type="dxa"/>
            <w:vAlign w:val="bottom"/>
            <w:gridSpan w:val="4"/>
          </w:tcPr>
          <w:p>
            <w:pPr>
              <w:spacing w:after="0"/>
              <w:rPr>
                <w:sz w:val="24"/>
                <w:szCs w:val="24"/>
                <w:color w:val="auto"/>
              </w:rPr>
            </w:pPr>
          </w:p>
        </w:tc>
      </w:tr>
      <w:tr>
        <w:trPr>
          <w:trHeight w:val="311"/>
        </w:trPr>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w w:val="97"/>
              </w:rPr>
              <w:t>10.2(b)#*</w:t>
            </w:r>
          </w:p>
        </w:tc>
        <w:tc>
          <w:tcPr>
            <w:tcW w:w="9560" w:type="dxa"/>
            <w:vAlign w:val="bottom"/>
            <w:gridSpan w:val="9"/>
          </w:tcPr>
          <w:p>
            <w:pPr>
              <w:spacing w:after="0"/>
              <w:rPr>
                <w:sz w:val="20"/>
                <w:szCs w:val="20"/>
                <w:color w:val="auto"/>
              </w:rPr>
            </w:pPr>
            <w:r>
              <w:rPr>
                <w:rFonts w:ascii="Arial" w:cs="Arial" w:eastAsia="Arial" w:hAnsi="Arial"/>
                <w:sz w:val="18"/>
                <w:szCs w:val="18"/>
                <w:color w:val="auto"/>
              </w:rPr>
              <w:t>Form of Stock Option Grant Notice and Stock Option Agreement under the 2019 Incentive Award Plan.</w:t>
            </w:r>
          </w:p>
        </w:tc>
      </w:tr>
      <w:tr>
        <w:trPr>
          <w:trHeight w:val="296"/>
        </w:trPr>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w w:val="98"/>
              </w:rPr>
              <w:t>10.2(c)#*</w:t>
            </w:r>
          </w:p>
        </w:tc>
        <w:tc>
          <w:tcPr>
            <w:tcW w:w="9560" w:type="dxa"/>
            <w:vAlign w:val="bottom"/>
            <w:gridSpan w:val="9"/>
          </w:tcPr>
          <w:p>
            <w:pPr>
              <w:spacing w:after="0"/>
              <w:rPr>
                <w:sz w:val="20"/>
                <w:szCs w:val="20"/>
                <w:color w:val="auto"/>
              </w:rPr>
            </w:pPr>
            <w:r>
              <w:rPr>
                <w:rFonts w:ascii="Arial" w:cs="Arial" w:eastAsia="Arial" w:hAnsi="Arial"/>
                <w:sz w:val="18"/>
                <w:szCs w:val="18"/>
                <w:color w:val="auto"/>
              </w:rPr>
              <w:t>Form of Restricted Stock Award Grant Notice and Restricted Stock Award Agreement under the 2019 Incentive Award</w:t>
            </w: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auto"/>
              </w:rPr>
              <w:t>Plan.</w:t>
            </w:r>
          </w:p>
        </w:tc>
      </w:tr>
      <w:tr>
        <w:trPr>
          <w:trHeight w:val="296"/>
        </w:trPr>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w w:val="97"/>
              </w:rPr>
              <w:t>10.2(d)#*</w:t>
            </w:r>
          </w:p>
        </w:tc>
        <w:tc>
          <w:tcPr>
            <w:tcW w:w="9560" w:type="dxa"/>
            <w:vAlign w:val="bottom"/>
            <w:gridSpan w:val="9"/>
          </w:tcPr>
          <w:p>
            <w:pPr>
              <w:spacing w:after="0"/>
              <w:rPr>
                <w:sz w:val="20"/>
                <w:szCs w:val="20"/>
                <w:color w:val="auto"/>
              </w:rPr>
            </w:pPr>
            <w:r>
              <w:rPr>
                <w:rFonts w:ascii="Arial" w:cs="Arial" w:eastAsia="Arial" w:hAnsi="Arial"/>
                <w:sz w:val="18"/>
                <w:szCs w:val="18"/>
                <w:color w:val="auto"/>
                <w:w w:val="99"/>
              </w:rPr>
              <w:t>Form of Restricted Stock Unit Award Grant Notice and Restricted Stock Unit Award Agreement under the 2019 Incentive</w:t>
            </w: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auto"/>
              </w:rPr>
              <w:t>Award Plan.</w:t>
            </w:r>
          </w:p>
        </w:tc>
      </w:tr>
      <w:tr>
        <w:trPr>
          <w:trHeight w:val="311"/>
        </w:trPr>
        <w:tc>
          <w:tcPr>
            <w:tcW w:w="660" w:type="dxa"/>
            <w:vAlign w:val="bottom"/>
            <w:gridSpan w:val="2"/>
          </w:tcPr>
          <w:p>
            <w:pPr>
              <w:jc w:val="right"/>
              <w:ind w:right="62"/>
              <w:spacing w:after="0"/>
              <w:rPr>
                <w:sz w:val="20"/>
                <w:szCs w:val="20"/>
                <w:color w:val="auto"/>
              </w:rPr>
            </w:pPr>
            <w:r>
              <w:rPr>
                <w:rFonts w:ascii="Arial" w:cs="Arial" w:eastAsia="Arial" w:hAnsi="Arial"/>
                <w:sz w:val="18"/>
                <w:szCs w:val="18"/>
                <w:color w:val="auto"/>
                <w:w w:val="95"/>
              </w:rPr>
              <w:t>10.3#*</w:t>
            </w:r>
          </w:p>
        </w:tc>
        <w:tc>
          <w:tcPr>
            <w:tcW w:w="700" w:type="dxa"/>
            <w:vAlign w:val="bottom"/>
          </w:tcPr>
          <w:p>
            <w:pPr>
              <w:spacing w:after="0"/>
              <w:rPr>
                <w:sz w:val="24"/>
                <w:szCs w:val="24"/>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auto"/>
              </w:rPr>
              <w:t>2019 Employee Stock Purchase Plan.</w:t>
            </w:r>
          </w:p>
        </w:tc>
      </w:tr>
      <w:tr>
        <w:trPr>
          <w:trHeight w:val="311"/>
        </w:trPr>
        <w:tc>
          <w:tcPr>
            <w:tcW w:w="660" w:type="dxa"/>
            <w:vAlign w:val="bottom"/>
            <w:gridSpan w:val="2"/>
          </w:tcPr>
          <w:p>
            <w:pPr>
              <w:jc w:val="right"/>
              <w:ind w:right="162"/>
              <w:spacing w:after="0"/>
              <w:rPr>
                <w:sz w:val="20"/>
                <w:szCs w:val="20"/>
                <w:color w:val="auto"/>
              </w:rPr>
            </w:pPr>
            <w:r>
              <w:rPr>
                <w:rFonts w:ascii="Arial" w:cs="Arial" w:eastAsia="Arial" w:hAnsi="Arial"/>
                <w:sz w:val="18"/>
                <w:szCs w:val="18"/>
                <w:color w:val="auto"/>
                <w:w w:val="95"/>
              </w:rPr>
              <w:t>10.4*</w:t>
            </w:r>
          </w:p>
        </w:tc>
        <w:tc>
          <w:tcPr>
            <w:tcW w:w="700" w:type="dxa"/>
            <w:vAlign w:val="bottom"/>
          </w:tcPr>
          <w:p>
            <w:pPr>
              <w:spacing w:after="0"/>
              <w:rPr>
                <w:sz w:val="24"/>
                <w:szCs w:val="24"/>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auto"/>
              </w:rPr>
              <w:t>Form of Indemnification Agreement for directors and officers.</w:t>
            </w:r>
          </w:p>
        </w:tc>
      </w:tr>
      <w:tr>
        <w:trPr>
          <w:trHeight w:val="296"/>
        </w:trPr>
        <w:tc>
          <w:tcPr>
            <w:tcW w:w="1360" w:type="dxa"/>
            <w:vAlign w:val="bottom"/>
            <w:gridSpan w:val="3"/>
          </w:tcPr>
          <w:p>
            <w:pPr>
              <w:jc w:val="right"/>
              <w:ind w:right="840"/>
              <w:spacing w:after="0"/>
              <w:rPr>
                <w:sz w:val="20"/>
                <w:szCs w:val="20"/>
                <w:color w:val="auto"/>
              </w:rPr>
            </w:pPr>
            <w:r>
              <w:rPr>
                <w:rFonts w:ascii="Arial" w:cs="Arial" w:eastAsia="Arial" w:hAnsi="Arial"/>
                <w:sz w:val="18"/>
                <w:szCs w:val="18"/>
                <w:color w:val="auto"/>
                <w:w w:val="95"/>
              </w:rPr>
              <w:t>10.5*†</w:t>
            </w:r>
          </w:p>
        </w:tc>
        <w:tc>
          <w:tcPr>
            <w:tcW w:w="9560" w:type="dxa"/>
            <w:vAlign w:val="bottom"/>
            <w:gridSpan w:val="9"/>
          </w:tcPr>
          <w:p>
            <w:pPr>
              <w:spacing w:after="0"/>
              <w:rPr>
                <w:sz w:val="20"/>
                <w:szCs w:val="20"/>
                <w:color w:val="auto"/>
              </w:rPr>
            </w:pPr>
            <w:r>
              <w:rPr>
                <w:rFonts w:ascii="Arial" w:cs="Arial" w:eastAsia="Arial" w:hAnsi="Arial"/>
                <w:sz w:val="18"/>
                <w:szCs w:val="18"/>
                <w:color w:val="auto"/>
                <w:w w:val="99"/>
              </w:rPr>
              <w:t>Collaboration and License Agreement, dated November 16, 2017, among the Registrant, F. Hoffmann-La Roche Ltd and</w:t>
            </w: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auto"/>
              </w:rPr>
              <w:t>Hoffmann-La Roche Inc.</w:t>
            </w:r>
          </w:p>
        </w:tc>
      </w:tr>
      <w:tr>
        <w:trPr>
          <w:trHeight w:val="311"/>
        </w:trPr>
        <w:tc>
          <w:tcPr>
            <w:tcW w:w="1360" w:type="dxa"/>
            <w:vAlign w:val="bottom"/>
            <w:gridSpan w:val="3"/>
          </w:tcPr>
          <w:p>
            <w:pPr>
              <w:jc w:val="right"/>
              <w:ind w:right="840"/>
              <w:spacing w:after="0"/>
              <w:rPr>
                <w:sz w:val="20"/>
                <w:szCs w:val="20"/>
                <w:color w:val="auto"/>
              </w:rPr>
            </w:pPr>
            <w:r>
              <w:rPr>
                <w:rFonts w:ascii="Arial" w:cs="Arial" w:eastAsia="Arial" w:hAnsi="Arial"/>
                <w:sz w:val="18"/>
                <w:szCs w:val="18"/>
                <w:color w:val="auto"/>
                <w:w w:val="95"/>
              </w:rPr>
              <w:t>10.6*†</w:t>
            </w:r>
          </w:p>
        </w:tc>
        <w:tc>
          <w:tcPr>
            <w:tcW w:w="9560" w:type="dxa"/>
            <w:vAlign w:val="bottom"/>
            <w:gridSpan w:val="9"/>
          </w:tcPr>
          <w:p>
            <w:pPr>
              <w:spacing w:after="0"/>
              <w:rPr>
                <w:sz w:val="20"/>
                <w:szCs w:val="20"/>
                <w:color w:val="auto"/>
              </w:rPr>
            </w:pPr>
            <w:r>
              <w:rPr>
                <w:rFonts w:ascii="Arial" w:cs="Arial" w:eastAsia="Arial" w:hAnsi="Arial"/>
                <w:sz w:val="18"/>
                <w:szCs w:val="18"/>
                <w:color w:val="auto"/>
              </w:rPr>
              <w:t>Collaboration and Option Agreement, dated December 22, 2017, between the Registrant and MedImmune, LLC.</w:t>
            </w:r>
          </w:p>
        </w:tc>
      </w:tr>
      <w:tr>
        <w:trPr>
          <w:trHeight w:val="310"/>
        </w:trPr>
        <w:tc>
          <w:tcPr>
            <w:tcW w:w="1360" w:type="dxa"/>
            <w:vAlign w:val="bottom"/>
            <w:gridSpan w:val="3"/>
          </w:tcPr>
          <w:p>
            <w:pPr>
              <w:jc w:val="right"/>
              <w:ind w:right="840"/>
              <w:spacing w:after="0"/>
              <w:rPr>
                <w:sz w:val="20"/>
                <w:szCs w:val="20"/>
                <w:color w:val="auto"/>
              </w:rPr>
            </w:pPr>
            <w:r>
              <w:rPr>
                <w:rFonts w:ascii="Arial" w:cs="Arial" w:eastAsia="Arial" w:hAnsi="Arial"/>
                <w:sz w:val="18"/>
                <w:szCs w:val="18"/>
                <w:color w:val="auto"/>
                <w:w w:val="95"/>
              </w:rPr>
              <w:t>10.7*†</w:t>
            </w:r>
          </w:p>
        </w:tc>
        <w:tc>
          <w:tcPr>
            <w:tcW w:w="9560" w:type="dxa"/>
            <w:vAlign w:val="bottom"/>
            <w:gridSpan w:val="9"/>
          </w:tcPr>
          <w:p>
            <w:pPr>
              <w:spacing w:after="0"/>
              <w:rPr>
                <w:sz w:val="20"/>
                <w:szCs w:val="20"/>
                <w:color w:val="auto"/>
              </w:rPr>
            </w:pPr>
            <w:r>
              <w:rPr>
                <w:rFonts w:ascii="Arial" w:cs="Arial" w:eastAsia="Arial" w:hAnsi="Arial"/>
                <w:sz w:val="18"/>
                <w:szCs w:val="18"/>
                <w:color w:val="auto"/>
              </w:rPr>
              <w:t>Amended and Restated Collaboration and License Agreement, dated August 6, 2019, between the Registrant and</w:t>
            </w: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auto"/>
              </w:rPr>
              <w:t>uniQure biopharma B.V.</w:t>
            </w:r>
          </w:p>
        </w:tc>
      </w:tr>
      <w:tr>
        <w:trPr>
          <w:trHeight w:val="310"/>
        </w:trPr>
        <w:tc>
          <w:tcPr>
            <w:tcW w:w="1360" w:type="dxa"/>
            <w:vAlign w:val="bottom"/>
            <w:gridSpan w:val="3"/>
          </w:tcPr>
          <w:p>
            <w:pPr>
              <w:jc w:val="right"/>
              <w:ind w:right="840"/>
              <w:spacing w:after="0"/>
              <w:rPr>
                <w:sz w:val="20"/>
                <w:szCs w:val="20"/>
                <w:color w:val="auto"/>
              </w:rPr>
            </w:pPr>
            <w:r>
              <w:rPr>
                <w:rFonts w:ascii="Arial" w:cs="Arial" w:eastAsia="Arial" w:hAnsi="Arial"/>
                <w:sz w:val="18"/>
                <w:szCs w:val="18"/>
                <w:color w:val="auto"/>
                <w:w w:val="95"/>
              </w:rPr>
              <w:t>10.8*†</w:t>
            </w:r>
          </w:p>
        </w:tc>
        <w:tc>
          <w:tcPr>
            <w:tcW w:w="9560" w:type="dxa"/>
            <w:vAlign w:val="bottom"/>
            <w:gridSpan w:val="9"/>
          </w:tcPr>
          <w:p>
            <w:pPr>
              <w:spacing w:after="0"/>
              <w:rPr>
                <w:sz w:val="20"/>
                <w:szCs w:val="20"/>
                <w:color w:val="auto"/>
              </w:rPr>
            </w:pPr>
            <w:r>
              <w:rPr>
                <w:rFonts w:ascii="Arial" w:cs="Arial" w:eastAsia="Arial" w:hAnsi="Arial"/>
                <w:sz w:val="18"/>
                <w:szCs w:val="18"/>
                <w:color w:val="auto"/>
              </w:rPr>
              <w:t>Collaboration and License Agreement, dated August 6, 2019, by and between the Registrant and uniQure biopharma</w:t>
            </w: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auto"/>
              </w:rPr>
              <w:t>B.V.</w:t>
            </w:r>
          </w:p>
        </w:tc>
      </w:tr>
    </w:tbl>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240" w:top="460" w:right="5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Exhibit</w:t>
            </w:r>
          </w:p>
        </w:tc>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75"/>
        </w:trPr>
        <w:tc>
          <w:tcPr>
            <w:tcW w:w="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5"/>
                <w:szCs w:val="15"/>
                <w:color w:val="auto"/>
              </w:rPr>
            </w:pPr>
          </w:p>
        </w:tc>
        <w:tc>
          <w:tcPr>
            <w:tcW w:w="9520" w:type="dxa"/>
            <w:vAlign w:val="bottom"/>
            <w:gridSpan w:val="5"/>
          </w:tcPr>
          <w:p>
            <w:pPr>
              <w:ind w:left="4300"/>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3"/>
        </w:trPr>
        <w:tc>
          <w:tcPr>
            <w:tcW w:w="1120" w:type="dxa"/>
            <w:vAlign w:val="bottom"/>
            <w:gridSpan w:val="3"/>
          </w:tcPr>
          <w:p>
            <w:pPr>
              <w:spacing w:after="0"/>
              <w:rPr>
                <w:sz w:val="20"/>
                <w:szCs w:val="20"/>
                <w:color w:val="auto"/>
              </w:rPr>
            </w:pPr>
            <w:r>
              <w:rPr>
                <w:rFonts w:ascii="Arial" w:cs="Arial" w:eastAsia="Arial" w:hAnsi="Arial"/>
                <w:sz w:val="18"/>
                <w:szCs w:val="18"/>
                <w:color w:val="auto"/>
              </w:rPr>
              <w:t>10.9*†</w:t>
            </w:r>
          </w:p>
        </w:tc>
        <w:tc>
          <w:tcPr>
            <w:tcW w:w="9520" w:type="dxa"/>
            <w:vAlign w:val="bottom"/>
            <w:gridSpan w:val="5"/>
          </w:tcPr>
          <w:p>
            <w:pPr>
              <w:spacing w:after="0"/>
              <w:rPr>
                <w:sz w:val="20"/>
                <w:szCs w:val="20"/>
                <w:color w:val="auto"/>
              </w:rPr>
            </w:pPr>
            <w:r>
              <w:rPr>
                <w:rFonts w:ascii="Arial" w:cs="Arial" w:eastAsia="Arial" w:hAnsi="Arial"/>
                <w:sz w:val="18"/>
                <w:szCs w:val="18"/>
                <w:color w:val="auto"/>
                <w:w w:val="99"/>
              </w:rPr>
              <w:t>Exclusive License and Bailment Agreement, dated December 13, 2013, between the Registrant and The Regents of the</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20" w:type="dxa"/>
            <w:vAlign w:val="bottom"/>
            <w:gridSpan w:val="5"/>
          </w:tcPr>
          <w:p>
            <w:pPr>
              <w:spacing w:after="0"/>
              <w:rPr>
                <w:sz w:val="20"/>
                <w:szCs w:val="20"/>
                <w:color w:val="auto"/>
              </w:rPr>
            </w:pPr>
            <w:r>
              <w:rPr>
                <w:rFonts w:ascii="Arial" w:cs="Arial" w:eastAsia="Arial" w:hAnsi="Arial"/>
                <w:sz w:val="18"/>
                <w:szCs w:val="18"/>
                <w:color w:val="auto"/>
              </w:rPr>
              <w:t>University of California.</w:t>
            </w:r>
          </w:p>
        </w:tc>
      </w:tr>
      <w:tr>
        <w:trPr>
          <w:trHeight w:val="296"/>
        </w:trPr>
        <w:tc>
          <w:tcPr>
            <w:tcW w:w="1120" w:type="dxa"/>
            <w:vAlign w:val="bottom"/>
            <w:gridSpan w:val="3"/>
          </w:tcPr>
          <w:p>
            <w:pPr>
              <w:spacing w:after="0"/>
              <w:rPr>
                <w:sz w:val="20"/>
                <w:szCs w:val="20"/>
                <w:color w:val="auto"/>
              </w:rPr>
            </w:pPr>
            <w:r>
              <w:rPr>
                <w:rFonts w:ascii="Arial" w:cs="Arial" w:eastAsia="Arial" w:hAnsi="Arial"/>
                <w:sz w:val="18"/>
                <w:szCs w:val="18"/>
                <w:color w:val="auto"/>
              </w:rPr>
              <w:t>10.10*†</w:t>
            </w:r>
          </w:p>
        </w:tc>
        <w:tc>
          <w:tcPr>
            <w:tcW w:w="9520" w:type="dxa"/>
            <w:vAlign w:val="bottom"/>
            <w:gridSpan w:val="5"/>
          </w:tcPr>
          <w:p>
            <w:pPr>
              <w:spacing w:after="0"/>
              <w:rPr>
                <w:sz w:val="20"/>
                <w:szCs w:val="20"/>
                <w:color w:val="auto"/>
              </w:rPr>
            </w:pPr>
            <w:r>
              <w:rPr>
                <w:rFonts w:ascii="Arial" w:cs="Arial" w:eastAsia="Arial" w:hAnsi="Arial"/>
                <w:sz w:val="18"/>
                <w:szCs w:val="18"/>
                <w:color w:val="auto"/>
                <w:w w:val="99"/>
              </w:rPr>
              <w:t>Exclusive License and Bailment Agreement, dated December 19, 2013, between the Registrant and The Regents of the</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20" w:type="dxa"/>
            <w:vAlign w:val="bottom"/>
            <w:gridSpan w:val="5"/>
          </w:tcPr>
          <w:p>
            <w:pPr>
              <w:spacing w:after="0"/>
              <w:rPr>
                <w:sz w:val="20"/>
                <w:szCs w:val="20"/>
                <w:color w:val="auto"/>
              </w:rPr>
            </w:pPr>
            <w:r>
              <w:rPr>
                <w:rFonts w:ascii="Arial" w:cs="Arial" w:eastAsia="Arial" w:hAnsi="Arial"/>
                <w:sz w:val="18"/>
                <w:szCs w:val="18"/>
                <w:color w:val="auto"/>
              </w:rPr>
              <w:t>University of California.</w:t>
            </w:r>
          </w:p>
        </w:tc>
      </w:tr>
      <w:tr>
        <w:trPr>
          <w:trHeight w:val="311"/>
        </w:trPr>
        <w:tc>
          <w:tcPr>
            <w:tcW w:w="1120" w:type="dxa"/>
            <w:vAlign w:val="bottom"/>
            <w:gridSpan w:val="3"/>
          </w:tcPr>
          <w:p>
            <w:pPr>
              <w:spacing w:after="0"/>
              <w:rPr>
                <w:sz w:val="20"/>
                <w:szCs w:val="20"/>
                <w:color w:val="auto"/>
              </w:rPr>
            </w:pPr>
            <w:r>
              <w:rPr>
                <w:rFonts w:ascii="Arial" w:cs="Arial" w:eastAsia="Arial" w:hAnsi="Arial"/>
                <w:sz w:val="18"/>
                <w:szCs w:val="18"/>
                <w:color w:val="auto"/>
              </w:rPr>
              <w:t>10.11#*</w:t>
            </w:r>
          </w:p>
        </w:tc>
        <w:tc>
          <w:tcPr>
            <w:tcW w:w="9520" w:type="dxa"/>
            <w:vAlign w:val="bottom"/>
            <w:gridSpan w:val="5"/>
          </w:tcPr>
          <w:p>
            <w:pPr>
              <w:spacing w:after="0"/>
              <w:rPr>
                <w:sz w:val="20"/>
                <w:szCs w:val="20"/>
                <w:color w:val="auto"/>
              </w:rPr>
            </w:pPr>
            <w:r>
              <w:rPr>
                <w:rFonts w:ascii="Arial" w:cs="Arial" w:eastAsia="Arial" w:hAnsi="Arial"/>
                <w:sz w:val="18"/>
                <w:szCs w:val="18"/>
                <w:color w:val="auto"/>
              </w:rPr>
              <w:t>Offer Letter, dated March 20, 2015 between David Kirn, M.D. and the Registrant.</w:t>
            </w:r>
          </w:p>
        </w:tc>
      </w:tr>
      <w:tr>
        <w:trPr>
          <w:trHeight w:val="311"/>
        </w:trPr>
        <w:tc>
          <w:tcPr>
            <w:tcW w:w="1120" w:type="dxa"/>
            <w:vAlign w:val="bottom"/>
            <w:gridSpan w:val="3"/>
          </w:tcPr>
          <w:p>
            <w:pPr>
              <w:spacing w:after="0"/>
              <w:rPr>
                <w:sz w:val="20"/>
                <w:szCs w:val="20"/>
                <w:color w:val="auto"/>
              </w:rPr>
            </w:pPr>
            <w:r>
              <w:rPr>
                <w:rFonts w:ascii="Arial" w:cs="Arial" w:eastAsia="Arial" w:hAnsi="Arial"/>
                <w:sz w:val="18"/>
                <w:szCs w:val="18"/>
                <w:color w:val="auto"/>
              </w:rPr>
              <w:t>10.12#*</w:t>
            </w:r>
          </w:p>
        </w:tc>
        <w:tc>
          <w:tcPr>
            <w:tcW w:w="9520" w:type="dxa"/>
            <w:vAlign w:val="bottom"/>
            <w:gridSpan w:val="5"/>
          </w:tcPr>
          <w:p>
            <w:pPr>
              <w:spacing w:after="0"/>
              <w:rPr>
                <w:sz w:val="20"/>
                <w:szCs w:val="20"/>
                <w:color w:val="auto"/>
              </w:rPr>
            </w:pPr>
            <w:r>
              <w:rPr>
                <w:rFonts w:ascii="Arial" w:cs="Arial" w:eastAsia="Arial" w:hAnsi="Arial"/>
                <w:sz w:val="18"/>
                <w:szCs w:val="18"/>
                <w:color w:val="auto"/>
              </w:rPr>
              <w:t>Employment Agreement, dated January 15, 2019 between Peter Francis, M.D., Ph.D. and the Registrant.</w:t>
            </w:r>
          </w:p>
        </w:tc>
      </w:tr>
      <w:tr>
        <w:trPr>
          <w:trHeight w:val="311"/>
        </w:trPr>
        <w:tc>
          <w:tcPr>
            <w:tcW w:w="1120" w:type="dxa"/>
            <w:vAlign w:val="bottom"/>
            <w:gridSpan w:val="3"/>
          </w:tcPr>
          <w:p>
            <w:pPr>
              <w:spacing w:after="0"/>
              <w:rPr>
                <w:sz w:val="20"/>
                <w:szCs w:val="20"/>
                <w:color w:val="auto"/>
              </w:rPr>
            </w:pPr>
            <w:r>
              <w:rPr>
                <w:rFonts w:ascii="Arial" w:cs="Arial" w:eastAsia="Arial" w:hAnsi="Arial"/>
                <w:sz w:val="18"/>
                <w:szCs w:val="18"/>
                <w:color w:val="auto"/>
              </w:rPr>
              <w:t>10.13#*</w:t>
            </w:r>
          </w:p>
        </w:tc>
        <w:tc>
          <w:tcPr>
            <w:tcW w:w="9520" w:type="dxa"/>
            <w:vAlign w:val="bottom"/>
            <w:gridSpan w:val="5"/>
          </w:tcPr>
          <w:p>
            <w:pPr>
              <w:spacing w:after="0"/>
              <w:rPr>
                <w:sz w:val="20"/>
                <w:szCs w:val="20"/>
                <w:color w:val="auto"/>
              </w:rPr>
            </w:pPr>
            <w:r>
              <w:rPr>
                <w:rFonts w:ascii="Arial" w:cs="Arial" w:eastAsia="Arial" w:hAnsi="Arial"/>
                <w:sz w:val="18"/>
                <w:szCs w:val="18"/>
                <w:color w:val="auto"/>
              </w:rPr>
              <w:t>Offer Letter, dated July 31, 2018 between Fred Kamal, Ph.D. and the Registrant.</w:t>
            </w:r>
          </w:p>
        </w:tc>
      </w:tr>
      <w:tr>
        <w:trPr>
          <w:trHeight w:val="270"/>
        </w:trPr>
        <w:tc>
          <w:tcPr>
            <w:tcW w:w="620" w:type="dxa"/>
            <w:vAlign w:val="bottom"/>
            <w:gridSpan w:val="2"/>
          </w:tcPr>
          <w:p>
            <w:pPr>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23"/>
                <w:szCs w:val="23"/>
                <w:color w:val="auto"/>
              </w:rPr>
            </w:pPr>
          </w:p>
        </w:tc>
        <w:tc>
          <w:tcPr>
            <w:tcW w:w="46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9"/>
              </w:rPr>
              <w:t>Consent of independent registered public accounting firm.</w:t>
            </w:r>
          </w:p>
        </w:tc>
        <w:tc>
          <w:tcPr>
            <w:tcW w:w="4920" w:type="dxa"/>
            <w:vAlign w:val="bottom"/>
            <w:gridSpan w:val="3"/>
          </w:tcPr>
          <w:p>
            <w:pPr>
              <w:spacing w:after="0"/>
              <w:rPr>
                <w:sz w:val="23"/>
                <w:szCs w:val="23"/>
                <w:color w:val="auto"/>
              </w:rPr>
            </w:pPr>
          </w:p>
        </w:tc>
      </w:tr>
      <w:tr>
        <w:trPr>
          <w:trHeight w:val="331"/>
        </w:trPr>
        <w:tc>
          <w:tcPr>
            <w:tcW w:w="620" w:type="dxa"/>
            <w:vAlign w:val="bottom"/>
            <w:gridSpan w:val="2"/>
          </w:tcPr>
          <w:p>
            <w:pPr>
              <w:spacing w:after="0"/>
              <w:rPr>
                <w:sz w:val="20"/>
                <w:szCs w:val="20"/>
                <w:color w:val="auto"/>
              </w:rPr>
            </w:pPr>
            <w:r>
              <w:rPr>
                <w:rFonts w:ascii="Arial" w:cs="Arial" w:eastAsia="Arial" w:hAnsi="Arial"/>
                <w:sz w:val="18"/>
                <w:szCs w:val="18"/>
                <w:color w:val="auto"/>
              </w:rPr>
              <w:t>23.2*</w:t>
            </w:r>
          </w:p>
        </w:tc>
        <w:tc>
          <w:tcPr>
            <w:tcW w:w="500" w:type="dxa"/>
            <w:vAlign w:val="bottom"/>
          </w:tcPr>
          <w:p>
            <w:pPr>
              <w:spacing w:after="0"/>
              <w:rPr>
                <w:sz w:val="24"/>
                <w:szCs w:val="24"/>
                <w:color w:val="auto"/>
              </w:rPr>
            </w:pPr>
          </w:p>
        </w:tc>
        <w:tc>
          <w:tcPr>
            <w:tcW w:w="9520" w:type="dxa"/>
            <w:vAlign w:val="bottom"/>
            <w:gridSpan w:val="5"/>
          </w:tcPr>
          <w:p>
            <w:pPr>
              <w:spacing w:after="0"/>
              <w:rPr>
                <w:sz w:val="20"/>
                <w:szCs w:val="20"/>
                <w:color w:val="auto"/>
              </w:rPr>
            </w:pPr>
            <w:r>
              <w:rPr>
                <w:rFonts w:ascii="Arial" w:cs="Arial" w:eastAsia="Arial" w:hAnsi="Arial"/>
                <w:sz w:val="18"/>
                <w:szCs w:val="18"/>
                <w:color w:val="auto"/>
              </w:rPr>
              <w:t>Consent of Latham &amp; Watkins LLP (included in Exhibit 5.1).</w:t>
            </w:r>
          </w:p>
        </w:tc>
      </w:tr>
      <w:tr>
        <w:trPr>
          <w:trHeight w:val="270"/>
        </w:trPr>
        <w:tc>
          <w:tcPr>
            <w:tcW w:w="620" w:type="dxa"/>
            <w:vAlign w:val="bottom"/>
            <w:gridSpan w:val="2"/>
          </w:tcPr>
          <w:p>
            <w:pPr>
              <w:spacing w:after="0"/>
              <w:rPr>
                <w:sz w:val="20"/>
                <w:szCs w:val="20"/>
                <w:color w:val="auto"/>
              </w:rPr>
            </w:pPr>
            <w:r>
              <w:rPr>
                <w:rFonts w:ascii="Arial" w:cs="Arial" w:eastAsia="Arial" w:hAnsi="Arial"/>
                <w:sz w:val="18"/>
                <w:szCs w:val="18"/>
                <w:color w:val="auto"/>
              </w:rPr>
              <w:t>24.1</w:t>
            </w:r>
          </w:p>
        </w:tc>
        <w:tc>
          <w:tcPr>
            <w:tcW w:w="500" w:type="dxa"/>
            <w:vAlign w:val="bottom"/>
          </w:tcPr>
          <w:p>
            <w:pPr>
              <w:spacing w:after="0"/>
              <w:rPr>
                <w:sz w:val="23"/>
                <w:szCs w:val="23"/>
                <w:color w:val="auto"/>
              </w:rPr>
            </w:pPr>
          </w:p>
        </w:tc>
        <w:tc>
          <w:tcPr>
            <w:tcW w:w="720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275">
              <w:r>
                <w:rPr>
                  <w:rFonts w:ascii="Arial" w:cs="Arial" w:eastAsia="Arial" w:hAnsi="Arial"/>
                  <w:sz w:val="18"/>
                  <w:szCs w:val="18"/>
                  <w:color w:val="0000EE"/>
                  <w:w w:val="99"/>
                </w:rPr>
                <w:t>Power of Attorney. Reference is made to the signature page to the Registration Statement.</w:t>
              </w:r>
            </w:hyperlink>
          </w:p>
        </w:tc>
        <w:tc>
          <w:tcPr>
            <w:tcW w:w="23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87" w:lineRule="exact"/>
        <w:rPr>
          <w:sz w:val="20"/>
          <w:szCs w:val="20"/>
          <w:color w:val="auto"/>
        </w:rPr>
      </w:pPr>
    </w:p>
    <w:p>
      <w:pPr>
        <w:ind w:left="740" w:hanging="536"/>
        <w:spacing w:after="0"/>
        <w:tabs>
          <w:tab w:leader="none" w:pos="7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 w:lineRule="exact"/>
        <w:rPr>
          <w:sz w:val="20"/>
          <w:szCs w:val="20"/>
          <w:color w:val="auto"/>
        </w:rPr>
      </w:pPr>
    </w:p>
    <w:p>
      <w:pPr>
        <w:ind w:left="740" w:hanging="536"/>
        <w:spacing w:after="0"/>
        <w:tabs>
          <w:tab w:leader="none" w:pos="74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Certain confidential portions (indicated by brackets and asterisks) have been omitted from this exhibit.</w:t>
      </w:r>
    </w:p>
    <w:p>
      <w:pPr>
        <w:spacing w:after="0" w:line="1" w:lineRule="exact"/>
        <w:rPr>
          <w:rFonts w:ascii="Arial" w:cs="Arial" w:eastAsia="Arial" w:hAnsi="Arial"/>
          <w:sz w:val="14"/>
          <w:szCs w:val="14"/>
          <w:color w:val="auto"/>
        </w:rPr>
      </w:pPr>
    </w:p>
    <w:p>
      <w:pPr>
        <w:ind w:left="200"/>
        <w:spacing w:after="0"/>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117" w:lineRule="exact"/>
        <w:rPr>
          <w:sz w:val="20"/>
          <w:szCs w:val="20"/>
          <w:color w:val="auto"/>
        </w:rPr>
      </w:pPr>
    </w:p>
    <w:p>
      <w:pPr>
        <w:ind w:left="740" w:right="360" w:hanging="536"/>
        <w:spacing w:after="0" w:line="246" w:lineRule="auto"/>
        <w:tabs>
          <w:tab w:leader="none" w:pos="7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Financial Statement Schedules. Schedules not listed above have been omitted because the information required to be set forth therein is not applicable or is shown in the financial statements or notes thereto.</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26"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left="740" w:right="80" w:hanging="536"/>
        <w:spacing w:after="0" w:line="239" w:lineRule="auto"/>
        <w:tabs>
          <w:tab w:leader="none" w:pos="7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7" w:lineRule="exact"/>
        <w:rPr>
          <w:rFonts w:ascii="Arial" w:cs="Arial" w:eastAsia="Arial" w:hAnsi="Arial"/>
          <w:sz w:val="18"/>
          <w:szCs w:val="18"/>
          <w:color w:val="auto"/>
        </w:rPr>
      </w:pPr>
    </w:p>
    <w:p>
      <w:pPr>
        <w:ind w:left="740" w:right="300" w:hanging="536"/>
        <w:spacing w:after="0"/>
        <w:tabs>
          <w:tab w:leader="none" w:pos="7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3"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00"/>
          </w:cols>
          <w:pgMar w:left="240" w:top="460"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left="200" w:right="860" w:firstLine="551"/>
        <w:spacing w:after="0"/>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on Form S-1 to be signed on its behalf by the undersigned, thereunto duly authorized, in Emeryville, California on September 30, 2019.</w:t>
      </w:r>
    </w:p>
    <w:p>
      <w:pPr>
        <w:spacing w:after="0" w:line="208"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4D Molecular Therapeutics, Inc.</w:t>
      </w:r>
    </w:p>
    <w:p>
      <w:pPr>
        <w:spacing w:after="0" w:line="23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David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-1905</wp:posOffset>
            </wp:positionV>
            <wp:extent cx="256413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David Kirn, M.D.</w:t>
      </w:r>
    </w:p>
    <w:p>
      <w:pPr>
        <w:ind w:left="7180"/>
        <w:spacing w:after="0"/>
        <w:rPr>
          <w:sz w:val="20"/>
          <w:szCs w:val="20"/>
          <w:color w:val="auto"/>
        </w:rPr>
      </w:pPr>
      <w:r>
        <w:rPr>
          <w:rFonts w:ascii="Arial" w:cs="Arial" w:eastAsia="Arial" w:hAnsi="Arial"/>
          <w:sz w:val="18"/>
          <w:szCs w:val="18"/>
          <w:color w:val="auto"/>
        </w:rPr>
        <w:t>Chief Executive Officer</w:t>
      </w: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34"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David Kirn, M.D. and August J. Moretti, and each of them acting individually, as his or her true and lawful attorneys-in-fact and agents, each with full power of substitution,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 granting unto said attorneys-in-fact and agents, with full power of each to act alone,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his or their substitute or substitutes, may lawfully do or cause to be done by virtue hereof.</w:t>
      </w:r>
    </w:p>
    <w:p>
      <w:pPr>
        <w:spacing w:after="0" w:line="207" w:lineRule="exact"/>
        <w:rPr>
          <w:sz w:val="20"/>
          <w:szCs w:val="20"/>
          <w:color w:val="auto"/>
        </w:rPr>
      </w:pPr>
    </w:p>
    <w:p>
      <w:pPr>
        <w:ind w:left="200" w:right="400" w:firstLine="551"/>
        <w:spacing w:after="0" w:line="246"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40" w:type="dxa"/>
            <w:vAlign w:val="bottom"/>
          </w:tcPr>
          <w:p>
            <w:pPr>
              <w:spacing w:after="0"/>
              <w:rPr>
                <w:sz w:val="16"/>
                <w:szCs w:val="16"/>
                <w:color w:val="auto"/>
              </w:rPr>
            </w:pPr>
          </w:p>
        </w:tc>
        <w:tc>
          <w:tcPr>
            <w:tcW w:w="440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392"/>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David Kirn</w:t>
            </w: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 xml:space="preserve">Chairman and Chief Executive Officer </w:t>
            </w:r>
            <w:r>
              <w:rPr>
                <w:rFonts w:ascii="Arial" w:cs="Arial" w:eastAsia="Arial" w:hAnsi="Arial"/>
                <w:sz w:val="18"/>
                <w:szCs w:val="18"/>
                <w:i w:val="1"/>
                <w:iCs w:val="1"/>
                <w:color w:val="auto"/>
              </w:rPr>
              <w:t>(Principal</w:t>
            </w:r>
          </w:p>
        </w:tc>
        <w:tc>
          <w:tcPr>
            <w:tcW w:w="2220" w:type="dxa"/>
            <w:vAlign w:val="bottom"/>
          </w:tcPr>
          <w:p>
            <w:pPr>
              <w:jc w:val="center"/>
              <w:spacing w:after="0"/>
              <w:rPr>
                <w:sz w:val="20"/>
                <w:szCs w:val="20"/>
                <w:color w:val="auto"/>
              </w:rPr>
            </w:pPr>
            <w:r>
              <w:rPr>
                <w:rFonts w:ascii="Arial" w:cs="Arial" w:eastAsia="Arial" w:hAnsi="Arial"/>
                <w:sz w:val="18"/>
                <w:szCs w:val="18"/>
                <w:color w:val="auto"/>
              </w:rPr>
              <w:t>September 30, 2019</w:t>
            </w:r>
          </w:p>
        </w:tc>
      </w:tr>
      <w:tr>
        <w:trPr>
          <w:trHeight w:val="217"/>
        </w:trPr>
        <w:tc>
          <w:tcPr>
            <w:tcW w:w="4060" w:type="dxa"/>
            <w:vAlign w:val="bottom"/>
          </w:tcPr>
          <w:p>
            <w:pPr>
              <w:jc w:val="center"/>
              <w:spacing w:after="0"/>
              <w:rPr>
                <w:sz w:val="20"/>
                <w:szCs w:val="20"/>
                <w:color w:val="auto"/>
              </w:rPr>
            </w:pPr>
            <w:r>
              <w:rPr>
                <w:rFonts w:ascii="Arial" w:cs="Arial" w:eastAsia="Arial" w:hAnsi="Arial"/>
                <w:sz w:val="18"/>
                <w:szCs w:val="18"/>
                <w:color w:val="auto"/>
              </w:rPr>
              <w:t>David Kirn, M.D.</w:t>
            </w:r>
          </w:p>
        </w:tc>
        <w:tc>
          <w:tcPr>
            <w:tcW w:w="4740" w:type="dxa"/>
            <w:vAlign w:val="bottom"/>
            <w:gridSpan w:val="3"/>
          </w:tcPr>
          <w:p>
            <w:pPr>
              <w:ind w:left="120"/>
              <w:spacing w:after="0" w:line="202" w:lineRule="exact"/>
              <w:rPr>
                <w:sz w:val="20"/>
                <w:szCs w:val="20"/>
                <w:color w:val="auto"/>
              </w:rPr>
            </w:pPr>
            <w:r>
              <w:rPr>
                <w:rFonts w:ascii="Arial" w:cs="Arial" w:eastAsia="Arial" w:hAnsi="Arial"/>
                <w:sz w:val="18"/>
                <w:szCs w:val="18"/>
                <w:i w:val="1"/>
                <w:iCs w:val="1"/>
                <w:color w:val="auto"/>
              </w:rPr>
              <w:t>Executive Officer)</w:t>
            </w:r>
          </w:p>
        </w:tc>
        <w:tc>
          <w:tcPr>
            <w:tcW w:w="2220" w:type="dxa"/>
            <w:vAlign w:val="bottom"/>
          </w:tcPr>
          <w:p>
            <w:pPr>
              <w:spacing w:after="0"/>
              <w:rPr>
                <w:sz w:val="18"/>
                <w:szCs w:val="18"/>
                <w:color w:val="auto"/>
              </w:rPr>
            </w:pPr>
          </w:p>
        </w:tc>
      </w:tr>
      <w:tr>
        <w:trPr>
          <w:trHeight w:val="411"/>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August J. Moretti</w:t>
            </w: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220" w:type="dxa"/>
            <w:vAlign w:val="bottom"/>
          </w:tcPr>
          <w:p>
            <w:pPr>
              <w:jc w:val="center"/>
              <w:spacing w:after="0"/>
              <w:rPr>
                <w:sz w:val="20"/>
                <w:szCs w:val="20"/>
                <w:color w:val="auto"/>
              </w:rPr>
            </w:pPr>
            <w:r>
              <w:rPr>
                <w:rFonts w:ascii="Arial" w:cs="Arial" w:eastAsia="Arial" w:hAnsi="Arial"/>
                <w:sz w:val="18"/>
                <w:szCs w:val="18"/>
                <w:color w:val="auto"/>
              </w:rPr>
              <w:t>September 30, 2019</w:t>
            </w:r>
          </w:p>
        </w:tc>
      </w:tr>
      <w:tr>
        <w:trPr>
          <w:trHeight w:val="217"/>
        </w:trPr>
        <w:tc>
          <w:tcPr>
            <w:tcW w:w="4060" w:type="dxa"/>
            <w:vAlign w:val="bottom"/>
          </w:tcPr>
          <w:p>
            <w:pPr>
              <w:jc w:val="center"/>
              <w:spacing w:after="0"/>
              <w:rPr>
                <w:sz w:val="20"/>
                <w:szCs w:val="20"/>
                <w:color w:val="auto"/>
              </w:rPr>
            </w:pPr>
            <w:r>
              <w:rPr>
                <w:rFonts w:ascii="Arial" w:cs="Arial" w:eastAsia="Arial" w:hAnsi="Arial"/>
                <w:sz w:val="18"/>
                <w:szCs w:val="18"/>
                <w:color w:val="auto"/>
              </w:rPr>
              <w:t>August J. Moretti</w:t>
            </w:r>
          </w:p>
        </w:tc>
        <w:tc>
          <w:tcPr>
            <w:tcW w:w="4740" w:type="dxa"/>
            <w:vAlign w:val="bottom"/>
            <w:gridSpan w:val="3"/>
          </w:tcPr>
          <w:p>
            <w:pPr>
              <w:ind w:left="120"/>
              <w:spacing w:after="0" w:line="202" w:lineRule="exact"/>
              <w:rPr>
                <w:sz w:val="20"/>
                <w:szCs w:val="20"/>
                <w:color w:val="auto"/>
              </w:rPr>
            </w:pPr>
            <w:r>
              <w:rPr>
                <w:rFonts w:ascii="Arial" w:cs="Arial" w:eastAsia="Arial" w:hAnsi="Arial"/>
                <w:sz w:val="18"/>
                <w:szCs w:val="18"/>
                <w:i w:val="1"/>
                <w:iCs w:val="1"/>
                <w:color w:val="auto"/>
              </w:rPr>
              <w:t>(Principal Financial and Accounting Officer)</w:t>
            </w:r>
          </w:p>
        </w:tc>
        <w:tc>
          <w:tcPr>
            <w:tcW w:w="2220" w:type="dxa"/>
            <w:vAlign w:val="bottom"/>
          </w:tcPr>
          <w:p>
            <w:pPr>
              <w:spacing w:after="0"/>
              <w:rPr>
                <w:sz w:val="18"/>
                <w:szCs w:val="18"/>
                <w:color w:val="auto"/>
              </w:rPr>
            </w:pPr>
          </w:p>
        </w:tc>
      </w:tr>
      <w:tr>
        <w:trPr>
          <w:trHeight w:val="418"/>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David Schaffer</w:t>
            </w: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rPr>
              <w:t>September 30, 2019</w:t>
            </w:r>
          </w:p>
        </w:tc>
      </w:tr>
      <w:tr>
        <w:trPr>
          <w:trHeight w:val="210"/>
        </w:trPr>
        <w:tc>
          <w:tcPr>
            <w:tcW w:w="4060" w:type="dxa"/>
            <w:vAlign w:val="bottom"/>
          </w:tcPr>
          <w:p>
            <w:pPr>
              <w:jc w:val="center"/>
              <w:spacing w:after="0"/>
              <w:rPr>
                <w:sz w:val="20"/>
                <w:szCs w:val="20"/>
                <w:color w:val="auto"/>
              </w:rPr>
            </w:pPr>
            <w:r>
              <w:rPr>
                <w:rFonts w:ascii="Arial" w:cs="Arial" w:eastAsia="Arial" w:hAnsi="Arial"/>
                <w:sz w:val="18"/>
                <w:szCs w:val="18"/>
                <w:color w:val="auto"/>
                <w:w w:val="99"/>
              </w:rPr>
              <w:t>David Schaffer, Ph.D.</w:t>
            </w:r>
          </w:p>
        </w:tc>
        <w:tc>
          <w:tcPr>
            <w:tcW w:w="1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418"/>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William Burkoth</w:t>
            </w: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rPr>
              <w:t>September 30, 2019</w:t>
            </w:r>
          </w:p>
        </w:tc>
      </w:tr>
      <w:tr>
        <w:trPr>
          <w:trHeight w:val="210"/>
        </w:trPr>
        <w:tc>
          <w:tcPr>
            <w:tcW w:w="4060" w:type="dxa"/>
            <w:vAlign w:val="bottom"/>
          </w:tcPr>
          <w:p>
            <w:pPr>
              <w:jc w:val="center"/>
              <w:spacing w:after="0"/>
              <w:rPr>
                <w:sz w:val="20"/>
                <w:szCs w:val="20"/>
                <w:color w:val="auto"/>
              </w:rPr>
            </w:pPr>
            <w:r>
              <w:rPr>
                <w:rFonts w:ascii="Arial" w:cs="Arial" w:eastAsia="Arial" w:hAnsi="Arial"/>
                <w:sz w:val="18"/>
                <w:szCs w:val="18"/>
                <w:color w:val="auto"/>
                <w:w w:val="99"/>
              </w:rPr>
              <w:t>William Burkoth</w:t>
            </w:r>
          </w:p>
        </w:tc>
        <w:tc>
          <w:tcPr>
            <w:tcW w:w="1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418"/>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Jacob Chacko</w:t>
            </w: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rPr>
              <w:t>September 30, 2019</w:t>
            </w:r>
          </w:p>
        </w:tc>
      </w:tr>
      <w:tr>
        <w:trPr>
          <w:trHeight w:val="210"/>
        </w:trPr>
        <w:tc>
          <w:tcPr>
            <w:tcW w:w="4060" w:type="dxa"/>
            <w:vAlign w:val="bottom"/>
          </w:tcPr>
          <w:p>
            <w:pPr>
              <w:jc w:val="center"/>
              <w:spacing w:after="0"/>
              <w:rPr>
                <w:sz w:val="20"/>
                <w:szCs w:val="20"/>
                <w:color w:val="auto"/>
              </w:rPr>
            </w:pPr>
            <w:r>
              <w:rPr>
                <w:rFonts w:ascii="Arial" w:cs="Arial" w:eastAsia="Arial" w:hAnsi="Arial"/>
                <w:sz w:val="18"/>
                <w:szCs w:val="18"/>
                <w:color w:val="auto"/>
                <w:w w:val="99"/>
              </w:rPr>
              <w:t>Jacob Chacko, M.D.</w:t>
            </w:r>
          </w:p>
        </w:tc>
        <w:tc>
          <w:tcPr>
            <w:tcW w:w="1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418"/>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Charles P. Theuer</w:t>
            </w: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rPr>
              <w:t>September 30, 2019</w:t>
            </w:r>
          </w:p>
        </w:tc>
      </w:tr>
      <w:tr>
        <w:trPr>
          <w:trHeight w:val="210"/>
        </w:trPr>
        <w:tc>
          <w:tcPr>
            <w:tcW w:w="4060" w:type="dxa"/>
            <w:vAlign w:val="bottom"/>
          </w:tcPr>
          <w:p>
            <w:pPr>
              <w:jc w:val="center"/>
              <w:spacing w:after="0"/>
              <w:rPr>
                <w:sz w:val="20"/>
                <w:szCs w:val="20"/>
                <w:color w:val="auto"/>
              </w:rPr>
            </w:pPr>
            <w:r>
              <w:rPr>
                <w:rFonts w:ascii="Arial" w:cs="Arial" w:eastAsia="Arial" w:hAnsi="Arial"/>
                <w:sz w:val="18"/>
                <w:szCs w:val="18"/>
                <w:color w:val="auto"/>
                <w:w w:val="98"/>
              </w:rPr>
              <w:t>Charles P. Theuer, M.D., Ph.D.</w:t>
            </w:r>
          </w:p>
        </w:tc>
        <w:tc>
          <w:tcPr>
            <w:tcW w:w="1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418"/>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Tony Yao</w:t>
            </w: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rPr>
              <w:t>September 30, 2019</w:t>
            </w:r>
          </w:p>
        </w:tc>
      </w:tr>
      <w:tr>
        <w:trPr>
          <w:trHeight w:val="210"/>
        </w:trPr>
        <w:tc>
          <w:tcPr>
            <w:tcW w:w="4060" w:type="dxa"/>
            <w:vAlign w:val="bottom"/>
          </w:tcPr>
          <w:p>
            <w:pPr>
              <w:jc w:val="center"/>
              <w:spacing w:after="0"/>
              <w:rPr>
                <w:sz w:val="20"/>
                <w:szCs w:val="20"/>
                <w:color w:val="auto"/>
              </w:rPr>
            </w:pPr>
            <w:r>
              <w:rPr>
                <w:rFonts w:ascii="Arial" w:cs="Arial" w:eastAsia="Arial" w:hAnsi="Arial"/>
                <w:sz w:val="18"/>
                <w:szCs w:val="18"/>
                <w:color w:val="auto"/>
                <w:w w:val="97"/>
              </w:rPr>
              <w:t>Tony Yao, M.D., Ph.D.</w:t>
            </w:r>
          </w:p>
        </w:tc>
        <w:tc>
          <w:tcPr>
            <w:tcW w:w="1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364"/>
        </w:trPr>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0" w:type="dxa"/>
            <w:vAlign w:val="bottom"/>
            <w:gridSpan w:val="2"/>
          </w:tcPr>
          <w:p>
            <w:pPr>
              <w:ind w:left="1160"/>
              <w:spacing w:after="0"/>
              <w:rPr>
                <w:sz w:val="20"/>
                <w:szCs w:val="20"/>
                <w:color w:val="auto"/>
              </w:rPr>
            </w:pPr>
            <w:r>
              <w:rPr>
                <w:rFonts w:ascii="Arial" w:cs="Arial" w:eastAsia="Arial" w:hAnsi="Arial"/>
                <w:sz w:val="18"/>
                <w:szCs w:val="18"/>
                <w:color w:val="auto"/>
              </w:rPr>
              <w:t>II-5</w:t>
            </w:r>
          </w:p>
        </w:tc>
        <w:tc>
          <w:tcPr>
            <w:tcW w:w="2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75" w:name="page276"/>
    <w:bookmarkEnd w:id="275"/>
    <w:p>
      <w:pPr>
        <w:jc w:val="center"/>
        <w:ind w:right="20"/>
        <w:spacing w:after="0"/>
        <w:rPr>
          <w:sz w:val="20"/>
          <w:szCs w:val="20"/>
          <w:color w:val="auto"/>
        </w:rPr>
      </w:pPr>
      <w:r>
        <w:rPr>
          <w:rFonts w:ascii="Arial" w:cs="Arial" w:eastAsia="Arial" w:hAnsi="Arial"/>
          <w:sz w:val="18"/>
          <w:szCs w:val="18"/>
          <w:b w:val="1"/>
          <w:bCs w:val="1"/>
          <w:color w:val="auto"/>
        </w:rPr>
        <w:t>THIRD AMENDED AND RESTATED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4D MOLECULAR THERAPEUTICS, INC.</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4D Molecular Therapeutics, Inc., a corporation organized and existing under the laws of the State of Delaware, hereby certifies as follows:</w:t>
      </w:r>
    </w:p>
    <w:p>
      <w:pPr>
        <w:spacing w:after="0" w:line="154" w:lineRule="exact"/>
        <w:rPr>
          <w:sz w:val="20"/>
          <w:szCs w:val="20"/>
          <w:color w:val="auto"/>
        </w:rPr>
      </w:pPr>
    </w:p>
    <w:p>
      <w:pPr>
        <w:ind w:left="980" w:right="500" w:hanging="544"/>
        <w:spacing w:after="0" w:line="277" w:lineRule="auto"/>
        <w:tabs>
          <w:tab w:leader="none" w:pos="9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name of the corporation is 4D Molecular Therapeutics, Inc. The corporation was originally incorporated pursuant to the General Corporation Law of the State of Delaware on March 11, 2015 under the same name.</w:t>
      </w:r>
    </w:p>
    <w:p>
      <w:pPr>
        <w:spacing w:after="0" w:line="75" w:lineRule="exact"/>
        <w:rPr>
          <w:rFonts w:ascii="Arial" w:cs="Arial" w:eastAsia="Arial" w:hAnsi="Arial"/>
          <w:sz w:val="18"/>
          <w:szCs w:val="18"/>
          <w:color w:val="auto"/>
        </w:rPr>
      </w:pPr>
    </w:p>
    <w:p>
      <w:pPr>
        <w:ind w:left="980" w:right="660" w:hanging="544"/>
        <w:spacing w:after="0" w:line="277" w:lineRule="auto"/>
        <w:tabs>
          <w:tab w:leader="none" w:pos="9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date of filing of the corporation’s original Certificate of Incorporation with the Secretary of State of the State of Delaware was March 11, 2015.</w:t>
      </w:r>
    </w:p>
    <w:p>
      <w:pPr>
        <w:spacing w:after="0" w:line="75" w:lineRule="exact"/>
        <w:rPr>
          <w:rFonts w:ascii="Arial" w:cs="Arial" w:eastAsia="Arial" w:hAnsi="Arial"/>
          <w:sz w:val="18"/>
          <w:szCs w:val="18"/>
          <w:color w:val="auto"/>
        </w:rPr>
      </w:pPr>
    </w:p>
    <w:p>
      <w:pPr>
        <w:ind w:left="980" w:right="80" w:hanging="544"/>
        <w:spacing w:after="0" w:line="257" w:lineRule="auto"/>
        <w:tabs>
          <w:tab w:leader="none" w:pos="9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Third Amended and Restated Certificate of Incorporation of 4D Molecular Therapeutics, Inc. in the form attached hereto as Exhibit A has been duly adopted in accordance with the provisions of Sections 228, 242 and 245 of the General Corporation Law of the State of Delaware by the board of directors and stockholders of the corporation, and prompt written notice was duly given pursuant to Section 228 of the General Corporation Law of the State of Delaware to those stockholders who did not approve the Third Amended and Restated Certificate of Incorporation by written consent.</w:t>
      </w:r>
    </w:p>
    <w:p>
      <w:pPr>
        <w:spacing w:after="0" w:line="93" w:lineRule="exact"/>
        <w:rPr>
          <w:rFonts w:ascii="Arial" w:cs="Arial" w:eastAsia="Arial" w:hAnsi="Arial"/>
          <w:sz w:val="18"/>
          <w:szCs w:val="18"/>
          <w:color w:val="auto"/>
        </w:rPr>
      </w:pPr>
    </w:p>
    <w:p>
      <w:pPr>
        <w:ind w:left="980" w:right="500" w:hanging="544"/>
        <w:spacing w:after="0" w:line="277" w:lineRule="auto"/>
        <w:tabs>
          <w:tab w:leader="none" w:pos="9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Third Amended and Restated Certificate of Incorporation so adopted reads in full as set forth in Exhibit A attached hereto and is incorporated herein by this reference.</w:t>
      </w:r>
    </w:p>
    <w:p>
      <w:pPr>
        <w:spacing w:after="0" w:line="170" w:lineRule="exact"/>
        <w:rPr>
          <w:sz w:val="20"/>
          <w:szCs w:val="20"/>
          <w:color w:val="auto"/>
        </w:rPr>
      </w:pPr>
    </w:p>
    <w:p>
      <w:pPr>
        <w:ind w:right="340" w:firstLine="992"/>
        <w:spacing w:after="0" w:line="277" w:lineRule="auto"/>
        <w:rPr>
          <w:sz w:val="20"/>
          <w:szCs w:val="20"/>
          <w:color w:val="auto"/>
        </w:rPr>
      </w:pPr>
      <w:r>
        <w:rPr>
          <w:rFonts w:ascii="Arial" w:cs="Arial" w:eastAsia="Arial" w:hAnsi="Arial"/>
          <w:sz w:val="18"/>
          <w:szCs w:val="18"/>
          <w:color w:val="auto"/>
        </w:rPr>
        <w:t>IN WITNESS WHEREOF, the corporation has caused the Third Amended and Restated Certificate of Incorporation to be signed by its duly authorized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27, 2018</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4D MOLECULAR THERAPEUTICS,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David Kirn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David Kirn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40"/>
          </w:cols>
          <w:pgMar w:left="440" w:top="121" w:right="419" w:bottom="1440" w:gutter="0" w:footer="0" w:header="0"/>
        </w:sectPr>
      </w:pPr>
    </w:p>
    <w:bookmarkStart w:id="276" w:name="page277"/>
    <w:bookmarkEnd w:id="27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4D MOLECULAR THERAPEUTICS,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4D Molecular Therapeutics,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name of the Corporation’s registered agent in the State of Delaware is The Corporation Trust Company, whose address is 1209 Orange Street, City of Wilmington, County of New Castle, 19801.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total number of shares of all classes of stock which the Corporation shall have authority to issue is (i) 50,000,000 shares of Common Stock, $0.0001 par value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(ii) 7,375,638 shares of Preferred Stock, $0.0001 par value per share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(A) 909,312 shares of which shall be designated “</w:t>
      </w:r>
      <w:r>
        <w:rPr>
          <w:rFonts w:ascii="Arial" w:cs="Arial" w:eastAsia="Arial" w:hAnsi="Arial"/>
          <w:sz w:val="18"/>
          <w:szCs w:val="18"/>
          <w:b w:val="1"/>
          <w:bCs w:val="1"/>
          <w:i w:val="1"/>
          <w:iCs w:val="1"/>
          <w:color w:val="auto"/>
        </w:rPr>
        <w:t>Series A Preferred Stock</w:t>
      </w:r>
      <w:r>
        <w:rPr>
          <w:rFonts w:ascii="Arial" w:cs="Arial" w:eastAsia="Arial" w:hAnsi="Arial"/>
          <w:sz w:val="18"/>
          <w:szCs w:val="18"/>
          <w:i w:val="1"/>
          <w:iCs w:val="1"/>
          <w:color w:val="auto"/>
        </w:rPr>
        <w:t>,</w:t>
      </w:r>
      <w:r>
        <w:rPr>
          <w:rFonts w:ascii="Arial" w:cs="Arial" w:eastAsia="Arial" w:hAnsi="Arial"/>
          <w:sz w:val="18"/>
          <w:szCs w:val="18"/>
          <w:color w:val="auto"/>
        </w:rPr>
        <w:t>” (B) 1,311,687 shares of which shall be designated “</w:t>
      </w:r>
      <w:r>
        <w:rPr>
          <w:rFonts w:ascii="Arial" w:cs="Arial" w:eastAsia="Arial" w:hAnsi="Arial"/>
          <w:sz w:val="18"/>
          <w:szCs w:val="18"/>
          <w:b w:val="1"/>
          <w:bCs w:val="1"/>
          <w:i w:val="1"/>
          <w:iCs w:val="1"/>
          <w:color w:val="auto"/>
        </w:rPr>
        <w:t>Series A-1 Preferred Stock</w:t>
      </w:r>
      <w:r>
        <w:rPr>
          <w:rFonts w:ascii="Arial" w:cs="Arial" w:eastAsia="Arial" w:hAnsi="Arial"/>
          <w:sz w:val="18"/>
          <w:szCs w:val="18"/>
          <w:color w:val="auto"/>
        </w:rPr>
        <w:t>” and (C) 5,154,639 shares of which shall be designated “</w:t>
      </w:r>
      <w:r>
        <w:rPr>
          <w:rFonts w:ascii="Arial" w:cs="Arial" w:eastAsia="Arial" w:hAnsi="Arial"/>
          <w:sz w:val="18"/>
          <w:szCs w:val="18"/>
          <w:b w:val="1"/>
          <w:bCs w:val="1"/>
          <w:i w:val="1"/>
          <w:iCs w:val="1"/>
          <w:color w:val="auto"/>
        </w:rPr>
        <w:t>Series B Preferred Stock</w:t>
      </w:r>
      <w:r>
        <w:rPr>
          <w:rFonts w:ascii="Arial" w:cs="Arial" w:eastAsia="Arial" w:hAnsi="Arial"/>
          <w:sz w:val="18"/>
          <w:szCs w:val="18"/>
          <w:color w:val="auto"/>
        </w:rPr>
        <w:t>.”</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is a statement of the designations and the powers, preferences and rights, and the qualifications, limitations or restrictions thereof, in respect of each class or series of capital stock of the Corporation: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COMMON STOCK</w:t>
      </w:r>
    </w:p>
    <w:p>
      <w:pPr>
        <w:spacing w:after="0" w:line="117" w:lineRule="exact"/>
        <w:rPr>
          <w:sz w:val="20"/>
          <w:szCs w:val="20"/>
          <w:color w:val="auto"/>
        </w:rPr>
      </w:pPr>
    </w:p>
    <w:p>
      <w:pPr>
        <w:ind w:right="600" w:firstLine="996"/>
        <w:spacing w:after="0" w:line="277" w:lineRule="auto"/>
        <w:tabs>
          <w:tab w:leader="none" w:pos="1172"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Common Stock are subject to and qualified by the powers, preferences and rights of the holders of Preferred Stock set forth herein.</w:t>
      </w:r>
    </w:p>
    <w:p>
      <w:pPr>
        <w:spacing w:after="0" w:line="62" w:lineRule="exact"/>
        <w:rPr>
          <w:rFonts w:ascii="Arial" w:cs="Arial" w:eastAsia="Arial" w:hAnsi="Arial"/>
          <w:sz w:val="18"/>
          <w:szCs w:val="18"/>
          <w:color w:val="auto"/>
        </w:rPr>
      </w:pPr>
    </w:p>
    <w:p>
      <w:pPr>
        <w:ind w:firstLine="996"/>
        <w:spacing w:after="0" w:line="272" w:lineRule="auto"/>
        <w:tabs>
          <w:tab w:leader="none" w:pos="1172"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Voting</w:t>
      </w:r>
      <w:r>
        <w:rPr>
          <w:rFonts w:ascii="Arial" w:cs="Arial" w:eastAsia="Arial" w:hAnsi="Arial"/>
          <w:sz w:val="17"/>
          <w:szCs w:val="17"/>
          <w:color w:val="auto"/>
        </w:rPr>
        <w:t>. On any matter presented to the stockholders of the Corporation for their action or consideration at any meeting of stockholders (or by written consent in lieu of meeting), each holder of outstanding shares of Common Stock shall be entitled, with respect to each outstanding share of Common Stock held by such holder, to cast one vote.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the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DGCL.</w:t>
      </w:r>
    </w:p>
    <w:p>
      <w:pPr>
        <w:sectPr>
          <w:pgSz w:w="11900" w:h="16838" w:orient="portrait"/>
          <w:cols w:equalWidth="0" w:num="1">
            <w:col w:w="11020"/>
          </w:cols>
          <w:pgMar w:left="440" w:top="270" w:right="439" w:bottom="1440" w:gutter="0" w:footer="0" w:header="0"/>
        </w:sectPr>
      </w:pPr>
    </w:p>
    <w:bookmarkStart w:id="277" w:name="page278"/>
    <w:bookmarkEnd w:id="27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PREFERRED STOCK</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Unless otherwise indicated, references to “Sections” or “Subsections” in this Part B of this Article IV refer to Sections and Subsections in this Part B of this Article IV.</w:t>
      </w:r>
    </w:p>
    <w:p>
      <w:pPr>
        <w:spacing w:after="0" w:line="62" w:lineRule="exact"/>
        <w:rPr>
          <w:sz w:val="20"/>
          <w:szCs w:val="20"/>
          <w:color w:val="auto"/>
        </w:rPr>
      </w:pPr>
    </w:p>
    <w:p>
      <w:pPr>
        <w:ind w:left="1180" w:hanging="184"/>
        <w:spacing w:after="0"/>
        <w:tabs>
          <w:tab w:leader="none" w:pos="118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The Corporation shall not declare, pay or set aside any dividends on shares of any class or series of capital stock of the Corporation (other than dividends on shares of Common Stock payable in shares of Common Stock (“</w:t>
      </w:r>
      <w:r>
        <w:rPr>
          <w:rFonts w:ascii="Arial" w:cs="Arial" w:eastAsia="Arial" w:hAnsi="Arial"/>
          <w:sz w:val="16"/>
          <w:szCs w:val="16"/>
          <w:b w:val="1"/>
          <w:bCs w:val="1"/>
          <w:i w:val="1"/>
          <w:iCs w:val="1"/>
          <w:color w:val="auto"/>
        </w:rPr>
        <w:t>Common Stock Dividend</w:t>
      </w:r>
      <w:r>
        <w:rPr>
          <w:rFonts w:ascii="Arial" w:cs="Arial" w:eastAsia="Arial" w:hAnsi="Arial"/>
          <w:sz w:val="16"/>
          <w:szCs w:val="16"/>
          <w:color w:val="auto"/>
        </w:rPr>
        <w:t>”)) unless (in addition to obtaining any consents required elsewhere in the Certificate of Incorporation) the holders of Preferred Stock then outstanding shall first receive, or simultaneously receive, a dividend on each outstanding share of Preferred Stock in an amount at least equal to (i) in the case of a dividend on Common Stock or any class or series that is convertible into Common Stock, the product of (A) the dividend payable on each share of Common Stock or each share of such class or series that is convertible into Common Stock determined, if applicable, as if all shares of such class or series had been converted into Common Stock and</w:t>
      </w:r>
    </w:p>
    <w:p>
      <w:pPr>
        <w:spacing w:after="0" w:line="5" w:lineRule="exact"/>
        <w:rPr>
          <w:sz w:val="20"/>
          <w:szCs w:val="20"/>
          <w:color w:val="auto"/>
        </w:rPr>
      </w:pPr>
    </w:p>
    <w:p>
      <w:pPr>
        <w:ind w:right="20" w:firstLine="4"/>
        <w:spacing w:after="0" w:line="267" w:lineRule="auto"/>
        <w:tabs>
          <w:tab w:leader="none" w:pos="28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number of shares of Common Stock issuable upon conversion of a share of Preferred Stock, in each case calculated on the record date for determination of holders entitled to receive such dividend or (ii) in the case of a dividend on any class or series that is not convertible into Common Stock, the amount determined by (A) dividing the amount of the dividend payable on each share of such class or series of capital stock by the original issuance price of such class or series of capital stock (subject to appropriate adjustment for any stock dividend, stock split, combination or other similar recapitalization (collectively, “</w:t>
      </w:r>
      <w:r>
        <w:rPr>
          <w:rFonts w:ascii="Arial" w:cs="Arial" w:eastAsia="Arial" w:hAnsi="Arial"/>
          <w:sz w:val="17"/>
          <w:szCs w:val="17"/>
          <w:b w:val="1"/>
          <w:bCs w:val="1"/>
          <w:i w:val="1"/>
          <w:iCs w:val="1"/>
          <w:color w:val="auto"/>
        </w:rPr>
        <w:t>Recapitalizations</w:t>
      </w:r>
      <w:r>
        <w:rPr>
          <w:rFonts w:ascii="Arial" w:cs="Arial" w:eastAsia="Arial" w:hAnsi="Arial"/>
          <w:sz w:val="17"/>
          <w:szCs w:val="17"/>
          <w:color w:val="auto"/>
        </w:rPr>
        <w:t xml:space="preserve">”) with respect to such class or series) and (B) multiplying such fraction by an amount equal to the applicable Original Issue Price (as defined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Corporation declares, pays or sets aside, on the same date, a dividend on shares of more than one class or series of capital stock of the Corporation, the dividend payable to the holders of Preferred Stock pursuant to this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shall be calculated based upon the dividend on the class or series of capital stock that would result in the highest Preferred Stock dividend. “</w:t>
      </w:r>
      <w:r>
        <w:rPr>
          <w:rFonts w:ascii="Arial" w:cs="Arial" w:eastAsia="Arial" w:hAnsi="Arial"/>
          <w:sz w:val="17"/>
          <w:szCs w:val="17"/>
          <w:b w:val="1"/>
          <w:bCs w:val="1"/>
          <w:i w:val="1"/>
          <w:iCs w:val="1"/>
          <w:color w:val="auto"/>
        </w:rPr>
        <w:t>Original Series A Issue Price</w:t>
      </w:r>
      <w:r>
        <w:rPr>
          <w:rFonts w:ascii="Arial" w:cs="Arial" w:eastAsia="Arial" w:hAnsi="Arial"/>
          <w:sz w:val="17"/>
          <w:szCs w:val="17"/>
          <w:color w:val="auto"/>
        </w:rPr>
        <w:t>” means $7.70, subject to appropriate adjustment for any Recapitalizations with respect to Series A Preferred Stock. “</w:t>
      </w:r>
      <w:r>
        <w:rPr>
          <w:rFonts w:ascii="Arial" w:cs="Arial" w:eastAsia="Arial" w:hAnsi="Arial"/>
          <w:sz w:val="17"/>
          <w:szCs w:val="17"/>
          <w:b w:val="1"/>
          <w:bCs w:val="1"/>
          <w:i w:val="1"/>
          <w:iCs w:val="1"/>
          <w:color w:val="auto"/>
        </w:rPr>
        <w:t>Original Series A-1 Issue Price</w:t>
      </w:r>
      <w:r>
        <w:rPr>
          <w:rFonts w:ascii="Arial" w:cs="Arial" w:eastAsia="Arial" w:hAnsi="Arial"/>
          <w:sz w:val="17"/>
          <w:szCs w:val="17"/>
          <w:color w:val="auto"/>
        </w:rPr>
        <w:t>” means $8.839, subject to appropriate adjustment for any Recapitalizations with respect to Series A-1 Preferred Stock. “</w:t>
      </w:r>
      <w:r>
        <w:rPr>
          <w:rFonts w:ascii="Arial" w:cs="Arial" w:eastAsia="Arial" w:hAnsi="Arial"/>
          <w:sz w:val="17"/>
          <w:szCs w:val="17"/>
          <w:b w:val="1"/>
          <w:bCs w:val="1"/>
          <w:i w:val="1"/>
          <w:iCs w:val="1"/>
          <w:color w:val="auto"/>
        </w:rPr>
        <w:t>Original Series B Issue Price</w:t>
      </w:r>
      <w:r>
        <w:rPr>
          <w:rFonts w:ascii="Arial" w:cs="Arial" w:eastAsia="Arial" w:hAnsi="Arial"/>
          <w:sz w:val="17"/>
          <w:szCs w:val="17"/>
          <w:color w:val="auto"/>
        </w:rPr>
        <w:t>” means $17.46, subject to appropriate adjustment for any Recapitalizations with respect to Series B Preferred Stock. The Original Series A Issue Price, Original Series A-1 Issue Price and Original Series B Issue Price are collectively referred to as the “</w:t>
      </w:r>
      <w:r>
        <w:rPr>
          <w:rFonts w:ascii="Arial" w:cs="Arial" w:eastAsia="Arial" w:hAnsi="Arial"/>
          <w:sz w:val="17"/>
          <w:szCs w:val="17"/>
          <w:b w:val="1"/>
          <w:bCs w:val="1"/>
          <w:i w:val="1"/>
          <w:iCs w:val="1"/>
          <w:color w:val="auto"/>
        </w:rPr>
        <w:t>Original Issue Price</w:t>
      </w:r>
      <w:r>
        <w:rPr>
          <w:rFonts w:ascii="Arial" w:cs="Arial" w:eastAsia="Arial" w:hAnsi="Arial"/>
          <w:sz w:val="17"/>
          <w:szCs w:val="17"/>
          <w:color w:val="auto"/>
        </w:rPr>
        <w:t>” herein.</w:t>
      </w:r>
    </w:p>
    <w:p>
      <w:pPr>
        <w:spacing w:after="0" w:line="76" w:lineRule="exact"/>
        <w:rPr>
          <w:sz w:val="20"/>
          <w:szCs w:val="20"/>
          <w:color w:val="auto"/>
        </w:rPr>
      </w:pPr>
    </w:p>
    <w:p>
      <w:pPr>
        <w:ind w:left="1440" w:right="3300" w:hanging="444"/>
        <w:spacing w:after="0" w:line="399" w:lineRule="auto"/>
        <w:tabs>
          <w:tab w:leader="none" w:pos="1179"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 xml:space="preserve">. 2.1 </w:t>
      </w:r>
      <w:r>
        <w:rPr>
          <w:rFonts w:ascii="Arial" w:cs="Arial" w:eastAsia="Arial" w:hAnsi="Arial"/>
          <w:sz w:val="18"/>
          <w:szCs w:val="18"/>
          <w:u w:val="single" w:color="auto"/>
          <w:color w:val="auto"/>
        </w:rPr>
        <w:t>Preferential Payments to Holders of Preferred Stock</w:t>
      </w:r>
      <w:r>
        <w:rPr>
          <w:rFonts w:ascii="Arial" w:cs="Arial" w:eastAsia="Arial" w:hAnsi="Arial"/>
          <w:sz w:val="18"/>
          <w:szCs w:val="18"/>
          <w:color w:val="auto"/>
        </w:rPr>
        <w: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78" w:name="page279"/>
    <w:bookmarkEnd w:id="278"/>
    <w:p>
      <w:pPr>
        <w:ind w:firstLine="198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2.1.1 </w:t>
      </w:r>
      <w:r>
        <w:rPr>
          <w:rFonts w:ascii="Arial" w:cs="Arial" w:eastAsia="Arial" w:hAnsi="Arial"/>
          <w:sz w:val="16"/>
          <w:szCs w:val="16"/>
          <w:u w:val="single" w:color="auto"/>
          <w:color w:val="auto"/>
        </w:rPr>
        <w:t>Series B Preferred Stock</w:t>
      </w:r>
      <w:r>
        <w:rPr>
          <w:rFonts w:ascii="Arial" w:cs="Arial" w:eastAsia="Arial" w:hAnsi="Arial"/>
          <w:sz w:val="16"/>
          <w:szCs w:val="16"/>
          <w:color w:val="auto"/>
        </w:rPr>
        <w:t xml:space="preserve">. In the event of any voluntary or involuntary liquidation, dissolution or winding up of the Corporation or Deemed Liquidation Event (as defined in </w:t>
      </w:r>
      <w:r>
        <w:rPr>
          <w:rFonts w:ascii="Arial" w:cs="Arial" w:eastAsia="Arial" w:hAnsi="Arial"/>
          <w:sz w:val="16"/>
          <w:szCs w:val="16"/>
          <w:u w:val="single" w:color="auto"/>
          <w:color w:val="auto"/>
        </w:rPr>
        <w:t>Subsection 2.3.1)</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2.3.2(b)</w:t>
      </w:r>
      <w:r>
        <w:rPr>
          <w:rFonts w:ascii="Arial" w:cs="Arial" w:eastAsia="Arial" w:hAnsi="Arial"/>
          <w:sz w:val="16"/>
          <w:szCs w:val="16"/>
          <w:color w:val="auto"/>
        </w:rPr>
        <w:t xml:space="preserve"> in the case of a Deemed Liquidation Event referred to in </w:t>
      </w:r>
      <w:r>
        <w:rPr>
          <w:rFonts w:ascii="Arial" w:cs="Arial" w:eastAsia="Arial" w:hAnsi="Arial"/>
          <w:sz w:val="16"/>
          <w:szCs w:val="16"/>
          <w:u w:val="single" w:color="auto"/>
          <w:color w:val="auto"/>
        </w:rPr>
        <w:t>Subsection 2.3.l(a)(ii)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Subsection 2.3.1(b)</w:t>
      </w:r>
      <w:r>
        <w:rPr>
          <w:rFonts w:ascii="Arial" w:cs="Arial" w:eastAsia="Arial" w:hAnsi="Arial"/>
          <w:sz w:val="16"/>
          <w:szCs w:val="16"/>
          <w:color w:val="auto"/>
        </w:rPr>
        <w:t>, the holders of shares of Series B Preferred Stock then outstanding shall be entitled to be paid, out of the Available Assets (as defined below), and prior and in preference to any payment of any Available Assets to the holders of Series A-1 Preferred Stock, Series A Preferred Stock or Common Stock by reason of their ownership thereof, an amount per share equal to the greater of</w:t>
      </w:r>
    </w:p>
    <w:p>
      <w:pPr>
        <w:spacing w:after="0" w:line="2" w:lineRule="exact"/>
        <w:rPr>
          <w:sz w:val="20"/>
          <w:szCs w:val="20"/>
          <w:color w:val="auto"/>
        </w:rPr>
      </w:pPr>
    </w:p>
    <w:p>
      <w:pPr>
        <w:ind w:right="100" w:firstLine="4"/>
        <w:spacing w:after="0" w:line="268" w:lineRule="auto"/>
        <w:tabs>
          <w:tab w:leader="none" w:pos="21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the sum of the Original Series B Issue Price plus all declared but unpaid dividends thereon and (ii) such amount per share as would have been payable had all shares of Series B Preferred Stock been converted into Common Stock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immediately prior to such liquidation, dissolution, winding up of the Corporation or Deemed Liquidation Event (the amount payable pursuant to this sentence, the “</w:t>
      </w:r>
      <w:r>
        <w:rPr>
          <w:rFonts w:ascii="Arial" w:cs="Arial" w:eastAsia="Arial" w:hAnsi="Arial"/>
          <w:sz w:val="17"/>
          <w:szCs w:val="17"/>
          <w:b w:val="1"/>
          <w:bCs w:val="1"/>
          <w:i w:val="1"/>
          <w:iCs w:val="1"/>
          <w:color w:val="auto"/>
        </w:rPr>
        <w:t>Series B Liquidation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Amount</w:t>
      </w:r>
      <w:r>
        <w:rPr>
          <w:rFonts w:ascii="Arial" w:cs="Arial" w:eastAsia="Arial" w:hAnsi="Arial"/>
          <w:sz w:val="17"/>
          <w:szCs w:val="17"/>
          <w:color w:val="auto"/>
        </w:rPr>
        <w:t>”). If upon any such liquidation, dissolution or winding up of the Corporation or Deemed Liquidation Event, the Available Assets shall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insufficient to pay the holders of Series B Preferred Stock the full amount to which they shall be entitled under this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the Available Assets shall be distributed to the holders of Series B Preferred Stock pro rata, on an equal priority, pari passu basis, in proportion to the full preferential amount each such holder is otherwise entitled to receive under this </w:t>
      </w:r>
      <w:r>
        <w:rPr>
          <w:rFonts w:ascii="Arial" w:cs="Arial" w:eastAsia="Arial" w:hAnsi="Arial"/>
          <w:sz w:val="17"/>
          <w:szCs w:val="17"/>
          <w:u w:val="single" w:color="auto"/>
          <w:color w:val="auto"/>
        </w:rPr>
        <w:t>Subsection 2.1.1</w:t>
      </w:r>
      <w:r>
        <w:rPr>
          <w:rFonts w:ascii="Arial" w:cs="Arial" w:eastAsia="Arial" w:hAnsi="Arial"/>
          <w:sz w:val="17"/>
          <w:szCs w:val="17"/>
          <w:color w:val="auto"/>
        </w:rPr>
        <w:t>. “</w:t>
      </w:r>
      <w:r>
        <w:rPr>
          <w:rFonts w:ascii="Arial" w:cs="Arial" w:eastAsia="Arial" w:hAnsi="Arial"/>
          <w:sz w:val="17"/>
          <w:szCs w:val="17"/>
          <w:b w:val="1"/>
          <w:bCs w:val="1"/>
          <w:i w:val="1"/>
          <w:iCs w:val="1"/>
          <w:color w:val="auto"/>
        </w:rPr>
        <w:t>Available Assets</w:t>
      </w:r>
      <w:r>
        <w:rPr>
          <w:rFonts w:ascii="Arial" w:cs="Arial" w:eastAsia="Arial" w:hAnsi="Arial"/>
          <w:sz w:val="17"/>
          <w:szCs w:val="17"/>
          <w:color w:val="auto"/>
        </w:rPr>
        <w:t>” means the funds and assets that may be legally distributed to the stockholders of the Corporation.</w:t>
      </w:r>
    </w:p>
    <w:p>
      <w:pPr>
        <w:spacing w:after="0" w:line="76" w:lineRule="exact"/>
        <w:rPr>
          <w:sz w:val="20"/>
          <w:szCs w:val="20"/>
          <w:color w:val="auto"/>
        </w:rPr>
      </w:pPr>
    </w:p>
    <w:p>
      <w:pPr>
        <w:ind w:firstLine="1984"/>
        <w:spacing w:after="0" w:line="26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Series A-1 Preferred Stock</w:t>
      </w:r>
      <w:r>
        <w:rPr>
          <w:rFonts w:ascii="Arial" w:cs="Arial" w:eastAsia="Arial" w:hAnsi="Arial"/>
          <w:sz w:val="17"/>
          <w:szCs w:val="17"/>
          <w:color w:val="auto"/>
        </w:rPr>
        <w:t xml:space="preserve">. In the event of any voluntary or involuntary liquidation, dissolution or winding up of the Corporation or Deemed Liquidation Event (as defined in </w:t>
      </w:r>
      <w:r>
        <w:rPr>
          <w:rFonts w:ascii="Arial" w:cs="Arial" w:eastAsia="Arial" w:hAnsi="Arial"/>
          <w:sz w:val="17"/>
          <w:szCs w:val="17"/>
          <w:u w:val="single" w:color="auto"/>
          <w:color w:val="auto"/>
        </w:rPr>
        <w:t>Subsection 2.3.1)</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Subsection 2.3.2(b)</w:t>
      </w:r>
      <w:r>
        <w:rPr>
          <w:rFonts w:ascii="Arial" w:cs="Arial" w:eastAsia="Arial" w:hAnsi="Arial"/>
          <w:sz w:val="17"/>
          <w:szCs w:val="17"/>
          <w:color w:val="auto"/>
        </w:rPr>
        <w:t xml:space="preserve"> in the case of a Deemed Liquidation Event referred to in </w:t>
      </w:r>
      <w:r>
        <w:rPr>
          <w:rFonts w:ascii="Arial" w:cs="Arial" w:eastAsia="Arial" w:hAnsi="Arial"/>
          <w:sz w:val="17"/>
          <w:szCs w:val="17"/>
          <w:u w:val="single" w:color="auto"/>
          <w:color w:val="auto"/>
        </w:rPr>
        <w:t>Subsection 2.3.l(a)(ii)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Subsection 2.3.1(b)</w:t>
      </w:r>
      <w:r>
        <w:rPr>
          <w:rFonts w:ascii="Arial" w:cs="Arial" w:eastAsia="Arial" w:hAnsi="Arial"/>
          <w:sz w:val="17"/>
          <w:szCs w:val="17"/>
          <w:color w:val="auto"/>
        </w:rPr>
        <w:t xml:space="preserve">, the holders of shares of Series A-1 Preferred Stock then outstanding shall be entitled to be paid, out of the Available Assets (as defined below), and prior and in preference to any payment of any Available Assets to the holders of Series A Preferred Stock or Common Stock by reason of their ownership thereof, an amount per share equal to the greater of (i) the sum of the Original Series A-1 Issue Price plus all declared but unpaid dividends thereon and (ii) such amount per share as would have been payable had all shares of Series A-1 Preferred Stock been converted into Common Stock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immediately prior to such liquidation, dissolution, winding up of the Corporation or Deemed Liquidation Event (the amount payable pursuant to this sentence, the “</w:t>
      </w:r>
      <w:r>
        <w:rPr>
          <w:rFonts w:ascii="Arial" w:cs="Arial" w:eastAsia="Arial" w:hAnsi="Arial"/>
          <w:sz w:val="17"/>
          <w:szCs w:val="17"/>
          <w:b w:val="1"/>
          <w:bCs w:val="1"/>
          <w:i w:val="1"/>
          <w:iCs w:val="1"/>
          <w:color w:val="auto"/>
        </w:rPr>
        <w:t>Series A-1 Liquidation Amount</w:t>
      </w:r>
      <w:r>
        <w:rPr>
          <w:rFonts w:ascii="Arial" w:cs="Arial" w:eastAsia="Arial" w:hAnsi="Arial"/>
          <w:sz w:val="17"/>
          <w:szCs w:val="17"/>
          <w:color w:val="auto"/>
        </w:rPr>
        <w:t xml:space="preserve">”). If upon any such liquidation, dissolution or winding up of the Corporation or Deemed Liquidation Event, the Available Assets shall be insufficient to pay the holders of Series A-1 Preferred Stock the full amount to which they shall be entitled under this </w:t>
      </w:r>
      <w:r>
        <w:rPr>
          <w:rFonts w:ascii="Arial" w:cs="Arial" w:eastAsia="Arial" w:hAnsi="Arial"/>
          <w:sz w:val="17"/>
          <w:szCs w:val="17"/>
          <w:u w:val="single" w:color="auto"/>
          <w:color w:val="auto"/>
        </w:rPr>
        <w:t>Subsection 2.1.2</w:t>
      </w:r>
      <w:r>
        <w:rPr>
          <w:rFonts w:ascii="Arial" w:cs="Arial" w:eastAsia="Arial" w:hAnsi="Arial"/>
          <w:sz w:val="17"/>
          <w:szCs w:val="17"/>
          <w:color w:val="auto"/>
        </w:rPr>
        <w:t xml:space="preserve">, the Available Assets shall be distributed to the holders of Series A-1 Preferred Stock pro rata, on an equal priority, pari passu basis, in proportion to the full preferential amount each such holder is otherwise entitled to receive under this </w:t>
      </w:r>
      <w:r>
        <w:rPr>
          <w:rFonts w:ascii="Arial" w:cs="Arial" w:eastAsia="Arial" w:hAnsi="Arial"/>
          <w:sz w:val="17"/>
          <w:szCs w:val="17"/>
          <w:u w:val="single" w:color="auto"/>
          <w:color w:val="auto"/>
        </w:rPr>
        <w:t>Subsection 2.1.2</w:t>
      </w:r>
      <w:r>
        <w:rPr>
          <w:rFonts w:ascii="Arial" w:cs="Arial" w:eastAsia="Arial" w:hAnsi="Arial"/>
          <w:sz w:val="17"/>
          <w:szCs w:val="17"/>
          <w:color w:val="auto"/>
        </w:rPr>
        <w:t>.</w:t>
      </w:r>
    </w:p>
    <w:p>
      <w:pPr>
        <w:spacing w:after="0" w:line="72" w:lineRule="exact"/>
        <w:rPr>
          <w:sz w:val="20"/>
          <w:szCs w:val="20"/>
          <w:color w:val="auto"/>
        </w:rPr>
      </w:pPr>
    </w:p>
    <w:p>
      <w:pPr>
        <w:ind w:right="180" w:firstLine="1984"/>
        <w:spacing w:after="0" w:line="279"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Series A Preferred Stock</w:t>
      </w:r>
      <w:r>
        <w:rPr>
          <w:rFonts w:ascii="Arial" w:cs="Arial" w:eastAsia="Arial" w:hAnsi="Arial"/>
          <w:sz w:val="17"/>
          <w:szCs w:val="17"/>
          <w:color w:val="auto"/>
        </w:rPr>
        <w:t xml:space="preserve">. In the event of any voluntary or involuntary liquidation, dissolution or winding up of the Corporation or Deemed Liquidation Event (as defined in </w:t>
      </w:r>
      <w:r>
        <w:rPr>
          <w:rFonts w:ascii="Arial" w:cs="Arial" w:eastAsia="Arial" w:hAnsi="Arial"/>
          <w:sz w:val="17"/>
          <w:szCs w:val="17"/>
          <w:u w:val="single" w:color="auto"/>
          <w:color w:val="auto"/>
        </w:rPr>
        <w:t>Subsection 2.3.1)</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Subsection 2.3.2(b)</w:t>
      </w:r>
      <w:r>
        <w:rPr>
          <w:rFonts w:ascii="Arial" w:cs="Arial" w:eastAsia="Arial" w:hAnsi="Arial"/>
          <w:sz w:val="17"/>
          <w:szCs w:val="17"/>
          <w:color w:val="auto"/>
        </w:rPr>
        <w:t xml:space="preserve"> in the case of a Deemed Liquidation Event referred to in </w:t>
      </w:r>
      <w:r>
        <w:rPr>
          <w:rFonts w:ascii="Arial" w:cs="Arial" w:eastAsia="Arial" w:hAnsi="Arial"/>
          <w:sz w:val="17"/>
          <w:szCs w:val="17"/>
          <w:u w:val="single" w:color="auto"/>
          <w:color w:val="auto"/>
        </w:rPr>
        <w:t>Subsection 2.3. l(a)(ii)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Subsection 2.3.1(b)</w:t>
      </w:r>
      <w:r>
        <w:rPr>
          <w:rFonts w:ascii="Arial" w:cs="Arial" w:eastAsia="Arial" w:hAnsi="Arial"/>
          <w:sz w:val="17"/>
          <w:szCs w:val="17"/>
          <w:color w:val="auto"/>
        </w:rPr>
        <w:t>, the holders of shares of Series A Preferred Stock then outstanding shall be entitled to be paid, out of the remaining Available Assets, and prior and in preference to any payment of any Available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79" w:name="page280"/>
    <w:bookmarkEnd w:id="279"/>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Assets to the holders of Common Stock by reason of their ownership thereof, an amount per share equal to the greater of (i) the sum of the Original Series A Issue Price plus all declared but unpaid dividends thereon and (ii) such amount per share as would have been payable had all shares of Series A Preferred Stock been converted into Common Stock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immediately prior to such liquidation, dissolution, winding up of the Corporation or Deemed Liquidation Event (the amount payable pursuant to this sentence, the “</w:t>
      </w:r>
      <w:r>
        <w:rPr>
          <w:rFonts w:ascii="Arial" w:cs="Arial" w:eastAsia="Arial" w:hAnsi="Arial"/>
          <w:sz w:val="17"/>
          <w:szCs w:val="17"/>
          <w:b w:val="1"/>
          <w:bCs w:val="1"/>
          <w:i w:val="1"/>
          <w:iCs w:val="1"/>
          <w:color w:val="auto"/>
        </w:rPr>
        <w:t>Series A Liquidation Amount</w:t>
      </w:r>
      <w:r>
        <w:rPr>
          <w:rFonts w:ascii="Arial" w:cs="Arial" w:eastAsia="Arial" w:hAnsi="Arial"/>
          <w:sz w:val="17"/>
          <w:szCs w:val="17"/>
          <w:color w:val="auto"/>
        </w:rPr>
        <w:t xml:space="preserve">”). If upon any such liquidation, dissolution or winding up of the Corporation or Deemed Liquidation Event, the remaining Available Assets shall be insufficient to pay the holders of Series A Preferred Stock the full amount to which they shall be entitled under this </w:t>
      </w:r>
      <w:r>
        <w:rPr>
          <w:rFonts w:ascii="Arial" w:cs="Arial" w:eastAsia="Arial" w:hAnsi="Arial"/>
          <w:sz w:val="17"/>
          <w:szCs w:val="17"/>
          <w:u w:val="single" w:color="auto"/>
          <w:color w:val="auto"/>
        </w:rPr>
        <w:t>Subsection 2.1.3</w:t>
      </w:r>
      <w:r>
        <w:rPr>
          <w:rFonts w:ascii="Arial" w:cs="Arial" w:eastAsia="Arial" w:hAnsi="Arial"/>
          <w:sz w:val="17"/>
          <w:szCs w:val="17"/>
          <w:color w:val="auto"/>
        </w:rPr>
        <w:t xml:space="preserve">, such remaining Available Assets shall be distributed to the holders of Series A Preferred Stock pro rata, on an equal priority, pari passu basis, in proportion to the full preferential amount each such holder is otherwise entitled to receive under this </w:t>
      </w:r>
      <w:r>
        <w:rPr>
          <w:rFonts w:ascii="Arial" w:cs="Arial" w:eastAsia="Arial" w:hAnsi="Arial"/>
          <w:sz w:val="17"/>
          <w:szCs w:val="17"/>
          <w:u w:val="single" w:color="auto"/>
          <w:color w:val="auto"/>
        </w:rPr>
        <w:t>Subsection 2.1.3</w:t>
      </w:r>
      <w:r>
        <w:rPr>
          <w:rFonts w:ascii="Arial" w:cs="Arial" w:eastAsia="Arial" w:hAnsi="Arial"/>
          <w:sz w:val="17"/>
          <w:szCs w:val="17"/>
          <w:color w:val="auto"/>
        </w:rPr>
        <w:t>.</w:t>
      </w:r>
    </w:p>
    <w:p>
      <w:pPr>
        <w:spacing w:after="0" w:line="7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Calculation of Liquidation Amounts</w:t>
      </w:r>
      <w:r>
        <w:rPr>
          <w:rFonts w:ascii="Arial" w:cs="Arial" w:eastAsia="Arial" w:hAnsi="Arial"/>
          <w:sz w:val="18"/>
          <w:szCs w:val="18"/>
          <w:color w:val="auto"/>
        </w:rPr>
        <w:t>.</w:t>
      </w:r>
    </w:p>
    <w:p>
      <w:pPr>
        <w:spacing w:after="0" w:line="117" w:lineRule="exact"/>
        <w:rPr>
          <w:sz w:val="20"/>
          <w:szCs w:val="20"/>
          <w:color w:val="auto"/>
        </w:rPr>
      </w:pPr>
    </w:p>
    <w:p>
      <w:pPr>
        <w:ind w:right="280" w:firstLine="2428"/>
        <w:spacing w:after="0" w:line="286" w:lineRule="auto"/>
        <w:tabs>
          <w:tab w:leader="none" w:pos="266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For purposes of calculating the Series B Liquidation Amount, Series A-1 Liquidation Amount and the Series A Liquidation Amount, it shall be assumed that all shares of each series of Preferred Stock that would receive a greater per share liquidation payment if converted into Common Stock than if remaining as Preferred Stock shall have been converted into Common Stock.</w:t>
      </w:r>
    </w:p>
    <w:p>
      <w:pPr>
        <w:spacing w:after="0" w:line="57" w:lineRule="exact"/>
        <w:rPr>
          <w:rFonts w:ascii="Arial" w:cs="Arial" w:eastAsia="Arial" w:hAnsi="Arial"/>
          <w:sz w:val="17"/>
          <w:szCs w:val="17"/>
          <w:color w:val="auto"/>
        </w:rPr>
      </w:pPr>
    </w:p>
    <w:p>
      <w:pPr>
        <w:ind w:firstLine="2428"/>
        <w:spacing w:after="0" w:line="279" w:lineRule="auto"/>
        <w:tabs>
          <w:tab w:leader="none" w:pos="267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Subsection 2.5</w:t>
      </w:r>
      <w:r>
        <w:rPr>
          <w:rFonts w:ascii="Arial" w:cs="Arial" w:eastAsia="Arial" w:hAnsi="Arial"/>
          <w:sz w:val="17"/>
          <w:szCs w:val="17"/>
          <w:color w:val="auto"/>
        </w:rPr>
        <w:t>, neither the Series B Liquidation Amount nor the Series A-1 Liquidation Amount shall be abrogated or diminished in the event part of the consideration paid in a Deemed Liquidation Event is subject to an escrow holdback or satisfaction of milestones except to the extent that holders of shares of Series B Preferred Stock and Series A-1 Preferred Stock have received an amount per share in excess of the sum of the applicable Original Issue Price plus all declared but unpaid dividends thereon.</w:t>
      </w:r>
    </w:p>
    <w:p>
      <w:pPr>
        <w:spacing w:after="0" w:line="63" w:lineRule="exact"/>
        <w:rPr>
          <w:sz w:val="20"/>
          <w:szCs w:val="20"/>
          <w:color w:val="auto"/>
        </w:rPr>
      </w:pPr>
    </w:p>
    <w:p>
      <w:pPr>
        <w:ind w:right="240" w:firstLine="1433"/>
        <w:spacing w:after="0" w:line="312"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Payments to Holders of Common Stock</w:t>
      </w:r>
      <w:r>
        <w:rPr>
          <w:rFonts w:ascii="Arial" w:cs="Arial" w:eastAsia="Arial" w:hAnsi="Arial"/>
          <w:sz w:val="16"/>
          <w:szCs w:val="16"/>
          <w:color w:val="auto"/>
        </w:rPr>
        <w:t xml:space="preserve">. In the event of any voluntary or involuntary liquidation, dissolution or winding up of the Corporation or Deemed Liquidation Event, after payment of the full amount required by </w:t>
      </w:r>
      <w:r>
        <w:rPr>
          <w:rFonts w:ascii="Arial" w:cs="Arial" w:eastAsia="Arial" w:hAnsi="Arial"/>
          <w:sz w:val="16"/>
          <w:szCs w:val="16"/>
          <w:u w:val="single" w:color="auto"/>
          <w:color w:val="auto"/>
        </w:rPr>
        <w:t>Subsection 2.1</w:t>
      </w:r>
      <w:r>
        <w:rPr>
          <w:rFonts w:ascii="Arial" w:cs="Arial" w:eastAsia="Arial" w:hAnsi="Arial"/>
          <w:sz w:val="16"/>
          <w:szCs w:val="16"/>
          <w:color w:val="auto"/>
        </w:rPr>
        <w:t>, the remaining Available Assets shall be distributed among the holders of shares of Common Stock pro rata according to the number of shares of Common Stock held by each such holder.</w:t>
      </w:r>
    </w:p>
    <w:p>
      <w:pPr>
        <w:spacing w:after="0" w:line="3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117" w:lineRule="exact"/>
        <w:rPr>
          <w:sz w:val="20"/>
          <w:szCs w:val="20"/>
          <w:color w:val="auto"/>
        </w:rPr>
      </w:pPr>
    </w:p>
    <w:p>
      <w:pPr>
        <w:ind w:right="60" w:firstLine="1984"/>
        <w:spacing w:after="0" w:line="259"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Definition</w:t>
      </w:r>
      <w:r>
        <w:rPr>
          <w:rFonts w:ascii="Arial" w:cs="Arial" w:eastAsia="Arial" w:hAnsi="Arial"/>
          <w:sz w:val="18"/>
          <w:szCs w:val="18"/>
          <w:color w:val="auto"/>
        </w:rPr>
        <w:t>. Each of the following events shall be considered a “</w:t>
      </w:r>
      <w:r>
        <w:rPr>
          <w:rFonts w:ascii="Arial" w:cs="Arial" w:eastAsia="Arial" w:hAnsi="Arial"/>
          <w:sz w:val="18"/>
          <w:szCs w:val="18"/>
          <w:b w:val="1"/>
          <w:bCs w:val="1"/>
          <w:i w:val="1"/>
          <w:iCs w:val="1"/>
          <w:color w:val="auto"/>
        </w:rPr>
        <w:t>Deemed Liquidation Event</w:t>
      </w:r>
      <w:r>
        <w:rPr>
          <w:rFonts w:ascii="Arial" w:cs="Arial" w:eastAsia="Arial" w:hAnsi="Arial"/>
          <w:sz w:val="18"/>
          <w:szCs w:val="18"/>
          <w:color w:val="auto"/>
        </w:rPr>
        <w:t>” unless the holders of (i) a majority of the then outstanding shares of Preferred Stock, voting together as a single class on an as-converted to Common Stock basis, and (ii) a majority of the then outstanding shares of Series B Preferred Stock, elect otherwise by written notice sent to the Corporation at least 10 days prior to the effective date of any such event:</w:t>
      </w:r>
    </w:p>
    <w:p>
      <w:pPr>
        <w:spacing w:after="0" w:line="79" w:lineRule="exact"/>
        <w:rPr>
          <w:sz w:val="20"/>
          <w:szCs w:val="20"/>
          <w:color w:val="auto"/>
        </w:rPr>
      </w:pPr>
    </w:p>
    <w:p>
      <w:pPr>
        <w:ind w:left="2680" w:hanging="252"/>
        <w:spacing w:after="0"/>
        <w:tabs>
          <w:tab w:leader="none" w:pos="26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130" w:lineRule="exact"/>
        <w:rPr>
          <w:rFonts w:ascii="Arial" w:cs="Arial" w:eastAsia="Arial" w:hAnsi="Arial"/>
          <w:sz w:val="18"/>
          <w:szCs w:val="18"/>
          <w:color w:val="auto"/>
        </w:rPr>
      </w:pPr>
    </w:p>
    <w:p>
      <w:pPr>
        <w:ind w:left="5460" w:right="4740" w:hanging="2593"/>
        <w:spacing w:after="0" w:line="449" w:lineRule="auto"/>
        <w:tabs>
          <w:tab w:leader="none" w:pos="339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Corporation is a constituent party or 5</w:t>
      </w:r>
    </w:p>
    <w:p>
      <w:pPr>
        <w:sectPr>
          <w:pgSz w:w="11900" w:h="16838" w:orient="portrait"/>
          <w:cols w:equalWidth="0" w:num="1">
            <w:col w:w="11020"/>
          </w:cols>
          <w:pgMar w:left="440" w:top="274" w:right="439" w:bottom="1440" w:gutter="0" w:footer="0" w:header="0"/>
        </w:sectPr>
      </w:pPr>
    </w:p>
    <w:bookmarkStart w:id="280" w:name="page281"/>
    <w:bookmarkEnd w:id="280"/>
    <w:p>
      <w:pPr>
        <w:ind w:left="3400" w:right="20" w:hanging="533"/>
        <w:spacing w:after="0" w:line="277" w:lineRule="auto"/>
        <w:tabs>
          <w:tab w:leader="none" w:pos="34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subsidiary of the Corporation is a constituent party and the Corporation issues shares of its capital stock pursuant to such merger or consolidation,</w:t>
      </w:r>
    </w:p>
    <w:p>
      <w:pPr>
        <w:spacing w:after="0" w:line="1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except any such merger or consolidation (A) effected exclusively for the purpose of changing the Corporation’s domicile or (B) involving the Corporation or a subsidiary of the Corporation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(to be held in substantially the same proportions and with substantially the same rights, preferences and powers)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57" w:lineRule="exact"/>
        <w:rPr>
          <w:sz w:val="20"/>
          <w:szCs w:val="20"/>
          <w:color w:val="auto"/>
        </w:rPr>
      </w:pPr>
    </w:p>
    <w:p>
      <w:pPr>
        <w:ind w:right="200" w:firstLine="2428"/>
        <w:spacing w:after="0" w:line="297" w:lineRule="auto"/>
        <w:tabs>
          <w:tab w:leader="none" w:pos="2679"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sale, lease, transfer, exclusive license or other disposition, in a single transaction or series of related transactions, by the Corporation or any subsidiary of the Corporation of all or substantially all of the assets or intellectual property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5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117" w:lineRule="exact"/>
        <w:rPr>
          <w:sz w:val="20"/>
          <w:szCs w:val="20"/>
          <w:color w:val="auto"/>
        </w:rPr>
      </w:pPr>
    </w:p>
    <w:p>
      <w:pPr>
        <w:ind w:right="40" w:firstLine="2428"/>
        <w:spacing w:after="0" w:line="286" w:lineRule="auto"/>
        <w:tabs>
          <w:tab w:leader="none" w:pos="2669"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The Corporation shall not have the power to effect a Deemed Liquidation Event referred to in </w:t>
      </w:r>
      <w:r>
        <w:rPr>
          <w:rFonts w:ascii="Arial" w:cs="Arial" w:eastAsia="Arial" w:hAnsi="Arial"/>
          <w:sz w:val="17"/>
          <w:szCs w:val="17"/>
          <w:u w:val="single" w:color="auto"/>
          <w:color w:val="auto"/>
        </w:rPr>
        <w:t>Subsection 2.3.l(a)(i)</w:t>
      </w:r>
      <w:r>
        <w:rPr>
          <w:rFonts w:ascii="Arial" w:cs="Arial" w:eastAsia="Arial" w:hAnsi="Arial"/>
          <w:sz w:val="17"/>
          <w:szCs w:val="17"/>
          <w:color w:val="auto"/>
        </w:rPr>
        <w:t xml:space="preserve"> unless the agreement or plan of merger or consolidation for such transaction provides that the consideration payable to the stockholders of the Corporation shall be allocated among the holders of capital stock of the Corporation in accordance with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2.2</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firstLine="2428"/>
        <w:spacing w:after="0" w:line="289" w:lineRule="auto"/>
        <w:tabs>
          <w:tab w:leader="none" w:pos="267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In the event of a Deemed Liquidation Event referred to in </w:t>
      </w:r>
      <w:r>
        <w:rPr>
          <w:rFonts w:ascii="Arial" w:cs="Arial" w:eastAsia="Arial" w:hAnsi="Arial"/>
          <w:sz w:val="16"/>
          <w:szCs w:val="16"/>
          <w:u w:val="single" w:color="auto"/>
          <w:color w:val="auto"/>
        </w:rPr>
        <w:t>Subsection 2.3.1(a)(ii)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Subsection 2.3.1(b)</w:t>
      </w:r>
      <w:r>
        <w:rPr>
          <w:rFonts w:ascii="Arial" w:cs="Arial" w:eastAsia="Arial" w:hAnsi="Arial"/>
          <w:sz w:val="16"/>
          <w:szCs w:val="16"/>
          <w:color w:val="auto"/>
        </w:rPr>
        <w:t xml:space="preserve">, if the Corporation does not effect a dissolution of the Corporation under the DGCL within 90 days after such Deemed Liquidation Event (and a subsequent distribution of Available Assets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then (i) the Corporation shall send a written notice to each holder of record of each series of Preferred Stock no later than the 90th day after such Deemed Liquidation Event advising such holders of the right (and the requirements to be met to secure such right) pursuant to the terms of the following clause (ii) to require the redemption of the shares of such series of Preferred Stock and (ii) if the holders of a majority of the then outstanding shares of such series of Preferred Stock so request in a written instrument delivered to the Corporation no later than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together with any other assets of the Corporation available for distribution to its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81" w:name="page282"/>
    <w:bookmarkEnd w:id="281"/>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stockholders, all to the extent permitted by Delaware law governing distributions to stockholders (collectively, the “</w:t>
      </w:r>
      <w:r>
        <w:rPr>
          <w:rFonts w:ascii="Arial" w:cs="Arial" w:eastAsia="Arial" w:hAnsi="Arial"/>
          <w:sz w:val="16"/>
          <w:szCs w:val="16"/>
          <w:b w:val="1"/>
          <w:bCs w:val="1"/>
          <w:i w:val="1"/>
          <w:iCs w:val="1"/>
          <w:color w:val="auto"/>
        </w:rPr>
        <w:t>Available Proceeds</w:t>
      </w:r>
      <w:r>
        <w:rPr>
          <w:rFonts w:ascii="Arial" w:cs="Arial" w:eastAsia="Arial" w:hAnsi="Arial"/>
          <w:sz w:val="16"/>
          <w:szCs w:val="16"/>
          <w:color w:val="auto"/>
        </w:rPr>
        <w:t>”), on the 150th day after such Deemed Liquidation Event (the “</w:t>
      </w:r>
      <w:r>
        <w:rPr>
          <w:rFonts w:ascii="Arial" w:cs="Arial" w:eastAsia="Arial" w:hAnsi="Arial"/>
          <w:sz w:val="16"/>
          <w:szCs w:val="16"/>
          <w:b w:val="1"/>
          <w:bCs w:val="1"/>
          <w:i w:val="1"/>
          <w:iCs w:val="1"/>
          <w:color w:val="auto"/>
        </w:rPr>
        <w:t>Redemption Date</w:t>
      </w:r>
      <w:r>
        <w:rPr>
          <w:rFonts w:ascii="Arial" w:cs="Arial" w:eastAsia="Arial" w:hAnsi="Arial"/>
          <w:sz w:val="16"/>
          <w:szCs w:val="16"/>
          <w:color w:val="auto"/>
        </w:rPr>
        <w:t xml:space="preserve">”), to redeem all outstanding shares of such series of Preferred Stock at a price per share equal to the Series B Liquidation Amount, Series A-1 Liquidation Amount and the Series A Liquidation Amount, as the case may be. Notwithstanding the foregoing, in the event of a redemption pursuant to the preceding sentence, if the Available Proceeds are not sufficient to redeem all outstanding shares of Preferred Stock which have requested such redemption, the Corporation shall ratably redeem each holder’s shares of Series B Preferred Stock to the fullest extent of such Available Proceeds; shall thereafter ratably redeem the Series A-1 Preferred Stock to the fullest extent of such Available Proceeds and shall thereafter ratably redeem the Series A Preferred Stock to the fullest extent of any remaining Available Proceeds; and shall thereafter ratably redeem the remaining shares as soon as it may lawfully do so under Delaware law governing distributions to stockholders. Prior to the distribution or redemption provided for in this </w:t>
      </w:r>
      <w:r>
        <w:rPr>
          <w:rFonts w:ascii="Arial" w:cs="Arial" w:eastAsia="Arial" w:hAnsi="Arial"/>
          <w:sz w:val="16"/>
          <w:szCs w:val="16"/>
          <w:u w:val="single" w:color="auto"/>
          <w:color w:val="auto"/>
        </w:rPr>
        <w:t>Subsection 2.3.2(b)</w:t>
      </w:r>
      <w:r>
        <w:rPr>
          <w:rFonts w:ascii="Arial" w:cs="Arial" w:eastAsia="Arial" w:hAnsi="Arial"/>
          <w:sz w:val="16"/>
          <w:szCs w:val="16"/>
          <w:color w:val="auto"/>
        </w:rPr>
        <w:t>, the Corporation shall not expend or dissipate the consideration received for such Deemed Liquidation Event, except to discharge expenses incurred in connection with such Deemed Liquidation Event or in the ordinary course of business. At least 15, but not more than 40, days prior to the Redemption Date, the Corporation shall send a written notice (the “</w:t>
      </w:r>
      <w:r>
        <w:rPr>
          <w:rFonts w:ascii="Arial" w:cs="Arial" w:eastAsia="Arial" w:hAnsi="Arial"/>
          <w:sz w:val="16"/>
          <w:szCs w:val="16"/>
          <w:b w:val="1"/>
          <w:bCs w:val="1"/>
          <w:i w:val="1"/>
          <w:iCs w:val="1"/>
          <w:color w:val="auto"/>
        </w:rPr>
        <w:t>Redemption Notice</w:t>
      </w:r>
      <w:r>
        <w:rPr>
          <w:rFonts w:ascii="Arial" w:cs="Arial" w:eastAsia="Arial" w:hAnsi="Arial"/>
          <w:sz w:val="16"/>
          <w:szCs w:val="16"/>
          <w:color w:val="auto"/>
        </w:rPr>
        <w:t xml:space="preserve">”) to each holder of record of Preferred Stock to be redeemed. The Redemption Notice shall state (i) the number of shares of Preferred Stock held by such holder that the Corporation shall redeem on the Redemption Date specified in the Redemption Notice, (ii) the Redemption Date, (iii) the relevant liquidation amount, and (iv) that such holder is to surrender to the Corporation, in the manner and at the place designated, his, her or its certificate or certificates representing the shares of Preferred Stock to be redeemed. On or before the Redemption Date, each holder of shares of Preferred Stock to be redeemed on the Redemption Date, unless such holder has exercised his, her or its right to convert such shares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shall surrender the certificate or certificates for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relevant liquidation amount for such shares shall be payable to the order of the person or entity whose name appears on such certificate or certificates as the owner thereof and each surrendered certificate shall be cancelled. If less than all of the shares of Preferred Stock represented by a certificate are redeemed, a new certificate representing the unredeemed shares of Preferred Stock shall promptly be issued to such holder. No transfers of Preferred Stock shall be permitted during the five-day period prior to and including the Redemption Date, and the Corporation shall not recognize any such prohibited transfer on its books and records. If (i) the Redemption Notice shall have been duly given and (ii) on the Redemption Date, the relevant liquidation amount payable upon redemption of the shares of Preferred Stock to be redeemed on the Redemption Date is paid or tendered for payment or deposited with an independent payment agent so as to be available therefor in a timely manner, then, notwithstanding that the certificates evidencing any of the shares of Preferred Stock so called for redemption shall not have been surrendered, after the Redemption Date</w:t>
      </w:r>
    </w:p>
    <w:p>
      <w:pPr>
        <w:spacing w:after="0" w:line="12" w:lineRule="exact"/>
        <w:rPr>
          <w:sz w:val="20"/>
          <w:szCs w:val="20"/>
          <w:color w:val="auto"/>
        </w:rPr>
      </w:pPr>
    </w:p>
    <w:p>
      <w:pPr>
        <w:ind w:right="220" w:firstLine="4"/>
        <w:spacing w:after="0" w:line="323" w:lineRule="auto"/>
        <w:tabs>
          <w:tab w:leader="none" w:pos="29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dividends with respect to such shares of Preferred Stock shall cease to accrue and (B) all rights with respect to such shares (other than the right of the holders of such shares to receive the relevant liquidation amount without interest upon surrender of their certificate or certificates therefor)</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82" w:name="page283"/>
    <w:bookmarkEnd w:id="282"/>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forthwith terminate, and such shares shall not thereafter be transferred on the books of the Corporation or be deemed to be outstanding for any purpose whatsoever. Any funds deposited with an independent payment agent as described in the preceding sentence (“</w:t>
      </w:r>
      <w:r>
        <w:rPr>
          <w:rFonts w:ascii="Arial" w:cs="Arial" w:eastAsia="Arial" w:hAnsi="Arial"/>
          <w:sz w:val="17"/>
          <w:szCs w:val="17"/>
          <w:b w:val="1"/>
          <w:bCs w:val="1"/>
          <w:i w:val="1"/>
          <w:iCs w:val="1"/>
          <w:color w:val="auto"/>
        </w:rPr>
        <w:t>Deposited Funds</w:t>
      </w:r>
      <w:r>
        <w:rPr>
          <w:rFonts w:ascii="Arial" w:cs="Arial" w:eastAsia="Arial" w:hAnsi="Arial"/>
          <w:sz w:val="17"/>
          <w:szCs w:val="17"/>
          <w:color w:val="auto"/>
        </w:rPr>
        <w:t>”) for the redemption of shares of Preferred Stock thereafter converted into shares of Common Stock prior to the Redemption Date shall be returned to the Corporation forthwith upon such conversion, and the balance of any Deposited Funds that remain unclaimed at the end of one year from the Redemption Date shall be released or repaid to the Corporation, after which time the holders of shares of Preferred Stock called for redemption who have not claimed such funds shall be entitled to receive payment of the relevant liquidation amount only from the Corporation.</w:t>
      </w:r>
    </w:p>
    <w:p>
      <w:pPr>
        <w:spacing w:after="0" w:line="70" w:lineRule="exact"/>
        <w:rPr>
          <w:sz w:val="20"/>
          <w:szCs w:val="20"/>
          <w:color w:val="auto"/>
        </w:rPr>
      </w:pPr>
    </w:p>
    <w:p>
      <w:pPr>
        <w:ind w:right="40" w:firstLine="1433"/>
        <w:spacing w:after="0" w:line="25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xml:space="preserve">. The amount deemed paid or distributed to the holders of capital stock of the Corporation upon any voluntary or involuntary liquidation, dissolution or winding up of the Corporation or Deemed Liquidation Event (or, if applicable, redemption pursuant to </w:t>
      </w:r>
      <w:r>
        <w:rPr>
          <w:rFonts w:ascii="Arial" w:cs="Arial" w:eastAsia="Arial" w:hAnsi="Arial"/>
          <w:sz w:val="18"/>
          <w:szCs w:val="18"/>
          <w:u w:val="single" w:color="auto"/>
          <w:color w:val="auto"/>
        </w:rPr>
        <w:t>Subsection 2.3.2(b))</w:t>
      </w:r>
      <w:r>
        <w:rPr>
          <w:rFonts w:ascii="Arial" w:cs="Arial" w:eastAsia="Arial" w:hAnsi="Arial"/>
          <w:sz w:val="18"/>
          <w:szCs w:val="18"/>
          <w:color w:val="auto"/>
        </w:rPr>
        <w:t xml:space="preserve"> shall be the cash or the value of the property, rights or securities paid or distributed to such holders by the Corporation or the acquiring person, firm or other entity. The value of such property, rights or securities shall be determined in good faith by the Board, including the approval of at least one Preferred Director.</w:t>
      </w:r>
    </w:p>
    <w:p>
      <w:pPr>
        <w:spacing w:after="0" w:line="80" w:lineRule="exact"/>
        <w:rPr>
          <w:sz w:val="20"/>
          <w:szCs w:val="20"/>
          <w:color w:val="auto"/>
        </w:rPr>
      </w:pPr>
    </w:p>
    <w:p>
      <w:pPr>
        <w:ind w:right="20" w:firstLine="1433"/>
        <w:spacing w:after="0" w:line="270"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Allocation of Escrow and Contingent Consideration</w:t>
      </w:r>
      <w:r>
        <w:rPr>
          <w:rFonts w:ascii="Arial" w:cs="Arial" w:eastAsia="Arial" w:hAnsi="Arial"/>
          <w:sz w:val="17"/>
          <w:szCs w:val="17"/>
          <w:color w:val="auto"/>
        </w:rPr>
        <w:t xml:space="preserve">. In the event of a Deemed Liquidation Event pursuant to </w:t>
      </w:r>
      <w:r>
        <w:rPr>
          <w:rFonts w:ascii="Arial" w:cs="Arial" w:eastAsia="Arial" w:hAnsi="Arial"/>
          <w:sz w:val="17"/>
          <w:szCs w:val="17"/>
          <w:u w:val="single" w:color="auto"/>
          <w:color w:val="auto"/>
        </w:rPr>
        <w:t>Subsection 2.3.1</w:t>
      </w:r>
      <w:r>
        <w:rPr>
          <w:rFonts w:ascii="Arial" w:cs="Arial" w:eastAsia="Arial" w:hAnsi="Arial"/>
          <w:sz w:val="17"/>
          <w:szCs w:val="17"/>
          <w:color w:val="auto"/>
        </w:rPr>
        <w:t xml:space="preserve"> </w:t>
      </w:r>
      <w:r>
        <w:rPr>
          <w:rFonts w:ascii="Arial" w:cs="Arial" w:eastAsia="Arial" w:hAnsi="Arial"/>
          <w:sz w:val="17"/>
          <w:szCs w:val="17"/>
          <w:u w:val="single" w:color="auto"/>
          <w:color w:val="auto"/>
        </w:rPr>
        <w:t>(a)(i)</w:t>
      </w:r>
      <w:r>
        <w:rPr>
          <w:rFonts w:ascii="Arial" w:cs="Arial" w:eastAsia="Arial" w:hAnsi="Arial"/>
          <w:sz w:val="17"/>
          <w:szCs w:val="17"/>
          <w:color w:val="auto"/>
        </w:rPr>
        <w:t>, if any portion of the consideration payable to the stockholders of the Corporation is payable only upon satisfaction of contingencies (the “</w:t>
      </w:r>
      <w:r>
        <w:rPr>
          <w:rFonts w:ascii="Arial" w:cs="Arial" w:eastAsia="Arial" w:hAnsi="Arial"/>
          <w:sz w:val="17"/>
          <w:szCs w:val="17"/>
          <w:b w:val="1"/>
          <w:bCs w:val="1"/>
          <w:i w:val="1"/>
          <w:iCs w:val="1"/>
          <w:color w:val="auto"/>
        </w:rPr>
        <w:t>Additional Consideration</w:t>
      </w:r>
      <w:r>
        <w:rPr>
          <w:rFonts w:ascii="Arial" w:cs="Arial" w:eastAsia="Arial" w:hAnsi="Arial"/>
          <w:sz w:val="17"/>
          <w:szCs w:val="17"/>
          <w:color w:val="auto"/>
        </w:rPr>
        <w:t>”), the agreement or plan of merger or consolidation for such transaction shall provide that (a) the portion of such consideration that is not Additional Consideration (such portion, the “</w:t>
      </w:r>
      <w:r>
        <w:rPr>
          <w:rFonts w:ascii="Arial" w:cs="Arial" w:eastAsia="Arial" w:hAnsi="Arial"/>
          <w:sz w:val="17"/>
          <w:szCs w:val="17"/>
          <w:b w:val="1"/>
          <w:bCs w:val="1"/>
          <w:i w:val="1"/>
          <w:iCs w:val="1"/>
          <w:color w:val="auto"/>
        </w:rPr>
        <w:t>Initial Consideration</w:t>
      </w:r>
      <w:r>
        <w:rPr>
          <w:rFonts w:ascii="Arial" w:cs="Arial" w:eastAsia="Arial" w:hAnsi="Arial"/>
          <w:sz w:val="17"/>
          <w:szCs w:val="17"/>
          <w:color w:val="auto"/>
        </w:rPr>
        <w:t xml:space="preserve">”) shall be allocated among the holders of capital stock of the Corporation in accordance with </w:t>
      </w:r>
      <w:r>
        <w:rPr>
          <w:rFonts w:ascii="Arial" w:cs="Arial" w:eastAsia="Arial" w:hAnsi="Arial"/>
          <w:sz w:val="17"/>
          <w:szCs w:val="17"/>
          <w:u w:val="single" w:color="auto"/>
          <w:color w:val="auto"/>
        </w:rPr>
        <w:t>Subsections 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Arial" w:cs="Arial" w:eastAsia="Arial" w:hAnsi="Arial"/>
          <w:sz w:val="17"/>
          <w:szCs w:val="17"/>
          <w:u w:val="single" w:color="auto"/>
          <w:color w:val="auto"/>
        </w:rPr>
        <w:t>Subsections 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after taking into account the previous payment of the Initial Consideration as part of the same transaction. For the purposes of this </w:t>
      </w:r>
      <w:r>
        <w:rPr>
          <w:rFonts w:ascii="Arial" w:cs="Arial" w:eastAsia="Arial" w:hAnsi="Arial"/>
          <w:sz w:val="17"/>
          <w:szCs w:val="17"/>
          <w:u w:val="single" w:color="auto"/>
          <w:color w:val="auto"/>
        </w:rPr>
        <w:t>Subsection 2.5</w:t>
      </w:r>
      <w:r>
        <w:rPr>
          <w:rFonts w:ascii="Arial" w:cs="Arial" w:eastAsia="Arial" w:hAnsi="Arial"/>
          <w:sz w:val="17"/>
          <w:szCs w:val="17"/>
          <w:color w:val="auto"/>
        </w:rPr>
        <w:t>, consideration placed into escrow or retained as holdback to be available for satisfaction of indemnification or similar obligations in connection with such Deemed Liquidation Event shall be deemed to be Additional Consideration.</w:t>
      </w:r>
    </w:p>
    <w:p>
      <w:pPr>
        <w:spacing w:after="0" w:line="70" w:lineRule="exact"/>
        <w:rPr>
          <w:sz w:val="20"/>
          <w:szCs w:val="20"/>
          <w:color w:val="auto"/>
        </w:rPr>
      </w:pPr>
    </w:p>
    <w:p>
      <w:pPr>
        <w:ind w:left="1180" w:hanging="184"/>
        <w:spacing w:after="0"/>
        <w:tabs>
          <w:tab w:leader="none" w:pos="118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117" w:lineRule="exact"/>
        <w:rPr>
          <w:sz w:val="20"/>
          <w:szCs w:val="20"/>
          <w:color w:val="auto"/>
        </w:rPr>
      </w:pPr>
    </w:p>
    <w:p>
      <w:pPr>
        <w:ind w:firstLine="1433"/>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On any matter presented to the stockholders of the Corporation for their action or consideration at any meeting of stockholders (or by written consent in lieu of meeting), each holder of outstanding shares of Preferred Stock shall be entitled, with respect to the outstanding shares of Preferred Stock held by such holder, to cast the number of votes equal to the number of whole shares of Common Stock into which the shares of Preferred Stock held by such holder are convertible as of the record date for determining stockholders entitled to vote on such matter or, if no such record date is established, the date such vote is taken or any written consent of stockholders is solicited. Except as provided by law or by the other provisions of the Certificate of Incorporation, the holders of Preferred Stock shall vote together with the holders of Common Stock as a single class. Subject to </w:t>
      </w:r>
      <w:r>
        <w:rPr>
          <w:rFonts w:ascii="Arial" w:cs="Arial" w:eastAsia="Arial" w:hAnsi="Arial"/>
          <w:sz w:val="18"/>
          <w:szCs w:val="18"/>
          <w:u w:val="single" w:color="auto"/>
          <w:color w:val="auto"/>
        </w:rPr>
        <w:t>Subsections 3.4(b)</w:t>
      </w:r>
      <w:r>
        <w:rPr>
          <w:rFonts w:ascii="Arial" w:cs="Arial" w:eastAsia="Arial" w:hAnsi="Arial"/>
          <w:sz w:val="18"/>
          <w:szCs w:val="18"/>
          <w:color w:val="auto"/>
        </w:rPr>
        <w: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83" w:name="page284"/>
    <w:bookmarkEnd w:id="283"/>
    <w:p>
      <w:pPr>
        <w:spacing w:after="0" w:line="279"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3.5(c)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3.6(b)</w:t>
      </w:r>
      <w:r>
        <w:rPr>
          <w:rFonts w:ascii="Arial" w:cs="Arial" w:eastAsia="Arial" w:hAnsi="Arial"/>
          <w:sz w:val="17"/>
          <w:szCs w:val="17"/>
          <w:color w:val="auto"/>
        </w:rPr>
        <w:t>, the number of authorized shares of Preferred Stock (or any series thereof) may be increased or decreased (but not below the number of shares thereof then outstanding), and the rights, preferences and privileges of any newly created series of Preferred Stock may be approved, by the affirmative vote of the holders of shares of capital stock of the Corporation representing a majority of the votes represented by all outstanding shares of capital stock of the Corporation entitled to vote, irrespective of the provisions of Section 242(b)(2) of the DGCL.</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Election of Directors; Board Size</w:t>
      </w:r>
      <w:r>
        <w:rPr>
          <w:rFonts w:ascii="Arial" w:cs="Arial" w:eastAsia="Arial" w:hAnsi="Arial"/>
          <w:sz w:val="18"/>
          <w:szCs w:val="18"/>
          <w:color w:val="auto"/>
        </w:rPr>
        <w:t>.</w:t>
      </w:r>
    </w:p>
    <w:p>
      <w:pPr>
        <w:spacing w:after="0" w:line="117" w:lineRule="exact"/>
        <w:rPr>
          <w:sz w:val="20"/>
          <w:szCs w:val="20"/>
          <w:color w:val="auto"/>
        </w:rPr>
      </w:pPr>
    </w:p>
    <w:p>
      <w:pPr>
        <w:ind w:right="20" w:firstLine="1984"/>
        <w:spacing w:after="0" w:line="283" w:lineRule="auto"/>
        <w:rPr>
          <w:sz w:val="20"/>
          <w:szCs w:val="20"/>
          <w:color w:val="auto"/>
        </w:rPr>
      </w:pPr>
      <w:r>
        <w:rPr>
          <w:rFonts w:ascii="Arial" w:cs="Arial" w:eastAsia="Arial" w:hAnsi="Arial"/>
          <w:sz w:val="16"/>
          <w:szCs w:val="16"/>
          <w:color w:val="auto"/>
        </w:rPr>
        <w:t>3.2.1 So long as at least 916,380 shares of Series B Preferred Stock remain issued and outstanding, the holders of record of a majority of the then outstanding shares of Series B Preferred Stock, exclusively and as a separate class, shall be entitled to elect one (1) director of the Corporation (the “</w:t>
      </w:r>
      <w:r>
        <w:rPr>
          <w:rFonts w:ascii="Arial" w:cs="Arial" w:eastAsia="Arial" w:hAnsi="Arial"/>
          <w:sz w:val="16"/>
          <w:szCs w:val="16"/>
          <w:b w:val="1"/>
          <w:bCs w:val="1"/>
          <w:i w:val="1"/>
          <w:iCs w:val="1"/>
          <w:color w:val="auto"/>
        </w:rPr>
        <w:t>Series B Director</w:t>
      </w:r>
      <w:r>
        <w:rPr>
          <w:rFonts w:ascii="Arial" w:cs="Arial" w:eastAsia="Arial" w:hAnsi="Arial"/>
          <w:sz w:val="16"/>
          <w:szCs w:val="16"/>
          <w:color w:val="auto"/>
        </w:rPr>
        <w:t>”). The holders of record of shares of Series A-1 Preferred Stock, exclusively and as a separate class, shall be entitled to elect one (1) director of the Corporation (the “</w:t>
      </w:r>
      <w:r>
        <w:rPr>
          <w:rFonts w:ascii="Arial" w:cs="Arial" w:eastAsia="Arial" w:hAnsi="Arial"/>
          <w:sz w:val="16"/>
          <w:szCs w:val="16"/>
          <w:b w:val="1"/>
          <w:bCs w:val="1"/>
          <w:i w:val="1"/>
          <w:iCs w:val="1"/>
          <w:color w:val="auto"/>
        </w:rPr>
        <w:t>Series A-1 Director</w:t>
      </w:r>
      <w:r>
        <w:rPr>
          <w:rFonts w:ascii="Arial" w:cs="Arial" w:eastAsia="Arial" w:hAnsi="Arial"/>
          <w:sz w:val="16"/>
          <w:szCs w:val="16"/>
          <w:color w:val="auto"/>
        </w:rPr>
        <w:t>” and, together with the Series B Director, the “</w:t>
      </w:r>
      <w:r>
        <w:rPr>
          <w:rFonts w:ascii="Arial" w:cs="Arial" w:eastAsia="Arial" w:hAnsi="Arial"/>
          <w:sz w:val="16"/>
          <w:szCs w:val="16"/>
          <w:b w:val="1"/>
          <w:bCs w:val="1"/>
          <w:i w:val="1"/>
          <w:iCs w:val="1"/>
          <w:color w:val="auto"/>
        </w:rPr>
        <w:t>Preferred Directors</w:t>
      </w:r>
      <w:r>
        <w:rPr>
          <w:rFonts w:ascii="Arial" w:cs="Arial" w:eastAsia="Arial" w:hAnsi="Arial"/>
          <w:sz w:val="16"/>
          <w:szCs w:val="16"/>
          <w:color w:val="auto"/>
        </w:rPr>
        <w:t>”). The holders of record of shares of Common Stock, exclusively and as a separate class, shall be entitled to elect two (2) directors of the Corporation (the “</w:t>
      </w:r>
      <w:r>
        <w:rPr>
          <w:rFonts w:ascii="Arial" w:cs="Arial" w:eastAsia="Arial" w:hAnsi="Arial"/>
          <w:sz w:val="16"/>
          <w:szCs w:val="16"/>
          <w:b w:val="1"/>
          <w:bCs w:val="1"/>
          <w:i w:val="1"/>
          <w:iCs w:val="1"/>
          <w:color w:val="auto"/>
        </w:rPr>
        <w:t>Common Directors</w:t>
      </w:r>
      <w:r>
        <w:rPr>
          <w:rFonts w:ascii="Arial" w:cs="Arial" w:eastAsia="Arial" w:hAnsi="Arial"/>
          <w:sz w:val="16"/>
          <w:szCs w:val="16"/>
          <w:color w:val="auto"/>
        </w:rPr>
        <w:t>”), and the holders of record of shares of Common Stock and of any other class or series of voting stock (including Preferred Stock), exclusively and voting together as a single class on an as-converted to Common Stock basis, shall be entitled to elect the balance of the total number of directors of the Corporation (the “</w:t>
      </w:r>
      <w:r>
        <w:rPr>
          <w:rFonts w:ascii="Arial" w:cs="Arial" w:eastAsia="Arial" w:hAnsi="Arial"/>
          <w:sz w:val="16"/>
          <w:szCs w:val="16"/>
          <w:b w:val="1"/>
          <w:bCs w:val="1"/>
          <w:i w:val="1"/>
          <w:iCs w:val="1"/>
          <w:color w:val="auto"/>
        </w:rPr>
        <w:t>Other Directors</w:t>
      </w:r>
      <w:r>
        <w:rPr>
          <w:rFonts w:ascii="Arial" w:cs="Arial" w:eastAsia="Arial" w:hAnsi="Arial"/>
          <w:sz w:val="16"/>
          <w:szCs w:val="16"/>
          <w:color w:val="auto"/>
        </w:rPr>
        <w:t>”). With respect to the election of any director or directors as provided in the preceding sentence, that candidate or those candidates, as applicable, shall be elected who either (1) in the case of any such vote conducted at a meeting, receive(s) the highest number of affirmative votes (on an as-converted to Common Stock basis) of the outstanding shares of the class (or classes) or series of capital stock entitled to elect such director or directors (the “</w:t>
      </w:r>
      <w:r>
        <w:rPr>
          <w:rFonts w:ascii="Arial" w:cs="Arial" w:eastAsia="Arial" w:hAnsi="Arial"/>
          <w:sz w:val="16"/>
          <w:szCs w:val="16"/>
          <w:b w:val="1"/>
          <w:bCs w:val="1"/>
          <w:i w:val="1"/>
          <w:iCs w:val="1"/>
          <w:color w:val="auto"/>
        </w:rPr>
        <w:t>Specified Stock</w:t>
      </w:r>
      <w:r>
        <w:rPr>
          <w:rFonts w:ascii="Arial" w:cs="Arial" w:eastAsia="Arial" w:hAnsi="Arial"/>
          <w:sz w:val="16"/>
          <w:szCs w:val="16"/>
          <w:color w:val="auto"/>
        </w:rPr>
        <w:t>”), up to the number of directors to be elected by such Specified Stock, or</w:t>
      </w:r>
    </w:p>
    <w:p>
      <w:pPr>
        <w:spacing w:after="0" w:line="5" w:lineRule="exact"/>
        <w:rPr>
          <w:sz w:val="20"/>
          <w:szCs w:val="20"/>
          <w:color w:val="auto"/>
        </w:rPr>
      </w:pPr>
    </w:p>
    <w:p>
      <w:pPr>
        <w:ind w:right="20" w:firstLine="4"/>
        <w:spacing w:after="0" w:line="285" w:lineRule="auto"/>
        <w:tabs>
          <w:tab w:leader="none" w:pos="25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in the case of any such vote taken by written consent without a meeting, is or are elected by the written consent of the holders of a majority of the voting power (on an as-converted to Common Stock basis) of the outstanding shares of such Specified Stock. Subject to Section 141(k) of the DGCL, any director elected by the holders of any Specified Stock, or by the Remaining Directors (as defined below) as provided below in this </w:t>
      </w:r>
      <w:r>
        <w:rPr>
          <w:rFonts w:ascii="Arial" w:cs="Arial" w:eastAsia="Arial" w:hAnsi="Arial"/>
          <w:sz w:val="16"/>
          <w:szCs w:val="16"/>
          <w:u w:val="single" w:color="auto"/>
          <w:color w:val="auto"/>
        </w:rPr>
        <w:t>Subsection 3.2.1</w:t>
      </w:r>
      <w:r>
        <w:rPr>
          <w:rFonts w:ascii="Arial" w:cs="Arial" w:eastAsia="Arial" w:hAnsi="Arial"/>
          <w:sz w:val="16"/>
          <w:szCs w:val="16"/>
          <w:color w:val="auto"/>
        </w:rPr>
        <w:t xml:space="preserve">, may be removed without cause by, and only by, the affirmative vote of shares representing a majority of the voting power (on an as-converted to Common Stock basis) of the outstanding shares of such Specified Stock entitled to vote, given either at a special meeting of such stockholders duly called for that purpose or pursuant to a written consent of stockholders. If the holders of Specified Stock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6"/>
          <w:szCs w:val="16"/>
          <w:u w:val="single" w:color="auto"/>
          <w:color w:val="auto"/>
        </w:rPr>
        <w:t>Subsection 3.2.1</w:t>
      </w:r>
      <w:r>
        <w:rPr>
          <w:rFonts w:ascii="Arial" w:cs="Arial" w:eastAsia="Arial" w:hAnsi="Arial"/>
          <w:sz w:val="16"/>
          <w:szCs w:val="16"/>
          <w:color w:val="auto"/>
        </w:rPr>
        <w:t>, then any directorship not so filled shall remain vacant until such time as the holders of such Specified Stock elect a person to fill such directorship by vote or written consent in lieu of a meeting; and no such directorship may be filled by stockholders of the Corporation other than by the holders of such Specified Stock, voting exclusively and as a separate class. At any meeting held for the purpose of electing a director, the presence in person or by proxy of (a) the holders of a majority of the shares of Series B Preferred Stock then outstanding, Series A-1 Preferred Stock then outstanding or the holders of a majority of the shares of Common Stock then outstanding shall constitute a quorum for the election of the Series B Director, Series A-1 Director or the Common Directors, respectively, and (b) the holders of a majority of the voting power (on an as converted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84" w:name="page285"/>
    <w:bookmarkEnd w:id="284"/>
    <w:p>
      <w:pPr>
        <w:ind w:right="3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Common Stock basis) of the then outstanding shares of voting stock shall constitute a quorum for the election of the Other Directors. Except as otherwise provided in this </w:t>
      </w:r>
      <w:r>
        <w:rPr>
          <w:rFonts w:ascii="Arial" w:cs="Arial" w:eastAsia="Arial" w:hAnsi="Arial"/>
          <w:sz w:val="16"/>
          <w:szCs w:val="16"/>
          <w:u w:val="single" w:color="auto"/>
          <w:color w:val="auto"/>
        </w:rPr>
        <w:t>Subsection 3.2.1</w:t>
      </w:r>
      <w:r>
        <w:rPr>
          <w:rFonts w:ascii="Arial" w:cs="Arial" w:eastAsia="Arial" w:hAnsi="Arial"/>
          <w:sz w:val="16"/>
          <w:szCs w:val="16"/>
          <w:color w:val="auto"/>
        </w:rPr>
        <w:t>, a vacancy in any directorship elected by the holders of any Specified Stock shall be filled only by either</w:t>
      </w:r>
    </w:p>
    <w:p>
      <w:pPr>
        <w:ind w:right="200" w:firstLine="4"/>
        <w:spacing w:after="0" w:line="254" w:lineRule="auto"/>
        <w:tabs>
          <w:tab w:leader="none" w:pos="25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majority of the remaining director or directors, if any, in office that were so elected by the holders of such Specified Stock (the “</w:t>
      </w:r>
      <w:r>
        <w:rPr>
          <w:rFonts w:ascii="Arial" w:cs="Arial" w:eastAsia="Arial" w:hAnsi="Arial"/>
          <w:sz w:val="18"/>
          <w:szCs w:val="18"/>
          <w:b w:val="1"/>
          <w:bCs w:val="1"/>
          <w:i w:val="1"/>
          <w:iCs w:val="1"/>
          <w:color w:val="auto"/>
        </w:rPr>
        <w:t>Remaining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by the affirmative vote of a majority of such Remaining Directors (or by the sole remaining director elected by the holders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Stock if there is but one), or (y) the required vote or written consent of holders of the shares of such Specified Stock that are entitled to elect such director.</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3.2.2 Elections of directors need not be by written ballot unless the Bylaws of the Corporation shall so provide.</w:t>
      </w:r>
    </w:p>
    <w:p>
      <w:pPr>
        <w:spacing w:after="0" w:line="117" w:lineRule="exact"/>
        <w:rPr>
          <w:sz w:val="20"/>
          <w:szCs w:val="20"/>
          <w:color w:val="auto"/>
        </w:rPr>
      </w:pPr>
    </w:p>
    <w:p>
      <w:pPr>
        <w:ind w:right="180" w:firstLine="1984"/>
        <w:spacing w:after="0" w:line="277" w:lineRule="auto"/>
        <w:rPr>
          <w:sz w:val="20"/>
          <w:szCs w:val="20"/>
          <w:color w:val="auto"/>
        </w:rPr>
      </w:pPr>
      <w:r>
        <w:rPr>
          <w:rFonts w:ascii="Arial" w:cs="Arial" w:eastAsia="Arial" w:hAnsi="Arial"/>
          <w:sz w:val="18"/>
          <w:szCs w:val="18"/>
          <w:color w:val="auto"/>
        </w:rPr>
        <w:t>3.2.3 Subject to any additional vote required by the Certificate of Incorporation, the number of directors of the Corporation shall be determined in the manner set forth in the Bylaws of the Corporation.</w:t>
      </w:r>
    </w:p>
    <w:p>
      <w:pPr>
        <w:spacing w:after="0" w:line="62" w:lineRule="exact"/>
        <w:rPr>
          <w:sz w:val="20"/>
          <w:szCs w:val="20"/>
          <w:color w:val="auto"/>
        </w:rPr>
      </w:pPr>
    </w:p>
    <w:p>
      <w:pPr>
        <w:ind w:firstLine="1433"/>
        <w:spacing w:after="0" w:line="27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Preferred Stock Protective Provisions</w:t>
      </w:r>
      <w:r>
        <w:rPr>
          <w:rFonts w:ascii="Arial" w:cs="Arial" w:eastAsia="Arial" w:hAnsi="Arial"/>
          <w:sz w:val="17"/>
          <w:szCs w:val="17"/>
          <w:color w:val="auto"/>
        </w:rPr>
        <w:t xml:space="preserve">. At any time shares of Preferred Stock are outstanding, the Corporation shall not (by amendment, merger, consolidation or otherwise), directly or indirectly, do any of the following without (in addition to any other vote required by law or the Certificate of Incorporation) the written consent or affirmative vote, given in writing or by vote at a meeting, of the holders of a majority of Preferred Stock then outstanding, consenting or voting (as the case may be) as a single class on an as-converted to Common Stock basis, and any such act or transaction entered into without such consent or vote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of no force or effect.</w:t>
      </w:r>
    </w:p>
    <w:p>
      <w:pPr>
        <w:spacing w:after="0" w:line="64" w:lineRule="exact"/>
        <w:rPr>
          <w:sz w:val="20"/>
          <w:szCs w:val="20"/>
          <w:color w:val="auto"/>
        </w:rPr>
      </w:pPr>
    </w:p>
    <w:p>
      <w:pPr>
        <w:ind w:right="40" w:firstLine="2428"/>
        <w:spacing w:after="0" w:line="277" w:lineRule="auto"/>
        <w:tabs>
          <w:tab w:leader="none" w:pos="2669"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amend, alter or repeal any provision of the Certificate of Incorporation or Bylaws in a manner that would adversely alter the rights the rights, preferences, privileges or powers of, or restrictions provided for the benefit of the Preferred Stock;</w:t>
      </w:r>
    </w:p>
    <w:p>
      <w:pPr>
        <w:spacing w:after="0" w:line="62" w:lineRule="exact"/>
        <w:rPr>
          <w:rFonts w:ascii="Arial" w:cs="Arial" w:eastAsia="Arial" w:hAnsi="Arial"/>
          <w:sz w:val="18"/>
          <w:szCs w:val="18"/>
          <w:color w:val="auto"/>
        </w:rPr>
      </w:pPr>
    </w:p>
    <w:p>
      <w:pPr>
        <w:ind w:left="2680" w:hanging="252"/>
        <w:spacing w:after="0"/>
        <w:tabs>
          <w:tab w:leader="none" w:pos="268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liquidate, dissolve or wind up the business and affairs of the Corporation or effect a Deemed Liquidation Event;</w:t>
      </w:r>
    </w:p>
    <w:p>
      <w:pPr>
        <w:spacing w:after="0" w:line="128" w:lineRule="exact"/>
        <w:rPr>
          <w:rFonts w:ascii="Arial" w:cs="Arial" w:eastAsia="Arial" w:hAnsi="Arial"/>
          <w:sz w:val="17"/>
          <w:szCs w:val="17"/>
          <w:color w:val="auto"/>
        </w:rPr>
      </w:pPr>
    </w:p>
    <w:p>
      <w:pPr>
        <w:ind w:left="2680" w:hanging="252"/>
        <w:spacing w:after="0"/>
        <w:tabs>
          <w:tab w:leader="none" w:pos="26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increase or decrease the authorized number of directors of the Corporation;</w:t>
      </w:r>
    </w:p>
    <w:p>
      <w:pPr>
        <w:spacing w:after="0" w:line="117" w:lineRule="exact"/>
        <w:rPr>
          <w:rFonts w:ascii="Arial" w:cs="Arial" w:eastAsia="Arial" w:hAnsi="Arial"/>
          <w:sz w:val="18"/>
          <w:szCs w:val="18"/>
          <w:color w:val="auto"/>
        </w:rPr>
      </w:pPr>
    </w:p>
    <w:p>
      <w:pPr>
        <w:ind w:firstLine="2428"/>
        <w:spacing w:after="0" w:line="291" w:lineRule="auto"/>
        <w:tabs>
          <w:tab w:leader="none" w:pos="2679" w:val="left"/>
        </w:tabs>
        <w:numPr>
          <w:ilvl w:val="1"/>
          <w:numId w:val="179"/>
        </w:numPr>
        <w:rPr>
          <w:rFonts w:ascii="Arial" w:cs="Arial" w:eastAsia="Arial" w:hAnsi="Arial"/>
          <w:sz w:val="16"/>
          <w:szCs w:val="16"/>
          <w:color w:val="auto"/>
        </w:rPr>
      </w:pPr>
      <w:r>
        <w:rPr>
          <w:rFonts w:ascii="Arial" w:cs="Arial" w:eastAsia="Arial" w:hAnsi="Arial"/>
          <w:sz w:val="16"/>
          <w:szCs w:val="16"/>
          <w:color w:val="auto"/>
        </w:rPr>
        <w:t>purchase or redeem, or pay or declare any dividend or make any distribution on, any shares of capital stock of the Corporation, except (i) dividends or other distributions payable on shares of Common Stock solely in the form of additional shares of Common Stock, or</w:t>
      </w:r>
    </w:p>
    <w:p>
      <w:pPr>
        <w:ind w:right="180" w:firstLine="4"/>
        <w:spacing w:after="0" w:line="295" w:lineRule="auto"/>
        <w:tabs>
          <w:tab w:leader="none" w:pos="26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repurchase of shares held by directors, officers, employees, consultants, independent contractors, advisors or other persons performing services for the Corporation (or a subsidiary) that are subject to agreements under which the Corporation has the option to repurchase such shares (A) at cost, upon the occurrence of certain events, such as termination of employment or services, or (B) at any price pursuant to the Corporation’s exercise of a right of first refusal to repurchase such shares if approved by the Board, including the approval of at least one Preferred Director;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85" w:name="page286"/>
    <w:bookmarkEnd w:id="285"/>
    <w:p>
      <w:pPr>
        <w:ind w:firstLine="2428"/>
        <w:spacing w:after="0" w:line="255" w:lineRule="auto"/>
        <w:tabs>
          <w:tab w:leader="none" w:pos="2669" w:val="left"/>
        </w:tabs>
        <w:numPr>
          <w:ilvl w:val="0"/>
          <w:numId w:val="1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 reclassify, alter or amend any existing security of the Corporation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 series of Preferred Stock in respect of the distribution of assets on the liquidation, dissolution or winding up of the Corporation, the payment of dividends or rights of redemption, if such reclassification, alteration or amendment would render such other security senior to any series of Preferred Stock in respect of any such right, preference, or privilege or (ii) reclassify, alter or amend any existing security of the Corporation that is junior to any series of Preferred Stock in respect of the distribution of assets on the liquidation, dissolution or winding up of the Corporation, the payment of dividends or rights of redemption, if such reclassification, alteration or amendment would render such other security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 series of Preferred Stock in respect of any such right, preference or privilege;</w:t>
      </w:r>
    </w:p>
    <w:p>
      <w:pPr>
        <w:spacing w:after="0" w:line="81" w:lineRule="exact"/>
        <w:rPr>
          <w:rFonts w:ascii="Arial" w:cs="Arial" w:eastAsia="Arial" w:hAnsi="Arial"/>
          <w:sz w:val="18"/>
          <w:szCs w:val="18"/>
          <w:color w:val="auto"/>
        </w:rPr>
      </w:pPr>
    </w:p>
    <w:p>
      <w:pPr>
        <w:ind w:right="540" w:firstLine="2428"/>
        <w:spacing w:after="0" w:line="264" w:lineRule="auto"/>
        <w:tabs>
          <w:tab w:leader="none" w:pos="264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create or hold capital stock in any subsidiary of the Corporation that is not a wholly owned subsidiary of the Corporation or dispose of any equity interest of any subsidiary of the Corporation or all or substantially all of the assets of any subsidiary of the Corporation;</w:t>
      </w:r>
    </w:p>
    <w:p>
      <w:pPr>
        <w:spacing w:after="0" w:line="73" w:lineRule="exact"/>
        <w:rPr>
          <w:rFonts w:ascii="Arial" w:cs="Arial" w:eastAsia="Arial" w:hAnsi="Arial"/>
          <w:sz w:val="18"/>
          <w:szCs w:val="18"/>
          <w:color w:val="auto"/>
        </w:rPr>
      </w:pPr>
    </w:p>
    <w:p>
      <w:pPr>
        <w:ind w:firstLine="2428"/>
        <w:spacing w:after="0" w:line="257" w:lineRule="auto"/>
        <w:tabs>
          <w:tab w:leader="none" w:pos="267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create or authorize any debt security or guarantee (whether or not convertible into shares of capital stock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Corporation may incur aggregate non-convertible indebtedness of up to $2,500,000 to banks and other institutional or venture capital investors of national reputation; and (ii) without duplication of clause (i), the Corporation may incur aggregate indebtedness of up to $250,000 in connection with the financing of equipment (including leases required to be accounted for as capital leases under United States generally accepted accounting principles);</w:t>
      </w:r>
    </w:p>
    <w:p>
      <w:pPr>
        <w:spacing w:after="0" w:line="80" w:lineRule="exact"/>
        <w:rPr>
          <w:rFonts w:ascii="Arial" w:cs="Arial" w:eastAsia="Arial" w:hAnsi="Arial"/>
          <w:sz w:val="18"/>
          <w:szCs w:val="18"/>
          <w:color w:val="auto"/>
        </w:rPr>
      </w:pPr>
    </w:p>
    <w:p>
      <w:pPr>
        <w:ind w:right="40" w:firstLine="2428"/>
        <w:spacing w:after="0" w:line="286" w:lineRule="auto"/>
        <w:tabs>
          <w:tab w:leader="none" w:pos="2679" w:val="left"/>
        </w:tabs>
        <w:numPr>
          <w:ilvl w:val="0"/>
          <w:numId w:val="181"/>
        </w:numPr>
        <w:rPr>
          <w:rFonts w:ascii="Arial" w:cs="Arial" w:eastAsia="Arial" w:hAnsi="Arial"/>
          <w:sz w:val="17"/>
          <w:szCs w:val="17"/>
          <w:color w:val="auto"/>
        </w:rPr>
      </w:pPr>
      <w:r>
        <w:rPr>
          <w:rFonts w:ascii="Arial" w:cs="Arial" w:eastAsia="Arial" w:hAnsi="Arial"/>
          <w:sz w:val="17"/>
          <w:szCs w:val="17"/>
          <w:color w:val="auto"/>
        </w:rPr>
        <w:t>create or authorize the creation of or issue of any equity security (including, without limitation, (i) any other security convertible into or exercisable for any such equity security or (ii) any unit of debt and equity securities) having rights, preferences or privileges senior to or on parity with any series of Preferred Stock, or increase the authorized number of shares of Preferred Stock; or</w:t>
      </w:r>
    </w:p>
    <w:p>
      <w:pPr>
        <w:spacing w:after="0" w:line="57" w:lineRule="exact"/>
        <w:rPr>
          <w:rFonts w:ascii="Arial" w:cs="Arial" w:eastAsia="Arial" w:hAnsi="Arial"/>
          <w:sz w:val="17"/>
          <w:szCs w:val="17"/>
          <w:color w:val="auto"/>
        </w:rPr>
      </w:pPr>
    </w:p>
    <w:p>
      <w:pPr>
        <w:ind w:left="2640" w:hanging="212"/>
        <w:spacing w:after="0"/>
        <w:tabs>
          <w:tab w:leader="none" w:pos="264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create any equity incentive plan or increase the number of securities authorized for issuance under any equity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incentive plan.</w:t>
      </w:r>
    </w:p>
    <w:p>
      <w:pPr>
        <w:spacing w:after="0" w:line="103" w:lineRule="exact"/>
        <w:rPr>
          <w:sz w:val="20"/>
          <w:szCs w:val="20"/>
          <w:color w:val="auto"/>
        </w:rPr>
      </w:pPr>
    </w:p>
    <w:p>
      <w:pPr>
        <w:ind w:right="80" w:firstLine="1433"/>
        <w:spacing w:after="0" w:line="297"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Series B Preferred Stock Protective Provisions</w:t>
      </w:r>
      <w:r>
        <w:rPr>
          <w:rFonts w:ascii="Arial" w:cs="Arial" w:eastAsia="Arial" w:hAnsi="Arial"/>
          <w:sz w:val="16"/>
          <w:szCs w:val="16"/>
          <w:color w:val="auto"/>
        </w:rPr>
        <w:t xml:space="preserve">. At any time shares of Series B Preferred Stock are outstanding, the Corporation shall not (by amendment, merger, consolidation or otherwise), directly or indirectly, do any of the following without (in addition to any other vote required by law or the Certificate of Incorporation) the written consent or affirmative vote, given in writing or by vote at a meeting, of the holders of a majority of Series B Preferred Stock then outstanding, consenting or voting (as the case may be) as a single class on an as-converted to Common Stock basis, and any such act or transaction entered into without such consent or vote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of no force or effect.</w:t>
      </w:r>
    </w:p>
    <w:p>
      <w:pPr>
        <w:spacing w:after="0" w:line="50" w:lineRule="exact"/>
        <w:rPr>
          <w:sz w:val="20"/>
          <w:szCs w:val="20"/>
          <w:color w:val="auto"/>
        </w:rPr>
      </w:pPr>
    </w:p>
    <w:p>
      <w:pPr>
        <w:ind w:right="200" w:firstLine="2428"/>
        <w:spacing w:after="0" w:line="264" w:lineRule="auto"/>
        <w:tabs>
          <w:tab w:leader="none" w:pos="266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amend, alter or repeal any provision of the Certificate of Incorporation or the Bylaws of the Corporation in a manner that adversely alter the rights the rights, preferences, privileges or powers of, or restrictions provided for the benefit of the holders of Series B Preferred Stock; 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286" w:name="page287"/>
    <w:bookmarkEnd w:id="28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increase or decrease the authorized number of shares of Series B Preferred Stock.</w:t>
      </w:r>
    </w:p>
    <w:p>
      <w:pPr>
        <w:spacing w:after="0" w:line="117" w:lineRule="exact"/>
        <w:rPr>
          <w:sz w:val="20"/>
          <w:szCs w:val="20"/>
          <w:color w:val="auto"/>
        </w:rPr>
      </w:pPr>
    </w:p>
    <w:p>
      <w:pPr>
        <w:ind w:firstLine="1433"/>
        <w:spacing w:after="0" w:line="297"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Series A-1 Preferred Stock Protective Provisions</w:t>
      </w:r>
      <w:r>
        <w:rPr>
          <w:rFonts w:ascii="Arial" w:cs="Arial" w:eastAsia="Arial" w:hAnsi="Arial"/>
          <w:sz w:val="16"/>
          <w:szCs w:val="16"/>
          <w:color w:val="auto"/>
        </w:rPr>
        <w:t xml:space="preserve">. At any time shares of Series A-1 Preferred Stock are outstanding, the Corporation shall not (by amendment, merger, consolidation or otherwise), directly or indirectly, do any of the following without (in addition to any other vote required by law or the Certificate of Incorporation) the written consent or affirmative vote, given in writing or by vote at a meeting, of the holders of a majority of Series A-1 Preferred Stock then outstanding, consenting or voting (as the case may be) as a single class on an as-converted to Common Stock basis, and any such act or transaction entered into without such consent or vote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of no force or effect.</w:t>
      </w:r>
    </w:p>
    <w:p>
      <w:pPr>
        <w:spacing w:after="0" w:line="50" w:lineRule="exact"/>
        <w:rPr>
          <w:sz w:val="20"/>
          <w:szCs w:val="20"/>
          <w:color w:val="auto"/>
        </w:rPr>
      </w:pPr>
    </w:p>
    <w:p>
      <w:pPr>
        <w:ind w:firstLine="2428"/>
        <w:spacing w:after="0" w:line="308" w:lineRule="auto"/>
        <w:tabs>
          <w:tab w:leader="none" w:pos="2669"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amend, alter or repeal any provision of the Certificate of Incorporation or Bylaws in a manner that would adversely alter the rights, preferences, privileges or powers of, or restrictions provided for the benefit of, the holders of Series A-1 Preferred Stock;</w:t>
      </w:r>
    </w:p>
    <w:p>
      <w:pPr>
        <w:spacing w:after="0" w:line="38" w:lineRule="exact"/>
        <w:rPr>
          <w:rFonts w:ascii="Arial" w:cs="Arial" w:eastAsia="Arial" w:hAnsi="Arial"/>
          <w:sz w:val="17"/>
          <w:szCs w:val="17"/>
          <w:color w:val="auto"/>
        </w:rPr>
      </w:pPr>
    </w:p>
    <w:p>
      <w:pPr>
        <w:ind w:left="2680" w:hanging="252"/>
        <w:spacing w:after="0"/>
        <w:tabs>
          <w:tab w:leader="none" w:pos="26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decrease the authorized number of directors of the Corporation to fewer than six (6) directors; or</w:t>
      </w:r>
    </w:p>
    <w:p>
      <w:pPr>
        <w:spacing w:after="0" w:line="117" w:lineRule="exact"/>
        <w:rPr>
          <w:rFonts w:ascii="Arial" w:cs="Arial" w:eastAsia="Arial" w:hAnsi="Arial"/>
          <w:sz w:val="18"/>
          <w:szCs w:val="18"/>
          <w:color w:val="auto"/>
        </w:rPr>
      </w:pPr>
    </w:p>
    <w:p>
      <w:pPr>
        <w:ind w:left="2680" w:hanging="252"/>
        <w:spacing w:after="0"/>
        <w:tabs>
          <w:tab w:leader="none" w:pos="26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increase or decrease the authorized number of shares of Series A-1 Preferred Stock.</w:t>
      </w:r>
    </w:p>
    <w:p>
      <w:pPr>
        <w:spacing w:after="0" w:line="117" w:lineRule="exact"/>
        <w:rPr>
          <w:sz w:val="20"/>
          <w:szCs w:val="20"/>
          <w:color w:val="auto"/>
        </w:rPr>
      </w:pPr>
    </w:p>
    <w:p>
      <w:pPr>
        <w:ind w:right="80" w:firstLine="1433"/>
        <w:spacing w:after="0" w:line="297"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Series A Preferred Stock Protective Provisions</w:t>
      </w:r>
      <w:r>
        <w:rPr>
          <w:rFonts w:ascii="Arial" w:cs="Arial" w:eastAsia="Arial" w:hAnsi="Arial"/>
          <w:sz w:val="16"/>
          <w:szCs w:val="16"/>
          <w:color w:val="auto"/>
        </w:rPr>
        <w:t xml:space="preserve">. At any time shares of Series A Preferred Stock are outstanding, the Corporation shall not (by amendment, merger, consolidation or otherwise), directly or indirectly, do any of the following without (in addition to any other vote required by law or the Certificate of Incorporation) the written consent or affirmative vote, given in writing or by vote at a meeting, of the holders of a majority of Series A Preferred Stock then outstanding, consenting or voting (as the case may be) as a single class on an as-converted to Common Stock basis, and any such act or transaction entered into without such consent or vote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of no force or effect.</w:t>
      </w:r>
    </w:p>
    <w:p>
      <w:pPr>
        <w:spacing w:after="0" w:line="50" w:lineRule="exact"/>
        <w:rPr>
          <w:sz w:val="20"/>
          <w:szCs w:val="20"/>
          <w:color w:val="auto"/>
        </w:rPr>
      </w:pPr>
    </w:p>
    <w:p>
      <w:pPr>
        <w:ind w:right="500" w:firstLine="2428"/>
        <w:spacing w:after="0" w:line="277" w:lineRule="auto"/>
        <w:tabs>
          <w:tab w:leader="none" w:pos="2669"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amend, alter or repeal any provision of the Certificate of Incorporation or the Bylaws of the Corporation in a manner that adversely affects the powers, preferences or rights of Series A Preferred Stock; or</w:t>
      </w:r>
    </w:p>
    <w:p>
      <w:pPr>
        <w:spacing w:after="0" w:line="62" w:lineRule="exact"/>
        <w:rPr>
          <w:rFonts w:ascii="Arial" w:cs="Arial" w:eastAsia="Arial" w:hAnsi="Arial"/>
          <w:sz w:val="18"/>
          <w:szCs w:val="18"/>
          <w:color w:val="auto"/>
        </w:rPr>
      </w:pPr>
    </w:p>
    <w:p>
      <w:pPr>
        <w:ind w:left="2680" w:hanging="252"/>
        <w:spacing w:after="0"/>
        <w:tabs>
          <w:tab w:leader="none" w:pos="26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increase the authorized number of shares of Series A Preferred Stock.</w:t>
      </w:r>
    </w:p>
    <w:p>
      <w:pPr>
        <w:spacing w:after="0" w:line="117" w:lineRule="exact"/>
        <w:rPr>
          <w:rFonts w:ascii="Arial" w:cs="Arial" w:eastAsia="Arial" w:hAnsi="Arial"/>
          <w:sz w:val="18"/>
          <w:szCs w:val="18"/>
          <w:color w:val="auto"/>
        </w:rPr>
      </w:pPr>
    </w:p>
    <w:p>
      <w:pPr>
        <w:ind w:left="5420" w:right="460" w:hanging="4424"/>
        <w:spacing w:after="0" w:line="449" w:lineRule="auto"/>
        <w:tabs>
          <w:tab w:leader="none" w:pos="1172"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 The holders of shares of Preferred Stock shall have conversion rights as follows (the “</w:t>
      </w:r>
      <w:r>
        <w:rPr>
          <w:rFonts w:ascii="Arial" w:cs="Arial" w:eastAsia="Arial" w:hAnsi="Arial"/>
          <w:sz w:val="18"/>
          <w:szCs w:val="18"/>
          <w:b w:val="1"/>
          <w:bCs w:val="1"/>
          <w:i w:val="1"/>
          <w:iCs w:val="1"/>
          <w:color w:val="auto"/>
        </w:rPr>
        <w:t>Conversion Rights</w:t>
      </w:r>
      <w:r>
        <w:rPr>
          <w:rFonts w:ascii="Arial" w:cs="Arial" w:eastAsia="Arial" w:hAnsi="Arial"/>
          <w:sz w:val="18"/>
          <w:szCs w:val="18"/>
          <w:color w:val="auto"/>
        </w:rPr>
        <w:t>”). 12</w:t>
      </w:r>
    </w:p>
    <w:p>
      <w:pPr>
        <w:sectPr>
          <w:pgSz w:w="11900" w:h="16838" w:orient="portrait"/>
          <w:cols w:equalWidth="0" w:num="1">
            <w:col w:w="10980"/>
          </w:cols>
          <w:pgMar w:left="440" w:top="274" w:right="479" w:bottom="1440" w:gutter="0" w:footer="0" w:header="0"/>
        </w:sectPr>
      </w:pPr>
    </w:p>
    <w:bookmarkStart w:id="287" w:name="page288"/>
    <w:bookmarkEnd w:id="287"/>
    <w:p>
      <w:pPr>
        <w:ind w:left="1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 </w:t>
      </w:r>
      <w:r>
        <w:rPr>
          <w:rFonts w:ascii="Arial" w:cs="Arial" w:eastAsia="Arial" w:hAnsi="Arial"/>
          <w:sz w:val="18"/>
          <w:szCs w:val="18"/>
          <w:u w:val="single" w:color="auto"/>
          <w:color w:val="auto"/>
        </w:rPr>
        <w:t>Right to Convert</w:t>
      </w:r>
      <w:r>
        <w:rPr>
          <w:rFonts w:ascii="Arial" w:cs="Arial" w:eastAsia="Arial" w:hAnsi="Arial"/>
          <w:sz w:val="18"/>
          <w:szCs w:val="18"/>
          <w:color w:val="auto"/>
        </w:rPr>
        <w:t>.</w:t>
      </w:r>
    </w:p>
    <w:p>
      <w:pPr>
        <w:spacing w:after="0" w:line="117" w:lineRule="exact"/>
        <w:rPr>
          <w:sz w:val="20"/>
          <w:szCs w:val="20"/>
          <w:color w:val="auto"/>
        </w:rPr>
      </w:pPr>
    </w:p>
    <w:p>
      <w:pPr>
        <w:ind w:firstLine="1984"/>
        <w:spacing w:after="0" w:line="289"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Conversion Ratio</w:t>
      </w:r>
      <w:r>
        <w:rPr>
          <w:rFonts w:ascii="Arial" w:cs="Arial" w:eastAsia="Arial" w:hAnsi="Arial"/>
          <w:sz w:val="16"/>
          <w:szCs w:val="16"/>
          <w:color w:val="auto"/>
        </w:rPr>
        <w:t xml:space="preserve">. Each share of Preferred Stock shall be convertible, at the option of the holder thereof, at any time and from time to time (subject to </w:t>
      </w:r>
      <w:r>
        <w:rPr>
          <w:rFonts w:ascii="Arial" w:cs="Arial" w:eastAsia="Arial" w:hAnsi="Arial"/>
          <w:sz w:val="16"/>
          <w:szCs w:val="16"/>
          <w:u w:val="single" w:color="auto"/>
          <w:color w:val="auto"/>
        </w:rPr>
        <w:t>Subsection 4.1.2)</w:t>
      </w:r>
      <w:r>
        <w:rPr>
          <w:rFonts w:ascii="Arial" w:cs="Arial" w:eastAsia="Arial" w:hAnsi="Arial"/>
          <w:sz w:val="16"/>
          <w:szCs w:val="16"/>
          <w:color w:val="auto"/>
        </w:rPr>
        <w:t>, and without the payment of additional consideration by the holder thereof, into such number of fully paid and nonassessable shares of Common Stock as is determined by dividing the applicable Original Issue Price by the applicable Conversion Price (determined as described below) in effect on the date the certificate for such share is surrendered for conversion. The “</w:t>
      </w:r>
      <w:r>
        <w:rPr>
          <w:rFonts w:ascii="Arial" w:cs="Arial" w:eastAsia="Arial" w:hAnsi="Arial"/>
          <w:sz w:val="16"/>
          <w:szCs w:val="16"/>
          <w:b w:val="1"/>
          <w:bCs w:val="1"/>
          <w:i w:val="1"/>
          <w:iCs w:val="1"/>
          <w:color w:val="auto"/>
        </w:rPr>
        <w:t>Conversion Price</w:t>
      </w:r>
      <w:r>
        <w:rPr>
          <w:rFonts w:ascii="Arial" w:cs="Arial" w:eastAsia="Arial" w:hAnsi="Arial"/>
          <w:sz w:val="16"/>
          <w:szCs w:val="16"/>
          <w:color w:val="auto"/>
        </w:rPr>
        <w:t>” shall initially be, with respect to Series A Preferred Stock, the Original Series A Issue Price per share of Series A Preferred Stock, with respect to the Series A-1 Preferred Stock, the Original Series A-1 Issue Price per share of Series A-1 Preferred Stock, and with respect to the Series B Preferred Stock, the Original Series B Issue Price per share of Series B Preferred Stock. Such initial Conversion Price, and the rate at which shares of Preferred Stock may be converted into shares of Common Stock, shall be subject to adjustment as provided below. Following each adjustment of the Conversion Price of any series of Preferred Stock, such adjusted Conversion Price shall remain in effect until a further adjustment of such Conversion Price hereunder.</w:t>
      </w:r>
    </w:p>
    <w:p>
      <w:pPr>
        <w:spacing w:after="0" w:line="59" w:lineRule="exact"/>
        <w:rPr>
          <w:sz w:val="20"/>
          <w:szCs w:val="20"/>
          <w:color w:val="auto"/>
        </w:rPr>
      </w:pPr>
    </w:p>
    <w:p>
      <w:pPr>
        <w:ind w:firstLine="1984"/>
        <w:spacing w:after="0" w:line="264"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as a result of such event to the holders of Preferred Stock.</w:t>
      </w:r>
    </w:p>
    <w:p>
      <w:pPr>
        <w:spacing w:after="0" w:line="73" w:lineRule="exact"/>
        <w:rPr>
          <w:sz w:val="20"/>
          <w:szCs w:val="20"/>
          <w:color w:val="auto"/>
        </w:rPr>
      </w:pPr>
    </w:p>
    <w:p>
      <w:pPr>
        <w:ind w:firstLine="1433"/>
        <w:spacing w:after="0" w:line="273"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Fractional Shares</w:t>
      </w:r>
      <w:r>
        <w:rPr>
          <w:rFonts w:ascii="Arial" w:cs="Arial" w:eastAsia="Arial" w:hAnsi="Arial"/>
          <w:sz w:val="17"/>
          <w:szCs w:val="17"/>
          <w:color w:val="auto"/>
        </w:rPr>
        <w:t xml:space="preserve">. No fractional shares of Common Stock shall be issued upon conversion of Preferred Stock (including any conversion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w:t>
      </w:r>
      <w:r>
        <w:rPr>
          <w:rFonts w:ascii="Arial" w:cs="Arial" w:eastAsia="Arial" w:hAnsi="Arial"/>
          <w:sz w:val="17"/>
          <w:szCs w:val="17"/>
          <w:color w:val="auto"/>
        </w:rPr>
        <w:t>. In lieu of any fractional shares to which the holder would otherwise be entitled, the Corporation shall pay cash equal to such fraction multiplied by the fair market value of a share of Common Stock on the date of conversion as determined in good faith by the Board, including the approval of at least one Preferred Director.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7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117" w:lineRule="exact"/>
        <w:rPr>
          <w:sz w:val="20"/>
          <w:szCs w:val="20"/>
          <w:color w:val="auto"/>
        </w:rPr>
      </w:pPr>
    </w:p>
    <w:p>
      <w:pPr>
        <w:ind w:right="60" w:firstLine="1984"/>
        <w:spacing w:after="0" w:line="287"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In order for a holder of Preferred Stock to voluntarily convert shares of Preferred Stock into shares of Common Stock, such holder shall surrender the certificate or certificates for such shares of Preferred Stock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Preferred Stock (or at the principal office of the Corporation if the Corporation serves as its own transfer agent), together with written notice that such holder elects to convert all or any number of the shares of Preferred Stock represented by such certificate or certificates and, if applicable, any event on which such conversion is contingent (the “</w:t>
      </w:r>
      <w:r>
        <w:rPr>
          <w:rFonts w:ascii="Arial" w:cs="Arial" w:eastAsia="Arial" w:hAnsi="Arial"/>
          <w:sz w:val="16"/>
          <w:szCs w:val="16"/>
          <w:b w:val="1"/>
          <w:bCs w:val="1"/>
          <w:i w:val="1"/>
          <w:iCs w:val="1"/>
          <w:color w:val="auto"/>
        </w:rPr>
        <w:t>Conversion Notice</w:t>
      </w:r>
      <w:r>
        <w:rPr>
          <w:rFonts w:ascii="Arial" w:cs="Arial" w:eastAsia="Arial" w:hAnsi="Arial"/>
          <w:sz w:val="16"/>
          <w:szCs w:val="16"/>
          <w:color w:val="auto"/>
        </w:rPr>
        <w:t>”). The Conversion Notice shall state such holder’s name or the names of the nominees in which such holder wishes the certificate or certificates for shares of Common Stock to be issued. If required by the Corporation,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288" w:name="page289"/>
    <w:bookmarkEnd w:id="288"/>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 of such certificate or certificates (or lost certificate affidavit and agreement) and the Conversion Notice shall be the time of conversion (the “</w:t>
      </w:r>
      <w:r>
        <w:rPr>
          <w:rFonts w:ascii="Arial" w:cs="Arial" w:eastAsia="Arial" w:hAnsi="Arial"/>
          <w:sz w:val="18"/>
          <w:szCs w:val="18"/>
          <w:b w:val="1"/>
          <w:bCs w:val="1"/>
          <w:i w:val="1"/>
          <w:iCs w:val="1"/>
          <w:color w:val="auto"/>
        </w:rPr>
        <w:t>Conversion Time</w:t>
      </w:r>
      <w:r>
        <w:rPr>
          <w:rFonts w:ascii="Arial" w:cs="Arial" w:eastAsia="Arial" w:hAnsi="Arial"/>
          <w:sz w:val="18"/>
          <w:szCs w:val="18"/>
          <w:color w:val="auto"/>
        </w:rPr>
        <w:t xml:space="preserve">”), and the shares of Common Stock issuable upon conversion of the shares represented by such certificate or certificates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new certificate for the number of shares, if any, of Preferred Stock represented by the surrendered certificate or certificates that were not converted into Common Stock, (ii) pay in cash such amount as provided in </w:t>
      </w:r>
      <w:r>
        <w:rPr>
          <w:rFonts w:ascii="Arial" w:cs="Arial" w:eastAsia="Arial" w:hAnsi="Arial"/>
          <w:sz w:val="18"/>
          <w:szCs w:val="18"/>
          <w:u w:val="single" w:color="auto"/>
          <w:color w:val="auto"/>
        </w:rPr>
        <w:t>Subsection 4.2</w:t>
      </w:r>
      <w:r>
        <w:rPr>
          <w:rFonts w:ascii="Arial" w:cs="Arial" w:eastAsia="Arial" w:hAnsi="Arial"/>
          <w:sz w:val="18"/>
          <w:szCs w:val="18"/>
          <w:color w:val="auto"/>
        </w:rPr>
        <w:t xml:space="preserve"> in lieu of any fraction of a share of Common Stock otherwise issuable upon such conversion, and (iii) pay all declared but unpaid dividends on the shares of Preferred Stock converted.</w:t>
      </w:r>
    </w:p>
    <w:p>
      <w:pPr>
        <w:spacing w:after="0" w:line="84" w:lineRule="exact"/>
        <w:rPr>
          <w:sz w:val="20"/>
          <w:szCs w:val="20"/>
          <w:color w:val="auto"/>
        </w:rPr>
      </w:pPr>
    </w:p>
    <w:p>
      <w:pPr>
        <w:ind w:firstLine="1984"/>
        <w:spacing w:after="0" w:line="289"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Reservation of Shares</w:t>
      </w:r>
      <w:r>
        <w:rPr>
          <w:rFonts w:ascii="Arial" w:cs="Arial" w:eastAsia="Arial" w:hAnsi="Arial"/>
          <w:sz w:val="16"/>
          <w:szCs w:val="16"/>
          <w:color w:val="auto"/>
        </w:rPr>
        <w:t xml:space="preserve">. The Corporation shall at all times when Preferred Stock shall be outstanding reserve and keep available out of its authorized but unissued capital stock, for the purpose of effecting the conversion of Preferred Stock (including any conversion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w:t>
      </w:r>
      <w:r>
        <w:rPr>
          <w:rFonts w:ascii="Arial" w:cs="Arial" w:eastAsia="Arial" w:hAnsi="Arial"/>
          <w:sz w:val="16"/>
          <w:szCs w:val="16"/>
          <w:color w:val="auto"/>
        </w:rPr>
        <w:t>, such number of its duly authorized shares of Common Stock as shall from time to time be sufficient to effect the conversion of all then outstanding shares of Preferred Stock; and if at any time the number of authorized but unissued shares of Common Stock shall not be sufficient to effect the conversion of all then outstanding shares of Preferred Stock, the Corporation shall take such corporate action as may be necessary to increase its authorized but unissued shares of Common Stock to such number of shares as shall be sufficient for such purposes. Before taking any action that would cause an adjustment reducing any Conversion Price below the then par value of the shares of Common Stock issuable upon conversion of Preferred Stock, the Corporation shall take any corporate action which may, in the opinion of its counsel, be necessary in order that the Corporation may validly and legally issue fully paid and nonassessable shares of Common Stock at such adjusted Conversion Price.</w:t>
      </w:r>
    </w:p>
    <w:p>
      <w:pPr>
        <w:spacing w:after="0" w:line="59" w:lineRule="exact"/>
        <w:rPr>
          <w:sz w:val="20"/>
          <w:szCs w:val="20"/>
          <w:color w:val="auto"/>
        </w:rPr>
      </w:pPr>
    </w:p>
    <w:p>
      <w:pPr>
        <w:ind w:right="240" w:firstLine="1984"/>
        <w:spacing w:after="0" w:line="255"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u w:val="single" w:color="auto"/>
          <w:color w:val="auto"/>
        </w:rPr>
        <w:t>Effect of Conversion</w:t>
      </w:r>
      <w:r>
        <w:rPr>
          <w:rFonts w:ascii="Arial" w:cs="Arial" w:eastAsia="Arial" w:hAnsi="Arial"/>
          <w:sz w:val="18"/>
          <w:szCs w:val="18"/>
          <w:color w:val="auto"/>
        </w:rPr>
        <w:t xml:space="preserve">. All shares of Preferred Stock which shall have been surrendered for conversion as provided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no longer be deemed to be outstanding and all rights with respect to such shares shall immediately cease and terminate at the Conversion Time, except only the right of the holders thereof to receive the items provided for in the last sentence of </w:t>
      </w:r>
      <w:r>
        <w:rPr>
          <w:rFonts w:ascii="Arial" w:cs="Arial" w:eastAsia="Arial" w:hAnsi="Arial"/>
          <w:sz w:val="18"/>
          <w:szCs w:val="18"/>
          <w:u w:val="single" w:color="auto"/>
          <w:color w:val="auto"/>
        </w:rPr>
        <w:t>Subsection 4.3.1</w:t>
      </w:r>
      <w:r>
        <w:rPr>
          <w:rFonts w:ascii="Arial" w:cs="Arial" w:eastAsia="Arial" w:hAnsi="Arial"/>
          <w:sz w:val="18"/>
          <w:szCs w:val="18"/>
          <w:color w:val="auto"/>
        </w:rPr>
        <w:t>.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85" w:lineRule="exact"/>
        <w:rPr>
          <w:sz w:val="20"/>
          <w:szCs w:val="20"/>
          <w:color w:val="auto"/>
        </w:rPr>
      </w:pPr>
    </w:p>
    <w:p>
      <w:pPr>
        <w:ind w:right="320" w:firstLine="1984"/>
        <w:spacing w:after="0" w:line="342" w:lineRule="auto"/>
        <w:rPr>
          <w:sz w:val="20"/>
          <w:szCs w:val="20"/>
          <w:color w:val="auto"/>
        </w:rPr>
      </w:pPr>
      <w:r>
        <w:rPr>
          <w:rFonts w:ascii="Arial" w:cs="Arial" w:eastAsia="Arial" w:hAnsi="Arial"/>
          <w:sz w:val="16"/>
          <w:szCs w:val="16"/>
          <w:color w:val="auto"/>
        </w:rPr>
        <w:t xml:space="preserve">4.3.4 </w:t>
      </w:r>
      <w:r>
        <w:rPr>
          <w:rFonts w:ascii="Arial" w:cs="Arial" w:eastAsia="Arial" w:hAnsi="Arial"/>
          <w:sz w:val="16"/>
          <w:szCs w:val="16"/>
          <w:u w:val="single" w:color="auto"/>
          <w:color w:val="auto"/>
        </w:rPr>
        <w:t>No Further Adjustment</w:t>
      </w:r>
      <w:r>
        <w:rPr>
          <w:rFonts w:ascii="Arial" w:cs="Arial" w:eastAsia="Arial" w:hAnsi="Arial"/>
          <w:sz w:val="16"/>
          <w:szCs w:val="16"/>
          <w:color w:val="auto"/>
        </w:rPr>
        <w:t>. Upon any such conversion, no adjustment to the Conversion Price shall be made for any declared but unpaid dividends on the relevant series of Preferred Stock surrendered for conversion or on Common Stock delivered upon conversion.</w:t>
      </w:r>
    </w:p>
    <w:p>
      <w:pPr>
        <w:spacing w:after="0" w:line="16" w:lineRule="exact"/>
        <w:rPr>
          <w:sz w:val="20"/>
          <w:szCs w:val="20"/>
          <w:color w:val="auto"/>
        </w:rPr>
      </w:pPr>
    </w:p>
    <w:p>
      <w:pPr>
        <w:ind w:right="40" w:firstLine="1984"/>
        <w:spacing w:after="0" w:line="255"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89" w:name="page290"/>
    <w:bookmarkEnd w:id="289"/>
    <w:p>
      <w:pPr>
        <w:ind w:left="1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4.4 </w:t>
      </w:r>
      <w:r>
        <w:rPr>
          <w:rFonts w:ascii="Arial" w:cs="Arial" w:eastAsia="Arial" w:hAnsi="Arial"/>
          <w:sz w:val="18"/>
          <w:szCs w:val="18"/>
          <w:u w:val="single" w:color="auto"/>
          <w:color w:val="auto"/>
        </w:rPr>
        <w:t>Adjustments to Conversion Price for Dilutive Issuances</w:t>
      </w:r>
      <w:r>
        <w:rPr>
          <w:rFonts w:ascii="Arial" w:cs="Arial" w:eastAsia="Arial" w:hAnsi="Arial"/>
          <w:sz w:val="18"/>
          <w:szCs w:val="18"/>
          <w:color w:val="auto"/>
        </w:rPr>
        <w:t>.</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Special Definitions</w:t>
      </w:r>
      <w:r>
        <w:rPr>
          <w:rFonts w:ascii="Arial" w:cs="Arial" w:eastAsia="Arial" w:hAnsi="Arial"/>
          <w:sz w:val="18"/>
          <w:szCs w:val="18"/>
          <w:color w:val="auto"/>
        </w:rPr>
        <w:t>.</w:t>
      </w:r>
    </w:p>
    <w:p>
      <w:pPr>
        <w:spacing w:after="0" w:line="117" w:lineRule="exact"/>
        <w:rPr>
          <w:sz w:val="20"/>
          <w:szCs w:val="20"/>
          <w:color w:val="auto"/>
        </w:rPr>
      </w:pPr>
    </w:p>
    <w:p>
      <w:pPr>
        <w:ind w:firstLine="2428"/>
        <w:spacing w:after="0" w:line="291" w:lineRule="auto"/>
        <w:tabs>
          <w:tab w:leader="none" w:pos="2669" w:val="left"/>
        </w:tabs>
        <w:numPr>
          <w:ilvl w:val="1"/>
          <w:numId w:val="1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Additional Shares of Common Stock</w:t>
      </w:r>
      <w:r>
        <w:rPr>
          <w:rFonts w:ascii="Arial" w:cs="Arial" w:eastAsia="Arial" w:hAnsi="Arial"/>
          <w:sz w:val="16"/>
          <w:szCs w:val="16"/>
          <w:color w:val="auto"/>
        </w:rPr>
        <w:t xml:space="preserve">” means all shares of Common Stock issued (or, pursuant to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below, deemed to be issued) by the Corporation after the Original Series B Issue Date, other than (1) the following shares of Common Stock and</w:t>
      </w:r>
    </w:p>
    <w:p>
      <w:pPr>
        <w:ind w:left="260" w:hanging="256"/>
        <w:spacing w:after="0"/>
        <w:tabs>
          <w:tab w:leader="none" w:pos="2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shares of Common Stock deemed to be issued pursuant to the following Options and Convertible Securities (clauses (1) and (2), collectively,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Exempted Securities</w:t>
      </w:r>
      <w:r>
        <w:rPr>
          <w:rFonts w:ascii="Arial" w:cs="Arial" w:eastAsia="Arial" w:hAnsi="Arial"/>
          <w:sz w:val="18"/>
          <w:szCs w:val="18"/>
          <w:color w:val="auto"/>
        </w:rPr>
        <w:t>”).</w:t>
      </w:r>
    </w:p>
    <w:p>
      <w:pPr>
        <w:spacing w:after="0" w:line="116" w:lineRule="exact"/>
        <w:rPr>
          <w:sz w:val="20"/>
          <w:szCs w:val="20"/>
          <w:color w:val="auto"/>
        </w:rPr>
      </w:pPr>
    </w:p>
    <w:p>
      <w:pPr>
        <w:ind w:left="3400" w:right="500" w:hanging="533"/>
        <w:spacing w:after="0" w:line="277" w:lineRule="auto"/>
        <w:tabs>
          <w:tab w:leader="none" w:pos="34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as a dividend or distribution on Preferred Stock;</w:t>
      </w:r>
    </w:p>
    <w:p>
      <w:pPr>
        <w:spacing w:after="0" w:line="75" w:lineRule="exact"/>
        <w:rPr>
          <w:rFonts w:ascii="Arial" w:cs="Arial" w:eastAsia="Arial" w:hAnsi="Arial"/>
          <w:sz w:val="18"/>
          <w:szCs w:val="18"/>
          <w:color w:val="auto"/>
        </w:rPr>
      </w:pPr>
    </w:p>
    <w:p>
      <w:pPr>
        <w:jc w:val="both"/>
        <w:ind w:left="3400" w:right="180" w:hanging="533"/>
        <w:spacing w:after="0" w:line="264" w:lineRule="auto"/>
        <w:tabs>
          <w:tab w:leader="none" w:pos="34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shares of Common Stock, Options or Convertible Securities issued by reason of a dividend, stock split, split-up or other distribution on shares of Common Stock that is covered by </w:t>
      </w:r>
      <w:r>
        <w:rPr>
          <w:rFonts w:ascii="Arial" w:cs="Arial" w:eastAsia="Arial" w:hAnsi="Arial"/>
          <w:sz w:val="18"/>
          <w:szCs w:val="18"/>
          <w:u w:val="single" w:color="auto"/>
          <w:color w:val="auto"/>
        </w:rPr>
        <w:t>Subsection 4.5</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Subsection 4.7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Subsection 4.8;</w:t>
      </w:r>
    </w:p>
    <w:p>
      <w:pPr>
        <w:spacing w:after="0" w:line="86" w:lineRule="exact"/>
        <w:rPr>
          <w:rFonts w:ascii="Arial" w:cs="Arial" w:eastAsia="Arial" w:hAnsi="Arial"/>
          <w:sz w:val="18"/>
          <w:szCs w:val="18"/>
          <w:color w:val="auto"/>
        </w:rPr>
      </w:pPr>
    </w:p>
    <w:p>
      <w:pPr>
        <w:ind w:left="3400" w:hanging="533"/>
        <w:spacing w:after="0" w:line="264" w:lineRule="auto"/>
        <w:tabs>
          <w:tab w:leader="none" w:pos="34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shares of Common Stock or Options issued to employees or directors of, or consultants or advisors to, the Corporation or any of its subsidiaries pursuant to a plan, agreement or arrangement approved by the Board, including the approval of at least one Preferred Director;</w:t>
      </w:r>
    </w:p>
    <w:p>
      <w:pPr>
        <w:spacing w:after="0" w:line="86" w:lineRule="exact"/>
        <w:rPr>
          <w:rFonts w:ascii="Arial" w:cs="Arial" w:eastAsia="Arial" w:hAnsi="Arial"/>
          <w:sz w:val="18"/>
          <w:szCs w:val="18"/>
          <w:color w:val="auto"/>
        </w:rPr>
      </w:pPr>
    </w:p>
    <w:p>
      <w:pPr>
        <w:ind w:left="3400" w:right="40" w:hanging="533"/>
        <w:spacing w:after="0" w:line="286" w:lineRule="auto"/>
        <w:tabs>
          <w:tab w:leader="none" w:pos="34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70" w:lineRule="exact"/>
        <w:rPr>
          <w:rFonts w:ascii="Arial" w:cs="Arial" w:eastAsia="Arial" w:hAnsi="Arial"/>
          <w:sz w:val="17"/>
          <w:szCs w:val="17"/>
          <w:color w:val="auto"/>
        </w:rPr>
      </w:pPr>
    </w:p>
    <w:p>
      <w:pPr>
        <w:ind w:left="3400" w:right="160" w:hanging="533"/>
        <w:spacing w:after="0" w:line="259" w:lineRule="auto"/>
        <w:tabs>
          <w:tab w:leader="none" w:pos="34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including the approval of at least one Preferred Director;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90" w:name="page291"/>
    <w:bookmarkEnd w:id="290"/>
    <w:p>
      <w:pPr>
        <w:ind w:left="3400" w:right="100" w:hanging="533"/>
        <w:spacing w:after="0" w:line="264" w:lineRule="auto"/>
        <w:tabs>
          <w:tab w:leader="none" w:pos="3400" w:val="left"/>
        </w:tabs>
        <w:numPr>
          <w:ilvl w:val="1"/>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Common Stock, Options or Convertible Securities issued to suppliers or third party service providers in connection with the provision of goods or services pursuant to transactions approved by the Board, including the approval of at least one Preferred Director;</w:t>
      </w:r>
    </w:p>
    <w:p>
      <w:pPr>
        <w:spacing w:after="0" w:line="86" w:lineRule="exact"/>
        <w:rPr>
          <w:rFonts w:ascii="Arial" w:cs="Arial" w:eastAsia="Arial" w:hAnsi="Arial"/>
          <w:sz w:val="18"/>
          <w:szCs w:val="18"/>
          <w:color w:val="auto"/>
        </w:rPr>
      </w:pPr>
    </w:p>
    <w:p>
      <w:pPr>
        <w:ind w:left="3400" w:right="380" w:hanging="533"/>
        <w:spacing w:after="0" w:line="279" w:lineRule="auto"/>
        <w:tabs>
          <w:tab w:leader="none" w:pos="340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in connection with joint venture agreements or the Corporation’s acquisition of other corporations or entities by merger, purchase of substantially all of the assets or other reorganization pursuant to transactions approved by the Board, including the approval of at least one Preferred Director; or</w:t>
      </w:r>
    </w:p>
    <w:p>
      <w:pPr>
        <w:spacing w:after="0" w:line="76" w:lineRule="exact"/>
        <w:rPr>
          <w:rFonts w:ascii="Arial" w:cs="Arial" w:eastAsia="Arial" w:hAnsi="Arial"/>
          <w:sz w:val="17"/>
          <w:szCs w:val="17"/>
          <w:color w:val="auto"/>
        </w:rPr>
      </w:pPr>
    </w:p>
    <w:p>
      <w:pPr>
        <w:ind w:left="3400" w:right="40" w:hanging="533"/>
        <w:spacing w:after="0" w:line="312" w:lineRule="auto"/>
        <w:tabs>
          <w:tab w:leader="none" w:pos="340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in connection with sponsored research, collaboration, technology license, development, OEM, marketing or other similar agreements or strategic partnerships approved by the Board, including the approval of at least one Preferred Director.</w:t>
      </w:r>
    </w:p>
    <w:p>
      <w:pPr>
        <w:spacing w:after="0" w:line="38" w:lineRule="exact"/>
        <w:rPr>
          <w:rFonts w:ascii="Arial" w:cs="Arial" w:eastAsia="Arial" w:hAnsi="Arial"/>
          <w:sz w:val="16"/>
          <w:szCs w:val="16"/>
          <w:color w:val="auto"/>
        </w:rPr>
      </w:pPr>
    </w:p>
    <w:p>
      <w:pPr>
        <w:ind w:right="400" w:firstLine="2428"/>
        <w:spacing w:after="0" w:line="277" w:lineRule="auto"/>
        <w:tabs>
          <w:tab w:leader="none" w:pos="267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Convertible Securities</w:t>
      </w:r>
      <w:r>
        <w:rPr>
          <w:rFonts w:ascii="Arial" w:cs="Arial" w:eastAsia="Arial" w:hAnsi="Arial"/>
          <w:sz w:val="18"/>
          <w:szCs w:val="18"/>
          <w:color w:val="auto"/>
        </w:rPr>
        <w:t>” means any evidences of indebtedness, shares or other securities directly or indirectly convertible into or exchangeable for Common Stock, but excluding Options.</w:t>
      </w:r>
    </w:p>
    <w:p>
      <w:pPr>
        <w:spacing w:after="0" w:line="62" w:lineRule="exact"/>
        <w:rPr>
          <w:rFonts w:ascii="Arial" w:cs="Arial" w:eastAsia="Arial" w:hAnsi="Arial"/>
          <w:sz w:val="18"/>
          <w:szCs w:val="18"/>
          <w:color w:val="auto"/>
        </w:rPr>
      </w:pPr>
    </w:p>
    <w:p>
      <w:pPr>
        <w:ind w:left="2680" w:hanging="252"/>
        <w:spacing w:after="0"/>
        <w:tabs>
          <w:tab w:leader="none" w:pos="26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Options</w:t>
      </w:r>
      <w:r>
        <w:rPr>
          <w:rFonts w:ascii="Arial" w:cs="Arial" w:eastAsia="Arial" w:hAnsi="Arial"/>
          <w:sz w:val="17"/>
          <w:szCs w:val="17"/>
          <w:color w:val="auto"/>
        </w:rPr>
        <w:t>” means rights, options or warrants to subscribe for, purchase or otherwise acquire Common Stock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Convertible Securities.</w:t>
      </w:r>
    </w:p>
    <w:p>
      <w:pPr>
        <w:spacing w:after="0" w:line="102" w:lineRule="exact"/>
        <w:rPr>
          <w:rFonts w:ascii="Arial" w:cs="Arial" w:eastAsia="Arial" w:hAnsi="Arial"/>
          <w:sz w:val="17"/>
          <w:szCs w:val="17"/>
          <w:color w:val="auto"/>
        </w:rPr>
      </w:pPr>
    </w:p>
    <w:p>
      <w:pPr>
        <w:ind w:left="2680" w:hanging="252"/>
        <w:spacing w:after="0"/>
        <w:tabs>
          <w:tab w:leader="none" w:pos="268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Original Series B Issue Date</w:t>
      </w:r>
      <w:r>
        <w:rPr>
          <w:rFonts w:ascii="Arial" w:cs="Arial" w:eastAsia="Arial" w:hAnsi="Arial"/>
          <w:sz w:val="16"/>
          <w:szCs w:val="16"/>
          <w:color w:val="auto"/>
        </w:rPr>
        <w:t>” means the date on which the first share of Series B Preferred Stock was issued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Corporation.</w:t>
      </w:r>
    </w:p>
    <w:p>
      <w:pPr>
        <w:spacing w:after="0" w:line="103" w:lineRule="exact"/>
        <w:rPr>
          <w:sz w:val="20"/>
          <w:szCs w:val="20"/>
          <w:color w:val="auto"/>
        </w:rPr>
      </w:pPr>
    </w:p>
    <w:p>
      <w:pPr>
        <w:jc w:val="both"/>
        <w:ind w:firstLine="1984"/>
        <w:spacing w:after="0" w:line="273" w:lineRule="auto"/>
        <w:rPr>
          <w:sz w:val="20"/>
          <w:szCs w:val="20"/>
          <w:color w:val="auto"/>
        </w:rPr>
      </w:pPr>
      <w:r>
        <w:rPr>
          <w:rFonts w:ascii="Arial" w:cs="Arial" w:eastAsia="Arial" w:hAnsi="Arial"/>
          <w:sz w:val="17"/>
          <w:szCs w:val="17"/>
          <w:color w:val="auto"/>
        </w:rPr>
        <w:t xml:space="preserve">4.4.2 </w:t>
      </w:r>
      <w:r>
        <w:rPr>
          <w:rFonts w:ascii="Arial" w:cs="Arial" w:eastAsia="Arial" w:hAnsi="Arial"/>
          <w:sz w:val="17"/>
          <w:szCs w:val="17"/>
          <w:u w:val="single" w:color="auto"/>
          <w:color w:val="auto"/>
        </w:rPr>
        <w:t>No Adjustment of Conversion Price</w:t>
      </w:r>
      <w:r>
        <w:rPr>
          <w:rFonts w:ascii="Arial" w:cs="Arial" w:eastAsia="Arial" w:hAnsi="Arial"/>
          <w:sz w:val="17"/>
          <w:szCs w:val="17"/>
          <w:color w:val="auto"/>
        </w:rPr>
        <w:t xml:space="preserve">. Notwithstanding anything herein to the contrary, no adjustment of the Conversion Price with respect to any series of Preferred Stock shall be made as the result of the issuance or deemed issuance of Additional Shares of Common Stock if the Corporation receives written notice from the holders of a majority of the then outstanding shares of Preferred Stock, with all series voting together as a single class, agreeing that no such adjustment shall be made as the result of the issuance or deemed issuance of such Additional Shares of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waiver of any adjustment of the Conversion Price applicable to the Series B Preferred Stock shall require the consent of the holders of a majority of the shares of Series B Preferred Stock then outstanding.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91" w:name="page292"/>
    <w:bookmarkEnd w:id="291"/>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4.4.3 </w:t>
      </w:r>
      <w:r>
        <w:rPr>
          <w:rFonts w:ascii="Arial" w:cs="Arial" w:eastAsia="Arial" w:hAnsi="Arial"/>
          <w:sz w:val="18"/>
          <w:szCs w:val="18"/>
          <w:u w:val="single" w:color="auto"/>
          <w:color w:val="auto"/>
        </w:rPr>
        <w:t>Deemed Issuance of Additional Shares of Common Stock</w:t>
      </w:r>
      <w:r>
        <w:rPr>
          <w:rFonts w:ascii="Arial" w:cs="Arial" w:eastAsia="Arial" w:hAnsi="Arial"/>
          <w:sz w:val="18"/>
          <w:szCs w:val="18"/>
          <w:color w:val="auto"/>
        </w:rPr>
        <w:t>.</w:t>
      </w:r>
    </w:p>
    <w:p>
      <w:pPr>
        <w:spacing w:after="0" w:line="117" w:lineRule="exact"/>
        <w:rPr>
          <w:sz w:val="20"/>
          <w:szCs w:val="20"/>
          <w:color w:val="auto"/>
        </w:rPr>
      </w:pPr>
    </w:p>
    <w:p>
      <w:pPr>
        <w:ind w:left="-40" w:firstLine="2428"/>
        <w:spacing w:after="0" w:line="254" w:lineRule="auto"/>
        <w:tabs>
          <w:tab w:leader="none" w:pos="262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If the Corporation at any time or from time to time after the Original Series B Issue Date issues any Options or Convertible Securities (excluding Options or Convertible Securities which are themselves Exempted Securities) or fixes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upon the conversion or exchange of such Convertible Securities shall be deemed to be Additional Shares of Common Stock issued as of the time of such issuance or, in case such a record date shall have been fixed, as of the close of business on such record date.</w:t>
      </w:r>
    </w:p>
    <w:p>
      <w:pPr>
        <w:spacing w:after="0" w:line="84" w:lineRule="exact"/>
        <w:rPr>
          <w:rFonts w:ascii="Arial" w:cs="Arial" w:eastAsia="Arial" w:hAnsi="Arial"/>
          <w:sz w:val="18"/>
          <w:szCs w:val="18"/>
          <w:color w:val="auto"/>
        </w:rPr>
      </w:pPr>
    </w:p>
    <w:p>
      <w:pPr>
        <w:ind w:left="-40" w:right="20" w:firstLine="2428"/>
        <w:spacing w:after="0" w:line="286" w:lineRule="auto"/>
        <w:tabs>
          <w:tab w:leader="none" w:pos="2639"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the issuance of which resulted in an adjustment to any Conversion Price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(i) any increase or decrease in the number of shares of Common Stock issuable upon the exercise, conversion and/or exchange of any such Option or Convertible Security or (ii) any increase or decrease in the consideration payable to the Corporation upon such exercise, conversion and/or exchange, then, effective upon such increase or decrease becoming effective, such Conversion Price computed upon the original date of issuance of such Option or Convertible Security (or upon the occurrence of a record date with respect thereto) shall be readjusted to the Conversion Price that would have been obtained had such revised terms been in effect upon the original date of issuance of such Option or Convertible Security (or upon the occurrence of a record date with respect thereto). Notwithstanding the foregoing, no readjustment pursuant to this clause (b) shall have the effect of increasing the relevant Conversion Price to an amount which exceeds the lower of (1) the relevant Conversion Price in effect immediately prior to the original adjustment made as a result of the issuance of such Option or Convertible Security (or the occurrence of a record date with respect thereto) or (2) the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80" w:top="274" w:right="479" w:bottom="1440" w:gutter="0" w:footer="0" w:header="0"/>
        </w:sectPr>
      </w:pPr>
    </w:p>
    <w:bookmarkStart w:id="292" w:name="page293"/>
    <w:bookmarkEnd w:id="292"/>
    <w:p>
      <w:pPr>
        <w:ind w:right="360" w:firstLine="2428"/>
        <w:spacing w:after="0" w:line="291" w:lineRule="auto"/>
        <w:tabs>
          <w:tab w:leader="none" w:pos="2669" w:val="left"/>
        </w:tabs>
        <w:numPr>
          <w:ilvl w:val="1"/>
          <w:numId w:val="1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terms of any Option or Convertible Security (excluding Options or Convertible Securities which are themselves Exempted Securities), the issuance of which did not result in an adjustment to any Conversion Price pursuant to the terms of </w:t>
      </w:r>
      <w:r>
        <w:rPr>
          <w:rFonts w:ascii="Arial" w:cs="Arial" w:eastAsia="Arial" w:hAnsi="Arial"/>
          <w:sz w:val="16"/>
          <w:szCs w:val="16"/>
          <w:u w:val="single" w:color="auto"/>
          <w:color w:val="auto"/>
        </w:rPr>
        <w:t>Subsection</w:t>
      </w:r>
    </w:p>
    <w:p>
      <w:pPr>
        <w:spacing w:after="0" w:line="251" w:lineRule="auto"/>
        <w:rPr>
          <w:rFonts w:ascii="Arial" w:cs="Arial" w:eastAsia="Arial" w:hAnsi="Arial"/>
          <w:sz w:val="16"/>
          <w:szCs w:val="16"/>
          <w:color w:val="auto"/>
        </w:rPr>
      </w:pPr>
      <w:r>
        <w:rPr>
          <w:rFonts w:ascii="Arial" w:cs="Arial" w:eastAsia="Arial" w:hAnsi="Arial"/>
          <w:sz w:val="18"/>
          <w:szCs w:val="18"/>
          <w:u w:val="single" w:color="auto"/>
          <w:color w:val="auto"/>
        </w:rPr>
        <w:t>4.4.4</w:t>
      </w:r>
      <w:r>
        <w:rPr>
          <w:rFonts w:ascii="Arial" w:cs="Arial" w:eastAsia="Arial" w:hAnsi="Arial"/>
          <w:sz w:val="18"/>
          <w:szCs w:val="18"/>
          <w:color w:val="auto"/>
        </w:rPr>
        <w:t xml:space="preserve"> (either because the consideration per share (determined pursuant to </w:t>
      </w:r>
      <w:r>
        <w:rPr>
          <w:rFonts w:ascii="Arial" w:cs="Arial" w:eastAsia="Arial" w:hAnsi="Arial"/>
          <w:sz w:val="18"/>
          <w:szCs w:val="18"/>
          <w:u w:val="single" w:color="auto"/>
          <w:color w:val="auto"/>
        </w:rPr>
        <w:t>Subsection 4.4.5)</w:t>
      </w:r>
      <w:r>
        <w:rPr>
          <w:rFonts w:ascii="Arial" w:cs="Arial" w:eastAsia="Arial" w:hAnsi="Arial"/>
          <w:sz w:val="18"/>
          <w:szCs w:val="18"/>
          <w:color w:val="auto"/>
        </w:rPr>
        <w:t xml:space="preserve"> of the Additional Shares of Common Stock subject thereto was equal to or greater than such Conversion Price then in effect or because such Option or Convertible Security was issued before the Original Series B Issue Date), are revised after the Original Series B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(i) any increase in the number of shares of Common Stock issuable upon the exercise, conversion and/or exchange of any such Option or Convertible Security or (ii) any decrease in the consideration payable to the Corporation upon such exercise, conversion and/or exchange, then such Option or Convertible Security, as so amended or adjusted, and the Additional Shares of Common Stock subject thereto (determined in the manner provided in </w:t>
      </w:r>
      <w:r>
        <w:rPr>
          <w:rFonts w:ascii="Arial" w:cs="Arial" w:eastAsia="Arial" w:hAnsi="Arial"/>
          <w:sz w:val="18"/>
          <w:szCs w:val="18"/>
          <w:u w:val="single" w:color="auto"/>
          <w:color w:val="auto"/>
        </w:rPr>
        <w:t>Subsection 4.4.3(a))</w:t>
      </w:r>
      <w:r>
        <w:rPr>
          <w:rFonts w:ascii="Arial" w:cs="Arial" w:eastAsia="Arial" w:hAnsi="Arial"/>
          <w:sz w:val="18"/>
          <w:szCs w:val="18"/>
          <w:color w:val="auto"/>
        </w:rPr>
        <w:t>, shall be deemed to have been issued effective upon such increase or decrease becoming effective.</w:t>
      </w:r>
    </w:p>
    <w:p>
      <w:pPr>
        <w:spacing w:after="0" w:line="90" w:lineRule="exact"/>
        <w:rPr>
          <w:rFonts w:ascii="Arial" w:cs="Arial" w:eastAsia="Arial" w:hAnsi="Arial"/>
          <w:sz w:val="16"/>
          <w:szCs w:val="16"/>
          <w:color w:val="auto"/>
        </w:rPr>
      </w:pPr>
    </w:p>
    <w:p>
      <w:pPr>
        <w:ind w:right="100" w:firstLine="2428"/>
        <w:spacing w:after="0" w:line="302" w:lineRule="auto"/>
        <w:tabs>
          <w:tab w:leader="none" w:pos="2679" w:val="left"/>
        </w:tabs>
        <w:numPr>
          <w:ilvl w:val="1"/>
          <w:numId w:val="192"/>
        </w:numPr>
        <w:rPr>
          <w:rFonts w:ascii="Arial" w:cs="Arial" w:eastAsia="Arial" w:hAnsi="Arial"/>
          <w:sz w:val="16"/>
          <w:szCs w:val="16"/>
          <w:color w:val="auto"/>
        </w:rPr>
      </w:pPr>
      <w:r>
        <w:rPr>
          <w:rFonts w:ascii="Arial" w:cs="Arial" w:eastAsia="Arial" w:hAnsi="Arial"/>
          <w:sz w:val="16"/>
          <w:szCs w:val="16"/>
          <w:color w:val="auto"/>
        </w:rPr>
        <w:t xml:space="preserve">Upon the expiration or termination of any unexercised Option (or portion thereof) or unconverted or unexchanged Convertible Security (or portion thereof) that resulted (either upon its original issuance or upon a revision of its terms) in an adjustment to any Conversion Price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such Conversion Price shall be readjusted to the Conversion Price that would have been obtained had such unexercised Option (or portion thereof) or unconverted or unexchanged Convertible Security (or portion thereof) never been issued.</w:t>
      </w:r>
    </w:p>
    <w:p>
      <w:pPr>
        <w:spacing w:after="0" w:line="46" w:lineRule="exact"/>
        <w:rPr>
          <w:rFonts w:ascii="Arial" w:cs="Arial" w:eastAsia="Arial" w:hAnsi="Arial"/>
          <w:sz w:val="16"/>
          <w:szCs w:val="16"/>
          <w:color w:val="auto"/>
        </w:rPr>
      </w:pPr>
    </w:p>
    <w:p>
      <w:pPr>
        <w:ind w:right="20" w:firstLine="2428"/>
        <w:spacing w:after="0" w:line="285" w:lineRule="auto"/>
        <w:tabs>
          <w:tab w:leader="none" w:pos="2669" w:val="left"/>
        </w:tabs>
        <w:numPr>
          <w:ilvl w:val="1"/>
          <w:numId w:val="192"/>
        </w:numPr>
        <w:rPr>
          <w:rFonts w:ascii="Arial" w:cs="Arial" w:eastAsia="Arial" w:hAnsi="Arial"/>
          <w:sz w:val="16"/>
          <w:szCs w:val="16"/>
          <w:color w:val="auto"/>
        </w:rPr>
      </w:pPr>
      <w:r>
        <w:rPr>
          <w:rFonts w:ascii="Arial" w:cs="Arial" w:eastAsia="Arial" w:hAnsi="Arial"/>
          <w:sz w:val="16"/>
          <w:szCs w:val="16"/>
          <w:color w:val="auto"/>
        </w:rPr>
        <w:t xml:space="preserve">If the number of shares of Common Stock issuable upon the exercise, conversion and/or exchange of any Option or Convertible Security, or the consideration payable to the Corporation upon such exercise, conversion and/or exchange, (i) is calculable at the time such Option or Convertible Security is issued or amended but is subject to adjustment based upon subsequent events, any adjustment to any Conversion Price provided for in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w:t>
      </w:r>
    </w:p>
    <w:p>
      <w:pPr>
        <w:spacing w:after="0" w:line="2" w:lineRule="exact"/>
        <w:rPr>
          <w:rFonts w:ascii="Arial" w:cs="Arial" w:eastAsia="Arial" w:hAnsi="Arial"/>
          <w:sz w:val="16"/>
          <w:szCs w:val="16"/>
          <w:color w:val="auto"/>
        </w:rPr>
      </w:pPr>
    </w:p>
    <w:p>
      <w:pPr>
        <w:ind w:firstLine="4"/>
        <w:spacing w:after="0" w:line="253" w:lineRule="auto"/>
        <w:tabs>
          <w:tab w:leader="none" w:pos="25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and (c) of this </w:t>
      </w:r>
      <w:r>
        <w:rPr>
          <w:rFonts w:ascii="Arial" w:cs="Arial" w:eastAsia="Arial" w:hAnsi="Arial"/>
          <w:sz w:val="18"/>
          <w:szCs w:val="18"/>
          <w:u w:val="single" w:color="auto"/>
          <w:color w:val="auto"/>
        </w:rPr>
        <w:t>Subsection 4.4.3)</w:t>
      </w:r>
      <w:r>
        <w:rPr>
          <w:rFonts w:ascii="Arial" w:cs="Arial" w:eastAsia="Arial" w:hAnsi="Arial"/>
          <w:sz w:val="18"/>
          <w:szCs w:val="18"/>
          <w:color w:val="auto"/>
        </w:rPr>
        <w:t xml:space="preserve"> or (ii) cannot be calculated at all at the time such Option or Convertible Security is issued or amended, any adjustment to such Conversion Price that would result under the terms of this </w:t>
      </w:r>
      <w:r>
        <w:rPr>
          <w:rFonts w:ascii="Arial" w:cs="Arial" w:eastAsia="Arial" w:hAnsi="Arial"/>
          <w:sz w:val="18"/>
          <w:szCs w:val="18"/>
          <w:u w:val="single" w:color="auto"/>
          <w:color w:val="auto"/>
        </w:rPr>
        <w:t>Subsection 4.4.3</w:t>
      </w:r>
      <w:r>
        <w:rPr>
          <w:rFonts w:ascii="Arial" w:cs="Arial" w:eastAsia="Arial" w:hAnsi="Arial"/>
          <w:sz w:val="18"/>
          <w:szCs w:val="18"/>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Conversion Price that such issuance or amendment took place at the time such calculation can first be made.</w:t>
      </w:r>
    </w:p>
    <w:p>
      <w:pPr>
        <w:spacing w:after="0" w:line="83" w:lineRule="exact"/>
        <w:rPr>
          <w:sz w:val="20"/>
          <w:szCs w:val="20"/>
          <w:color w:val="auto"/>
        </w:rPr>
      </w:pPr>
    </w:p>
    <w:p>
      <w:pPr>
        <w:ind w:right="260" w:firstLine="1984"/>
        <w:spacing w:after="0" w:line="255" w:lineRule="auto"/>
        <w:rPr>
          <w:sz w:val="20"/>
          <w:szCs w:val="20"/>
          <w:color w:val="auto"/>
        </w:rPr>
      </w:pPr>
      <w:r>
        <w:rPr>
          <w:rFonts w:ascii="Arial" w:cs="Arial" w:eastAsia="Arial" w:hAnsi="Arial"/>
          <w:sz w:val="18"/>
          <w:szCs w:val="18"/>
          <w:color w:val="auto"/>
        </w:rPr>
        <w:t xml:space="preserve">4.4.4 </w:t>
      </w:r>
      <w:r>
        <w:rPr>
          <w:rFonts w:ascii="Arial" w:cs="Arial" w:eastAsia="Arial" w:hAnsi="Arial"/>
          <w:sz w:val="18"/>
          <w:szCs w:val="18"/>
          <w:u w:val="single" w:color="auto"/>
          <w:color w:val="auto"/>
        </w:rPr>
        <w:t>Adjustment of Conversion Price Upon Issuance of Additional Shares of Common Stock</w:t>
      </w:r>
      <w:r>
        <w:rPr>
          <w:rFonts w:ascii="Arial" w:cs="Arial" w:eastAsia="Arial" w:hAnsi="Arial"/>
          <w:sz w:val="18"/>
          <w:szCs w:val="18"/>
          <w:color w:val="auto"/>
        </w:rPr>
        <w:t xml:space="preserve">. If, at any time after the applicable Original Series B Issue Date, the Corporation issues Additional Shares of Common Stock (including Additional Shares of Common Stock deemed to be issued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without consideration or for a consideration per share less than the relevant Conversion Price in effect immediately prior to such issuance of Additional Shares of Common Stock, then such Conversion Price in effect immediately prior to such issuance of Additional Shares of Common Stock (“</w:t>
      </w:r>
      <w:r>
        <w:rPr>
          <w:rFonts w:ascii="Arial" w:cs="Arial" w:eastAsia="Arial" w:hAnsi="Arial"/>
          <w:sz w:val="18"/>
          <w:szCs w:val="18"/>
          <w:b w:val="1"/>
          <w:bCs w:val="1"/>
          <w:i w:val="1"/>
          <w:iCs w:val="1"/>
          <w:color w:val="auto"/>
        </w:rPr>
        <w:t>CP</w:t>
      </w:r>
      <w:r>
        <w:rPr>
          <w:rFonts w:ascii="Arial" w:cs="Arial" w:eastAsia="Arial" w:hAnsi="Arial"/>
          <w:sz w:val="15"/>
          <w:szCs w:val="15"/>
          <w:b w:val="1"/>
          <w:bCs w:val="1"/>
          <w:color w:val="auto"/>
        </w:rPr>
        <w:t>1</w:t>
      </w:r>
      <w:r>
        <w:rPr>
          <w:rFonts w:ascii="Arial" w:cs="Arial" w:eastAsia="Arial" w:hAnsi="Arial"/>
          <w:sz w:val="18"/>
          <w:szCs w:val="18"/>
          <w:color w:val="auto"/>
        </w:rPr>
        <w:t>”) shall be reduced, concurrently with such issuance, to a price (calculated to the nearest one-hundredth of 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93" w:name="page294"/>
    <w:bookmarkEnd w:id="293"/>
    <w:p>
      <w:pPr>
        <w:ind w:right="1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cent) determined by multiplying CP</w:t>
      </w:r>
      <w:r>
        <w:rPr>
          <w:rFonts w:ascii="Arial" w:cs="Arial" w:eastAsia="Arial" w:hAnsi="Arial"/>
          <w:sz w:val="14"/>
          <w:szCs w:val="14"/>
          <w:color w:val="auto"/>
        </w:rPr>
        <w:t>1</w:t>
      </w:r>
      <w:r>
        <w:rPr>
          <w:rFonts w:ascii="Arial" w:cs="Arial" w:eastAsia="Arial" w:hAnsi="Arial"/>
          <w:sz w:val="17"/>
          <w:szCs w:val="17"/>
          <w:color w:val="auto"/>
        </w:rPr>
        <w:t xml:space="preserve"> by a fraction, the </w:t>
      </w:r>
      <w:r>
        <w:rPr>
          <w:rFonts w:ascii="Arial" w:cs="Arial" w:eastAsia="Arial" w:hAnsi="Arial"/>
          <w:sz w:val="17"/>
          <w:szCs w:val="17"/>
          <w:i w:val="1"/>
          <w:iCs w:val="1"/>
          <w:color w:val="auto"/>
        </w:rPr>
        <w:t>numerator</w:t>
      </w:r>
      <w:r>
        <w:rPr>
          <w:rFonts w:ascii="Arial" w:cs="Arial" w:eastAsia="Arial" w:hAnsi="Arial"/>
          <w:sz w:val="17"/>
          <w:szCs w:val="17"/>
          <w:color w:val="auto"/>
        </w:rPr>
        <w:t xml:space="preserve"> of which shall be the sum of (i) the number of shares of Common Stock outstanding immediately prior to such issuance of Additional Shares of Common Stock (treating for this purpose as outstanding all shares of Common Stock issuable upon (A) exercise of Options outstanding immediately prior to such issuance of Additional Shares of Common Stock and (B) conversion or exchange of Convertible Securities (including Preferred Stock) outstanding (assuming exercise of any outstanding Options therefor) immediately prior to such issuance of Additional Shares of Common Stock) (the “</w:t>
      </w:r>
      <w:r>
        <w:rPr>
          <w:rFonts w:ascii="Arial" w:cs="Arial" w:eastAsia="Arial" w:hAnsi="Arial"/>
          <w:sz w:val="17"/>
          <w:szCs w:val="17"/>
          <w:b w:val="1"/>
          <w:bCs w:val="1"/>
          <w:i w:val="1"/>
          <w:iCs w:val="1"/>
          <w:color w:val="auto"/>
        </w:rPr>
        <w:t>Outstanding Common Stock Equivalents</w:t>
      </w:r>
      <w:r>
        <w:rPr>
          <w:rFonts w:ascii="Arial" w:cs="Arial" w:eastAsia="Arial" w:hAnsi="Arial"/>
          <w:sz w:val="17"/>
          <w:szCs w:val="17"/>
          <w:color w:val="auto"/>
        </w:rPr>
        <w:t>”) and (ii) the number of shares of Common Stock that would have been issued if such Additional Shares of Common Stock had been issued at a price per share equal to CP</w:t>
      </w:r>
      <w:r>
        <w:rPr>
          <w:rFonts w:ascii="Arial" w:cs="Arial" w:eastAsia="Arial" w:hAnsi="Arial"/>
          <w:sz w:val="14"/>
          <w:szCs w:val="14"/>
          <w:color w:val="auto"/>
        </w:rPr>
        <w:t>1</w:t>
      </w:r>
      <w:r>
        <w:rPr>
          <w:rFonts w:ascii="Arial" w:cs="Arial" w:eastAsia="Arial" w:hAnsi="Arial"/>
          <w:sz w:val="17"/>
          <w:szCs w:val="17"/>
          <w:color w:val="auto"/>
        </w:rPr>
        <w:t xml:space="preserve"> (determined by dividing (A) the aggregate consideration received by the Corporation in respect of such issuance of Additional Shares of Common Stock by (B) CP</w:t>
      </w:r>
      <w:r>
        <w:rPr>
          <w:rFonts w:ascii="Arial" w:cs="Arial" w:eastAsia="Arial" w:hAnsi="Arial"/>
          <w:sz w:val="14"/>
          <w:szCs w:val="14"/>
          <w:color w:val="auto"/>
        </w:rPr>
        <w:t>1</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denominator</w:t>
      </w:r>
      <w:r>
        <w:rPr>
          <w:rFonts w:ascii="Arial" w:cs="Arial" w:eastAsia="Arial" w:hAnsi="Arial"/>
          <w:sz w:val="17"/>
          <w:szCs w:val="17"/>
          <w:color w:val="auto"/>
        </w:rPr>
        <w:t xml:space="preserve"> of which shall be the sum of (i) the Outstanding Common Stock Equivalents and (ii) the number of such Additional Shares of Common Stock issued in such transaction.</w:t>
      </w:r>
    </w:p>
    <w:p>
      <w:pPr>
        <w:spacing w:after="0" w:line="74" w:lineRule="exact"/>
        <w:rPr>
          <w:sz w:val="20"/>
          <w:szCs w:val="20"/>
          <w:color w:val="auto"/>
        </w:rPr>
      </w:pPr>
    </w:p>
    <w:p>
      <w:pPr>
        <w:ind w:right="20" w:firstLine="1984"/>
        <w:spacing w:after="0" w:line="277"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Subsection 4.4</w:t>
      </w:r>
      <w:r>
        <w:rPr>
          <w:rFonts w:ascii="Arial" w:cs="Arial" w:eastAsia="Arial" w:hAnsi="Arial"/>
          <w:sz w:val="18"/>
          <w:szCs w:val="18"/>
          <w:color w:val="auto"/>
        </w:rPr>
        <w:t>, the consideration received by the Corporation for the issuance of any Additional Shares of Common Stock shall be computed as follows:</w:t>
      </w:r>
    </w:p>
    <w:p>
      <w:pPr>
        <w:spacing w:after="0" w:line="62" w:lineRule="exact"/>
        <w:rPr>
          <w:sz w:val="20"/>
          <w:szCs w:val="20"/>
          <w:color w:val="auto"/>
        </w:rPr>
      </w:pPr>
    </w:p>
    <w:p>
      <w:pPr>
        <w:ind w:left="2680" w:hanging="252"/>
        <w:spacing w:after="0"/>
        <w:tabs>
          <w:tab w:leader="none" w:pos="268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130" w:lineRule="exact"/>
        <w:rPr>
          <w:rFonts w:ascii="Arial" w:cs="Arial" w:eastAsia="Arial" w:hAnsi="Arial"/>
          <w:sz w:val="18"/>
          <w:szCs w:val="18"/>
          <w:color w:val="auto"/>
        </w:rPr>
      </w:pPr>
    </w:p>
    <w:p>
      <w:pPr>
        <w:ind w:left="3400" w:right="120" w:hanging="533"/>
        <w:spacing w:after="0" w:line="277" w:lineRule="auto"/>
        <w:tabs>
          <w:tab w:leader="none" w:pos="340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75" w:lineRule="exact"/>
        <w:rPr>
          <w:rFonts w:ascii="Arial" w:cs="Arial" w:eastAsia="Arial" w:hAnsi="Arial"/>
          <w:sz w:val="18"/>
          <w:szCs w:val="18"/>
          <w:color w:val="auto"/>
        </w:rPr>
      </w:pPr>
    </w:p>
    <w:p>
      <w:pPr>
        <w:ind w:left="3400" w:right="40" w:hanging="533"/>
        <w:spacing w:after="0" w:line="264" w:lineRule="auto"/>
        <w:tabs>
          <w:tab w:leader="none" w:pos="340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insofar as it consists of property other than cash, be computed at the fair market value thereof at the time of such issuance, as determined in good faith by the Board, including the approval of at least one Preferred Director; and</w:t>
      </w:r>
    </w:p>
    <w:p>
      <w:pPr>
        <w:spacing w:after="0" w:line="86" w:lineRule="exact"/>
        <w:rPr>
          <w:rFonts w:ascii="Arial" w:cs="Arial" w:eastAsia="Arial" w:hAnsi="Arial"/>
          <w:sz w:val="18"/>
          <w:szCs w:val="18"/>
          <w:color w:val="auto"/>
        </w:rPr>
      </w:pPr>
    </w:p>
    <w:p>
      <w:pPr>
        <w:ind w:left="3400" w:hanging="533"/>
        <w:spacing w:after="0" w:line="279" w:lineRule="auto"/>
        <w:tabs>
          <w:tab w:leader="none" w:pos="340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including the approval of at least one Preferred Director.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294" w:name="page295"/>
    <w:bookmarkEnd w:id="294"/>
    <w:p>
      <w:pPr>
        <w:jc w:val="both"/>
        <w:ind w:firstLine="2428"/>
        <w:spacing w:after="0" w:line="264" w:lineRule="auto"/>
        <w:tabs>
          <w:tab w:leader="none" w:pos="2679"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Options and Convertible Securities</w:t>
      </w:r>
      <w:r>
        <w:rPr>
          <w:rFonts w:ascii="Arial" w:cs="Arial" w:eastAsia="Arial" w:hAnsi="Arial"/>
          <w:sz w:val="18"/>
          <w:szCs w:val="18"/>
          <w:color w:val="auto"/>
        </w:rPr>
        <w:t xml:space="preserve">. Such consideration shall, in the event that Additional Shares of Common Stock are deemed to have been issued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xml:space="preserve"> due to the issuance of any Options or Convertible Securities, be determined, on a per share basis, by dividing:</w:t>
      </w:r>
    </w:p>
    <w:p>
      <w:pPr>
        <w:spacing w:after="0" w:line="86" w:lineRule="exact"/>
        <w:rPr>
          <w:rFonts w:ascii="Arial" w:cs="Arial" w:eastAsia="Arial" w:hAnsi="Arial"/>
          <w:sz w:val="18"/>
          <w:szCs w:val="18"/>
          <w:color w:val="auto"/>
        </w:rPr>
      </w:pPr>
    </w:p>
    <w:p>
      <w:pPr>
        <w:ind w:left="3400" w:right="60" w:hanging="533"/>
        <w:spacing w:after="0" w:line="272" w:lineRule="auto"/>
        <w:tabs>
          <w:tab w:leader="none" w:pos="340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the total amount, if any, received or receivable by the Corporation as consideration for the issuance of such Options or Convertible Securities, plus the minimum aggregate amount of additional consideration (as set forth in the instruments relating thereto, without regard to any provision contained therein for a subsequent adjustment of such consideration), if any,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83" w:lineRule="exact"/>
        <w:rPr>
          <w:rFonts w:ascii="Arial" w:cs="Arial" w:eastAsia="Arial" w:hAnsi="Arial"/>
          <w:sz w:val="17"/>
          <w:szCs w:val="17"/>
          <w:color w:val="auto"/>
        </w:rPr>
      </w:pPr>
    </w:p>
    <w:p>
      <w:pPr>
        <w:ind w:left="3400" w:right="120" w:hanging="533"/>
        <w:spacing w:after="0" w:line="276" w:lineRule="auto"/>
        <w:tabs>
          <w:tab w:leader="none" w:pos="340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64" w:lineRule="exact"/>
        <w:rPr>
          <w:sz w:val="20"/>
          <w:szCs w:val="20"/>
          <w:color w:val="auto"/>
        </w:rPr>
      </w:pPr>
    </w:p>
    <w:p>
      <w:pPr>
        <w:ind w:right="40" w:firstLine="1984"/>
        <w:spacing w:after="0" w:line="297" w:lineRule="auto"/>
        <w:rPr>
          <w:sz w:val="20"/>
          <w:szCs w:val="20"/>
          <w:color w:val="auto"/>
        </w:rPr>
      </w:pPr>
      <w:r>
        <w:rPr>
          <w:rFonts w:ascii="Arial" w:cs="Arial" w:eastAsia="Arial" w:hAnsi="Arial"/>
          <w:sz w:val="16"/>
          <w:szCs w:val="16"/>
          <w:color w:val="auto"/>
        </w:rPr>
        <w:t xml:space="preserve">4.4.6 </w:t>
      </w:r>
      <w:r>
        <w:rPr>
          <w:rFonts w:ascii="Arial" w:cs="Arial" w:eastAsia="Arial" w:hAnsi="Arial"/>
          <w:sz w:val="16"/>
          <w:szCs w:val="16"/>
          <w:u w:val="single" w:color="auto"/>
          <w:color w:val="auto"/>
        </w:rPr>
        <w:t>Multiple Closing Dates</w:t>
      </w:r>
      <w:r>
        <w:rPr>
          <w:rFonts w:ascii="Arial" w:cs="Arial" w:eastAsia="Arial" w:hAnsi="Arial"/>
          <w:sz w:val="16"/>
          <w:szCs w:val="16"/>
          <w:color w:val="auto"/>
        </w:rPr>
        <w:t xml:space="preserve">. If the Corporation issues, on more than one date, Additional Shares of Common Stock that are a part of one transaction or a series of related transactions and that would result in an adjustment to any Conversion Price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and such issuance dates occur within a period of no more than 90 days from the first such issuance to the final such issuance, then, upon the final such issuance, the such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50" w:lineRule="exact"/>
        <w:rPr>
          <w:sz w:val="20"/>
          <w:szCs w:val="20"/>
          <w:color w:val="auto"/>
        </w:rPr>
      </w:pPr>
    </w:p>
    <w:p>
      <w:pPr>
        <w:ind w:right="60" w:firstLine="1433"/>
        <w:spacing w:after="0" w:line="25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Adjustment for Stock Splits and Combinations</w:t>
      </w:r>
      <w:r>
        <w:rPr>
          <w:rFonts w:ascii="Arial" w:cs="Arial" w:eastAsia="Arial" w:hAnsi="Arial"/>
          <w:sz w:val="18"/>
          <w:szCs w:val="18"/>
          <w:color w:val="auto"/>
        </w:rPr>
        <w:t>. If the Corporation at any time or from time to time after the Original Series B Issue Date effects a subdivision of the outstanding shares of Common Stock into a greater number of shares of Common Stock, the relevant Conversion Price in effect immediately before the subdivision shall be proportionately decreased so that the number of shares of Common Stock issuable on conversion of each share of such series shall be increased in proportion to such increase in the aggregate number of shares of Common Stock outstanding. If the Corporation at any time or from time to time after the Original Series B Issue Date combines the outstanding shares of Common Stock into a smaller</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95" w:name="page296"/>
    <w:bookmarkEnd w:id="295"/>
    <w:p>
      <w:pPr>
        <w:ind w:right="1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number of shares of Common Stock, the relevant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w:t>
      </w:r>
      <w:r>
        <w:rPr>
          <w:rFonts w:ascii="Arial" w:cs="Arial" w:eastAsia="Arial" w:hAnsi="Arial"/>
          <w:sz w:val="16"/>
          <w:szCs w:val="16"/>
          <w:u w:val="single" w:color="auto"/>
          <w:color w:val="auto"/>
        </w:rPr>
        <w:t>Subsection 4.5</w:t>
      </w:r>
      <w:r>
        <w:rPr>
          <w:rFonts w:ascii="Arial" w:cs="Arial" w:eastAsia="Arial" w:hAnsi="Arial"/>
          <w:sz w:val="16"/>
          <w:szCs w:val="16"/>
          <w:color w:val="auto"/>
        </w:rPr>
        <w:t xml:space="preserve"> shall become effective at the close of business on the date that the subdivision or combination, as applicable, becomes effective. The relevant Conversion Price shall be readjusted in the same manner upon the happening of each subsequent subdivision or combination of the outstanding shares of Common Stock.</w:t>
      </w:r>
    </w:p>
    <w:p>
      <w:pPr>
        <w:spacing w:after="0" w:line="50" w:lineRule="exact"/>
        <w:rPr>
          <w:sz w:val="20"/>
          <w:szCs w:val="20"/>
          <w:color w:val="auto"/>
        </w:rPr>
      </w:pPr>
    </w:p>
    <w:p>
      <w:pPr>
        <w:ind w:right="80" w:firstLine="1433"/>
        <w:spacing w:after="0" w:line="25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Adjustment for Common Stock Dividends</w:t>
      </w:r>
      <w:r>
        <w:rPr>
          <w:rFonts w:ascii="Arial" w:cs="Arial" w:eastAsia="Arial" w:hAnsi="Arial"/>
          <w:sz w:val="18"/>
          <w:szCs w:val="18"/>
          <w:color w:val="auto"/>
        </w:rPr>
        <w:t>. If the Corporation at any time or from time to time after the Original Series B Issue Date makes or issues, or fixes a record date for the determination of holders of Common Stock entitled to receive, a Common Stock Dividend, then in each such event the relevant Conversion Price in effect immediately before such event shall be decreased as of the time of such issuance or, in the event such a record date shall have been fixed, as of the close of business on such record date, by multiplying the such Conversion Price then in effect by a fraction:</w:t>
      </w:r>
    </w:p>
    <w:p>
      <w:pPr>
        <w:spacing w:after="0" w:line="80" w:lineRule="exact"/>
        <w:rPr>
          <w:sz w:val="20"/>
          <w:szCs w:val="20"/>
          <w:color w:val="auto"/>
        </w:rPr>
      </w:pPr>
    </w:p>
    <w:p>
      <w:pPr>
        <w:ind w:firstLine="1987"/>
        <w:spacing w:after="0" w:line="277" w:lineRule="auto"/>
        <w:tabs>
          <w:tab w:leader="none" w:pos="223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62" w:lineRule="exact"/>
        <w:rPr>
          <w:rFonts w:ascii="Arial" w:cs="Arial" w:eastAsia="Arial" w:hAnsi="Arial"/>
          <w:sz w:val="18"/>
          <w:szCs w:val="18"/>
          <w:color w:val="auto"/>
        </w:rPr>
      </w:pPr>
    </w:p>
    <w:p>
      <w:pPr>
        <w:ind w:right="40" w:firstLine="1987"/>
        <w:spacing w:after="0" w:line="264" w:lineRule="auto"/>
        <w:tabs>
          <w:tab w:leader="none" w:pos="223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denominator of which shall be the sum of (a) the total number of shares of Common Stock issued and outstanding immediately prior to the time of such issuance or the close of business on such record date and (b) the total number of shares of Common Stock issuable in payment of such Common Stock Dividend.</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Notwithstanding the foregoing, (i) if such record date shall have been fixed and such Common Stock Dividend is not fully paid or made on the date fixed therefor, the relevant Conversion Price shall be recomputed accordingly as of the close of business on such record date and thereafter such Conversion Price shall be adjusted pursuant to this </w:t>
      </w:r>
      <w:r>
        <w:rPr>
          <w:rFonts w:ascii="Arial" w:cs="Arial" w:eastAsia="Arial" w:hAnsi="Arial"/>
          <w:sz w:val="17"/>
          <w:szCs w:val="17"/>
          <w:u w:val="single" w:color="auto"/>
          <w:color w:val="auto"/>
        </w:rPr>
        <w:t>Subsection 4.6</w:t>
      </w:r>
      <w:r>
        <w:rPr>
          <w:rFonts w:ascii="Arial" w:cs="Arial" w:eastAsia="Arial" w:hAnsi="Arial"/>
          <w:sz w:val="17"/>
          <w:szCs w:val="17"/>
          <w:color w:val="auto"/>
        </w:rPr>
        <w:t xml:space="preserve"> as of the time of actual payment of such Common Stock Dividend and (ii) no such adjustment shall be made if the holders of the relevant series of Preferred Stock simultaneously receive a dividend or other distribution of shares of Common Stock in an amount equal to the number of shares of Common Stock as they would have received if all outstanding shares of such series of Preferred Stock had been converted into Common Stock on the date of such event or such record date, as applicable. The relevant Conversion Price shall be readjusted in the same manner upon the happening of each subsequent Common Stock Dividend.</w:t>
      </w:r>
    </w:p>
    <w:p>
      <w:pPr>
        <w:spacing w:after="0" w:line="70" w:lineRule="exact"/>
        <w:rPr>
          <w:sz w:val="20"/>
          <w:szCs w:val="20"/>
          <w:color w:val="auto"/>
        </w:rPr>
      </w:pPr>
    </w:p>
    <w:p>
      <w:pPr>
        <w:ind w:right="20" w:firstLine="1433"/>
        <w:spacing w:after="0" w:line="273"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Adjustment for Other Dividends and Distributions</w:t>
      </w:r>
      <w:r>
        <w:rPr>
          <w:rFonts w:ascii="Arial" w:cs="Arial" w:eastAsia="Arial" w:hAnsi="Arial"/>
          <w:sz w:val="17"/>
          <w:szCs w:val="17"/>
          <w:color w:val="auto"/>
        </w:rPr>
        <w:t xml:space="preserve">. If the Corporation at any time or from time to time after the Original Series B Issue Date makes or issues, or fixes a record date for the determination of holders of Common Stock entitled to receive, a dividend or other distribution payable in securities of the Corporation (other than a Common Stock Dividend), cash or other property and the provisions of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do not apply to such dividend or other distribution, then in each such event provision shall be made so that the holders of Preferred Stock shall receive upon conversion thereof, in addition to the number of shares of Common Stock receivable thereupon, the kind and amount of securities, cash or other property which they would have received had Preferred Stock been converted into Common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96" w:name="page297"/>
    <w:bookmarkEnd w:id="296"/>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Stock on the date of such event or such record date, as applicable, and had they thereafter, during the period from the date of such event or such record date, as applicable, to and including the conversion date, retained such securities during such period, giving application to all adjustments called for during such period under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the rights of the holders of Preferred Stock or with respect to such other securities by their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provision shall be made if the holders of Preferred Stock receive, simultaneously with the dividend or distribution to the holders of Common Stock, a dividend or other distribution of such securities, cash or other property in an amount equal to the amount of such securities, cash or other property as they would have received if all outstanding shares of Preferred Stock had been converted into Common Stock on the date of such event or such record date, as applicable.</w:t>
      </w:r>
    </w:p>
    <w:p>
      <w:pPr>
        <w:spacing w:after="0" w:line="70" w:lineRule="exact"/>
        <w:rPr>
          <w:sz w:val="20"/>
          <w:szCs w:val="20"/>
          <w:color w:val="auto"/>
        </w:rPr>
      </w:pPr>
    </w:p>
    <w:p>
      <w:pPr>
        <w:ind w:right="80" w:firstLine="1433"/>
        <w:spacing w:after="0" w:line="267"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Adjustment for Reorganization</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if there shall occur any reorganization, recapitalization, reclassification, consolidation or merger involving the Corporation in which Common Stock (but not Preferred Stock) is converted into or exchanged for securities, cash or other property (other than a transaction covered by </w:t>
      </w:r>
      <w:r>
        <w:rPr>
          <w:rFonts w:ascii="Arial" w:cs="Arial" w:eastAsia="Arial" w:hAnsi="Arial"/>
          <w:sz w:val="17"/>
          <w:szCs w:val="17"/>
          <w:u w:val="single" w:color="auto"/>
          <w:color w:val="auto"/>
        </w:rPr>
        <w:t>Subsection 4.4</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Subsection 4.6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Subsection 4.7)</w:t>
      </w:r>
      <w:r>
        <w:rPr>
          <w:rFonts w:ascii="Arial" w:cs="Arial" w:eastAsia="Arial" w:hAnsi="Arial"/>
          <w:sz w:val="17"/>
          <w:szCs w:val="17"/>
          <w:color w:val="auto"/>
        </w:rPr>
        <w:t xml:space="preserve"> (any such event, a “</w:t>
      </w:r>
      <w:r>
        <w:rPr>
          <w:rFonts w:ascii="Arial" w:cs="Arial" w:eastAsia="Arial" w:hAnsi="Arial"/>
          <w:sz w:val="17"/>
          <w:szCs w:val="17"/>
          <w:b w:val="1"/>
          <w:bCs w:val="1"/>
          <w:i w:val="1"/>
          <w:iCs w:val="1"/>
          <w:color w:val="auto"/>
        </w:rPr>
        <w:t>Reorganization</w:t>
      </w:r>
      <w:r>
        <w:rPr>
          <w:rFonts w:ascii="Arial" w:cs="Arial" w:eastAsia="Arial" w:hAnsi="Arial"/>
          <w:sz w:val="17"/>
          <w:szCs w:val="17"/>
          <w:color w:val="auto"/>
        </w:rPr>
        <w:t xml:space="preserve">”), then, following any such Reorganization, each share of Preferred Stock shall thereafter be convertible, in lieu of the shares of Common Stock into which it was convertible prior to such event, into the kind and amount of securities, cash or other property which a holder of the number of shares of Common Stock issuable upon conversion of one share of Preferred Stock immediately prior to such Reorganization would have been entitled to receive pursuant to such transaction; and, in such case, appropriate adjustment (as determined in good faith by the Board, including the approval of at least one Preferred Director) shall be made in the application of the provisions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the rights and interests thereafter of the holders of Preferred Stock, to the end that the provisions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(including adjustment of any Conversion Price then in effect and the number of shares issuable upon conversion of Preferred Stock) shall thereafter be applicable, as nearly as reasonably may be, in relation to any securities or other property thereafter deliverable upon the conversion of Preferred Stock. This </w:t>
      </w:r>
      <w:r>
        <w:rPr>
          <w:rFonts w:ascii="Arial" w:cs="Arial" w:eastAsia="Arial" w:hAnsi="Arial"/>
          <w:sz w:val="17"/>
          <w:szCs w:val="17"/>
          <w:u w:val="single" w:color="auto"/>
          <w:color w:val="auto"/>
        </w:rPr>
        <w:t>Subsection 4.8</w:t>
      </w:r>
      <w:r>
        <w:rPr>
          <w:rFonts w:ascii="Arial" w:cs="Arial" w:eastAsia="Arial" w:hAnsi="Arial"/>
          <w:sz w:val="17"/>
          <w:szCs w:val="17"/>
          <w:color w:val="auto"/>
        </w:rPr>
        <w:t xml:space="preserve"> shall similarly apply to successive Reorganizations. Notwithstanding anything to the contrary contained in this </w:t>
      </w:r>
      <w:r>
        <w:rPr>
          <w:rFonts w:ascii="Arial" w:cs="Arial" w:eastAsia="Arial" w:hAnsi="Arial"/>
          <w:sz w:val="17"/>
          <w:szCs w:val="17"/>
          <w:u w:val="single" w:color="auto"/>
          <w:color w:val="auto"/>
        </w:rPr>
        <w:t>Subsection 4.8</w:t>
      </w:r>
      <w:r>
        <w:rPr>
          <w:rFonts w:ascii="Arial" w:cs="Arial" w:eastAsia="Arial" w:hAnsi="Arial"/>
          <w:sz w:val="17"/>
          <w:szCs w:val="17"/>
          <w:color w:val="auto"/>
        </w:rPr>
        <w:t xml:space="preserve">, if any Reorganization is approved by the vote of stockholders required by </w:t>
      </w:r>
      <w:r>
        <w:rPr>
          <w:rFonts w:ascii="Arial" w:cs="Arial" w:eastAsia="Arial" w:hAnsi="Arial"/>
          <w:sz w:val="17"/>
          <w:szCs w:val="17"/>
          <w:u w:val="single" w:color="auto"/>
          <w:color w:val="auto"/>
        </w:rPr>
        <w:t>Subsections 3.4, 3.5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3.6</w:t>
      </w:r>
      <w:r>
        <w:rPr>
          <w:rFonts w:ascii="Arial" w:cs="Arial" w:eastAsia="Arial" w:hAnsi="Arial"/>
          <w:sz w:val="17"/>
          <w:szCs w:val="17"/>
          <w:color w:val="auto"/>
        </w:rPr>
        <w:t xml:space="preserve">, then such Reorganization and the rights of the holders of Common Stock and Preferred Stock pursuant to such Reorganization shall be governed by the documents entered into in connection with such Reorganization and not by the provisions of this </w:t>
      </w:r>
      <w:r>
        <w:rPr>
          <w:rFonts w:ascii="Arial" w:cs="Arial" w:eastAsia="Arial" w:hAnsi="Arial"/>
          <w:sz w:val="17"/>
          <w:szCs w:val="17"/>
          <w:u w:val="single" w:color="auto"/>
          <w:color w:val="auto"/>
        </w:rPr>
        <w:t>Subsection 4.8</w:t>
      </w:r>
      <w:r>
        <w:rPr>
          <w:rFonts w:ascii="Arial" w:cs="Arial" w:eastAsia="Arial" w:hAnsi="Arial"/>
          <w:sz w:val="17"/>
          <w:szCs w:val="17"/>
          <w:color w:val="auto"/>
        </w:rPr>
        <w:t xml:space="preserve">. For the avoidance of doubt, nothing in this </w:t>
      </w:r>
      <w:r>
        <w:rPr>
          <w:rFonts w:ascii="Arial" w:cs="Arial" w:eastAsia="Arial" w:hAnsi="Arial"/>
          <w:sz w:val="17"/>
          <w:szCs w:val="17"/>
          <w:u w:val="single" w:color="auto"/>
          <w:color w:val="auto"/>
        </w:rPr>
        <w:t>Subsection 4.8</w:t>
      </w:r>
      <w:r>
        <w:rPr>
          <w:rFonts w:ascii="Arial" w:cs="Arial" w:eastAsia="Arial" w:hAnsi="Arial"/>
          <w:sz w:val="17"/>
          <w:szCs w:val="17"/>
          <w:color w:val="auto"/>
        </w:rPr>
        <w:t xml:space="preserve"> shall be construed as preventing the holders of Preferred Stock from seeking any appraisal rights to which they are otherwise entitled under the DGCL in connection with a Reorganization triggering an adjustment hereunder, nor shall this </w:t>
      </w:r>
      <w:r>
        <w:rPr>
          <w:rFonts w:ascii="Arial" w:cs="Arial" w:eastAsia="Arial" w:hAnsi="Arial"/>
          <w:sz w:val="17"/>
          <w:szCs w:val="17"/>
          <w:u w:val="single" w:color="auto"/>
          <w:color w:val="auto"/>
        </w:rPr>
        <w:t>Subsection 4.8</w:t>
      </w:r>
      <w:r>
        <w:rPr>
          <w:rFonts w:ascii="Arial" w:cs="Arial" w:eastAsia="Arial" w:hAnsi="Arial"/>
          <w:sz w:val="17"/>
          <w:szCs w:val="17"/>
          <w:color w:val="auto"/>
        </w:rPr>
        <w:t xml:space="preserve"> be deemed conclusive evidence of the fair value of the shares of Preferred Stock in any such appraisal proceeding.</w:t>
      </w:r>
    </w:p>
    <w:p>
      <w:pPr>
        <w:spacing w:after="0" w:line="83" w:lineRule="exact"/>
        <w:rPr>
          <w:sz w:val="20"/>
          <w:szCs w:val="20"/>
          <w:color w:val="auto"/>
        </w:rPr>
      </w:pPr>
    </w:p>
    <w:p>
      <w:pPr>
        <w:ind w:firstLine="1433"/>
        <w:spacing w:after="0" w:line="297"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xml:space="preserve">. Upon the occurrence of each adjustment or readjustment of any Conversion Price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the Corporation, at its expense, shall promptly (but in any event not later than ten days thereafter) compute such adjustment or readjustment in accordance with the terms hereof and furnish, or cause to be furnished, to each holder of the relevant series of Preferred Stock a certificate setting forth such adjustment or readjustment (including the kind and amount of securities, cash or other property into which such series of Preferred Stock is convertible) and showing in detail the facts upon which such adjustment or readjustment is based. Upon the written request at any time of any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97" w:name="page298"/>
    <w:bookmarkEnd w:id="297"/>
    <w:p>
      <w:pPr>
        <w:jc w:val="both"/>
        <w:ind w:right="2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 of any Preferred Stock, the Corporation shall promptly (but in any event not later than ten days thereafter) furnish, or cause to be furnished, to such holder a certificate setting forth (i) the Conversion Price then in effect and (ii) the number of shares of Common Stock and the amount, if any, of other securities, cash or property which then would be received upon the conversion of such series of Preferred Stock.</w:t>
      </w:r>
    </w:p>
    <w:p>
      <w:pPr>
        <w:spacing w:after="0" w:line="57" w:lineRule="exact"/>
        <w:rPr>
          <w:sz w:val="20"/>
          <w:szCs w:val="20"/>
          <w:color w:val="auto"/>
        </w:rPr>
      </w:pPr>
    </w:p>
    <w:p>
      <w:pPr>
        <w:ind w:firstLine="1433"/>
        <w:spacing w:after="0" w:line="269"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Notice of Record Date</w:t>
      </w:r>
      <w:r>
        <w:rPr>
          <w:rFonts w:ascii="Arial" w:cs="Arial" w:eastAsia="Arial" w:hAnsi="Arial"/>
          <w:sz w:val="17"/>
          <w:szCs w:val="17"/>
          <w:color w:val="auto"/>
        </w:rPr>
        <w:t>. In the event (x) the Corporation takes a record of the holders of any class of securities for the purpose of determining the holders thereof who are entitled to receive any dividend or other distribution, or to receive any right to subscribe for or purchase any shares of capital stock of any class or any other securities, (y) of any capital reorganization of the Corporation, any reclassification of Common Stock or any Deemed Liquidation Event, or (z) of the voluntary or involuntary liquidation, dissolution or winding up of the Corporation (the events described in the foregoing clauses (y) and (z), “</w:t>
      </w:r>
      <w:r>
        <w:rPr>
          <w:rFonts w:ascii="Arial" w:cs="Arial" w:eastAsia="Arial" w:hAnsi="Arial"/>
          <w:sz w:val="17"/>
          <w:szCs w:val="17"/>
          <w:b w:val="1"/>
          <w:bCs w:val="1"/>
          <w:i w:val="1"/>
          <w:iCs w:val="1"/>
          <w:color w:val="auto"/>
        </w:rPr>
        <w:t>Other Events</w:t>
      </w:r>
      <w:r>
        <w:rPr>
          <w:rFonts w:ascii="Arial" w:cs="Arial" w:eastAsia="Arial" w:hAnsi="Arial"/>
          <w:sz w:val="17"/>
          <w:szCs w:val="17"/>
          <w:color w:val="auto"/>
        </w:rPr>
        <w:t>”), then in each such case the Corporation shall send, or cause to be sent, to the holders of record of Preferred Stock, a notice specifying, as the case may be, (i) the date on which any such record is to be taken for the purpose of such dividend, distribution or right and (ii) the effective date on which such Other Event is proposed to take place and the time, if any is to be fixed, as of which the holders of record of Common Stock (or such other capital stock or securities at the time issuable upon the conversion of Preferred Stock) shall be entitled to exchange their shares of Common Stock (or such other capital stock or securities at the time issuable upon the conversion of the relevant series of Preferred Stock) for securities or other property deliverable upon such Other Event, and the amount per share and character of such exchange applicable to Common Stock and the relevant series of Preferred Stock. Each notice described in the foregoing sentence shall be sent at least ten days prior to the record date or effective date, as applicable, for the event specified in such notice.</w:t>
      </w:r>
    </w:p>
    <w:p>
      <w:pPr>
        <w:spacing w:after="0" w:line="72" w:lineRule="exact"/>
        <w:rPr>
          <w:sz w:val="20"/>
          <w:szCs w:val="20"/>
          <w:color w:val="auto"/>
        </w:rPr>
      </w:pPr>
    </w:p>
    <w:p>
      <w:pPr>
        <w:ind w:left="1180" w:hanging="184"/>
        <w:spacing w:after="0"/>
        <w:tabs>
          <w:tab w:leader="none" w:pos="118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117" w:lineRule="exact"/>
        <w:rPr>
          <w:sz w:val="20"/>
          <w:szCs w:val="20"/>
          <w:color w:val="auto"/>
        </w:rPr>
      </w:pPr>
    </w:p>
    <w:p>
      <w:pPr>
        <w:ind w:right="40" w:firstLine="1433"/>
        <w:spacing w:after="0" w:line="287"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Trigger Event</w:t>
      </w:r>
      <w:r>
        <w:rPr>
          <w:rFonts w:ascii="Arial" w:cs="Arial" w:eastAsia="Arial" w:hAnsi="Arial"/>
          <w:sz w:val="16"/>
          <w:szCs w:val="16"/>
          <w:color w:val="auto"/>
        </w:rPr>
        <w:t xml:space="preserve">. All outstanding shares of Preferred Stock shall automatically, and without any further action on the part of the holders thereof, be converted into shares of Common Stock at the then effective Conversion Price, upon either (a) the closing of the sale of shares of Common Stock to the public in a firm-commitment underwritten public offering pursuant to an effective registration statement filed under the Securities Act of 1933, as amended, (i) with a price of at least 1.5 times (1.5X) the Original Series B Issue Price for any such public offering consummated at any time on or prior to the first anniversary of the Series B Original Issue Date, or 1.25 times (1.25X) the Original Series B Issue Price for any such public offering consummated thereafter, in each case, as adjusted for any stock splits, stock dividends, combinations, subdivisions, recapitalizations or the like, and (ii) resulting in at least $30,000,000 of gross proceeds to the Corporation or (b) the date and time, or the occurrence of an event, specified by vote or written consent of the holders of a majority of the then outstanding shares of Preferred Stock, voting together as a single class on an as-converted to Common Stock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automatic conversion of the Series B Preferred Stock pursuant to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shall require the consent of the holders of a majority of the shares of Series B Preferred Stock then outstanding (the time of such closing or the date and time, or the time of the event, specified in such vote or written consent is referred to herein as the “</w:t>
      </w:r>
      <w:r>
        <w:rPr>
          <w:rFonts w:ascii="Arial" w:cs="Arial" w:eastAsia="Arial" w:hAnsi="Arial"/>
          <w:sz w:val="16"/>
          <w:szCs w:val="16"/>
          <w:b w:val="1"/>
          <w:bCs w:val="1"/>
          <w:i w:val="1"/>
          <w:iCs w:val="1"/>
          <w:color w:val="auto"/>
        </w:rPr>
        <w:t>Mandatory Conversion Time</w:t>
      </w:r>
      <w:r>
        <w:rPr>
          <w:rFonts w:ascii="Arial" w:cs="Arial" w:eastAsia="Arial" w:hAnsi="Arial"/>
          <w:sz w:val="16"/>
          <w:szCs w:val="16"/>
          <w:color w:val="auto"/>
        </w:rPr>
        <w: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98" w:name="page299"/>
    <w:bookmarkEnd w:id="298"/>
    <w:p>
      <w:pPr>
        <w:ind w:firstLine="143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xml:space="preserve">. The Corporation shall send, or cause to be sent, to all holders of record of shares of Preferred Stock, written notice of the Mandatory Conversion Time and the place designated for mandatory conversion of all such shares of Preferred Stock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Such notice need not be sent in advance of the occurrence of the Mandatory Conversion Time. Upon receipt of such notice, each holder of shares of Preferred Stock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such notice. If required by the Corporation, certificates surrendered for conversion shall be endorsed or accompanied by a written instrument or instruments of transfer, in form satisfactory to the Corporation, duly executed by the registered holder or his, her or its attorney duly authorized in writing. All shares of Preferred Stock shall no longer be deemed to be outstanding and all rights with respect to such shares, including the rights, if any, to receive notices and to vote (other than as a holder of Common Stock), shall immediately cease and terminate at the Mandatory Conversion Time (notwithstanding the failure of the registered holder or holders thereof to surrender the certificates for such shares at or prior to such time), except only the right of the registered holders thereof, upon surrender of their certificate or certificates therefor (or lost certificate affidavit and agreement), to receive the items provided for in the next sentence of this </w:t>
      </w:r>
      <w:r>
        <w:rPr>
          <w:rFonts w:ascii="Arial" w:cs="Arial" w:eastAsia="Arial" w:hAnsi="Arial"/>
          <w:sz w:val="16"/>
          <w:szCs w:val="16"/>
          <w:u w:val="single" w:color="auto"/>
          <w:color w:val="auto"/>
        </w:rPr>
        <w:t>Subsection 5.2</w:t>
      </w:r>
      <w:r>
        <w:rPr>
          <w:rFonts w:ascii="Arial" w:cs="Arial" w:eastAsia="Arial" w:hAnsi="Arial"/>
          <w:sz w:val="16"/>
          <w:szCs w:val="16"/>
          <w:color w:val="auto"/>
        </w:rPr>
        <w:t xml:space="preserve">. The Corporation shall, as soon as practicable after the Mandatory Conversion Time and the surrender of the certificate or certificates (or lost certificate affidavit and agreement) for shares of Preferred Stock so converted, (i) issue and deliver to such holder of Preferred Stock, or to his, her or its nominees, a certificate or certificates for the number of full shares of Common Stock issuable upon such conversion in accordance with the provisions hereof, (ii) pay in cash such amount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otherwise issuable upon such conversion, and (iii) pay all declared but unpaid dividends on the shares of Preferred Stock converted. Such converted shares of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60" w:lineRule="exact"/>
        <w:rPr>
          <w:sz w:val="20"/>
          <w:szCs w:val="20"/>
          <w:color w:val="auto"/>
        </w:rPr>
      </w:pPr>
    </w:p>
    <w:p>
      <w:pPr>
        <w:ind w:firstLine="996"/>
        <w:spacing w:after="0" w:line="277" w:lineRule="auto"/>
        <w:tabs>
          <w:tab w:leader="none" w:pos="1172"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Neither the Corporation nor the holders of Preferred Stock shall have the unilateral right to call or redeem, or cause to have called or redeemed, any shares of Preferred Stock.</w:t>
      </w:r>
    </w:p>
    <w:p>
      <w:pPr>
        <w:spacing w:after="0" w:line="62" w:lineRule="exact"/>
        <w:rPr>
          <w:rFonts w:ascii="Arial" w:cs="Arial" w:eastAsia="Arial" w:hAnsi="Arial"/>
          <w:sz w:val="18"/>
          <w:szCs w:val="18"/>
          <w:color w:val="auto"/>
        </w:rPr>
      </w:pPr>
    </w:p>
    <w:p>
      <w:pPr>
        <w:ind w:right="120" w:firstLine="996"/>
        <w:spacing w:after="0" w:line="259" w:lineRule="auto"/>
        <w:tabs>
          <w:tab w:leader="none" w:pos="1172"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No Reissuance of Preferred Stock</w:t>
      </w:r>
      <w:r>
        <w:rPr>
          <w:rFonts w:ascii="Arial" w:cs="Arial" w:eastAsia="Arial" w:hAnsi="Arial"/>
          <w:sz w:val="18"/>
          <w:szCs w:val="18"/>
          <w:color w:val="auto"/>
        </w:rPr>
        <w:t>. Any shares of Preferred Stock that are acquired by the Corporation or any of its subsidiaries by reason of redemption, purchase, conversion or otherwise shall be automatically and immediately retired and cancelled and shall not be reissued, sold or transferred. Neither the Corporation nor any of its subsidiaries may exercise any voting or other rights granted to the holders of Preferred Stock following redemption.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299" w:name="page300"/>
    <w:bookmarkEnd w:id="299"/>
    <w:p>
      <w:pPr>
        <w:ind w:right="20" w:firstLine="996"/>
        <w:spacing w:after="0" w:line="255" w:lineRule="auto"/>
        <w:tabs>
          <w:tab w:leader="none" w:pos="1172"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w:t>
      </w:r>
      <w:r>
        <w:rPr>
          <w:rFonts w:ascii="Arial" w:cs="Arial" w:eastAsia="Arial" w:hAnsi="Arial"/>
          <w:sz w:val="18"/>
          <w:szCs w:val="18"/>
          <w:color w:val="auto"/>
        </w:rPr>
        <w:t>. Any of the rights, powers, preferences and other terms of Series A Preferred Stock set forth herein may be waived on behalf of all holders of Series A Preferred Stock by the affirmative written consent or vote of the holders of a majority of the shares of Series A Preferred Stock then outstanding. Any of the rights, powers, preferences and other terms of Series A-1 Preferred Stock set forth herein may be waived on behalf of all holders of Series A-1 Preferred Stock by the affirmative written consent or vote of the holders of at least a majority of the shares of Series A-1 Preferred Stock then outstanding. Any of the rights, powers, preferences and other terms of Series B Preferred Stock set forth herein may be waived on behalf of all holders of Series B Preferred Stock by the affirmative written consent or vote of the holders of at least a majority of the shares of Series B Preferred Stock then outstanding.</w:t>
      </w:r>
    </w:p>
    <w:p>
      <w:pPr>
        <w:spacing w:after="0" w:line="81" w:lineRule="exact"/>
        <w:rPr>
          <w:rFonts w:ascii="Arial" w:cs="Arial" w:eastAsia="Arial" w:hAnsi="Arial"/>
          <w:sz w:val="18"/>
          <w:szCs w:val="18"/>
          <w:color w:val="auto"/>
        </w:rPr>
      </w:pPr>
    </w:p>
    <w:p>
      <w:pPr>
        <w:jc w:val="both"/>
        <w:ind w:right="160" w:firstLine="996"/>
        <w:spacing w:after="0" w:line="302" w:lineRule="auto"/>
        <w:tabs>
          <w:tab w:leader="none" w:pos="1172"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by the provisions of this Article IV to be given to a holder of shares of Preferred Stock shall be (i) mailed by certified or registered mail, return receipt requested and postage prepaid, or delivered by a recognized express courier, fees prepaid, in each case to the address of such holder last shown on the records of the Corporation, or (ii) given by electronic communication in compliance with the provisions of the DGCL. Any such notice shall be deemed given upon such mailing, delivery or electronic transmission, as applicable.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Subject to any additional vote required by the Certificate of Incorporation or the Bylaws of the Corporation, in furtherance and not in limitation of the powers conferred by statute, the Board is expressly authorized to make, repeal, alter, amend or rescind any or all of the Bylaws of the Corporation.</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Meetings of stockholders may be held within or without the State of Delaware, as the Bylaws of the Corporation may provide. The books of the Corporation may be kept (subject to any provision contained in applicable statutes) outside the State of Delaware at such place or places as may be designated from time to time by the Board or in the Bylaws of the Corporation.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the fullest extent permitted by applicable law as it presently exists or may hereafter be amended,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any improper personal benefit. If the DGCL or any other applicable law of the State of Delaware is amended, after approval by the stockholders of this Article VH, to authorize corporate action further eliminating or limiting the personal liability of directors, then the liability of a director of the Corporation shall be eliminated or limited to the fullest extent permitted by the DGCL or other applicable law of the State of Delaware, as so amended.</w:t>
      </w:r>
    </w:p>
    <w:p>
      <w:pPr>
        <w:spacing w:after="0" w:line="16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Any repeal or modification of the foregoing provisions of this Article VII shall not adversely affect any right or protection of any director of the Corporation existing at the time of, or increase the liability of any director of the Corporation with respect to any acts or omissions of such director occurring prior to, such repeal or modification.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00" w:name="page301"/>
    <w:bookmarkEnd w:id="30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To the fullest extent permitted by applicable law as it presently exists or may hereafter be amended, the Corporation is authorized to provide indemnification of (and advancement of expenses to) directors, officers, employees and agents of the Corporation (and any other persons to whom the DGCL permits the Corporation to provide indemnification and advancement of expenses) through Bylaw provisions, agreements with such persons, vote of stockholders or disinterested directors or otherwise, in excess of the indemnification and advancement of expenses otherwise permitted by Section 145 of the DGCL.</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Any repeal or modification of the foregoing provisions of this Article VIII shall not adversely affect any right or protection of any director, officer, employee or agent of the Corporation existing at the time of such repeal or modification.</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The Corporation renounces, to the fullest extent permitted by law, any interest or expectancy of the Corporation in, or in being offered an opportunity to participate in, any Excluded Opportunity. An “</w:t>
      </w:r>
      <w:r>
        <w:rPr>
          <w:rFonts w:ascii="Arial" w:cs="Arial" w:eastAsia="Arial" w:hAnsi="Arial"/>
          <w:sz w:val="17"/>
          <w:szCs w:val="17"/>
          <w:b w:val="1"/>
          <w:bCs w:val="1"/>
          <w:i w:val="1"/>
          <w:iCs w:val="1"/>
          <w:color w:val="auto"/>
        </w:rPr>
        <w:t>Excluded Opportunity</w:t>
      </w:r>
      <w:r>
        <w:rPr>
          <w:rFonts w:ascii="Arial" w:cs="Arial" w:eastAsia="Arial" w:hAnsi="Arial"/>
          <w:sz w:val="17"/>
          <w:szCs w:val="17"/>
          <w:color w:val="auto"/>
        </w:rPr>
        <w:t>’ is any matter, transaction or interest that is presented to, or acquired, created or developed by, or which otherwise comes into the possession of (i) any director of the Corporation who is not an officer or employee of the Corporation or any of its subsidiaries, or (ii) any holder of Preferred Stock or Common Stock issued upon the conversion of the Preferred Stock, or any partner, member, director, stockholder, employee or agent of any such holder, excluding (A) any holder that is affiliated with someone who is an officer or employee of the Corporation or any of its subsidiaries, and (B) anyone who is an officer or employee of the Corporation or any of its subsidiaries (the persons and entities being referred to in clauses (i) and (ii), collectively, “</w:t>
      </w:r>
      <w:r>
        <w:rPr>
          <w:rFonts w:ascii="Arial" w:cs="Arial" w:eastAsia="Arial" w:hAnsi="Arial"/>
          <w:sz w:val="17"/>
          <w:szCs w:val="17"/>
          <w:b w:val="1"/>
          <w:bCs w:val="1"/>
          <w:i w:val="1"/>
          <w:iCs w:val="1"/>
          <w:color w:val="auto"/>
        </w:rPr>
        <w:t>Covered Persons</w:t>
      </w:r>
      <w:r>
        <w:rPr>
          <w:rFonts w:ascii="Arial" w:cs="Arial" w:eastAsia="Arial" w:hAnsi="Arial"/>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for breach of a fiduciary duty owed by any director, officer, employee or agent of the Corporation to the Corporation or any of its stockholders, (iii) any action asserting a claim arising pursuant to any provision of the DGCL or the Certificate of Incorporation or Bylaws of the Corporation, or (iv) any action asserting a claim governed by the internal affairs doctrine, in each case subject to said Court of Chancery having personal jurisdiction over the indispensable parties named as defendants therein.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301" w:name="page302"/>
    <w:bookmarkEnd w:id="301"/>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purposes of Section 500 of the California Corporations Code (to the extent applicable), in connection with any repurchase of shares of Common Stock permitted under the Certificate of Incorporation from employees, officers, directors or consultants of the Corporation in connection with a termination of employment or services pursuant to agreements or arrangements approved by the Board (in addition to any other consent required under the Certificate of Incorporation), such repurchase may be made without regard to any “preferential dividends arrears amount” or “preferential rights amount” (as those terms are defined in Section 500 of the California Corporations Code). Accordingly, for purposes of making any calculation under Section 500 of the California Corporations Code in connection with such repurchase, the amount of any “preferential dividends arrears amount” or “preferential rights amount” (as those terms are defined therein) shall be deemed to be zero (0).</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80"/>
          </w:cols>
          <w:pgMar w:left="440" w:top="270" w:right="579"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OF 4D MOLECULAR THERAPEUTICS, INC.</w:t>
      </w:r>
    </w:p>
    <w:p>
      <w:pPr>
        <w:spacing w:after="0" w:line="22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Adopted March 20, 2015</w:t>
      </w:r>
    </w:p>
    <w:p>
      <w:pPr>
        <w:sectPr>
          <w:pgSz w:w="11900" w:h="16838" w:orient="portrait"/>
          <w:cols w:equalWidth="0" w:num="1">
            <w:col w:w="10020"/>
          </w:cols>
          <w:pgMar w:left="1440" w:top="121" w:right="439" w:bottom="1440" w:gutter="0" w:footer="0" w:header="0"/>
        </w:sectPr>
      </w:pPr>
    </w:p>
    <w:bookmarkStart w:id="303" w:name="page304"/>
    <w:bookmarkEnd w:id="303"/>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7840" w:type="dxa"/>
            <w:vAlign w:val="bottom"/>
          </w:tcPr>
          <w:p>
            <w:pPr>
              <w:ind w:left="3880"/>
              <w:spacing w:after="0"/>
              <w:rPr>
                <w:sz w:val="20"/>
                <w:szCs w:val="20"/>
                <w:color w:val="auto"/>
              </w:rPr>
            </w:pPr>
            <w:r>
              <w:rPr>
                <w:rFonts w:ascii="Arial" w:cs="Arial" w:eastAsia="Arial" w:hAnsi="Arial"/>
                <w:sz w:val="18"/>
                <w:szCs w:val="18"/>
                <w:color w:val="auto"/>
              </w:rPr>
              <w:t>TABLE OF CONTENTS</w:t>
            </w:r>
          </w:p>
        </w:tc>
        <w:tc>
          <w:tcPr>
            <w:tcW w:w="2420" w:type="dxa"/>
            <w:vAlign w:val="bottom"/>
          </w:tcPr>
          <w:p>
            <w:pPr>
              <w:spacing w:after="0"/>
              <w:rPr>
                <w:sz w:val="20"/>
                <w:szCs w:val="20"/>
                <w:color w:val="auto"/>
              </w:rPr>
            </w:pPr>
          </w:p>
        </w:tc>
      </w:tr>
      <w:tr>
        <w:trPr>
          <w:trHeight w:val="377"/>
        </w:trPr>
        <w:tc>
          <w:tcPr>
            <w:tcW w:w="7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4"/>
                <w:szCs w:val="14"/>
                <w:i w:val="1"/>
                <w:iCs w:val="1"/>
                <w:color w:val="auto"/>
              </w:rPr>
              <w:t>Page</w:t>
            </w:r>
          </w:p>
        </w:tc>
      </w:tr>
      <w:tr>
        <w:trPr>
          <w:trHeight w:val="230"/>
        </w:trPr>
        <w:tc>
          <w:tcPr>
            <w:tcW w:w="8560" w:type="dxa"/>
            <w:vAlign w:val="bottom"/>
            <w:gridSpan w:val="2"/>
          </w:tcPr>
          <w:p>
            <w:pPr>
              <w:spacing w:after="0"/>
              <w:rPr>
                <w:sz w:val="20"/>
                <w:szCs w:val="20"/>
                <w:color w:val="auto"/>
              </w:rPr>
            </w:pPr>
            <w:r>
              <w:rPr>
                <w:rFonts w:ascii="Arial" w:cs="Arial" w:eastAsia="Arial" w:hAnsi="Arial"/>
                <w:sz w:val="18"/>
                <w:szCs w:val="18"/>
                <w:color w:val="auto"/>
              </w:rPr>
              <w:t>ARTICLE I — MEETINGS OF STOCKHOLDERS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1.1</w:t>
            </w:r>
          </w:p>
        </w:tc>
        <w:tc>
          <w:tcPr>
            <w:tcW w:w="7840" w:type="dxa"/>
            <w:vAlign w:val="bottom"/>
          </w:tcPr>
          <w:p>
            <w:pPr>
              <w:ind w:left="60"/>
              <w:spacing w:after="0"/>
              <w:rPr>
                <w:sz w:val="20"/>
                <w:szCs w:val="20"/>
                <w:color w:val="auto"/>
              </w:rPr>
            </w:pPr>
            <w:r>
              <w:rPr>
                <w:rFonts w:ascii="Arial" w:cs="Arial" w:eastAsia="Arial" w:hAnsi="Arial"/>
                <w:sz w:val="18"/>
                <w:szCs w:val="18"/>
                <w:color w:val="auto"/>
              </w:rPr>
              <w:t>Place of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1.2</w:t>
            </w:r>
          </w:p>
        </w:tc>
        <w:tc>
          <w:tcPr>
            <w:tcW w:w="7840" w:type="dxa"/>
            <w:vAlign w:val="bottom"/>
          </w:tcPr>
          <w:p>
            <w:pPr>
              <w:ind w:left="60"/>
              <w:spacing w:after="0"/>
              <w:rPr>
                <w:sz w:val="20"/>
                <w:szCs w:val="20"/>
                <w:color w:val="auto"/>
              </w:rPr>
            </w:pPr>
            <w:r>
              <w:rPr>
                <w:rFonts w:ascii="Arial" w:cs="Arial" w:eastAsia="Arial" w:hAnsi="Arial"/>
                <w:sz w:val="18"/>
                <w:szCs w:val="18"/>
                <w:color w:val="auto"/>
              </w:rPr>
              <w:t>Annual Meeting</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1.3</w:t>
            </w:r>
          </w:p>
        </w:tc>
        <w:tc>
          <w:tcPr>
            <w:tcW w:w="7840" w:type="dxa"/>
            <w:vAlign w:val="bottom"/>
          </w:tcPr>
          <w:p>
            <w:pPr>
              <w:ind w:left="60"/>
              <w:spacing w:after="0"/>
              <w:rPr>
                <w:sz w:val="20"/>
                <w:szCs w:val="20"/>
                <w:color w:val="auto"/>
              </w:rPr>
            </w:pPr>
            <w:r>
              <w:rPr>
                <w:rFonts w:ascii="Arial" w:cs="Arial" w:eastAsia="Arial" w:hAnsi="Arial"/>
                <w:sz w:val="18"/>
                <w:szCs w:val="18"/>
                <w:color w:val="auto"/>
              </w:rPr>
              <w:t>Special Meeting</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1.4</w:t>
            </w:r>
          </w:p>
        </w:tc>
        <w:tc>
          <w:tcPr>
            <w:tcW w:w="7840" w:type="dxa"/>
            <w:vAlign w:val="bottom"/>
          </w:tcPr>
          <w:p>
            <w:pPr>
              <w:ind w:left="60"/>
              <w:spacing w:after="0"/>
              <w:rPr>
                <w:sz w:val="20"/>
                <w:szCs w:val="20"/>
                <w:color w:val="auto"/>
              </w:rPr>
            </w:pPr>
            <w:r>
              <w:rPr>
                <w:rFonts w:ascii="Arial" w:cs="Arial" w:eastAsia="Arial" w:hAnsi="Arial"/>
                <w:sz w:val="18"/>
                <w:szCs w:val="18"/>
                <w:color w:val="auto"/>
              </w:rPr>
              <w:t>Notice of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1.5</w:t>
            </w:r>
          </w:p>
        </w:tc>
        <w:tc>
          <w:tcPr>
            <w:tcW w:w="7840" w:type="dxa"/>
            <w:vAlign w:val="bottom"/>
          </w:tcPr>
          <w:p>
            <w:pPr>
              <w:ind w:left="60"/>
              <w:spacing w:after="0"/>
              <w:rPr>
                <w:sz w:val="20"/>
                <w:szCs w:val="20"/>
                <w:color w:val="auto"/>
              </w:rPr>
            </w:pPr>
            <w:r>
              <w:rPr>
                <w:rFonts w:ascii="Arial" w:cs="Arial" w:eastAsia="Arial" w:hAnsi="Arial"/>
                <w:sz w:val="18"/>
                <w:szCs w:val="18"/>
                <w:color w:val="auto"/>
              </w:rPr>
              <w:t>Quorum</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1.6</w:t>
            </w:r>
          </w:p>
        </w:tc>
        <w:tc>
          <w:tcPr>
            <w:tcW w:w="7840" w:type="dxa"/>
            <w:vAlign w:val="bottom"/>
          </w:tcPr>
          <w:p>
            <w:pPr>
              <w:ind w:left="60"/>
              <w:spacing w:after="0"/>
              <w:rPr>
                <w:sz w:val="20"/>
                <w:szCs w:val="20"/>
                <w:color w:val="auto"/>
              </w:rPr>
            </w:pPr>
            <w:r>
              <w:rPr>
                <w:rFonts w:ascii="Arial" w:cs="Arial" w:eastAsia="Arial" w:hAnsi="Arial"/>
                <w:sz w:val="18"/>
                <w:szCs w:val="18"/>
                <w:color w:val="auto"/>
              </w:rPr>
              <w:t>Adjourned Meeting; Notice</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1.7</w:t>
            </w:r>
          </w:p>
        </w:tc>
        <w:tc>
          <w:tcPr>
            <w:tcW w:w="7840" w:type="dxa"/>
            <w:vAlign w:val="bottom"/>
          </w:tcPr>
          <w:p>
            <w:pPr>
              <w:ind w:left="60"/>
              <w:spacing w:after="0"/>
              <w:rPr>
                <w:sz w:val="20"/>
                <w:szCs w:val="20"/>
                <w:color w:val="auto"/>
              </w:rPr>
            </w:pPr>
            <w:r>
              <w:rPr>
                <w:rFonts w:ascii="Arial" w:cs="Arial" w:eastAsia="Arial" w:hAnsi="Arial"/>
                <w:sz w:val="18"/>
                <w:szCs w:val="18"/>
                <w:color w:val="auto"/>
              </w:rPr>
              <w:t>Conduct of Business</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1.8</w:t>
            </w:r>
          </w:p>
        </w:tc>
        <w:tc>
          <w:tcPr>
            <w:tcW w:w="7840" w:type="dxa"/>
            <w:vAlign w:val="bottom"/>
          </w:tcPr>
          <w:p>
            <w:pPr>
              <w:ind w:left="60"/>
              <w:spacing w:after="0"/>
              <w:rPr>
                <w:sz w:val="20"/>
                <w:szCs w:val="20"/>
                <w:color w:val="auto"/>
              </w:rPr>
            </w:pPr>
            <w:r>
              <w:rPr>
                <w:rFonts w:ascii="Arial" w:cs="Arial" w:eastAsia="Arial" w:hAnsi="Arial"/>
                <w:sz w:val="18"/>
                <w:szCs w:val="18"/>
                <w:color w:val="auto"/>
              </w:rPr>
              <w:t>Voting</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1.9</w:t>
            </w:r>
          </w:p>
        </w:tc>
        <w:tc>
          <w:tcPr>
            <w:tcW w:w="7840" w:type="dxa"/>
            <w:vAlign w:val="bottom"/>
          </w:tcPr>
          <w:p>
            <w:pPr>
              <w:ind w:left="60"/>
              <w:spacing w:after="0"/>
              <w:rPr>
                <w:sz w:val="20"/>
                <w:szCs w:val="20"/>
                <w:color w:val="auto"/>
              </w:rPr>
            </w:pPr>
            <w:r>
              <w:rPr>
                <w:rFonts w:ascii="Arial" w:cs="Arial" w:eastAsia="Arial" w:hAnsi="Arial"/>
                <w:sz w:val="18"/>
                <w:szCs w:val="18"/>
                <w:color w:val="auto"/>
              </w:rPr>
              <w:t>Stockholder Action by Written Consent Without a Meeting</w:t>
            </w: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1.10</w:t>
            </w:r>
          </w:p>
        </w:tc>
        <w:tc>
          <w:tcPr>
            <w:tcW w:w="7840" w:type="dxa"/>
            <w:vAlign w:val="bottom"/>
          </w:tcPr>
          <w:p>
            <w:pPr>
              <w:ind w:left="60"/>
              <w:spacing w:after="0"/>
              <w:rPr>
                <w:sz w:val="20"/>
                <w:szCs w:val="20"/>
                <w:color w:val="auto"/>
              </w:rPr>
            </w:pPr>
            <w:r>
              <w:rPr>
                <w:rFonts w:ascii="Arial" w:cs="Arial" w:eastAsia="Arial" w:hAnsi="Arial"/>
                <w:sz w:val="18"/>
                <w:szCs w:val="18"/>
                <w:color w:val="auto"/>
              </w:rPr>
              <w:t>Record Date for Stockholder Notice; Voting; Giving Consents</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1.11</w:t>
            </w:r>
          </w:p>
        </w:tc>
        <w:tc>
          <w:tcPr>
            <w:tcW w:w="7840" w:type="dxa"/>
            <w:vAlign w:val="bottom"/>
          </w:tcPr>
          <w:p>
            <w:pPr>
              <w:ind w:left="60"/>
              <w:spacing w:after="0"/>
              <w:rPr>
                <w:sz w:val="20"/>
                <w:szCs w:val="20"/>
                <w:color w:val="auto"/>
              </w:rPr>
            </w:pPr>
            <w:r>
              <w:rPr>
                <w:rFonts w:ascii="Arial" w:cs="Arial" w:eastAsia="Arial" w:hAnsi="Arial"/>
                <w:sz w:val="18"/>
                <w:szCs w:val="18"/>
                <w:color w:val="auto"/>
              </w:rPr>
              <w:t>Proxies</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w w:val="96"/>
              </w:rPr>
              <w:t>1.12</w:t>
            </w:r>
          </w:p>
        </w:tc>
        <w:tc>
          <w:tcPr>
            <w:tcW w:w="7840" w:type="dxa"/>
            <w:vAlign w:val="bottom"/>
          </w:tcPr>
          <w:p>
            <w:pPr>
              <w:ind w:left="60"/>
              <w:spacing w:after="0"/>
              <w:rPr>
                <w:sz w:val="20"/>
                <w:szCs w:val="20"/>
                <w:color w:val="auto"/>
              </w:rPr>
            </w:pPr>
            <w:r>
              <w:rPr>
                <w:rFonts w:ascii="Arial" w:cs="Arial" w:eastAsia="Arial" w:hAnsi="Arial"/>
                <w:sz w:val="18"/>
                <w:szCs w:val="18"/>
                <w:color w:val="auto"/>
              </w:rPr>
              <w:t>List of Stockholders Entitled to Vote</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II —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2.1</w:t>
            </w:r>
          </w:p>
        </w:tc>
        <w:tc>
          <w:tcPr>
            <w:tcW w:w="7840" w:type="dxa"/>
            <w:vAlign w:val="bottom"/>
          </w:tcPr>
          <w:p>
            <w:pPr>
              <w:ind w:left="60"/>
              <w:spacing w:after="0"/>
              <w:rPr>
                <w:sz w:val="20"/>
                <w:szCs w:val="20"/>
                <w:color w:val="auto"/>
              </w:rPr>
            </w:pPr>
            <w:r>
              <w:rPr>
                <w:rFonts w:ascii="Arial" w:cs="Arial" w:eastAsia="Arial" w:hAnsi="Arial"/>
                <w:sz w:val="18"/>
                <w:szCs w:val="18"/>
                <w:color w:val="auto"/>
              </w:rPr>
              <w:t>Powers</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2.2</w:t>
            </w:r>
          </w:p>
        </w:tc>
        <w:tc>
          <w:tcPr>
            <w:tcW w:w="7840" w:type="dxa"/>
            <w:vAlign w:val="bottom"/>
          </w:tcPr>
          <w:p>
            <w:pPr>
              <w:ind w:left="60"/>
              <w:spacing w:after="0"/>
              <w:rPr>
                <w:sz w:val="20"/>
                <w:szCs w:val="20"/>
                <w:color w:val="auto"/>
              </w:rPr>
            </w:pPr>
            <w:r>
              <w:rPr>
                <w:rFonts w:ascii="Arial" w:cs="Arial" w:eastAsia="Arial" w:hAnsi="Arial"/>
                <w:sz w:val="18"/>
                <w:szCs w:val="18"/>
                <w:color w:val="auto"/>
              </w:rPr>
              <w:t>Number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2.3</w:t>
            </w:r>
          </w:p>
        </w:tc>
        <w:tc>
          <w:tcPr>
            <w:tcW w:w="7840" w:type="dxa"/>
            <w:vAlign w:val="bottom"/>
          </w:tcPr>
          <w:p>
            <w:pPr>
              <w:ind w:left="60"/>
              <w:spacing w:after="0"/>
              <w:rPr>
                <w:sz w:val="20"/>
                <w:szCs w:val="20"/>
                <w:color w:val="auto"/>
              </w:rPr>
            </w:pPr>
            <w:r>
              <w:rPr>
                <w:rFonts w:ascii="Arial" w:cs="Arial" w:eastAsia="Arial" w:hAnsi="Arial"/>
                <w:sz w:val="18"/>
                <w:szCs w:val="18"/>
                <w:color w:val="auto"/>
              </w:rPr>
              <w:t>Election, Qualification and Term of Office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2.4</w:t>
            </w:r>
          </w:p>
        </w:tc>
        <w:tc>
          <w:tcPr>
            <w:tcW w:w="7840" w:type="dxa"/>
            <w:vAlign w:val="bottom"/>
          </w:tcPr>
          <w:p>
            <w:pPr>
              <w:ind w:left="60"/>
              <w:spacing w:after="0"/>
              <w:rPr>
                <w:sz w:val="20"/>
                <w:szCs w:val="20"/>
                <w:color w:val="auto"/>
              </w:rPr>
            </w:pPr>
            <w:r>
              <w:rPr>
                <w:rFonts w:ascii="Arial" w:cs="Arial" w:eastAsia="Arial" w:hAnsi="Arial"/>
                <w:sz w:val="18"/>
                <w:szCs w:val="18"/>
                <w:color w:val="auto"/>
              </w:rPr>
              <w:t>Resignation and Vacancies</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2.5</w:t>
            </w:r>
          </w:p>
        </w:tc>
        <w:tc>
          <w:tcPr>
            <w:tcW w:w="7840" w:type="dxa"/>
            <w:vAlign w:val="bottom"/>
          </w:tcPr>
          <w:p>
            <w:pPr>
              <w:ind w:left="60"/>
              <w:spacing w:after="0"/>
              <w:rPr>
                <w:sz w:val="20"/>
                <w:szCs w:val="20"/>
                <w:color w:val="auto"/>
              </w:rPr>
            </w:pPr>
            <w:r>
              <w:rPr>
                <w:rFonts w:ascii="Arial" w:cs="Arial" w:eastAsia="Arial" w:hAnsi="Arial"/>
                <w:sz w:val="18"/>
                <w:szCs w:val="18"/>
                <w:color w:val="auto"/>
              </w:rPr>
              <w:t>Place of Meetings; Meetings by Telephone</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2.6</w:t>
            </w:r>
          </w:p>
        </w:tc>
        <w:tc>
          <w:tcPr>
            <w:tcW w:w="7840" w:type="dxa"/>
            <w:vAlign w:val="bottom"/>
          </w:tcPr>
          <w:p>
            <w:pPr>
              <w:ind w:left="60"/>
              <w:spacing w:after="0"/>
              <w:rPr>
                <w:sz w:val="20"/>
                <w:szCs w:val="20"/>
                <w:color w:val="auto"/>
              </w:rPr>
            </w:pPr>
            <w:r>
              <w:rPr>
                <w:rFonts w:ascii="Arial" w:cs="Arial" w:eastAsia="Arial" w:hAnsi="Arial"/>
                <w:sz w:val="18"/>
                <w:szCs w:val="18"/>
                <w:color w:val="auto"/>
              </w:rPr>
              <w:t>Conduct of Business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2.7</w:t>
            </w:r>
          </w:p>
        </w:tc>
        <w:tc>
          <w:tcPr>
            <w:tcW w:w="7840" w:type="dxa"/>
            <w:vAlign w:val="bottom"/>
          </w:tcPr>
          <w:p>
            <w:pPr>
              <w:ind w:left="60"/>
              <w:spacing w:after="0"/>
              <w:rPr>
                <w:sz w:val="20"/>
                <w:szCs w:val="20"/>
                <w:color w:val="auto"/>
              </w:rPr>
            </w:pPr>
            <w:r>
              <w:rPr>
                <w:rFonts w:ascii="Arial" w:cs="Arial" w:eastAsia="Arial" w:hAnsi="Arial"/>
                <w:sz w:val="18"/>
                <w:szCs w:val="18"/>
                <w:color w:val="auto"/>
              </w:rPr>
              <w:t>Regular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2.8</w:t>
            </w:r>
          </w:p>
        </w:tc>
        <w:tc>
          <w:tcPr>
            <w:tcW w:w="7840" w:type="dxa"/>
            <w:vAlign w:val="bottom"/>
          </w:tcPr>
          <w:p>
            <w:pPr>
              <w:ind w:left="60"/>
              <w:spacing w:after="0"/>
              <w:rPr>
                <w:sz w:val="20"/>
                <w:szCs w:val="20"/>
                <w:color w:val="auto"/>
              </w:rPr>
            </w:pPr>
            <w:r>
              <w:rPr>
                <w:rFonts w:ascii="Arial" w:cs="Arial" w:eastAsia="Arial" w:hAnsi="Arial"/>
                <w:sz w:val="18"/>
                <w:szCs w:val="18"/>
                <w:color w:val="auto"/>
              </w:rPr>
              <w:t>Special Meetings; Notice</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2.9</w:t>
            </w:r>
          </w:p>
        </w:tc>
        <w:tc>
          <w:tcPr>
            <w:tcW w:w="7840" w:type="dxa"/>
            <w:vAlign w:val="bottom"/>
          </w:tcPr>
          <w:p>
            <w:pPr>
              <w:ind w:left="60"/>
              <w:spacing w:after="0"/>
              <w:rPr>
                <w:sz w:val="20"/>
                <w:szCs w:val="20"/>
                <w:color w:val="auto"/>
              </w:rPr>
            </w:pPr>
            <w:r>
              <w:rPr>
                <w:rFonts w:ascii="Arial" w:cs="Arial" w:eastAsia="Arial" w:hAnsi="Arial"/>
                <w:sz w:val="18"/>
                <w:szCs w:val="18"/>
                <w:color w:val="auto"/>
              </w:rPr>
              <w:t>Quorum; Voting</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2.10</w:t>
            </w:r>
          </w:p>
        </w:tc>
        <w:tc>
          <w:tcPr>
            <w:tcW w:w="7840" w:type="dxa"/>
            <w:vAlign w:val="bottom"/>
          </w:tcPr>
          <w:p>
            <w:pPr>
              <w:ind w:left="60"/>
              <w:spacing w:after="0"/>
              <w:rPr>
                <w:sz w:val="20"/>
                <w:szCs w:val="20"/>
                <w:color w:val="auto"/>
              </w:rPr>
            </w:pPr>
            <w:r>
              <w:rPr>
                <w:rFonts w:ascii="Arial" w:cs="Arial" w:eastAsia="Arial" w:hAnsi="Arial"/>
                <w:sz w:val="18"/>
                <w:szCs w:val="18"/>
                <w:color w:val="auto"/>
              </w:rPr>
              <w:t>Board Action by Written Consent Without a Meeting</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2.11</w:t>
            </w:r>
          </w:p>
        </w:tc>
        <w:tc>
          <w:tcPr>
            <w:tcW w:w="7840" w:type="dxa"/>
            <w:vAlign w:val="bottom"/>
          </w:tcPr>
          <w:p>
            <w:pPr>
              <w:ind w:left="60"/>
              <w:spacing w:after="0"/>
              <w:rPr>
                <w:sz w:val="20"/>
                <w:szCs w:val="20"/>
                <w:color w:val="auto"/>
              </w:rPr>
            </w:pPr>
            <w:r>
              <w:rPr>
                <w:rFonts w:ascii="Arial" w:cs="Arial" w:eastAsia="Arial" w:hAnsi="Arial"/>
                <w:sz w:val="18"/>
                <w:szCs w:val="18"/>
                <w:color w:val="auto"/>
              </w:rPr>
              <w:t>Fees and Compensation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w w:val="96"/>
              </w:rPr>
              <w:t>2.12</w:t>
            </w:r>
          </w:p>
        </w:tc>
        <w:tc>
          <w:tcPr>
            <w:tcW w:w="7840" w:type="dxa"/>
            <w:vAlign w:val="bottom"/>
          </w:tcPr>
          <w:p>
            <w:pPr>
              <w:ind w:left="60"/>
              <w:spacing w:after="0"/>
              <w:rPr>
                <w:sz w:val="20"/>
                <w:szCs w:val="20"/>
                <w:color w:val="auto"/>
              </w:rPr>
            </w:pPr>
            <w:r>
              <w:rPr>
                <w:rFonts w:ascii="Arial" w:cs="Arial" w:eastAsia="Arial" w:hAnsi="Arial"/>
                <w:sz w:val="18"/>
                <w:szCs w:val="18"/>
                <w:color w:val="auto"/>
              </w:rPr>
              <w:t>Removal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III — COMMITTEES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3.1</w:t>
            </w:r>
          </w:p>
        </w:tc>
        <w:tc>
          <w:tcPr>
            <w:tcW w:w="7840" w:type="dxa"/>
            <w:vAlign w:val="bottom"/>
          </w:tcPr>
          <w:p>
            <w:pPr>
              <w:ind w:left="60"/>
              <w:spacing w:after="0"/>
              <w:rPr>
                <w:sz w:val="20"/>
                <w:szCs w:val="20"/>
                <w:color w:val="auto"/>
              </w:rPr>
            </w:pPr>
            <w:r>
              <w:rPr>
                <w:rFonts w:ascii="Arial" w:cs="Arial" w:eastAsia="Arial" w:hAnsi="Arial"/>
                <w:sz w:val="18"/>
                <w:szCs w:val="18"/>
                <w:color w:val="auto"/>
              </w:rPr>
              <w:t>Committees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3.2</w:t>
            </w:r>
          </w:p>
        </w:tc>
        <w:tc>
          <w:tcPr>
            <w:tcW w:w="7840" w:type="dxa"/>
            <w:vAlign w:val="bottom"/>
          </w:tcPr>
          <w:p>
            <w:pPr>
              <w:ind w:left="60"/>
              <w:spacing w:after="0"/>
              <w:rPr>
                <w:sz w:val="20"/>
                <w:szCs w:val="20"/>
                <w:color w:val="auto"/>
              </w:rPr>
            </w:pPr>
            <w:r>
              <w:rPr>
                <w:rFonts w:ascii="Arial" w:cs="Arial" w:eastAsia="Arial" w:hAnsi="Arial"/>
                <w:sz w:val="18"/>
                <w:szCs w:val="18"/>
                <w:color w:val="auto"/>
              </w:rPr>
              <w:t>Committee Minutes</w:t>
            </w:r>
          </w:p>
        </w:tc>
        <w:tc>
          <w:tcPr>
            <w:tcW w:w="2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3.3</w:t>
            </w:r>
          </w:p>
        </w:tc>
        <w:tc>
          <w:tcPr>
            <w:tcW w:w="7840" w:type="dxa"/>
            <w:vAlign w:val="bottom"/>
          </w:tcPr>
          <w:p>
            <w:pPr>
              <w:ind w:left="60"/>
              <w:spacing w:after="0"/>
              <w:rPr>
                <w:sz w:val="20"/>
                <w:szCs w:val="20"/>
                <w:color w:val="auto"/>
              </w:rPr>
            </w:pPr>
            <w:r>
              <w:rPr>
                <w:rFonts w:ascii="Arial" w:cs="Arial" w:eastAsia="Arial" w:hAnsi="Arial"/>
                <w:sz w:val="18"/>
                <w:szCs w:val="18"/>
                <w:color w:val="auto"/>
              </w:rPr>
              <w:t>Meetings and Actions of Committees</w:t>
            </w:r>
          </w:p>
        </w:tc>
        <w:tc>
          <w:tcPr>
            <w:tcW w:w="2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3.4</w:t>
            </w:r>
          </w:p>
        </w:tc>
        <w:tc>
          <w:tcPr>
            <w:tcW w:w="7840" w:type="dxa"/>
            <w:vAlign w:val="bottom"/>
          </w:tcPr>
          <w:p>
            <w:pPr>
              <w:ind w:left="60"/>
              <w:spacing w:after="0"/>
              <w:rPr>
                <w:sz w:val="20"/>
                <w:szCs w:val="20"/>
                <w:color w:val="auto"/>
              </w:rPr>
            </w:pPr>
            <w:r>
              <w:rPr>
                <w:rFonts w:ascii="Arial" w:cs="Arial" w:eastAsia="Arial" w:hAnsi="Arial"/>
                <w:sz w:val="18"/>
                <w:szCs w:val="18"/>
                <w:color w:val="auto"/>
              </w:rPr>
              <w:t>Subcommittees</w:t>
            </w:r>
          </w:p>
        </w:tc>
        <w:tc>
          <w:tcPr>
            <w:tcW w:w="2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IV — OFFICERS</w:t>
            </w:r>
          </w:p>
        </w:tc>
        <w:tc>
          <w:tcPr>
            <w:tcW w:w="2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4.1</w:t>
            </w:r>
          </w:p>
        </w:tc>
        <w:tc>
          <w:tcPr>
            <w:tcW w:w="7840" w:type="dxa"/>
            <w:vAlign w:val="bottom"/>
          </w:tcPr>
          <w:p>
            <w:pPr>
              <w:ind w:left="60"/>
              <w:spacing w:after="0"/>
              <w:rPr>
                <w:sz w:val="20"/>
                <w:szCs w:val="20"/>
                <w:color w:val="auto"/>
              </w:rPr>
            </w:pPr>
            <w:r>
              <w:rPr>
                <w:rFonts w:ascii="Arial" w:cs="Arial" w:eastAsia="Arial" w:hAnsi="Arial"/>
                <w:sz w:val="18"/>
                <w:szCs w:val="18"/>
                <w:color w:val="auto"/>
              </w:rPr>
              <w:t>Officers</w:t>
            </w:r>
          </w:p>
        </w:tc>
        <w:tc>
          <w:tcPr>
            <w:tcW w:w="2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4.2</w:t>
            </w:r>
          </w:p>
        </w:tc>
        <w:tc>
          <w:tcPr>
            <w:tcW w:w="7840" w:type="dxa"/>
            <w:vAlign w:val="bottom"/>
          </w:tcPr>
          <w:p>
            <w:pPr>
              <w:ind w:left="60"/>
              <w:spacing w:after="0"/>
              <w:rPr>
                <w:sz w:val="20"/>
                <w:szCs w:val="20"/>
                <w:color w:val="auto"/>
              </w:rPr>
            </w:pPr>
            <w:r>
              <w:rPr>
                <w:rFonts w:ascii="Arial" w:cs="Arial" w:eastAsia="Arial" w:hAnsi="Arial"/>
                <w:sz w:val="18"/>
                <w:szCs w:val="18"/>
                <w:color w:val="auto"/>
              </w:rPr>
              <w:t>Appointment of Officers</w:t>
            </w:r>
          </w:p>
        </w:tc>
        <w:tc>
          <w:tcPr>
            <w:tcW w:w="2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4.3</w:t>
            </w:r>
          </w:p>
        </w:tc>
        <w:tc>
          <w:tcPr>
            <w:tcW w:w="7840" w:type="dxa"/>
            <w:vAlign w:val="bottom"/>
          </w:tcPr>
          <w:p>
            <w:pPr>
              <w:ind w:left="60"/>
              <w:spacing w:after="0"/>
              <w:rPr>
                <w:sz w:val="20"/>
                <w:szCs w:val="20"/>
                <w:color w:val="auto"/>
              </w:rPr>
            </w:pPr>
            <w:r>
              <w:rPr>
                <w:rFonts w:ascii="Arial" w:cs="Arial" w:eastAsia="Arial" w:hAnsi="Arial"/>
                <w:sz w:val="18"/>
                <w:szCs w:val="18"/>
                <w:color w:val="auto"/>
              </w:rPr>
              <w:t>Subordinate Officers</w:t>
            </w:r>
          </w:p>
        </w:tc>
        <w:tc>
          <w:tcPr>
            <w:tcW w:w="2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4.4</w:t>
            </w:r>
          </w:p>
        </w:tc>
        <w:tc>
          <w:tcPr>
            <w:tcW w:w="7840" w:type="dxa"/>
            <w:vAlign w:val="bottom"/>
          </w:tcPr>
          <w:p>
            <w:pPr>
              <w:ind w:left="60"/>
              <w:spacing w:after="0"/>
              <w:rPr>
                <w:sz w:val="20"/>
                <w:szCs w:val="20"/>
                <w:color w:val="auto"/>
              </w:rPr>
            </w:pPr>
            <w:r>
              <w:rPr>
                <w:rFonts w:ascii="Arial" w:cs="Arial" w:eastAsia="Arial" w:hAnsi="Arial"/>
                <w:sz w:val="18"/>
                <w:szCs w:val="18"/>
                <w:color w:val="auto"/>
              </w:rPr>
              <w:t>Removal and Resignation of Officers</w:t>
            </w:r>
          </w:p>
        </w:tc>
        <w:tc>
          <w:tcPr>
            <w:tcW w:w="2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4.5</w:t>
            </w:r>
          </w:p>
        </w:tc>
        <w:tc>
          <w:tcPr>
            <w:tcW w:w="7840" w:type="dxa"/>
            <w:vAlign w:val="bottom"/>
          </w:tcPr>
          <w:p>
            <w:pPr>
              <w:ind w:left="60"/>
              <w:spacing w:after="0"/>
              <w:rPr>
                <w:sz w:val="20"/>
                <w:szCs w:val="20"/>
                <w:color w:val="auto"/>
              </w:rPr>
            </w:pPr>
            <w:r>
              <w:rPr>
                <w:rFonts w:ascii="Arial" w:cs="Arial" w:eastAsia="Arial" w:hAnsi="Arial"/>
                <w:sz w:val="18"/>
                <w:szCs w:val="18"/>
                <w:color w:val="auto"/>
              </w:rPr>
              <w:t>Vacancies in Offices</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4.6</w:t>
            </w:r>
          </w:p>
        </w:tc>
        <w:tc>
          <w:tcPr>
            <w:tcW w:w="7840" w:type="dxa"/>
            <w:vAlign w:val="bottom"/>
          </w:tcPr>
          <w:p>
            <w:pPr>
              <w:ind w:left="60"/>
              <w:spacing w:after="0"/>
              <w:rPr>
                <w:sz w:val="20"/>
                <w:szCs w:val="20"/>
                <w:color w:val="auto"/>
              </w:rPr>
            </w:pPr>
            <w:r>
              <w:rPr>
                <w:rFonts w:ascii="Arial" w:cs="Arial" w:eastAsia="Arial" w:hAnsi="Arial"/>
                <w:sz w:val="18"/>
                <w:szCs w:val="18"/>
                <w:color w:val="auto"/>
              </w:rPr>
              <w:t>Representation of Shares of Other Corporations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4.7</w:t>
            </w:r>
          </w:p>
        </w:tc>
        <w:tc>
          <w:tcPr>
            <w:tcW w:w="7840" w:type="dxa"/>
            <w:vAlign w:val="bottom"/>
          </w:tcPr>
          <w:p>
            <w:pPr>
              <w:ind w:left="60"/>
              <w:spacing w:after="0"/>
              <w:rPr>
                <w:sz w:val="20"/>
                <w:szCs w:val="20"/>
                <w:color w:val="auto"/>
              </w:rPr>
            </w:pPr>
            <w:r>
              <w:rPr>
                <w:rFonts w:ascii="Arial" w:cs="Arial" w:eastAsia="Arial" w:hAnsi="Arial"/>
                <w:sz w:val="18"/>
                <w:szCs w:val="18"/>
                <w:color w:val="auto"/>
              </w:rPr>
              <w:t>Authority and Duties of Officers</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4" w:right="479" w:bottom="1440" w:gutter="0" w:footer="0" w:header="0"/>
        </w:sectPr>
      </w:pPr>
    </w:p>
    <w:bookmarkStart w:id="304" w:name="page305"/>
    <w:bookmarkEnd w:id="30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4"/>
                <w:szCs w:val="14"/>
                <w:i w:val="1"/>
                <w:iCs w:val="1"/>
                <w:color w:val="auto"/>
              </w:rPr>
              <w:t>Page</w:t>
            </w: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ARTICLE V — INDEMNIFICATION</w:t>
            </w:r>
          </w:p>
        </w:tc>
        <w:tc>
          <w:tcPr>
            <w:tcW w:w="2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5.1</w:t>
            </w:r>
          </w:p>
        </w:tc>
        <w:tc>
          <w:tcPr>
            <w:tcW w:w="8160" w:type="dxa"/>
            <w:vAlign w:val="bottom"/>
          </w:tcPr>
          <w:p>
            <w:pPr>
              <w:ind w:left="60"/>
              <w:spacing w:after="0"/>
              <w:rPr>
                <w:sz w:val="20"/>
                <w:szCs w:val="20"/>
                <w:color w:val="auto"/>
              </w:rPr>
            </w:pPr>
            <w:r>
              <w:rPr>
                <w:rFonts w:ascii="Arial" w:cs="Arial" w:eastAsia="Arial" w:hAnsi="Arial"/>
                <w:sz w:val="18"/>
                <w:szCs w:val="18"/>
                <w:color w:val="auto"/>
              </w:rPr>
              <w:t>Indemnification of Directors and Officers in Third Party Proceedings</w:t>
            </w:r>
          </w:p>
        </w:tc>
        <w:tc>
          <w:tcPr>
            <w:tcW w:w="2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5.2</w:t>
            </w:r>
          </w:p>
        </w:tc>
        <w:tc>
          <w:tcPr>
            <w:tcW w:w="8160" w:type="dxa"/>
            <w:vAlign w:val="bottom"/>
          </w:tcPr>
          <w:p>
            <w:pPr>
              <w:ind w:left="60"/>
              <w:spacing w:after="0"/>
              <w:rPr>
                <w:sz w:val="20"/>
                <w:szCs w:val="20"/>
                <w:color w:val="auto"/>
              </w:rPr>
            </w:pPr>
            <w:r>
              <w:rPr>
                <w:rFonts w:ascii="Arial" w:cs="Arial" w:eastAsia="Arial" w:hAnsi="Arial"/>
                <w:sz w:val="18"/>
                <w:szCs w:val="18"/>
                <w:color w:val="auto"/>
              </w:rPr>
              <w:t>Indemnification of Directors and Officers in Actions by or in the Right of the Company</w:t>
            </w:r>
          </w:p>
        </w:tc>
        <w:tc>
          <w:tcPr>
            <w:tcW w:w="2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5.3</w:t>
            </w:r>
          </w:p>
        </w:tc>
        <w:tc>
          <w:tcPr>
            <w:tcW w:w="8160" w:type="dxa"/>
            <w:vAlign w:val="bottom"/>
          </w:tcPr>
          <w:p>
            <w:pPr>
              <w:ind w:left="60"/>
              <w:spacing w:after="0"/>
              <w:rPr>
                <w:sz w:val="20"/>
                <w:szCs w:val="20"/>
                <w:color w:val="auto"/>
              </w:rPr>
            </w:pPr>
            <w:r>
              <w:rPr>
                <w:rFonts w:ascii="Arial" w:cs="Arial" w:eastAsia="Arial" w:hAnsi="Arial"/>
                <w:sz w:val="18"/>
                <w:szCs w:val="18"/>
                <w:color w:val="auto"/>
              </w:rPr>
              <w:t>Successful Defense</w:t>
            </w:r>
          </w:p>
        </w:tc>
        <w:tc>
          <w:tcPr>
            <w:tcW w:w="2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5.4</w:t>
            </w:r>
          </w:p>
        </w:tc>
        <w:tc>
          <w:tcPr>
            <w:tcW w:w="8160" w:type="dxa"/>
            <w:vAlign w:val="bottom"/>
          </w:tcPr>
          <w:p>
            <w:pPr>
              <w:ind w:left="60"/>
              <w:spacing w:after="0"/>
              <w:rPr>
                <w:sz w:val="20"/>
                <w:szCs w:val="20"/>
                <w:color w:val="auto"/>
              </w:rPr>
            </w:pPr>
            <w:r>
              <w:rPr>
                <w:rFonts w:ascii="Arial" w:cs="Arial" w:eastAsia="Arial" w:hAnsi="Arial"/>
                <w:sz w:val="18"/>
                <w:szCs w:val="18"/>
                <w:color w:val="auto"/>
              </w:rPr>
              <w:t>Indemnification of Others</w:t>
            </w:r>
          </w:p>
        </w:tc>
        <w:tc>
          <w:tcPr>
            <w:tcW w:w="2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5.5</w:t>
            </w:r>
          </w:p>
        </w:tc>
        <w:tc>
          <w:tcPr>
            <w:tcW w:w="8160" w:type="dxa"/>
            <w:vAlign w:val="bottom"/>
          </w:tcPr>
          <w:p>
            <w:pPr>
              <w:ind w:left="60"/>
              <w:spacing w:after="0"/>
              <w:rPr>
                <w:sz w:val="20"/>
                <w:szCs w:val="20"/>
                <w:color w:val="auto"/>
              </w:rPr>
            </w:pPr>
            <w:r>
              <w:rPr>
                <w:rFonts w:ascii="Arial" w:cs="Arial" w:eastAsia="Arial" w:hAnsi="Arial"/>
                <w:sz w:val="18"/>
                <w:szCs w:val="18"/>
                <w:color w:val="auto"/>
              </w:rPr>
              <w:t>Advancement of Expenses</w:t>
            </w:r>
          </w:p>
        </w:tc>
        <w:tc>
          <w:tcPr>
            <w:tcW w:w="2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5.6</w:t>
            </w:r>
          </w:p>
        </w:tc>
        <w:tc>
          <w:tcPr>
            <w:tcW w:w="8160" w:type="dxa"/>
            <w:vAlign w:val="bottom"/>
          </w:tcPr>
          <w:p>
            <w:pPr>
              <w:ind w:left="60"/>
              <w:spacing w:after="0"/>
              <w:rPr>
                <w:sz w:val="20"/>
                <w:szCs w:val="20"/>
                <w:color w:val="auto"/>
              </w:rPr>
            </w:pPr>
            <w:r>
              <w:rPr>
                <w:rFonts w:ascii="Arial" w:cs="Arial" w:eastAsia="Arial" w:hAnsi="Arial"/>
                <w:sz w:val="18"/>
                <w:szCs w:val="18"/>
                <w:color w:val="auto"/>
              </w:rPr>
              <w:t>Limitation on Indemnification</w:t>
            </w:r>
          </w:p>
        </w:tc>
        <w:tc>
          <w:tcPr>
            <w:tcW w:w="2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5.7</w:t>
            </w:r>
          </w:p>
        </w:tc>
        <w:tc>
          <w:tcPr>
            <w:tcW w:w="8160" w:type="dxa"/>
            <w:vAlign w:val="bottom"/>
          </w:tcPr>
          <w:p>
            <w:pPr>
              <w:ind w:left="60"/>
              <w:spacing w:after="0"/>
              <w:rPr>
                <w:sz w:val="20"/>
                <w:szCs w:val="20"/>
                <w:color w:val="auto"/>
              </w:rPr>
            </w:pPr>
            <w:r>
              <w:rPr>
                <w:rFonts w:ascii="Arial" w:cs="Arial" w:eastAsia="Arial" w:hAnsi="Arial"/>
                <w:sz w:val="18"/>
                <w:szCs w:val="18"/>
                <w:color w:val="auto"/>
              </w:rPr>
              <w:t>Determination; Claim</w:t>
            </w:r>
          </w:p>
        </w:tc>
        <w:tc>
          <w:tcPr>
            <w:tcW w:w="2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5.8</w:t>
            </w:r>
          </w:p>
        </w:tc>
        <w:tc>
          <w:tcPr>
            <w:tcW w:w="8160" w:type="dxa"/>
            <w:vAlign w:val="bottom"/>
          </w:tcPr>
          <w:p>
            <w:pPr>
              <w:ind w:left="60"/>
              <w:spacing w:after="0"/>
              <w:rPr>
                <w:sz w:val="20"/>
                <w:szCs w:val="20"/>
                <w:color w:val="auto"/>
              </w:rPr>
            </w:pPr>
            <w:r>
              <w:rPr>
                <w:rFonts w:ascii="Arial" w:cs="Arial" w:eastAsia="Arial" w:hAnsi="Arial"/>
                <w:sz w:val="18"/>
                <w:szCs w:val="18"/>
                <w:color w:val="auto"/>
              </w:rPr>
              <w:t>Non-Exclusivity of Rights</w:t>
            </w:r>
          </w:p>
        </w:tc>
        <w:tc>
          <w:tcPr>
            <w:tcW w:w="2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5.9</w:t>
            </w:r>
          </w:p>
        </w:tc>
        <w:tc>
          <w:tcPr>
            <w:tcW w:w="816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5.10</w:t>
            </w:r>
          </w:p>
        </w:tc>
        <w:tc>
          <w:tcPr>
            <w:tcW w:w="8160" w:type="dxa"/>
            <w:vAlign w:val="bottom"/>
          </w:tcPr>
          <w:p>
            <w:pPr>
              <w:ind w:left="60"/>
              <w:spacing w:after="0"/>
              <w:rPr>
                <w:sz w:val="20"/>
                <w:szCs w:val="20"/>
                <w:color w:val="auto"/>
              </w:rPr>
            </w:pPr>
            <w:r>
              <w:rPr>
                <w:rFonts w:ascii="Arial" w:cs="Arial" w:eastAsia="Arial" w:hAnsi="Arial"/>
                <w:sz w:val="18"/>
                <w:szCs w:val="18"/>
                <w:color w:val="auto"/>
              </w:rPr>
              <w:t>Survival</w:t>
            </w:r>
          </w:p>
        </w:tc>
        <w:tc>
          <w:tcPr>
            <w:tcW w:w="2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5.11</w:t>
            </w:r>
          </w:p>
        </w:tc>
        <w:tc>
          <w:tcPr>
            <w:tcW w:w="8160" w:type="dxa"/>
            <w:vAlign w:val="bottom"/>
          </w:tcPr>
          <w:p>
            <w:pPr>
              <w:ind w:left="60"/>
              <w:spacing w:after="0"/>
              <w:rPr>
                <w:sz w:val="20"/>
                <w:szCs w:val="20"/>
                <w:color w:val="auto"/>
              </w:rPr>
            </w:pPr>
            <w:r>
              <w:rPr>
                <w:rFonts w:ascii="Arial" w:cs="Arial" w:eastAsia="Arial" w:hAnsi="Arial"/>
                <w:sz w:val="18"/>
                <w:szCs w:val="18"/>
                <w:color w:val="auto"/>
              </w:rPr>
              <w:t>Effect of Repeal or Modification</w:t>
            </w:r>
          </w:p>
        </w:tc>
        <w:tc>
          <w:tcPr>
            <w:tcW w:w="2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w w:val="96"/>
              </w:rPr>
              <w:t>5.12</w:t>
            </w:r>
          </w:p>
        </w:tc>
        <w:tc>
          <w:tcPr>
            <w:tcW w:w="8160" w:type="dxa"/>
            <w:vAlign w:val="bottom"/>
          </w:tcPr>
          <w:p>
            <w:pPr>
              <w:ind w:left="60"/>
              <w:spacing w:after="0"/>
              <w:rPr>
                <w:sz w:val="20"/>
                <w:szCs w:val="20"/>
                <w:color w:val="auto"/>
              </w:rPr>
            </w:pPr>
            <w:r>
              <w:rPr>
                <w:rFonts w:ascii="Arial" w:cs="Arial" w:eastAsia="Arial" w:hAnsi="Arial"/>
                <w:sz w:val="18"/>
                <w:szCs w:val="18"/>
                <w:color w:val="auto"/>
              </w:rPr>
              <w:t>Certain Definitions</w:t>
            </w:r>
          </w:p>
        </w:tc>
        <w:tc>
          <w:tcPr>
            <w:tcW w:w="2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880" w:type="dxa"/>
            <w:vAlign w:val="bottom"/>
            <w:gridSpan w:val="2"/>
          </w:tcPr>
          <w:p>
            <w:pPr>
              <w:spacing w:after="0"/>
              <w:rPr>
                <w:sz w:val="20"/>
                <w:szCs w:val="20"/>
                <w:color w:val="auto"/>
              </w:rPr>
            </w:pPr>
            <w:r>
              <w:rPr>
                <w:rFonts w:ascii="Arial" w:cs="Arial" w:eastAsia="Arial" w:hAnsi="Arial"/>
                <w:sz w:val="18"/>
                <w:szCs w:val="18"/>
                <w:color w:val="auto"/>
              </w:rPr>
              <w:t>ARTICLE VI — STOCK</w:t>
            </w:r>
          </w:p>
        </w:tc>
        <w:tc>
          <w:tcPr>
            <w:tcW w:w="2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6.1</w:t>
            </w:r>
          </w:p>
        </w:tc>
        <w:tc>
          <w:tcPr>
            <w:tcW w:w="8160" w:type="dxa"/>
            <w:vAlign w:val="bottom"/>
          </w:tcPr>
          <w:p>
            <w:pPr>
              <w:ind w:left="60"/>
              <w:spacing w:after="0"/>
              <w:rPr>
                <w:sz w:val="20"/>
                <w:szCs w:val="20"/>
                <w:color w:val="auto"/>
              </w:rPr>
            </w:pPr>
            <w:r>
              <w:rPr>
                <w:rFonts w:ascii="Arial" w:cs="Arial" w:eastAsia="Arial" w:hAnsi="Arial"/>
                <w:sz w:val="18"/>
                <w:szCs w:val="18"/>
                <w:color w:val="auto"/>
              </w:rPr>
              <w:t>Stock Certificates; Partly Paid Shares</w:t>
            </w:r>
          </w:p>
        </w:tc>
        <w:tc>
          <w:tcPr>
            <w:tcW w:w="2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6.2</w:t>
            </w:r>
          </w:p>
        </w:tc>
        <w:tc>
          <w:tcPr>
            <w:tcW w:w="8160" w:type="dxa"/>
            <w:vAlign w:val="bottom"/>
          </w:tcPr>
          <w:p>
            <w:pPr>
              <w:ind w:left="60"/>
              <w:spacing w:after="0"/>
              <w:rPr>
                <w:sz w:val="20"/>
                <w:szCs w:val="20"/>
                <w:color w:val="auto"/>
              </w:rPr>
            </w:pPr>
            <w:r>
              <w:rPr>
                <w:rFonts w:ascii="Arial" w:cs="Arial" w:eastAsia="Arial" w:hAnsi="Arial"/>
                <w:sz w:val="18"/>
                <w:szCs w:val="18"/>
                <w:color w:val="auto"/>
              </w:rPr>
              <w:t>Special Designation on Certificates</w:t>
            </w:r>
          </w:p>
        </w:tc>
        <w:tc>
          <w:tcPr>
            <w:tcW w:w="2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6.3</w:t>
            </w:r>
          </w:p>
        </w:tc>
        <w:tc>
          <w:tcPr>
            <w:tcW w:w="8160" w:type="dxa"/>
            <w:vAlign w:val="bottom"/>
          </w:tcPr>
          <w:p>
            <w:pPr>
              <w:ind w:left="60"/>
              <w:spacing w:after="0"/>
              <w:rPr>
                <w:sz w:val="20"/>
                <w:szCs w:val="20"/>
                <w:color w:val="auto"/>
              </w:rPr>
            </w:pPr>
            <w:r>
              <w:rPr>
                <w:rFonts w:ascii="Arial" w:cs="Arial" w:eastAsia="Arial" w:hAnsi="Arial"/>
                <w:sz w:val="18"/>
                <w:szCs w:val="18"/>
                <w:color w:val="auto"/>
              </w:rPr>
              <w:t>Lost Certificates</w:t>
            </w:r>
          </w:p>
        </w:tc>
        <w:tc>
          <w:tcPr>
            <w:tcW w:w="2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6.4</w:t>
            </w:r>
          </w:p>
        </w:tc>
        <w:tc>
          <w:tcPr>
            <w:tcW w:w="8160" w:type="dxa"/>
            <w:vAlign w:val="bottom"/>
          </w:tcPr>
          <w:p>
            <w:pPr>
              <w:ind w:left="60"/>
              <w:spacing w:after="0"/>
              <w:rPr>
                <w:sz w:val="20"/>
                <w:szCs w:val="20"/>
                <w:color w:val="auto"/>
              </w:rPr>
            </w:pPr>
            <w:r>
              <w:rPr>
                <w:rFonts w:ascii="Arial" w:cs="Arial" w:eastAsia="Arial" w:hAnsi="Arial"/>
                <w:sz w:val="18"/>
                <w:szCs w:val="18"/>
                <w:color w:val="auto"/>
              </w:rPr>
              <w:t>Dividends</w:t>
            </w:r>
          </w:p>
        </w:tc>
        <w:tc>
          <w:tcPr>
            <w:tcW w:w="2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6.5</w:t>
            </w:r>
          </w:p>
        </w:tc>
        <w:tc>
          <w:tcPr>
            <w:tcW w:w="8160" w:type="dxa"/>
            <w:vAlign w:val="bottom"/>
          </w:tcPr>
          <w:p>
            <w:pPr>
              <w:ind w:left="60"/>
              <w:spacing w:after="0"/>
              <w:rPr>
                <w:sz w:val="20"/>
                <w:szCs w:val="20"/>
                <w:color w:val="auto"/>
              </w:rPr>
            </w:pPr>
            <w:r>
              <w:rPr>
                <w:rFonts w:ascii="Arial" w:cs="Arial" w:eastAsia="Arial" w:hAnsi="Arial"/>
                <w:sz w:val="18"/>
                <w:szCs w:val="18"/>
                <w:color w:val="auto"/>
              </w:rPr>
              <w:t>Stock Transfer Agreements</w:t>
            </w:r>
          </w:p>
        </w:tc>
        <w:tc>
          <w:tcPr>
            <w:tcW w:w="2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6.6</w:t>
            </w:r>
          </w:p>
        </w:tc>
        <w:tc>
          <w:tcPr>
            <w:tcW w:w="8160" w:type="dxa"/>
            <w:vAlign w:val="bottom"/>
          </w:tcPr>
          <w:p>
            <w:pPr>
              <w:ind w:left="60"/>
              <w:spacing w:after="0"/>
              <w:rPr>
                <w:sz w:val="20"/>
                <w:szCs w:val="20"/>
                <w:color w:val="auto"/>
              </w:rPr>
            </w:pPr>
            <w:r>
              <w:rPr>
                <w:rFonts w:ascii="Arial" w:cs="Arial" w:eastAsia="Arial" w:hAnsi="Arial"/>
                <w:sz w:val="18"/>
                <w:szCs w:val="18"/>
                <w:color w:val="auto"/>
              </w:rPr>
              <w:t>Registered Stockholders</w:t>
            </w:r>
          </w:p>
        </w:tc>
        <w:tc>
          <w:tcPr>
            <w:tcW w:w="2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6.7</w:t>
            </w:r>
          </w:p>
        </w:tc>
        <w:tc>
          <w:tcPr>
            <w:tcW w:w="8160" w:type="dxa"/>
            <w:vAlign w:val="bottom"/>
          </w:tcPr>
          <w:p>
            <w:pPr>
              <w:ind w:left="60"/>
              <w:spacing w:after="0"/>
              <w:rPr>
                <w:sz w:val="20"/>
                <w:szCs w:val="20"/>
                <w:color w:val="auto"/>
              </w:rPr>
            </w:pPr>
            <w:r>
              <w:rPr>
                <w:rFonts w:ascii="Arial" w:cs="Arial" w:eastAsia="Arial" w:hAnsi="Arial"/>
                <w:sz w:val="18"/>
                <w:szCs w:val="18"/>
                <w:color w:val="auto"/>
              </w:rPr>
              <w:t>Transfers</w:t>
            </w:r>
          </w:p>
        </w:tc>
        <w:tc>
          <w:tcPr>
            <w:tcW w:w="2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8880" w:type="dxa"/>
            <w:vAlign w:val="bottom"/>
            <w:gridSpan w:val="2"/>
          </w:tcPr>
          <w:p>
            <w:pPr>
              <w:spacing w:after="0"/>
              <w:rPr>
                <w:sz w:val="20"/>
                <w:szCs w:val="20"/>
                <w:color w:val="auto"/>
              </w:rPr>
            </w:pPr>
            <w:r>
              <w:rPr>
                <w:rFonts w:ascii="Arial" w:cs="Arial" w:eastAsia="Arial" w:hAnsi="Arial"/>
                <w:sz w:val="18"/>
                <w:szCs w:val="18"/>
                <w:color w:val="auto"/>
              </w:rPr>
              <w:t>ARTICLE VII — MANNER OF GIVING NOTICE AND WAIVER</w:t>
            </w:r>
          </w:p>
        </w:tc>
        <w:tc>
          <w:tcPr>
            <w:tcW w:w="2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7.1</w:t>
            </w:r>
          </w:p>
        </w:tc>
        <w:tc>
          <w:tcPr>
            <w:tcW w:w="8160" w:type="dxa"/>
            <w:vAlign w:val="bottom"/>
          </w:tcPr>
          <w:p>
            <w:pPr>
              <w:ind w:left="60"/>
              <w:spacing w:after="0"/>
              <w:rPr>
                <w:sz w:val="20"/>
                <w:szCs w:val="20"/>
                <w:color w:val="auto"/>
              </w:rPr>
            </w:pPr>
            <w:r>
              <w:rPr>
                <w:rFonts w:ascii="Arial" w:cs="Arial" w:eastAsia="Arial" w:hAnsi="Arial"/>
                <w:sz w:val="18"/>
                <w:szCs w:val="18"/>
                <w:color w:val="auto"/>
              </w:rPr>
              <w:t>Notice of Stockholder Meetings</w:t>
            </w:r>
          </w:p>
        </w:tc>
        <w:tc>
          <w:tcPr>
            <w:tcW w:w="2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7.2</w:t>
            </w:r>
          </w:p>
        </w:tc>
        <w:tc>
          <w:tcPr>
            <w:tcW w:w="8160" w:type="dxa"/>
            <w:vAlign w:val="bottom"/>
          </w:tcPr>
          <w:p>
            <w:pPr>
              <w:ind w:left="60"/>
              <w:spacing w:after="0"/>
              <w:rPr>
                <w:sz w:val="20"/>
                <w:szCs w:val="20"/>
                <w:color w:val="auto"/>
              </w:rPr>
            </w:pPr>
            <w:r>
              <w:rPr>
                <w:rFonts w:ascii="Arial" w:cs="Arial" w:eastAsia="Arial" w:hAnsi="Arial"/>
                <w:sz w:val="18"/>
                <w:szCs w:val="18"/>
                <w:color w:val="auto"/>
              </w:rPr>
              <w:t>Notice by Electronic Transmission</w:t>
            </w:r>
          </w:p>
        </w:tc>
        <w:tc>
          <w:tcPr>
            <w:tcW w:w="2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7.3</w:t>
            </w:r>
          </w:p>
        </w:tc>
        <w:tc>
          <w:tcPr>
            <w:tcW w:w="8160" w:type="dxa"/>
            <w:vAlign w:val="bottom"/>
          </w:tcPr>
          <w:p>
            <w:pPr>
              <w:ind w:left="60"/>
              <w:spacing w:after="0"/>
              <w:rPr>
                <w:sz w:val="20"/>
                <w:szCs w:val="20"/>
                <w:color w:val="auto"/>
              </w:rPr>
            </w:pPr>
            <w:r>
              <w:rPr>
                <w:rFonts w:ascii="Arial" w:cs="Arial" w:eastAsia="Arial" w:hAnsi="Arial"/>
                <w:sz w:val="18"/>
                <w:szCs w:val="18"/>
                <w:color w:val="auto"/>
              </w:rPr>
              <w:t>Notice to Stockholders Sharing an Address</w:t>
            </w:r>
          </w:p>
        </w:tc>
        <w:tc>
          <w:tcPr>
            <w:tcW w:w="2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7.4</w:t>
            </w:r>
          </w:p>
        </w:tc>
        <w:tc>
          <w:tcPr>
            <w:tcW w:w="8160" w:type="dxa"/>
            <w:vAlign w:val="bottom"/>
          </w:tcPr>
          <w:p>
            <w:pPr>
              <w:ind w:left="60"/>
              <w:spacing w:after="0"/>
              <w:rPr>
                <w:sz w:val="20"/>
                <w:szCs w:val="20"/>
                <w:color w:val="auto"/>
              </w:rPr>
            </w:pPr>
            <w:r>
              <w:rPr>
                <w:rFonts w:ascii="Arial" w:cs="Arial" w:eastAsia="Arial" w:hAnsi="Arial"/>
                <w:sz w:val="18"/>
                <w:szCs w:val="18"/>
                <w:color w:val="auto"/>
              </w:rPr>
              <w:t>Notice to Person with Whom Communication is Unlawful</w:t>
            </w:r>
          </w:p>
        </w:tc>
        <w:tc>
          <w:tcPr>
            <w:tcW w:w="2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7.5</w:t>
            </w:r>
          </w:p>
        </w:tc>
        <w:tc>
          <w:tcPr>
            <w:tcW w:w="8160" w:type="dxa"/>
            <w:vAlign w:val="bottom"/>
          </w:tcPr>
          <w:p>
            <w:pPr>
              <w:ind w:left="60"/>
              <w:spacing w:after="0"/>
              <w:rPr>
                <w:sz w:val="20"/>
                <w:szCs w:val="20"/>
                <w:color w:val="auto"/>
              </w:rPr>
            </w:pPr>
            <w:r>
              <w:rPr>
                <w:rFonts w:ascii="Arial" w:cs="Arial" w:eastAsia="Arial" w:hAnsi="Arial"/>
                <w:sz w:val="18"/>
                <w:szCs w:val="18"/>
                <w:color w:val="auto"/>
              </w:rPr>
              <w:t>Waiver of Notice</w:t>
            </w:r>
          </w:p>
        </w:tc>
        <w:tc>
          <w:tcPr>
            <w:tcW w:w="2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880" w:type="dxa"/>
            <w:vAlign w:val="bottom"/>
            <w:gridSpan w:val="2"/>
          </w:tcPr>
          <w:p>
            <w:pPr>
              <w:spacing w:after="0"/>
              <w:rPr>
                <w:sz w:val="20"/>
                <w:szCs w:val="20"/>
                <w:color w:val="auto"/>
              </w:rPr>
            </w:pPr>
            <w:r>
              <w:rPr>
                <w:rFonts w:ascii="Arial" w:cs="Arial" w:eastAsia="Arial" w:hAnsi="Arial"/>
                <w:sz w:val="18"/>
                <w:szCs w:val="18"/>
                <w:color w:val="auto"/>
              </w:rPr>
              <w:t>ARTICLE VIII — GENERAL MATTERS</w:t>
            </w:r>
          </w:p>
        </w:tc>
        <w:tc>
          <w:tcPr>
            <w:tcW w:w="2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8.1</w:t>
            </w:r>
          </w:p>
        </w:tc>
        <w:tc>
          <w:tcPr>
            <w:tcW w:w="8160" w:type="dxa"/>
            <w:vAlign w:val="bottom"/>
          </w:tcPr>
          <w:p>
            <w:pPr>
              <w:ind w:left="60"/>
              <w:spacing w:after="0"/>
              <w:rPr>
                <w:sz w:val="20"/>
                <w:szCs w:val="20"/>
                <w:color w:val="auto"/>
              </w:rPr>
            </w:pPr>
            <w:r>
              <w:rPr>
                <w:rFonts w:ascii="Arial" w:cs="Arial" w:eastAsia="Arial" w:hAnsi="Arial"/>
                <w:sz w:val="18"/>
                <w:szCs w:val="18"/>
                <w:color w:val="auto"/>
              </w:rPr>
              <w:t>Fiscal Year</w:t>
            </w:r>
          </w:p>
        </w:tc>
        <w:tc>
          <w:tcPr>
            <w:tcW w:w="2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8.2</w:t>
            </w:r>
          </w:p>
        </w:tc>
        <w:tc>
          <w:tcPr>
            <w:tcW w:w="8160" w:type="dxa"/>
            <w:vAlign w:val="bottom"/>
          </w:tcPr>
          <w:p>
            <w:pPr>
              <w:ind w:left="60"/>
              <w:spacing w:after="0"/>
              <w:rPr>
                <w:sz w:val="20"/>
                <w:szCs w:val="20"/>
                <w:color w:val="auto"/>
              </w:rPr>
            </w:pPr>
            <w:r>
              <w:rPr>
                <w:rFonts w:ascii="Arial" w:cs="Arial" w:eastAsia="Arial" w:hAnsi="Arial"/>
                <w:sz w:val="18"/>
                <w:szCs w:val="18"/>
                <w:color w:val="auto"/>
              </w:rPr>
              <w:t>Seal</w:t>
            </w:r>
          </w:p>
        </w:tc>
        <w:tc>
          <w:tcPr>
            <w:tcW w:w="2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8.3</w:t>
            </w:r>
          </w:p>
        </w:tc>
        <w:tc>
          <w:tcPr>
            <w:tcW w:w="8160" w:type="dxa"/>
            <w:vAlign w:val="bottom"/>
          </w:tcPr>
          <w:p>
            <w:pPr>
              <w:ind w:left="60"/>
              <w:spacing w:after="0"/>
              <w:rPr>
                <w:sz w:val="20"/>
                <w:szCs w:val="20"/>
                <w:color w:val="auto"/>
              </w:rPr>
            </w:pPr>
            <w:r>
              <w:rPr>
                <w:rFonts w:ascii="Arial" w:cs="Arial" w:eastAsia="Arial" w:hAnsi="Arial"/>
                <w:sz w:val="18"/>
                <w:szCs w:val="18"/>
                <w:color w:val="auto"/>
              </w:rPr>
              <w:t>Annual Report</w:t>
            </w:r>
          </w:p>
        </w:tc>
        <w:tc>
          <w:tcPr>
            <w:tcW w:w="2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8.4</w:t>
            </w:r>
          </w:p>
        </w:tc>
        <w:tc>
          <w:tcPr>
            <w:tcW w:w="8160" w:type="dxa"/>
            <w:vAlign w:val="bottom"/>
          </w:tcPr>
          <w:p>
            <w:pPr>
              <w:ind w:left="60"/>
              <w:spacing w:after="0"/>
              <w:rPr>
                <w:sz w:val="20"/>
                <w:szCs w:val="20"/>
                <w:color w:val="auto"/>
              </w:rPr>
            </w:pPr>
            <w:r>
              <w:rPr>
                <w:rFonts w:ascii="Arial" w:cs="Arial" w:eastAsia="Arial" w:hAnsi="Arial"/>
                <w:sz w:val="18"/>
                <w:szCs w:val="18"/>
                <w:color w:val="auto"/>
              </w:rPr>
              <w:t>Construction; Definitions</w:t>
            </w:r>
          </w:p>
        </w:tc>
        <w:tc>
          <w:tcPr>
            <w:tcW w:w="2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8.5</w:t>
            </w:r>
          </w:p>
        </w:tc>
        <w:tc>
          <w:tcPr>
            <w:tcW w:w="8160" w:type="dxa"/>
            <w:vAlign w:val="bottom"/>
          </w:tcPr>
          <w:p>
            <w:pPr>
              <w:ind w:left="60"/>
              <w:spacing w:after="0"/>
              <w:rPr>
                <w:sz w:val="20"/>
                <w:szCs w:val="20"/>
                <w:color w:val="auto"/>
              </w:rPr>
            </w:pPr>
            <w:r>
              <w:rPr>
                <w:rFonts w:ascii="Arial" w:cs="Arial" w:eastAsia="Arial" w:hAnsi="Arial"/>
                <w:sz w:val="18"/>
                <w:szCs w:val="18"/>
                <w:color w:val="auto"/>
              </w:rPr>
              <w:t>Conflict with Applicable Law or Certificate of Incorporation</w:t>
            </w:r>
          </w:p>
        </w:tc>
        <w:tc>
          <w:tcPr>
            <w:tcW w:w="2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880" w:type="dxa"/>
            <w:vAlign w:val="bottom"/>
            <w:gridSpan w:val="2"/>
          </w:tcPr>
          <w:p>
            <w:pPr>
              <w:spacing w:after="0"/>
              <w:rPr>
                <w:sz w:val="20"/>
                <w:szCs w:val="20"/>
                <w:color w:val="auto"/>
              </w:rPr>
            </w:pPr>
            <w:r>
              <w:rPr>
                <w:rFonts w:ascii="Arial" w:cs="Arial" w:eastAsia="Arial" w:hAnsi="Arial"/>
                <w:sz w:val="18"/>
                <w:szCs w:val="18"/>
                <w:color w:val="auto"/>
              </w:rPr>
              <w:t>ARTICLE IX — AMENDMENTS</w:t>
            </w:r>
          </w:p>
        </w:tc>
        <w:tc>
          <w:tcPr>
            <w:tcW w:w="2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65"/>
        </w:trPr>
        <w:tc>
          <w:tcPr>
            <w:tcW w:w="720" w:type="dxa"/>
            <w:vAlign w:val="bottom"/>
          </w:tcPr>
          <w:p>
            <w:pPr>
              <w:spacing w:after="0"/>
              <w:rPr>
                <w:sz w:val="24"/>
                <w:szCs w:val="24"/>
                <w:color w:val="auto"/>
              </w:rPr>
            </w:pPr>
          </w:p>
        </w:tc>
        <w:tc>
          <w:tcPr>
            <w:tcW w:w="8160" w:type="dxa"/>
            <w:vAlign w:val="bottom"/>
          </w:tcPr>
          <w:p>
            <w:pPr>
              <w:ind w:left="4680"/>
              <w:spacing w:after="0"/>
              <w:rPr>
                <w:sz w:val="20"/>
                <w:szCs w:val="20"/>
                <w:color w:val="auto"/>
              </w:rPr>
            </w:pPr>
            <w:r>
              <w:rPr>
                <w:rFonts w:ascii="Arial" w:cs="Arial" w:eastAsia="Arial" w:hAnsi="Arial"/>
                <w:sz w:val="18"/>
                <w:szCs w:val="18"/>
                <w:color w:val="auto"/>
              </w:rPr>
              <w:t>-ii-</w:t>
            </w:r>
          </w:p>
        </w:tc>
        <w:tc>
          <w:tcPr>
            <w:tcW w:w="2100" w:type="dxa"/>
            <w:vAlign w:val="bottom"/>
          </w:tcPr>
          <w:p>
            <w:pPr>
              <w:spacing w:after="0"/>
              <w:rPr>
                <w:sz w:val="24"/>
                <w:szCs w:val="24"/>
                <w:color w:val="auto"/>
              </w:rPr>
            </w:pPr>
          </w:p>
        </w:tc>
      </w:tr>
    </w:tbl>
    <w:p>
      <w:pPr>
        <w:sectPr>
          <w:pgSz w:w="11900" w:h="16838" w:orient="portrait"/>
          <w:cols w:equalWidth="0" w:num="1">
            <w:col w:w="10980"/>
          </w:cols>
          <w:pgMar w:left="440" w:top="269" w:right="479" w:bottom="1440" w:gutter="0" w:footer="0" w:header="0"/>
        </w:sectPr>
      </w:pPr>
    </w:p>
    <w:bookmarkStart w:id="305" w:name="page306"/>
    <w:bookmarkEnd w:id="30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BYLAWS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 — MEETINGS OF STOCKHOLDERS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u w:val="single" w:color="auto"/>
          <w:color w:val="auto"/>
        </w:rPr>
        <w:t>Place of Meetings</w:t>
      </w:r>
    </w:p>
    <w:p>
      <w:pPr>
        <w:spacing w:after="0" w:line="12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Meetings of stockholders of 4D Molecular Therapeutics, Inc. (the “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shall be held at any place, within or outside the State of Delaware, as determined by the Company’s board of directors (the “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xml:space="preserve">”). The Board may, in its sole discretion, determine that a meeting of stockholders shall not be held at any place, but may instead be held solely by means of remote communication as authorized by Section 211(a)(2) of the Delaware General Corporation Law (the “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In the absence of any such determination by the Board, meetings of stockholders shall be held at the Company’s principal executive office.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u w:val="single" w:color="auto"/>
          <w:color w:val="auto"/>
        </w:rPr>
        <w:t>Annual Meeting</w:t>
      </w:r>
    </w:p>
    <w:p>
      <w:pPr>
        <w:spacing w:after="0" w:line="121"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An annual meeting of stockholders shall be held for the election of directors on such date and at such time as may be designated by resolution of the Board from time to time. Any other proper business may be transacted at the annual meeting of stockholders. Notwithstanding the foregoing, the Company shall not be required to hold an annual meeting of stockholders, provided that (i) the stockholders are permitted to act by written consent under the Company’s certificate of incorporation and these bylaws, (ii) the stockholders take action by written consent to elect directors, and (iii) the stockholders unanimously consent to such action or, if such consent is less than unanimous, all of the directorships to which directors could be elected at an annual meeting held at the effective time of such action are vacant and are filled by such action.</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u w:val="single" w:color="auto"/>
          <w:color w:val="auto"/>
        </w:rPr>
        <w:t>Special Meeting</w:t>
      </w:r>
    </w:p>
    <w:p>
      <w:pPr>
        <w:spacing w:after="0" w:line="12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A special meeting of stockholders may be called at any time by the Board, Chairperson of the Board, Chief Executive Officer or President (in the absence of a Chief Executive Officer).</w:t>
      </w:r>
    </w:p>
    <w:p>
      <w:pPr>
        <w:spacing w:after="0" w:line="170"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 xml:space="preserve">At any time or times that the Company is subject to Section 2115(b) of the California Corporations Code (the “ </w:t>
      </w:r>
      <w:r>
        <w:rPr>
          <w:rFonts w:ascii="Arial" w:cs="Arial" w:eastAsia="Arial" w:hAnsi="Arial"/>
          <w:sz w:val="18"/>
          <w:szCs w:val="18"/>
          <w:b w:val="1"/>
          <w:bCs w:val="1"/>
          <w:i w:val="1"/>
          <w:iCs w:val="1"/>
          <w:color w:val="auto"/>
        </w:rPr>
        <w:t>CCC</w:t>
      </w:r>
      <w:r>
        <w:rPr>
          <w:rFonts w:ascii="Arial" w:cs="Arial" w:eastAsia="Arial" w:hAnsi="Arial"/>
          <w:sz w:val="18"/>
          <w:szCs w:val="18"/>
          <w:color w:val="auto"/>
        </w:rPr>
        <w:t>”), stockholders holding 5% or more of the outstanding shares shall have the right to call a special meeting of stockholders as set forth in Section 2.4.</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person(s) other than the Board calls a special meeting, the request shall:</w:t>
      </w:r>
    </w:p>
    <w:p>
      <w:pPr>
        <w:spacing w:after="0" w:line="117" w:lineRule="exact"/>
        <w:rPr>
          <w:sz w:val="20"/>
          <w:szCs w:val="20"/>
          <w:color w:val="auto"/>
        </w:rPr>
      </w:pPr>
    </w:p>
    <w:p>
      <w:pPr>
        <w:ind w:left="1220" w:hanging="224"/>
        <w:spacing w:after="0"/>
        <w:tabs>
          <w:tab w:leader="none" w:pos="12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be in writing;</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specify the general nature of the business proposed to be transacted; and</w:t>
      </w:r>
    </w:p>
    <w:p>
      <w:pPr>
        <w:spacing w:after="0" w:line="225" w:lineRule="exact"/>
        <w:rPr>
          <w:rFonts w:ascii="Arial" w:cs="Arial" w:eastAsia="Arial" w:hAnsi="Arial"/>
          <w:sz w:val="18"/>
          <w:szCs w:val="18"/>
          <w:color w:val="auto"/>
        </w:rPr>
      </w:pPr>
    </w:p>
    <w:p>
      <w:pPr>
        <w:ind w:right="380" w:firstLine="996"/>
        <w:spacing w:after="0" w:line="277" w:lineRule="auto"/>
        <w:tabs>
          <w:tab w:leader="none" w:pos="130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be delivered personally or sent by registered mail, return receipt requested, or by facsimile transmission to the Chairperson of the Board, Chief Executive Officer, President (in the absence of a Chief Executive Officer) or Secretary.</w:t>
      </w:r>
    </w:p>
    <w:p>
      <w:pPr>
        <w:sectPr>
          <w:pgSz w:w="11900" w:h="16838" w:orient="portrait"/>
          <w:cols w:equalWidth="0" w:num="1">
            <w:col w:w="11000"/>
          </w:cols>
          <w:pgMar w:left="440" w:top="269" w:right="459" w:bottom="1440" w:gutter="0" w:footer="0" w:header="0"/>
        </w:sectPr>
      </w:pPr>
    </w:p>
    <w:bookmarkStart w:id="306" w:name="page307"/>
    <w:bookmarkEnd w:id="306"/>
    <w:p>
      <w:pPr>
        <w:ind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officer(s) of the Company receiving the request shall cause notice to be promptly given to the stockholders entitled to vote at such meeting, in accordance with these bylaws, that a meeting will be held at the place and time determined by the Board, which shall not be fewer than 30 nor more than 120 days after the date of receipt of the request. No business may be transacted at such special meeting other than the business specified in such notice to stockholders. Nothing contained in this paragraph of this Section 1.3 shall be construed as limiting, fixing or affecting the time when a meeting of stockholders called by action of the Board may be held.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u w:val="single" w:color="auto"/>
          <w:color w:val="auto"/>
        </w:rPr>
        <w:t>Notice of Meetings</w:t>
      </w:r>
    </w:p>
    <w:p>
      <w:pPr>
        <w:spacing w:after="0" w:line="121"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Whenever stockholders are required or permitted to take any action at a meeting, a written notice of the meeting shall be given which shall state the place, if any, date and hour of the meeting, the means of remote communication,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written notice of any meeting of stockholders shall be given not fewer than 10 nor more than 60 days before the date of the meeting to each stockholder entitled to vote at such meeting as of the record date for determining the stockholders entitled to notice of the meeting.</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u w:val="single" w:color="auto"/>
          <w:color w:val="auto"/>
        </w:rPr>
        <w:t>Quorum</w:t>
      </w:r>
    </w:p>
    <w:p>
      <w:pPr>
        <w:spacing w:after="0" w:line="121"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Except as otherwise provided in the DGCL, the certificate of incorporation or these bylaws, at each meeting of stockholders the presence in person or by proxy of the holders of shares of stock having a majority of the votes which could be cast by the holders of all outstanding shares of stock entitled to vote at the meeting shall be necessary and sufficient to constitute a quorum; provided that, where a separate vote by a class or series or classes or series is required, a majority of the outstanding shares of such class or series or classes or series, present in person or represented by proxy, shall constitute a quorum entitled to take action with respect to that vote on that matter.</w:t>
      </w:r>
    </w:p>
    <w:p>
      <w:pPr>
        <w:spacing w:after="0" w:line="173"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If, however, such quorum is not present or represented at any meeting of stockholders, then either (i) the Chairperson of the Meeting (as defined in Section 1.7) or (ii) the holders of a majority of the shares present or represented at the meeting shall have the power to adjourn the meeting from time to time, in the manner provided in Section 1.6, until a quorum is present or represented. A quorum, once established, shall not be broken by the subsequent withdrawal of enough votes to leave less than a quorum.</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u w:val="single" w:color="auto"/>
          <w:color w:val="auto"/>
        </w:rPr>
        <w:t>Adjourned Meeting; Notice</w:t>
      </w:r>
    </w:p>
    <w:p>
      <w:pPr>
        <w:spacing w:after="0" w:line="121"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Any meeting of stockholders may adjourn from time to time to reconvene at the same or some other place, and notice need not be given of the adjourned meeting if the time, place, if any, thereof, and the means of remote communication, if any, by which stockholders and proxy holders may be deemed to be present in person and vote at such adjourned meeting are announced at the meeting at which the adjournment is taken. At the adjourned meeting, the Company may transact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307" w:name="page308"/>
    <w:bookmarkEnd w:id="307"/>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the DGCL and shall give notice of the adjourned meeting to each stockholder of record entitled to vote at such adjourned meeting as of the record date fixed for notice of such adjourned meeting.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u w:val="single" w:color="auto"/>
          <w:color w:val="auto"/>
        </w:rPr>
        <w:t>Conduct of Business</w:t>
      </w:r>
    </w:p>
    <w:p>
      <w:pPr>
        <w:spacing w:after="0" w:line="121"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 xml:space="preserve">Each meeting of stockholders shall be presided over by the Chairperson of the Board, if any, or in his or her absence by the Vice Chairperson of the Board, if any, or in the absence of the foregoing persons by the Chief Executive Officer, or in the absence of the foregoing persons by the President, or in the absence of the foregoing persons by a Vice President, or in the absence of the foregoing persons by a chairperson of such meeting designated by the Board, or in the absence of such designation by a chairperson chosen at such meeting by the holders of a majority of the shares present or represented at such meeting (such presiding person, the “ </w:t>
      </w:r>
      <w:r>
        <w:rPr>
          <w:rFonts w:ascii="Arial" w:cs="Arial" w:eastAsia="Arial" w:hAnsi="Arial"/>
          <w:sz w:val="16"/>
          <w:szCs w:val="16"/>
          <w:b w:val="1"/>
          <w:bCs w:val="1"/>
          <w:i w:val="1"/>
          <w:iCs w:val="1"/>
          <w:color w:val="auto"/>
        </w:rPr>
        <w:t>Chairperson of the Meeting</w:t>
      </w:r>
      <w:r>
        <w:rPr>
          <w:rFonts w:ascii="Arial" w:cs="Arial" w:eastAsia="Arial" w:hAnsi="Arial"/>
          <w:sz w:val="16"/>
          <w:szCs w:val="16"/>
          <w:color w:val="auto"/>
        </w:rPr>
        <w:t>”). The Secretary shall act as secretary of each meeting, but in his or her absence the Chairperson of the Meeting may appoint any person to act as secretary of such meeting. The Chairperson of the Meeting shall determine the order of business and the procedure at the meeting, including such regulation of the manner of voting and the conduct of business.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u w:val="single" w:color="auto"/>
          <w:color w:val="auto"/>
        </w:rPr>
        <w:t>Voting</w:t>
      </w:r>
    </w:p>
    <w:p>
      <w:pPr>
        <w:spacing w:after="0" w:line="121"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The stockholders entitled to vote at any meeting of stockholders shall be determined in accordance with the provisions of Section 1.10, subject to Section 217 of the DGCL (relating to voting rights of fiduciaries, pledgors and joint owners of stock) and Section 218 of the DGCL (relating to voting trusts and other voting agreements).</w:t>
      </w:r>
    </w:p>
    <w:p>
      <w:pPr>
        <w:spacing w:after="0" w:line="181"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Unless otherwise provided in the certificate of incorporation and subject to Section 1.10, each stockholder entitled to vote at any meeting of stockholders shall be entitled to one vote for each share of capital stock held by such stockholder which has voting power upon the matter in question. Elections of directors need not be by written ballot and, unless otherwise required by law, need not be conducted by inspectors of election unless so determined by the holders of shares of stock having a majority of the votes which could be cast by the holders of all outstanding shares of stock entitled to vote thereon which are present in person or by proxy at such meeting. If authorized by the Board, such requirement of a written ballot shall be satisfied by a ballot submitted by electronic transmission, provided that any such electronic transmission must either set forth or be submitted with information from which it can be determined that the electronic transmission was authorized by the stockholder or proxy holder.</w:t>
      </w:r>
    </w:p>
    <w:p>
      <w:pPr>
        <w:spacing w:after="0" w:line="16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Except as otherwise provided in the DGCL, the certificate of incorporation or these bylaws, (i) in all matters other than the election of directors, the affirmative vote of the majority of the voting power of the shares present in person or represented by proxy at the meeting and entitled to vote on the subject matter shall be the act of the stockholders, (ii) directors shall be elected by a plurality of the voting power of the shares present in person or represented by proxy at the meeting and entitled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308" w:name="page309"/>
    <w:bookmarkEnd w:id="308"/>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vote on the election of directors, and (iii) where a separate vote by a class or series or classes or series is required, in all matters other than the election of directors, the affirmative vote of the majority of shares of such class or series or classes or series present in person or represented by proxy at the meeting shall be the act of such class or series or classes or series.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u w:val="single" w:color="auto"/>
          <w:color w:val="auto"/>
        </w:rPr>
        <w:t>Stockholder Action by Written Consent Without a Meeting</w:t>
      </w:r>
    </w:p>
    <w:p>
      <w:pPr>
        <w:spacing w:after="0" w:line="121"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Unless otherwise provided in the certificate of incorporation, any action required by the DGCL to be taken at any annual or special meeting of stockholders,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88"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Every written consent (other than a written consent by electronic transmission) shall bear the date of signature of each stockholder who signs the consent, and no written consent shall be effective to take the corporate action referred to therein unless, within 60 days of the earliest dated consent delivered to the Company in the manner herein required, written consents signed by a sufficient number of stockholders to take action are delivered to the Company by delivery to its registered office in the State of Delaware, its principal place of business or an officer or agent of the Company having custody of the book in which proceedings of meetings of stockholders are recorded. Delivery made to the Company’s registered office shall be by hand or by certified or registered mail, return receipt requested.</w:t>
      </w:r>
    </w:p>
    <w:p>
      <w:pPr>
        <w:spacing w:after="0" w:line="193"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An electronic transmission consenting to an action to be taken and transmitted by a stockholder or proxy holder, or by a person or persons authorized to act for a stockholder or proxy holder, shall be deemed to be written, signed and dated for purposes of this Section 1.9, provided that any such electronic transmission sets forth or is delivered with information from which the Company can determine (i) that the electronic transmission was transmitted by the stockholder or proxy holder or by a person or persons authorized to act for the stockholder or proxy holder and (ii) the date on which such stockholder or proxy holder or authorized person or persons transmitted such electronic transmission. The date on which such electronic transmission is transmitted shall be deemed to be the date on which such consent was signed.</w:t>
      </w:r>
    </w:p>
    <w:p>
      <w:pPr>
        <w:spacing w:after="0" w:line="178" w:lineRule="exact"/>
        <w:rPr>
          <w:sz w:val="20"/>
          <w:szCs w:val="20"/>
          <w:color w:val="auto"/>
        </w:rPr>
      </w:pPr>
    </w:p>
    <w:p>
      <w:pPr>
        <w:jc w:val="both"/>
        <w:ind w:right="100" w:firstLine="441"/>
        <w:spacing w:after="0" w:line="257" w:lineRule="auto"/>
        <w:rPr>
          <w:sz w:val="20"/>
          <w:szCs w:val="20"/>
          <w:color w:val="auto"/>
        </w:rPr>
      </w:pPr>
      <w:r>
        <w:rPr>
          <w:rFonts w:ascii="Arial" w:cs="Arial" w:eastAsia="Arial" w:hAnsi="Arial"/>
          <w:sz w:val="18"/>
          <w:szCs w:val="18"/>
          <w:color w:val="auto"/>
        </w:rPr>
        <w:t>Notwithstanding the foregoing, in the event that the Board shall have instructed the officers of the Company to solicit the vote or written consent of the stockholders of the Company, an electronic transmission of a stockholder written consent given pursuant to such solicitation may be delivered to the Secretary or President (or to a person designated by the Secretary or President). The Secretary or President (or a person designated by the Secretary or President) shall cause any such written consent by electronic transmission to be reproduced in paper form and inserted into the Company’s corporate records.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09" w:name="page310"/>
    <w:bookmarkEnd w:id="30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1.10 </w:t>
      </w:r>
      <w:r>
        <w:rPr>
          <w:rFonts w:ascii="Arial" w:cs="Arial" w:eastAsia="Arial" w:hAnsi="Arial"/>
          <w:sz w:val="18"/>
          <w:szCs w:val="18"/>
          <w:b w:val="1"/>
          <w:bCs w:val="1"/>
          <w:u w:val="single" w:color="auto"/>
          <w:color w:val="auto"/>
        </w:rPr>
        <w:t>Record Date for Stockholder Notice; Voting; Giving Consents</w:t>
      </w:r>
    </w:p>
    <w:p>
      <w:pPr>
        <w:spacing w:after="0" w:line="12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In order that the Company may determine the stockholders entitled to notice of or to vote at any meeting of stockholders or any adjournment thereof, or entitled to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by the Board, and which record date:</w:t>
      </w:r>
    </w:p>
    <w:p>
      <w:pPr>
        <w:spacing w:after="0" w:line="80" w:lineRule="exact"/>
        <w:rPr>
          <w:sz w:val="20"/>
          <w:szCs w:val="20"/>
          <w:color w:val="auto"/>
        </w:rPr>
      </w:pPr>
    </w:p>
    <w:p>
      <w:pPr>
        <w:ind w:right="140" w:firstLine="996"/>
        <w:spacing w:after="0" w:line="308" w:lineRule="auto"/>
        <w:tabs>
          <w:tab w:leader="none" w:pos="1207" w:val="left"/>
        </w:tabs>
        <w:numPr>
          <w:ilvl w:val="0"/>
          <w:numId w:val="201"/>
        </w:numPr>
        <w:rPr>
          <w:rFonts w:ascii="Arial" w:cs="Arial" w:eastAsia="Arial" w:hAnsi="Arial"/>
          <w:sz w:val="17"/>
          <w:szCs w:val="17"/>
          <w:color w:val="auto"/>
        </w:rPr>
      </w:pPr>
      <w:r>
        <w:rPr>
          <w:rFonts w:ascii="Arial" w:cs="Arial" w:eastAsia="Arial" w:hAnsi="Arial"/>
          <w:sz w:val="17"/>
          <w:szCs w:val="17"/>
          <w:color w:val="auto"/>
        </w:rPr>
        <w:t>in the case of determination of stockholders entitled to notice of or to vote at any meeting of stockholders or any adjournment thereof, shall, unless otherwise required by the DGCL, not be more than 60 nor fewer than 10 days before the date of such meeting;</w:t>
      </w:r>
    </w:p>
    <w:p>
      <w:pPr>
        <w:spacing w:after="0" w:line="38" w:lineRule="exact"/>
        <w:rPr>
          <w:rFonts w:ascii="Arial" w:cs="Arial" w:eastAsia="Arial" w:hAnsi="Arial"/>
          <w:sz w:val="17"/>
          <w:szCs w:val="17"/>
          <w:color w:val="auto"/>
        </w:rPr>
      </w:pPr>
    </w:p>
    <w:p>
      <w:pPr>
        <w:ind w:right="40" w:firstLine="996"/>
        <w:spacing w:after="0" w:line="277" w:lineRule="auto"/>
        <w:tabs>
          <w:tab w:leader="none" w:pos="125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the case of determination of stockholders entitled to consent to corporate action in writing without a meeting, shall not be more than 10 days after the date upon which the resolution fixing the record date is adopted by the Board; and</w:t>
      </w:r>
    </w:p>
    <w:p>
      <w:pPr>
        <w:spacing w:after="0" w:line="62" w:lineRule="exact"/>
        <w:rPr>
          <w:rFonts w:ascii="Arial" w:cs="Arial" w:eastAsia="Arial" w:hAnsi="Arial"/>
          <w:sz w:val="18"/>
          <w:szCs w:val="18"/>
          <w:color w:val="auto"/>
        </w:rPr>
      </w:pPr>
    </w:p>
    <w:p>
      <w:pPr>
        <w:ind w:left="1320" w:hanging="324"/>
        <w:spacing w:after="0"/>
        <w:tabs>
          <w:tab w:leader="none" w:pos="13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the case of determination of stockholders for any other action, shall not be more than 60 days prior to such action.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no record date is fixed by the Board:</w:t>
      </w:r>
    </w:p>
    <w:p>
      <w:pPr>
        <w:spacing w:after="0" w:line="117" w:lineRule="exact"/>
        <w:rPr>
          <w:sz w:val="20"/>
          <w:szCs w:val="20"/>
          <w:color w:val="auto"/>
        </w:rPr>
      </w:pPr>
    </w:p>
    <w:p>
      <w:pPr>
        <w:ind w:right="20" w:firstLine="996"/>
        <w:spacing w:after="0" w:line="264" w:lineRule="auto"/>
        <w:tabs>
          <w:tab w:leader="none" w:pos="120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73" w:lineRule="exact"/>
        <w:rPr>
          <w:rFonts w:ascii="Arial" w:cs="Arial" w:eastAsia="Arial" w:hAnsi="Arial"/>
          <w:sz w:val="18"/>
          <w:szCs w:val="18"/>
          <w:color w:val="auto"/>
        </w:rPr>
      </w:pPr>
    </w:p>
    <w:p>
      <w:pPr>
        <w:jc w:val="both"/>
        <w:ind w:right="100" w:firstLine="996"/>
        <w:spacing w:after="0" w:line="259" w:lineRule="auto"/>
        <w:tabs>
          <w:tab w:leader="none" w:pos="125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consent to corporate action in writing without a meeting, when no prior action by the Board is required by the DGCL, shall be the first date on which a signed written consent setting forth the action taken or proposed to be taken is delivered to the Company in accordance with the DGCL, or, if prior action by the Board is required by the DGCL, shall be at the close of business on the day on which the Board adopts the resolution taking such prior action; and</w:t>
      </w:r>
    </w:p>
    <w:p>
      <w:pPr>
        <w:spacing w:after="0" w:line="78" w:lineRule="exact"/>
        <w:rPr>
          <w:rFonts w:ascii="Arial" w:cs="Arial" w:eastAsia="Arial" w:hAnsi="Arial"/>
          <w:sz w:val="18"/>
          <w:szCs w:val="18"/>
          <w:color w:val="auto"/>
        </w:rPr>
      </w:pPr>
    </w:p>
    <w:p>
      <w:pPr>
        <w:ind w:right="340" w:firstLine="996"/>
        <w:spacing w:after="0" w:line="277" w:lineRule="auto"/>
        <w:tabs>
          <w:tab w:leader="none" w:pos="130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adopts the resolution relating thereto.</w:t>
      </w:r>
    </w:p>
    <w:p>
      <w:pPr>
        <w:spacing w:after="0" w:line="170"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color w:val="auto"/>
        </w:rPr>
        <w:t>A determination of stockholders of record entitled to notice of or to vote at a meeting of stockholders shall apply to any adjournment of the meeting, provided that the Board may fix a new record date for the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Section 1.10 at the adjourned meeting.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69" w:right="459" w:bottom="1440" w:gutter="0" w:footer="0" w:header="0"/>
        </w:sectPr>
      </w:pPr>
    </w:p>
    <w:bookmarkStart w:id="310" w:name="page311"/>
    <w:bookmarkEnd w:id="31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1.11 </w:t>
      </w:r>
      <w:r>
        <w:rPr>
          <w:rFonts w:ascii="Arial" w:cs="Arial" w:eastAsia="Arial" w:hAnsi="Arial"/>
          <w:sz w:val="18"/>
          <w:szCs w:val="18"/>
          <w:b w:val="1"/>
          <w:bCs w:val="1"/>
          <w:u w:val="single" w:color="auto"/>
          <w:color w:val="auto"/>
        </w:rPr>
        <w:t>Proxies</w:t>
      </w:r>
    </w:p>
    <w:p>
      <w:pPr>
        <w:spacing w:after="0" w:line="121" w:lineRule="exact"/>
        <w:rPr>
          <w:sz w:val="20"/>
          <w:szCs w:val="20"/>
          <w:color w:val="auto"/>
        </w:rPr>
      </w:pPr>
    </w:p>
    <w:p>
      <w:pPr>
        <w:ind w:right="140" w:firstLine="441"/>
        <w:spacing w:after="0" w:line="302" w:lineRule="auto"/>
        <w:rPr>
          <w:sz w:val="20"/>
          <w:szCs w:val="20"/>
          <w:color w:val="auto"/>
        </w:rPr>
      </w:pPr>
      <w:r>
        <w:rPr>
          <w:rFonts w:ascii="Arial" w:cs="Arial" w:eastAsia="Arial" w:hAnsi="Arial"/>
          <w:sz w:val="16"/>
          <w:szCs w:val="16"/>
          <w:color w:val="auto"/>
        </w:rPr>
        <w:t>Each stockholder entitled to vote at a meeting of stockholders or to express consent or dissent to corporate action in writing without a meeting may authorize another person or persons to act for such stockholder by proxy authorized by an instrument in writing or by a transmission permitted by law,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List of Stockholders Entitled to Vote</w:t>
      </w:r>
    </w:p>
    <w:p>
      <w:pPr>
        <w:spacing w:after="0" w:line="12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The officer who has charge of the stock ledger of the Company shall prepare and make, at least 10 days before every meeting of stockholders, a complete list of the stockholders entitled to vote at the meeting (unless the record date for determining the stockholders entitled to vote is less than 10 days before the meeting date, in which case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 — DIRECTORS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u w:val="single" w:color="auto"/>
          <w:color w:val="auto"/>
        </w:rPr>
        <w:t>Powers</w:t>
      </w:r>
    </w:p>
    <w:p>
      <w:pPr>
        <w:spacing w:after="0" w:line="121"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The business and affairs of the Company shall be managed by or under the direction of the Board, except as may be otherwise provided in the DGCL or the certificate of incorporation.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Number of Directors</w:t>
      </w:r>
    </w:p>
    <w:p>
      <w:pPr>
        <w:spacing w:after="0" w:line="121"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The Board shall consist of one or more members, each of whom shall be a natural person. Unless the certificate of incorporation fixes the number of directors, the number of directors shall be determined from time to time by resolution of the Board. No reduction of the authorized number of directors shall have the effect of removing any director before that director’s term of office expires.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69" w:right="479" w:bottom="1440" w:gutter="0" w:footer="0" w:header="0"/>
        </w:sectPr>
      </w:pPr>
    </w:p>
    <w:bookmarkStart w:id="311" w:name="page312"/>
    <w:bookmarkEnd w:id="3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 </w:t>
      </w:r>
      <w:r>
        <w:rPr>
          <w:rFonts w:ascii="Arial" w:cs="Arial" w:eastAsia="Arial" w:hAnsi="Arial"/>
          <w:sz w:val="18"/>
          <w:szCs w:val="18"/>
          <w:b w:val="1"/>
          <w:bCs w:val="1"/>
          <w:u w:val="single" w:color="auto"/>
          <w:color w:val="auto"/>
        </w:rPr>
        <w:t>Election, Qualification and Term of Office of Directors</w:t>
      </w:r>
    </w:p>
    <w:p>
      <w:pPr>
        <w:spacing w:after="0" w:line="12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Except as provided in Section 2.4, and subject to Section 1.2 and Section 1.9, directors shall be elected at each annual meeting of stockholders. Directors need not be stockholders unless so required by the certificate of incorporation or these bylaws. The certificate of incorporation or these bylaws may prescribe other qualifications for directors. Each director shall hold office until such director’s successor is elected and qualified or until such director’s earlier death, resignation or removal.</w:t>
      </w:r>
    </w:p>
    <w:p>
      <w:pPr>
        <w:spacing w:after="0" w:line="187"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No stockholder entitled to vote at an election for directors may cumulate votes to which such stockholder is entitled, unless, at the time of such election, the Company is subject to Section 2115(b) of the CCC. During such time that the Company is subject to Section 2115 of the CCC, the Company’s stockholders shall have the right to cumulate their votes in connection with the election of directors as provided by subdivisions (a), (b) and (c) of Section 708 of the CCC.</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u w:val="single" w:color="auto"/>
          <w:color w:val="auto"/>
        </w:rPr>
        <w:t>Resignation and Vacancies</w:t>
      </w:r>
    </w:p>
    <w:p>
      <w:pPr>
        <w:spacing w:after="0" w:line="121" w:lineRule="exact"/>
        <w:rPr>
          <w:sz w:val="20"/>
          <w:szCs w:val="20"/>
          <w:color w:val="auto"/>
        </w:rPr>
      </w:pPr>
    </w:p>
    <w:p>
      <w:pPr>
        <w:ind w:right="240" w:firstLine="441"/>
        <w:spacing w:after="0" w:line="273" w:lineRule="auto"/>
        <w:rPr>
          <w:sz w:val="20"/>
          <w:szCs w:val="20"/>
          <w:color w:val="auto"/>
        </w:rPr>
      </w:pPr>
      <w:r>
        <w:rPr>
          <w:rFonts w:ascii="Arial" w:cs="Arial" w:eastAsia="Arial" w:hAnsi="Arial"/>
          <w:sz w:val="17"/>
          <w:szCs w:val="17"/>
          <w:color w:val="auto"/>
        </w:rPr>
        <w:t>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shall resign from the Board,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78" w:lineRule="exact"/>
        <w:rPr>
          <w:sz w:val="20"/>
          <w:szCs w:val="20"/>
          <w:color w:val="auto"/>
        </w:rPr>
      </w:pPr>
    </w:p>
    <w:p>
      <w:pPr>
        <w:jc w:val="both"/>
        <w:ind w:right="500" w:firstLine="441"/>
        <w:spacing w:after="0" w:line="264" w:lineRule="auto"/>
        <w:rPr>
          <w:sz w:val="20"/>
          <w:szCs w:val="20"/>
          <w:color w:val="auto"/>
        </w:rPr>
      </w:pPr>
      <w:r>
        <w:rPr>
          <w:rFonts w:ascii="Arial" w:cs="Arial" w:eastAsia="Arial" w:hAnsi="Arial"/>
          <w:sz w:val="18"/>
          <w:szCs w:val="18"/>
          <w:color w:val="auto"/>
        </w:rPr>
        <w:t>Unless otherwise provided in the certificate of incorporation or these bylaws, vacancies and newly created directorships resulting from any increase in the authorized number of directors may be filled by a majority of the directors then in office, although less than a quorum, or by a sole remaining director.</w:t>
      </w:r>
    </w:p>
    <w:p>
      <w:pPr>
        <w:spacing w:after="0" w:line="181" w:lineRule="exact"/>
        <w:rPr>
          <w:sz w:val="20"/>
          <w:szCs w:val="20"/>
          <w:color w:val="auto"/>
        </w:rPr>
      </w:pPr>
    </w:p>
    <w:p>
      <w:pPr>
        <w:ind w:right="200" w:firstLine="441"/>
        <w:spacing w:after="0" w:line="279" w:lineRule="auto"/>
        <w:rPr>
          <w:sz w:val="20"/>
          <w:szCs w:val="20"/>
          <w:color w:val="auto"/>
        </w:rPr>
      </w:pPr>
      <w:r>
        <w:rPr>
          <w:rFonts w:ascii="Arial" w:cs="Arial" w:eastAsia="Arial" w:hAnsi="Arial"/>
          <w:sz w:val="17"/>
          <w:szCs w:val="17"/>
          <w:color w:val="auto"/>
        </w:rPr>
        <w:t>If at any time, by reason of death or resignation or other cause, the Company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certificate of incorporation or these bylaws, or may apply to the Court of Chancery for a decree summarily ordering an election as provided in Section 211 of the DGCL.</w:t>
      </w:r>
    </w:p>
    <w:p>
      <w:pPr>
        <w:spacing w:after="0" w:line="17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If, at the time of filling any vacancy or any newly created directorship, the directors then in office shall constitute less than a majority of the whole Board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Section 211 of the DGCL as far as applicable.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312" w:name="page313"/>
    <w:bookmarkEnd w:id="312"/>
    <w:p>
      <w:pPr>
        <w:ind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any time or times that the Company is subject to Section 2115(b) of the CCC, if, after the filling of any vacancy by the directors, the directors then in office who have been elected by the stockholders shall constitute less than a majority of the directors then in office, then (i) any holder or holders of an aggregate of five percent (5%) or more of the total number of shares at the time outstanding having the right to vote for those directors may call a special meeting of stockholders or (ii) the superior court of the proper county shall, upon application of such stockholder or stockholders, summarily order a special meeting of stockholders, to be held to elect the entire Board, all in accordance with Section 305(c) of the CCC, and the term of office of any director shall terminate upon that election of a successor.</w:t>
      </w:r>
    </w:p>
    <w:p>
      <w:pPr>
        <w:spacing w:after="0" w:line="193"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A director elected to fill a vacancy shall be elected for the unexpired term of his or her predecessor in office and until such director’s successor is elected and qualified or until such director’s earlier death, resignation or removal.</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u w:val="single" w:color="auto"/>
          <w:color w:val="auto"/>
        </w:rPr>
        <w:t>Place of Meetings; Meetings by Telephone</w:t>
      </w:r>
    </w:p>
    <w:p>
      <w:pPr>
        <w:spacing w:after="0" w:line="121" w:lineRule="exact"/>
        <w:rPr>
          <w:sz w:val="20"/>
          <w:szCs w:val="20"/>
          <w:color w:val="auto"/>
        </w:rPr>
      </w:pPr>
    </w:p>
    <w:p>
      <w:pPr>
        <w:ind w:right="640" w:firstLine="441"/>
        <w:spacing w:after="0" w:line="277" w:lineRule="auto"/>
        <w:rPr>
          <w:sz w:val="20"/>
          <w:szCs w:val="20"/>
          <w:color w:val="auto"/>
        </w:rPr>
      </w:pPr>
      <w:r>
        <w:rPr>
          <w:rFonts w:ascii="Arial" w:cs="Arial" w:eastAsia="Arial" w:hAnsi="Arial"/>
          <w:sz w:val="18"/>
          <w:szCs w:val="18"/>
          <w:color w:val="auto"/>
        </w:rPr>
        <w:t>Unless otherwise restricted by the certificate of incorporation or these bylaws, the Board may hold meetings within or outside the State of Delaware.</w:t>
      </w:r>
    </w:p>
    <w:p>
      <w:pPr>
        <w:spacing w:after="0" w:line="170" w:lineRule="exact"/>
        <w:rPr>
          <w:sz w:val="20"/>
          <w:szCs w:val="20"/>
          <w:color w:val="auto"/>
        </w:rPr>
      </w:pPr>
    </w:p>
    <w:p>
      <w:pPr>
        <w:jc w:val="both"/>
        <w:ind w:right="40" w:firstLine="441"/>
        <w:spacing w:after="0" w:line="312" w:lineRule="auto"/>
        <w:rPr>
          <w:sz w:val="20"/>
          <w:szCs w:val="20"/>
          <w:color w:val="auto"/>
        </w:rPr>
      </w:pPr>
      <w:r>
        <w:rPr>
          <w:rFonts w:ascii="Arial" w:cs="Arial" w:eastAsia="Arial" w:hAnsi="Arial"/>
          <w:sz w:val="16"/>
          <w:szCs w:val="16"/>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u w:val="single" w:color="auto"/>
          <w:color w:val="auto"/>
        </w:rPr>
        <w:t>Conduct of Business</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Each meeting of the Board shall be presided over by the Chairperson of the Board, if any, or in his or her absence by the Vice Chairperson of the Board, if any, or in the absence of the foregoing persons by a chairperson of such meeting designated by the Board, or in the absence of such designation by a chairperson chosen at such meeting. The Secretary shall act as secretary of the meeting, but in his or her absence the chairperson of the meeting may appoint any person to act as secretary of such meeting.</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u w:val="single" w:color="auto"/>
          <w:color w:val="auto"/>
        </w:rPr>
        <w:t>Regular Meetings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Regular meetings of the Board may be held without notice at such time and at such place as shall from time to time be determined by the Board.</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u w:val="single" w:color="auto"/>
          <w:color w:val="auto"/>
        </w:rPr>
        <w:t>Special Meetings; Notice</w:t>
      </w:r>
    </w:p>
    <w:p>
      <w:pPr>
        <w:spacing w:after="0" w:line="121"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Special meetings of the Board for any purpose or purposes may be called at any time by the Chairperson of the Board, the Chief Executive Officer, the President, the Secretary or any two directors.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3" w:right="459" w:bottom="1440" w:gutter="0" w:footer="0" w:header="0"/>
        </w:sectPr>
      </w:pPr>
    </w:p>
    <w:bookmarkStart w:id="313" w:name="page314"/>
    <w:bookmarkEnd w:id="31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the time and place of all special meetings shall be:</w:t>
      </w:r>
    </w:p>
    <w:p>
      <w:pPr>
        <w:spacing w:after="0" w:line="117" w:lineRule="exact"/>
        <w:rPr>
          <w:sz w:val="20"/>
          <w:szCs w:val="20"/>
          <w:color w:val="auto"/>
        </w:rPr>
      </w:pPr>
    </w:p>
    <w:p>
      <w:pPr>
        <w:ind w:right="180" w:firstLine="996"/>
        <w:spacing w:after="0" w:line="308" w:lineRule="auto"/>
        <w:tabs>
          <w:tab w:leader="none" w:pos="1207" w:val="left"/>
        </w:tabs>
        <w:numPr>
          <w:ilvl w:val="0"/>
          <w:numId w:val="203"/>
        </w:numPr>
        <w:rPr>
          <w:rFonts w:ascii="Arial" w:cs="Arial" w:eastAsia="Arial" w:hAnsi="Arial"/>
          <w:sz w:val="17"/>
          <w:szCs w:val="17"/>
          <w:color w:val="auto"/>
        </w:rPr>
      </w:pPr>
      <w:r>
        <w:rPr>
          <w:rFonts w:ascii="Arial" w:cs="Arial" w:eastAsia="Arial" w:hAnsi="Arial"/>
          <w:sz w:val="17"/>
          <w:szCs w:val="17"/>
          <w:color w:val="auto"/>
        </w:rPr>
        <w:t>delivered personally by hand, by courier or by telephone (including a voice messaging system or other technology designed to record and communicate messages) during normal business hours at least 24 hours before the date and time of the meeting;</w:t>
      </w:r>
    </w:p>
    <w:p>
      <w:pPr>
        <w:spacing w:after="0" w:line="38" w:lineRule="exact"/>
        <w:rPr>
          <w:rFonts w:ascii="Arial" w:cs="Arial" w:eastAsia="Arial" w:hAnsi="Arial"/>
          <w:sz w:val="17"/>
          <w:szCs w:val="17"/>
          <w:color w:val="auto"/>
        </w:rPr>
      </w:pPr>
    </w:p>
    <w:p>
      <w:pPr>
        <w:ind w:left="1260" w:hanging="264"/>
        <w:spacing w:after="0"/>
        <w:tabs>
          <w:tab w:leader="none" w:pos="126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sent by United States first-class mail, postage prepaid, deposited at least four days before the date and time of the meeting;</w:t>
      </w:r>
    </w:p>
    <w:p>
      <w:pPr>
        <w:spacing w:after="0" w:line="128" w:lineRule="exact"/>
        <w:rPr>
          <w:rFonts w:ascii="Arial" w:cs="Arial" w:eastAsia="Arial" w:hAnsi="Arial"/>
          <w:sz w:val="17"/>
          <w:szCs w:val="17"/>
          <w:color w:val="auto"/>
        </w:rPr>
      </w:pPr>
    </w:p>
    <w:p>
      <w:pPr>
        <w:ind w:left="1320" w:hanging="324"/>
        <w:spacing w:after="0"/>
        <w:tabs>
          <w:tab w:leader="none" w:pos="13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sent by facsimile during normal business hours at least 24 hours before the date and time of the meeting; or</w:t>
      </w:r>
    </w:p>
    <w:p>
      <w:pPr>
        <w:spacing w:after="0" w:line="117" w:lineRule="exact"/>
        <w:rPr>
          <w:rFonts w:ascii="Arial" w:cs="Arial" w:eastAsia="Arial" w:hAnsi="Arial"/>
          <w:sz w:val="18"/>
          <w:szCs w:val="18"/>
          <w:color w:val="auto"/>
        </w:rPr>
      </w:pPr>
    </w:p>
    <w:p>
      <w:pPr>
        <w:ind w:left="1300" w:hanging="304"/>
        <w:spacing w:after="0"/>
        <w:tabs>
          <w:tab w:leader="none" w:pos="13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sent by electronic mail during normal business hours at least 24 hours before the date and time of the meeting,</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or electronic mail address, as the case may be, as shown on the Company’s records.</w:t>
      </w:r>
    </w:p>
    <w:p>
      <w:pPr>
        <w:spacing w:after="0" w:line="170"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Any oral notice may be communicated to the director. The notice need not specify the place of the meeting (if the meeting is to be held at the Company’s principal executive office) nor the purpose of the meeting.</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u w:val="single" w:color="auto"/>
          <w:color w:val="auto"/>
        </w:rPr>
        <w:t>Quorum; Voting</w:t>
      </w:r>
    </w:p>
    <w:p>
      <w:pPr>
        <w:spacing w:after="0" w:line="121"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At all meetings of the Board, a majority of the total number of directors shall constitute a quorum for the transaction of business, unless the certificate of incorporation or these bylaws require a greater number. If a quorum is not present at any meeting of the Board,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w:t>
      </w:r>
    </w:p>
    <w:p>
      <w:pPr>
        <w:spacing w:after="0" w:line="188"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The vote of the majority of the directors present at a meeting at which a quorum is present shall be the act of the Board, unless the certificate of incorporation or these bylaws requires a vote of a greater number.</w:t>
      </w:r>
    </w:p>
    <w:p>
      <w:pPr>
        <w:spacing w:after="0" w:line="170" w:lineRule="exact"/>
        <w:rPr>
          <w:sz w:val="20"/>
          <w:szCs w:val="20"/>
          <w:color w:val="auto"/>
        </w:rPr>
      </w:pPr>
    </w:p>
    <w:p>
      <w:pPr>
        <w:ind w:right="240" w:firstLine="441"/>
        <w:spacing w:after="0" w:line="342" w:lineRule="auto"/>
        <w:rPr>
          <w:sz w:val="20"/>
          <w:szCs w:val="20"/>
          <w:color w:val="auto"/>
        </w:rPr>
      </w:pPr>
      <w:r>
        <w:rPr>
          <w:rFonts w:ascii="Arial" w:cs="Arial" w:eastAsia="Arial" w:hAnsi="Arial"/>
          <w:sz w:val="16"/>
          <w:szCs w:val="16"/>
          <w:color w:val="auto"/>
        </w:rPr>
        <w:t>If the certificate of incorporation provides that one or more directors shall have greater or fewer than one vote per director on any matter, every reference in these bylaws to a majority or other proportion of the directors shall refer to a majority or other proportion of the votes of the directors.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u w:val="single" w:color="auto"/>
          <w:color w:val="auto"/>
        </w:rPr>
        <w:t>Board Action by Written Consent Without a Meeting</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314" w:name="page315"/>
    <w:bookmarkEnd w:id="314"/>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filing shall be in paper form if the minutes are maintained in paper form and shall be in electronic form if the minutes are maintained in electronic form.</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u w:val="single" w:color="auto"/>
          <w:color w:val="auto"/>
        </w:rPr>
        <w:t>Fees and Compensation of Directors</w:t>
      </w:r>
    </w:p>
    <w:p>
      <w:pPr>
        <w:spacing w:after="0" w:line="121"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Unless otherwise restricted by the certificate of incorporation or these bylaws, the Board shall have the authority to fix the compensation of directors.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u w:val="single" w:color="auto"/>
          <w:color w:val="auto"/>
        </w:rPr>
        <w:t>Removal of Directors</w:t>
      </w:r>
    </w:p>
    <w:p>
      <w:pPr>
        <w:spacing w:after="0" w:line="121"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Unless otherwise restricted by the DGCL, the certificate of incorporation or these bylaws, and assuming that the Company is not subject to Section 2115(b) of the CCC, any director or the entire Board may be removed, with or without cause, by the holders of a majority of the shares then entitled to vote at an election of directors. Whenever the holders of any class or series are entitled to elect one or more directors by the certificate of incorporation, this Section 2.12 shall apply, in respect to the removal without cause of a director or directors so elected, to the vote of the holders of the outstanding shares of that class or series and not to the vote of the outstanding shares as a whole.</w:t>
      </w:r>
    </w:p>
    <w:p>
      <w:pPr>
        <w:spacing w:after="0" w:line="173"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During such time that the Company is subject to Section 2115(b) of the CCC, unless otherwise provided in the Certificate of Incorporation, and subject to applicable law and the rights of the holders of any series of Preferred Stock of the Company, any or all of the directors may be removed without cause by the affirmative vote of the holders of at least a majority of the outstanding shares entitled to vote on such removal, provided that, unless the entire Board is removed, no individual director may be removed when the votes cast against such director’s removal, or not consenting in writing to such removal, would be sufficient to elect that director if voted cumulatively at an election at which the same total number of votes were cast (or, if such action is taken by written consent, all shares entitled to vote were voted) and the entire number of directors authorized at the time of such director’s most recent election were then being elected.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 — COMMITTEES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Committees of Directors</w:t>
      </w:r>
    </w:p>
    <w:p>
      <w:pPr>
        <w:spacing w:after="0" w:line="12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Board may designate one or more committees, each committee to consist of one or more of the directors of the Company. The Board may at any time increase or decrease the number of members of any committee or terminate the existence of any committee. The membership of a committee member shall terminate on the date of his or her death, resignation from such committee or the Board or removal from such committee or the Board. The Board may at any time and for any reason remove any individual committee member, and the Board may fill any committee vacancy created by a committee member’s death, resignation or removal.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3" w:right="439" w:bottom="1440" w:gutter="0" w:footer="0" w:header="0"/>
        </w:sectPr>
      </w:pPr>
    </w:p>
    <w:bookmarkStart w:id="315" w:name="page316"/>
    <w:bookmarkEnd w:id="31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 and may exercise all the powers and authority of the Board in the management of the business and affairs of the Company, and may authorize the seal of the Company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Company.</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Committee Minutes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committee shall keep regular minutes of its meetings and report the same to the Board when required.</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u w:val="single" w:color="auto"/>
          <w:color w:val="auto"/>
        </w:rPr>
        <w:t>Meetings and Actions of Committees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Meetings and actions of committees shall be governed by, and be held and taken in accordance with, the provisions of:</w:t>
      </w:r>
    </w:p>
    <w:p>
      <w:pPr>
        <w:spacing w:after="0" w:line="117" w:lineRule="exact"/>
        <w:rPr>
          <w:sz w:val="20"/>
          <w:szCs w:val="20"/>
          <w:color w:val="auto"/>
        </w:rPr>
      </w:pPr>
    </w:p>
    <w:p>
      <w:pPr>
        <w:ind w:left="1220" w:hanging="224"/>
        <w:spacing w:after="0"/>
        <w:tabs>
          <w:tab w:leader="none" w:pos="12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Section 2.5 (Place of Meetings; Meetings by Telephone);</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Section 2.7 (Regular Meetings);</w:t>
      </w:r>
    </w:p>
    <w:p>
      <w:pPr>
        <w:spacing w:after="0" w:line="117" w:lineRule="exact"/>
        <w:rPr>
          <w:rFonts w:ascii="Arial" w:cs="Arial" w:eastAsia="Arial" w:hAnsi="Arial"/>
          <w:sz w:val="18"/>
          <w:szCs w:val="18"/>
          <w:color w:val="auto"/>
        </w:rPr>
      </w:pPr>
    </w:p>
    <w:p>
      <w:pPr>
        <w:ind w:left="1320" w:hanging="324"/>
        <w:spacing w:after="0"/>
        <w:tabs>
          <w:tab w:leader="none" w:pos="13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Section 2.8 (Special Meetings; Notice);</w:t>
      </w:r>
    </w:p>
    <w:p>
      <w:pPr>
        <w:spacing w:after="0" w:line="117" w:lineRule="exact"/>
        <w:rPr>
          <w:rFonts w:ascii="Arial" w:cs="Arial" w:eastAsia="Arial" w:hAnsi="Arial"/>
          <w:sz w:val="18"/>
          <w:szCs w:val="18"/>
          <w:color w:val="auto"/>
        </w:rPr>
      </w:pPr>
    </w:p>
    <w:p>
      <w:pPr>
        <w:ind w:left="1300" w:hanging="304"/>
        <w:spacing w:after="0"/>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Section 2.9 (Quorum; Voting);</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Section 2.10 (Board Action by Written Consent Without a Meeting); and</w:t>
      </w:r>
    </w:p>
    <w:p>
      <w:pPr>
        <w:spacing w:after="0" w:line="117" w:lineRule="exact"/>
        <w:rPr>
          <w:rFonts w:ascii="Arial" w:cs="Arial" w:eastAsia="Arial" w:hAnsi="Arial"/>
          <w:sz w:val="18"/>
          <w:szCs w:val="18"/>
          <w:color w:val="auto"/>
        </w:rPr>
      </w:pPr>
    </w:p>
    <w:p>
      <w:pPr>
        <w:ind w:left="1300" w:hanging="304"/>
        <w:spacing w:after="0"/>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Section 7.5 (Waiver of Notice),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with such changes in the context of those bylaws as are necessary to substitute the committee and its members for the Board and its members. </w:t>
      </w:r>
      <w:r>
        <w:rPr>
          <w:rFonts w:ascii="Arial" w:cs="Arial" w:eastAsia="Arial" w:hAnsi="Arial"/>
          <w:sz w:val="16"/>
          <w:szCs w:val="16"/>
          <w:i w:val="1"/>
          <w:iCs w:val="1"/>
          <w:color w:val="auto"/>
        </w:rPr>
        <w:t>However</w:t>
      </w:r>
      <w:r>
        <w:rPr>
          <w:rFonts w:ascii="Arial" w:cs="Arial" w:eastAsia="Arial" w:hAnsi="Arial"/>
          <w:sz w:val="16"/>
          <w:szCs w:val="16"/>
          <w:color w:val="auto"/>
        </w:rPr>
        <w:t>:</w:t>
      </w:r>
    </w:p>
    <w:p>
      <w:pPr>
        <w:spacing w:after="0" w:line="248" w:lineRule="exact"/>
        <w:rPr>
          <w:sz w:val="20"/>
          <w:szCs w:val="20"/>
          <w:color w:val="auto"/>
        </w:rPr>
      </w:pPr>
    </w:p>
    <w:p>
      <w:pPr>
        <w:ind w:left="1220" w:hanging="224"/>
        <w:spacing w:after="0"/>
        <w:tabs>
          <w:tab w:leader="none" w:pos="122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time of regular meetings of a committee may be determined either by resolution of the Board or by resolution of such committee;</w:t>
      </w:r>
    </w:p>
    <w:p>
      <w:pPr>
        <w:spacing w:after="0" w:line="140" w:lineRule="exact"/>
        <w:rPr>
          <w:rFonts w:ascii="Arial" w:cs="Arial" w:eastAsia="Arial" w:hAnsi="Arial"/>
          <w:sz w:val="16"/>
          <w:szCs w:val="16"/>
          <w:color w:val="auto"/>
        </w:rPr>
      </w:pPr>
    </w:p>
    <w:p>
      <w:pPr>
        <w:ind w:left="1260" w:hanging="264"/>
        <w:spacing w:after="0"/>
        <w:tabs>
          <w:tab w:leader="none" w:pos="12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special meetings of committees may also be called by resolution of the Board; and</w:t>
      </w:r>
    </w:p>
    <w:p>
      <w:pPr>
        <w:spacing w:after="0" w:line="225" w:lineRule="exact"/>
        <w:rPr>
          <w:rFonts w:ascii="Arial" w:cs="Arial" w:eastAsia="Arial" w:hAnsi="Arial"/>
          <w:sz w:val="18"/>
          <w:szCs w:val="18"/>
          <w:color w:val="auto"/>
        </w:rPr>
      </w:pPr>
    </w:p>
    <w:p>
      <w:pPr>
        <w:ind w:right="80" w:firstLine="996"/>
        <w:spacing w:after="0" w:line="264" w:lineRule="auto"/>
        <w:tabs>
          <w:tab w:leader="none" w:pos="130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notice of special meetings of any committee shall also be given to all alternate members of such committee, who shall have the right to attend all meetings of such committee. The Board may adopt rules for the government of any committee not inconsistent with the provisions of these bylaws.</w:t>
      </w:r>
    </w:p>
    <w:p>
      <w:pPr>
        <w:spacing w:after="0" w:line="181" w:lineRule="exact"/>
        <w:rPr>
          <w:sz w:val="20"/>
          <w:szCs w:val="20"/>
          <w:color w:val="auto"/>
        </w:rPr>
      </w:pPr>
    </w:p>
    <w:p>
      <w:pPr>
        <w:ind w:right="320" w:firstLine="441"/>
        <w:spacing w:after="0" w:line="342" w:lineRule="auto"/>
        <w:rPr>
          <w:sz w:val="20"/>
          <w:szCs w:val="20"/>
          <w:color w:val="auto"/>
        </w:rPr>
      </w:pPr>
      <w:r>
        <w:rPr>
          <w:rFonts w:ascii="Arial" w:cs="Arial" w:eastAsia="Arial" w:hAnsi="Arial"/>
          <w:sz w:val="16"/>
          <w:szCs w:val="16"/>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3" w:right="459" w:bottom="1440" w:gutter="0" w:footer="0" w:header="0"/>
        </w:sectPr>
      </w:pPr>
    </w:p>
    <w:bookmarkStart w:id="316" w:name="page317"/>
    <w:bookmarkEnd w:id="3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3.4 </w:t>
      </w:r>
      <w:r>
        <w:rPr>
          <w:rFonts w:ascii="Arial" w:cs="Arial" w:eastAsia="Arial" w:hAnsi="Arial"/>
          <w:sz w:val="18"/>
          <w:szCs w:val="18"/>
          <w:b w:val="1"/>
          <w:bCs w:val="1"/>
          <w:u w:val="single" w:color="auto"/>
          <w:color w:val="auto"/>
        </w:rPr>
        <w:t>Subcommittees</w:t>
      </w:r>
    </w:p>
    <w:p>
      <w:pPr>
        <w:spacing w:after="0" w:line="12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Unless otherwise provided in the certificate of incorporation, these bylaws or the resolution of the Board designating the committee, a committee may create one or more subcommittees, each subcommittee to consist of one or more members of the committee, and delegate to a subcommittee any or all of the powers and authority of the committee.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IV — OFFICERS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Officers</w:t>
      </w:r>
    </w:p>
    <w:p>
      <w:pPr>
        <w:spacing w:after="0" w:line="121"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The officers of the Company shall be a President and a Secretary. The Company may also have, at the discretion of the Board, a Chairperson of the Board (or Co-Chairpersons of the Board, each of whom acting alone shall, unless otherwise directed by the Board, have all the powers and duties of a Chairperson of the Board), a Vice Chairperson of the Board, a Chief Executive Officer, one or more Vice Presidents, a Chief Financial Officer, a Treasurer, one or more Assistant Treasurers, one or more Assistant Secretaries, and any such other officers as may be appointed in accordance with the provisions of these bylaws. Any number of offices may be held by the same person.</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Appointment of Officers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Board shall appoint the officers of the Company, except such officers as may be appointed in accordance with the provisions of Section 4.3.</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Subordinate Officers</w:t>
      </w:r>
    </w:p>
    <w:p>
      <w:pPr>
        <w:spacing w:after="0" w:line="121"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The Board may appoint, or empower the Chief Executive Officer or President (in the absence of a Chief Executive Officer) to appoint, such other officers and agents as the business of the Company may require. Each of such other officers and agents shall hold office for such period, have such authority, and perform such duties as are provided in these bylaws or as the Board may from time to time determine.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u w:val="single" w:color="auto"/>
          <w:color w:val="auto"/>
        </w:rPr>
        <w:t>Removal and Resignation of Officers</w:t>
      </w:r>
    </w:p>
    <w:p>
      <w:pPr>
        <w:spacing w:after="0" w:line="12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Any officer may be removed, with or without cause, by an affirmative vote of the majority of the Board or, except in the case of an officer chosen by the Board, by any officer upon whom such power of removal may be conferred by the Board.</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Any officer may resign at any time by giving written notice to the Company. Any officer’s resignation shall take effect at the date of the Company’s receipt of such notice or at any later time specified in such notice. Unless otherwise specified in an officer’s notice of resignation, the acceptance of the resignation shall not be necessary to make it effective. Any resignation is without prejudice to the rights, if any, of the Company under any contract to which the resigning officer is a party.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0" w:right="479" w:bottom="1440" w:gutter="0" w:footer="0" w:header="0"/>
        </w:sectPr>
      </w:pPr>
    </w:p>
    <w:bookmarkStart w:id="317" w:name="page318"/>
    <w:bookmarkEnd w:id="3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4.5 </w:t>
      </w:r>
      <w:r>
        <w:rPr>
          <w:rFonts w:ascii="Arial" w:cs="Arial" w:eastAsia="Arial" w:hAnsi="Arial"/>
          <w:sz w:val="18"/>
          <w:szCs w:val="18"/>
          <w:b w:val="1"/>
          <w:bCs w:val="1"/>
          <w:u w:val="single" w:color="auto"/>
          <w:color w:val="auto"/>
        </w:rPr>
        <w:t>Vacancies in Offices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vacancy occurring in any office of the Company shall be filled by the Board or as provided in Section 4.3.</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u w:val="single" w:color="auto"/>
          <w:color w:val="auto"/>
        </w:rPr>
        <w:t>Representation of Shares of Other Corporations</w:t>
      </w:r>
    </w:p>
    <w:p>
      <w:pPr>
        <w:spacing w:after="0" w:line="121"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Unless otherwise directed by the Board, the President (or any other person authorized by the Board or the President) is authorized to vote, represent and exercise, on behalf of the Company, all rights incident to any and all shares or other securities or interests in, or issued by, any other corporation standing in the name of the Company. The authority granted herein may be exercised either by such person directly or by any other person authorized to do so by proxy or power of attorney duly executed by such person having the authority.</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u w:val="single" w:color="auto"/>
          <w:color w:val="auto"/>
        </w:rPr>
        <w:t>Authority and Duties of Officers</w:t>
      </w:r>
    </w:p>
    <w:p>
      <w:pPr>
        <w:spacing w:after="0" w:line="12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Except as otherwise provided in these bylaws, the officers of the Company shall have such powers and duties in the management of the Company as may be designated from time to time by the Board and, to the extent not so provided, as generally pertain to their respective offices, subject to the control of the Board.</w:t>
      </w:r>
    </w:p>
    <w:p>
      <w:pPr>
        <w:spacing w:after="0" w:line="39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ARTICLE V — INDEMNIFICATION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Indemnification of Directors and Officers in Third Party Proceedings</w:t>
      </w:r>
    </w:p>
    <w:p>
      <w:pPr>
        <w:spacing w:after="0" w:line="121" w:lineRule="exact"/>
        <w:rPr>
          <w:sz w:val="20"/>
          <w:szCs w:val="20"/>
          <w:color w:val="auto"/>
        </w:rPr>
      </w:pPr>
    </w:p>
    <w:p>
      <w:pPr>
        <w:ind w:right="60" w:firstLine="441"/>
        <w:spacing w:after="0" w:line="269" w:lineRule="auto"/>
        <w:rPr>
          <w:sz w:val="20"/>
          <w:szCs w:val="20"/>
          <w:color w:val="auto"/>
        </w:rPr>
      </w:pPr>
      <w:r>
        <w:rPr>
          <w:rFonts w:ascii="Arial" w:cs="Arial" w:eastAsia="Arial" w:hAnsi="Arial"/>
          <w:sz w:val="17"/>
          <w:szCs w:val="17"/>
          <w:color w:val="auto"/>
        </w:rPr>
        <w:t xml:space="preserve">Subject to the other provisions of this Article V, the Company shall indemnify, to the fullest extent permitted by applicable law as it presently exists or may hereafter be amended, any director or officer of the Company who was or is a party or is threatened to be made a party to any threatened, pending or completed action, suit or proceeding other than an action by or in the right of the Company, whether civil, criminal, administrative or investigative (a “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xml:space="preserve">”), by reason of the fact that such person is or was a director or officer of the Company, or is or was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such Proceeding by judgment, order, settlement, conviction, or upon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or its equivalent, shall not, of itself, create a presumption that such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40" w:top="269" w:right="519" w:bottom="1440" w:gutter="0" w:footer="0" w:header="0"/>
        </w:sectPr>
      </w:pPr>
    </w:p>
    <w:bookmarkStart w:id="318" w:name="page319"/>
    <w:bookmarkEnd w:id="31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 </w:t>
      </w:r>
      <w:r>
        <w:rPr>
          <w:rFonts w:ascii="Arial" w:cs="Arial" w:eastAsia="Arial" w:hAnsi="Arial"/>
          <w:sz w:val="18"/>
          <w:szCs w:val="18"/>
          <w:b w:val="1"/>
          <w:bCs w:val="1"/>
          <w:u w:val="single" w:color="auto"/>
          <w:color w:val="auto"/>
        </w:rPr>
        <w:t>Indemnification of Directors and Officers in Actions by or in the Right of the Company</w:t>
      </w:r>
    </w:p>
    <w:p>
      <w:pPr>
        <w:spacing w:after="0" w:line="121"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Subject to the other provisions of this Article V, the Company shall indemnify, to the fullest extent permitted by applicable law as it presently exists or may hereafter be amended, any director or officer of the Company who was or is a party or is threatened to be made a party to any threatened, pending or completed action or suit by or in the right of the Company to procure a judgment in its favor by reason of the fact that such person is or was a director or officer of the Company, or is or was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any such action or suit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Successful Defense</w:t>
      </w:r>
    </w:p>
    <w:p>
      <w:pPr>
        <w:spacing w:after="0" w:line="121" w:lineRule="exact"/>
        <w:rPr>
          <w:sz w:val="20"/>
          <w:szCs w:val="20"/>
          <w:color w:val="auto"/>
        </w:rPr>
      </w:pPr>
    </w:p>
    <w:p>
      <w:pPr>
        <w:jc w:val="both"/>
        <w:ind w:right="180" w:firstLine="441"/>
        <w:spacing w:after="0" w:line="286" w:lineRule="auto"/>
        <w:rPr>
          <w:sz w:val="20"/>
          <w:szCs w:val="20"/>
          <w:color w:val="auto"/>
        </w:rPr>
      </w:pPr>
      <w:r>
        <w:rPr>
          <w:rFonts w:ascii="Arial" w:cs="Arial" w:eastAsia="Arial" w:hAnsi="Arial"/>
          <w:sz w:val="17"/>
          <w:szCs w:val="17"/>
          <w:color w:val="auto"/>
        </w:rPr>
        <w:t>To the extent that a present or former director or officer of the Company has been successful on the merits or otherwise in defense of any action, suit or proceeding described in Section 5.1 or Section 5.2, or in defense of any claim, issue or matter therein, such person shall be indemnified against expenses (including attorneys’ fees) actually and reasonably incurred by such person in connection therewith.</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Indemnification of Others</w:t>
      </w:r>
    </w:p>
    <w:p>
      <w:pPr>
        <w:spacing w:after="0" w:line="121"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Subject to the other provisions of this Article V, the Company shall have the power to indemnify its employees and agents to the extent not prohibited by the DGCL or other applicable law. The Board shall have the power to delegate to such person or persons the determination of whether employees or agents shall be indemnified.</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u w:val="single" w:color="auto"/>
          <w:color w:val="auto"/>
        </w:rPr>
        <w:t>Advancement of Expenses</w:t>
      </w:r>
    </w:p>
    <w:p>
      <w:pPr>
        <w:spacing w:after="0" w:line="121" w:lineRule="exact"/>
        <w:rPr>
          <w:sz w:val="20"/>
          <w:szCs w:val="20"/>
          <w:color w:val="auto"/>
        </w:rPr>
      </w:pPr>
    </w:p>
    <w:p>
      <w:pPr>
        <w:ind w:right="100" w:firstLine="441"/>
        <w:spacing w:after="0" w:line="290" w:lineRule="auto"/>
        <w:rPr>
          <w:sz w:val="20"/>
          <w:szCs w:val="20"/>
          <w:color w:val="auto"/>
        </w:rPr>
      </w:pPr>
      <w:r>
        <w:rPr>
          <w:rFonts w:ascii="Arial" w:cs="Arial" w:eastAsia="Arial" w:hAnsi="Arial"/>
          <w:sz w:val="16"/>
          <w:szCs w:val="16"/>
          <w:color w:val="auto"/>
        </w:rPr>
        <w:t>Expenses (including attorneys’ fees) incurred by a director or officer of the Company in defending any civil, criminal, administrative or investigative action, suit or proceeding shall be paid by the Company in advance of the final disposition of such action, suit or proceeding upon receipt of a written request therefor (together with documentation reasonably evidencing such expenses) and an undertaking by or on behalf of such director or officer to repay such amount if it shall ultimately be determined that such person is not entitled to be indemnified by the Company under this Article V or the DGCL. Such expenses (including attorneys’ fees) incurred by former directors and officers or other employees and agents of the Company may be so paid upon such terms and conditions, if any, as the Company deems appropriate. The right to advancement of expenses shall not apply to any action, suit or proceeding for which indemnity is excluded pursuant to these bylaws, but shall apply to any action, suit or proceeding referenced in Section 5.6(ii) or Section 5.6(iii) prior to a determination that the person is not entitled to be indemnified by the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0" w:right="439" w:bottom="1440" w:gutter="0" w:footer="0" w:header="0"/>
        </w:sectPr>
      </w:pPr>
    </w:p>
    <w:bookmarkStart w:id="319" w:name="page320"/>
    <w:bookmarkEnd w:id="31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5.6 </w:t>
      </w:r>
      <w:r>
        <w:rPr>
          <w:rFonts w:ascii="Arial" w:cs="Arial" w:eastAsia="Arial" w:hAnsi="Arial"/>
          <w:sz w:val="18"/>
          <w:szCs w:val="18"/>
          <w:b w:val="1"/>
          <w:bCs w:val="1"/>
          <w:u w:val="single" w:color="auto"/>
          <w:color w:val="auto"/>
        </w:rPr>
        <w:t>Limitation on Indemnification</w:t>
      </w:r>
    </w:p>
    <w:p>
      <w:pPr>
        <w:spacing w:after="0" w:line="12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Subject to the requirements in Section 5.3 and the DGCL, the Company shall not be obligated to indemnify any person pursuant to this Article V in connection with any action, suit or proceeding (or any part of any action, suit or proceeding):</w:t>
      </w:r>
    </w:p>
    <w:p>
      <w:pPr>
        <w:spacing w:after="0" w:line="62" w:lineRule="exact"/>
        <w:rPr>
          <w:sz w:val="20"/>
          <w:szCs w:val="20"/>
          <w:color w:val="auto"/>
        </w:rPr>
      </w:pPr>
    </w:p>
    <w:p>
      <w:pPr>
        <w:ind w:right="40" w:firstLine="996"/>
        <w:spacing w:after="0" w:line="277" w:lineRule="auto"/>
        <w:tabs>
          <w:tab w:leader="none" w:pos="120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62" w:lineRule="exact"/>
        <w:rPr>
          <w:rFonts w:ascii="Arial" w:cs="Arial" w:eastAsia="Arial" w:hAnsi="Arial"/>
          <w:sz w:val="18"/>
          <w:szCs w:val="18"/>
          <w:color w:val="auto"/>
        </w:rPr>
      </w:pPr>
    </w:p>
    <w:p>
      <w:pPr>
        <w:ind w:firstLine="996"/>
        <w:spacing w:after="0" w:line="257" w:lineRule="auto"/>
        <w:tabs>
          <w:tab w:leader="none" w:pos="125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initiated by such person, including any action, suit or proceeding (or any part of any action, suit or proceeding) initiated by such person against the Company or any of its directors, officers, employees, agents or other indemnitees, unless (a) the Board authorized the action, suit or proceeding (or the relevant part of the action, suit or proceeding) prior to its initiation, (b) the Company provides the indemnification, in its sole discretion, pursuant to the powers vested in the Company under applicable law, (c) otherwise required to be made under Section 5.7, or (d) otherwise required by applicable law; or</w:t>
      </w:r>
    </w:p>
    <w:p>
      <w:pPr>
        <w:spacing w:after="0" w:line="80" w:lineRule="exact"/>
        <w:rPr>
          <w:rFonts w:ascii="Arial" w:cs="Arial" w:eastAsia="Arial" w:hAnsi="Arial"/>
          <w:sz w:val="18"/>
          <w:szCs w:val="18"/>
          <w:color w:val="auto"/>
        </w:rPr>
      </w:pPr>
    </w:p>
    <w:p>
      <w:pPr>
        <w:ind w:left="1320" w:hanging="324"/>
        <w:spacing w:after="0"/>
        <w:tabs>
          <w:tab w:leader="none" w:pos="13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u w:val="single" w:color="auto"/>
          <w:color w:val="auto"/>
        </w:rPr>
        <w:t>Determination; Claim</w:t>
      </w:r>
    </w:p>
    <w:p>
      <w:pPr>
        <w:spacing w:after="0" w:line="121" w:lineRule="exact"/>
        <w:rPr>
          <w:sz w:val="20"/>
          <w:szCs w:val="20"/>
          <w:color w:val="auto"/>
        </w:rPr>
      </w:pPr>
    </w:p>
    <w:p>
      <w:pPr>
        <w:ind w:right="120" w:firstLine="441"/>
        <w:spacing w:after="0" w:line="293" w:lineRule="auto"/>
        <w:rPr>
          <w:sz w:val="20"/>
          <w:szCs w:val="20"/>
          <w:color w:val="auto"/>
        </w:rPr>
      </w:pPr>
      <w:r>
        <w:rPr>
          <w:rFonts w:ascii="Arial" w:cs="Arial" w:eastAsia="Arial" w:hAnsi="Arial"/>
          <w:sz w:val="16"/>
          <w:szCs w:val="16"/>
          <w:color w:val="auto"/>
        </w:rPr>
        <w:t>If a claim for indemnification or advancement of expenses under this Article V is not paid by the Company or on its behalf within 90 days after the Company’s receipt of a written claim therefor, the claimant shall be entitled to an adjudication by a court of competent jurisdiction of his or her entitlement to such indemnification or advancement of expenses. To the extent not prohibited by applicable law, the Company shall indemnify such claimant against all expenses he or she actually and reasonably incurred in connection with any action for indemnification or advancement of expenses from the Company under this Article V, to the extent such claimant is successful in such action. In any such action, the Company shall, to the fullest extent no prohibited by law, have the burden of proving that the claimant is not entitled to the requested indemnification or advancement of expenses.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u w:val="single" w:color="auto"/>
          <w:color w:val="auto"/>
        </w:rPr>
        <w:t>Non-Exclusivity of Rights</w:t>
      </w:r>
    </w:p>
    <w:p>
      <w:pPr>
        <w:spacing w:after="0" w:line="121"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color w:val="auto"/>
        </w:rPr>
        <w:t>The indemnification and advancement of expenses provided by, or granted pursuant to, this Article V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320" w:name="page321"/>
    <w:bookmarkEnd w:id="32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5.9 </w:t>
      </w:r>
      <w:r>
        <w:rPr>
          <w:rFonts w:ascii="Arial" w:cs="Arial" w:eastAsia="Arial" w:hAnsi="Arial"/>
          <w:sz w:val="18"/>
          <w:szCs w:val="18"/>
          <w:b w:val="1"/>
          <w:bCs w:val="1"/>
          <w:u w:val="single" w:color="auto"/>
          <w:color w:val="auto"/>
        </w:rPr>
        <w:t>Insurance</w:t>
      </w:r>
    </w:p>
    <w:p>
      <w:pPr>
        <w:spacing w:after="0" w:line="121"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u w:val="single" w:color="auto"/>
          <w:color w:val="auto"/>
        </w:rPr>
        <w:t>Survival</w:t>
      </w:r>
    </w:p>
    <w:p>
      <w:pPr>
        <w:spacing w:after="0" w:line="121"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Subject to the terms contained in any indemnification agreement entered into between the Company and a director, officer, employee or agent, the indemnification and advancement of expenses provided by this Article V shall continue as to a person who has ceased to be a director, officer, employee or agent and shall inure to the benefit of the heirs, executors and administrators of such a person.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u w:val="single" w:color="auto"/>
          <w:color w:val="auto"/>
        </w:rPr>
        <w:t>Effect of Repeal or Modification</w:t>
      </w:r>
    </w:p>
    <w:p>
      <w:pPr>
        <w:spacing w:after="0" w:line="121"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A right to indemnification or to advancement of expenses arising hereunder shall not be eliminated or impaired by an amendment hereof after the occurrence of the act or omission that is the subject of the civil, criminal, administrative or investigative action, suit or proceeding for which indemnification or advancement of expenses is sought.</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b w:val="1"/>
          <w:bCs w:val="1"/>
          <w:u w:val="single" w:color="auto"/>
          <w:color w:val="auto"/>
        </w:rPr>
        <w:t>Certain Definitions</w:t>
      </w:r>
    </w:p>
    <w:p>
      <w:pPr>
        <w:spacing w:after="0" w:line="12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For purposes of this Article V, references to the “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V with respect to the resulting or surviving corporation as such person would have with respect to such constituent corporation if its separate existence had continued. For purposes of this Article V, references to “other enterprises” shall include employee benefit plans; references to “fines” shall include any excise taxes assessed on a person with respect to an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 V.</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0" w:right="479" w:bottom="1440" w:gutter="0" w:footer="0" w:header="0"/>
        </w:sectPr>
      </w:pPr>
    </w:p>
    <w:bookmarkStart w:id="321" w:name="page322"/>
    <w:bookmarkEnd w:id="32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 — STOCK</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u w:val="single" w:color="auto"/>
          <w:color w:val="auto"/>
        </w:rPr>
        <w:t>Stock Certificates; Partly Paid Shares</w:t>
      </w:r>
    </w:p>
    <w:p>
      <w:pPr>
        <w:spacing w:after="0" w:line="121"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The shares of the Company shall be represented by certificates, provided that the Board may provide by resolution or resolutions that some or all of any or all classes or series of its stock shall be uncertificated shares. Any such resolution shall not apply to shares represented by a certificate until such certificate is surrendered to the Company. Every holder of stock represented by certificates shall be entitled to have a certificate signed by, or in the name of, the Company by the Chairperson of the Board or Vice-Chairperson of the Board, or the President or a Vice President, and by the Treasurer or an Assistant Treasurer, or the Secretary or an Assistant Secretary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82"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The Company may issue the whole or any part of its shares as partly paid and subject to call for the remainder of the consideration to be paid therefor. Upon the face or back of each stock certificate issued to represent any such partly paid shares, or upon the books and records of the Company in the case of uncertificated partly paid shares, the total amount of the consideration to be paid therefor and the amount paid thereon shall be stated. Upon the declaration of any dividend on fully paid shares, the Company shall declare a dividend upon partly paid shares of the same class, but only upon the basis of the percentage of the consideration actually paid thereon.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u w:val="single" w:color="auto"/>
          <w:color w:val="auto"/>
        </w:rPr>
        <w:t>Special Designation on Certificates</w:t>
      </w:r>
    </w:p>
    <w:p>
      <w:pPr>
        <w:spacing w:after="0" w:line="12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If the Company is authorized to issue more than one class of stock or more than one series of any class, then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provided that, except as otherwise provided in Section 202 of the DGCL, in lieu of the foregoing requirements, there may be set forth on the face or back of the certificate which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Company shall send to the registered owner thereof a written notice containing the information required to be set forth or stated on certificates pursuant to this Section 6.2 or Section 156, Section 202(a) or Section 218(a) of the DGCL or with respect to this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322" w:name="page323"/>
    <w:bookmarkEnd w:id="322"/>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Lost Certificates</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Except as provided in this Section 6.3, no new certificates for shares shall be issued to replace a previously issued certificate unless the previously issued certificate is surrendered to the Company and cancelled at the same time. The Company may issue a new certificate of stock or uncertificated shares in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u w:val="single" w:color="auto"/>
          <w:color w:val="auto"/>
        </w:rPr>
        <w:t>Dividends</w:t>
      </w:r>
    </w:p>
    <w:p>
      <w:pPr>
        <w:spacing w:after="0" w:line="12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Board, subject to applicable law and any restrictions contained in the certificate of incorporation, may declare and pay dividends upon the shares of the Company’s capital stock. Dividends may be paid in cash, in property or in shares of the Company’s capital stock, subject to applicable law and the certificate of incorporation.</w:t>
      </w:r>
    </w:p>
    <w:p>
      <w:pPr>
        <w:spacing w:after="0" w:line="181"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The Board may set apart out of any of the funds of the Company available for dividends a reserve or reserves for any proper purpose and may abolish any such reserve.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u w:val="single" w:color="auto"/>
          <w:color w:val="auto"/>
        </w:rPr>
        <w:t>Stock Transfer Agreements</w:t>
      </w:r>
    </w:p>
    <w:p>
      <w:pPr>
        <w:spacing w:after="0" w:line="12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u w:val="single" w:color="auto"/>
          <w:color w:val="auto"/>
        </w:rPr>
        <w:t>Registered Stockholders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w:t>
      </w:r>
    </w:p>
    <w:p>
      <w:pPr>
        <w:spacing w:after="0" w:line="117" w:lineRule="exact"/>
        <w:rPr>
          <w:sz w:val="20"/>
          <w:szCs w:val="20"/>
          <w:color w:val="auto"/>
        </w:rPr>
      </w:pPr>
    </w:p>
    <w:p>
      <w:pPr>
        <w:ind w:right="160" w:firstLine="996"/>
        <w:spacing w:after="0" w:line="277" w:lineRule="auto"/>
        <w:tabs>
          <w:tab w:leader="none" w:pos="120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shall be entitled to recognize the exclusive right of a person registered on its books as the owner of shares to receive dividends and to vote as such owner;</w:t>
      </w:r>
    </w:p>
    <w:p>
      <w:pPr>
        <w:spacing w:after="0" w:line="62" w:lineRule="exact"/>
        <w:rPr>
          <w:rFonts w:ascii="Arial" w:cs="Arial" w:eastAsia="Arial" w:hAnsi="Arial"/>
          <w:sz w:val="18"/>
          <w:szCs w:val="18"/>
          <w:color w:val="auto"/>
        </w:rPr>
      </w:pPr>
    </w:p>
    <w:p>
      <w:pPr>
        <w:ind w:left="1260" w:hanging="264"/>
        <w:spacing w:after="0"/>
        <w:tabs>
          <w:tab w:leader="none" w:pos="12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shall be entitled to hold liable for calls and assessments the person registered on its books as the owner of shares;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3" w:right="499" w:bottom="1440" w:gutter="0" w:footer="0" w:header="0"/>
        </w:sectPr>
      </w:pPr>
    </w:p>
    <w:bookmarkStart w:id="323" w:name="page324"/>
    <w:bookmarkEnd w:id="323"/>
    <w:p>
      <w:pPr>
        <w:ind w:right="580" w:firstLine="996"/>
        <w:spacing w:after="0" w:line="277" w:lineRule="auto"/>
        <w:tabs>
          <w:tab w:leader="none" w:pos="1307"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u w:val="single" w:color="auto"/>
          <w:color w:val="auto"/>
        </w:rPr>
        <w:t>Transfers</w:t>
      </w:r>
    </w:p>
    <w:p>
      <w:pPr>
        <w:spacing w:after="0" w:line="12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Stock of the Company shall be transferable in the manner prescribed by law and in these bylaws. Transfers of stock of the Company shall be made on its books only by the person named as the holder thereof on the company’s stock records, in person or by an attorney duly authorized in writing, and, if such stock is certificated, upon the surrender of the certificate thereof, which shall be cancelled before a new certificate or uncertificated shares shall be issued. No transfer of stock of the Company shall be valid as against the Company for any purpose until it shall have been entered in the Company’s stock records by an entry showing from and to whom transferred.</w:t>
      </w:r>
    </w:p>
    <w:p>
      <w:pPr>
        <w:spacing w:after="0" w:line="200" w:lineRule="exact"/>
        <w:rPr>
          <w:sz w:val="20"/>
          <w:szCs w:val="20"/>
          <w:color w:val="auto"/>
        </w:rPr>
      </w:pPr>
    </w:p>
    <w:p>
      <w:pPr>
        <w:spacing w:after="0" w:line="204"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ARTICLE VII — MANNER OF GIVING NOTICE AND WAIVER</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Notice of Stockholder Meetings</w:t>
      </w:r>
    </w:p>
    <w:p>
      <w:pPr>
        <w:spacing w:after="0" w:line="121"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 xml:space="preserve">Notice of any meeting of stockholders, if mailed, is given when deposited in the United States mail, postage prepaid, directed to the stockholder at such stockholder’s address as it appears on the Company’s records. An affidavit of the Secretary or an Assistant Secretary or of the transfer agent or other agent of the Company that the notice has been given shall, in the absence of fraud,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facts stated therein.</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u w:val="single" w:color="auto"/>
          <w:color w:val="auto"/>
        </w:rPr>
        <w:t>Notice by Electronic Transmission</w:t>
      </w:r>
    </w:p>
    <w:p>
      <w:pPr>
        <w:spacing w:after="0" w:line="121"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Without limiting the manner by which notice otherwise may be given effectively to stockholders, any notice to stockholders given by the Company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Company. Any such consent shall be deemed revoked if:</w:t>
      </w:r>
    </w:p>
    <w:p>
      <w:pPr>
        <w:spacing w:after="0" w:line="7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 the Company is unable to deliver by electronic transmission two consecutive notices given by the Company in accordance with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consent; and</w:t>
      </w:r>
    </w:p>
    <w:p>
      <w:pPr>
        <w:spacing w:after="0" w:line="103" w:lineRule="exact"/>
        <w:rPr>
          <w:sz w:val="20"/>
          <w:szCs w:val="20"/>
          <w:color w:val="auto"/>
        </w:rPr>
      </w:pPr>
    </w:p>
    <w:p>
      <w:pPr>
        <w:ind w:left="1260" w:hanging="264"/>
        <w:spacing w:after="0"/>
        <w:tabs>
          <w:tab w:leader="none" w:pos="126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such inability becomes known to the Secretary or an Assistant Secretary or to the transfer agent or other person responsible for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giving of notice.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However, the inadvertent failure to treat such inability as a revocation shall not invalidate any meeting or other action.</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3" w:right="459" w:bottom="1440" w:gutter="0" w:footer="0" w:header="0"/>
        </w:sectPr>
      </w:pPr>
    </w:p>
    <w:bookmarkStart w:id="324" w:name="page325"/>
    <w:bookmarkEnd w:id="32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notice given pursuant to the preceding paragraph of this Section 7.2 shall be deemed given:</w:t>
      </w:r>
    </w:p>
    <w:p>
      <w:pPr>
        <w:spacing w:after="0" w:line="117" w:lineRule="exact"/>
        <w:rPr>
          <w:sz w:val="20"/>
          <w:szCs w:val="20"/>
          <w:color w:val="auto"/>
        </w:rPr>
      </w:pPr>
    </w:p>
    <w:p>
      <w:pPr>
        <w:ind w:left="1220" w:hanging="224"/>
        <w:spacing w:after="0"/>
        <w:tabs>
          <w:tab w:leader="none" w:pos="122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if by electronic mail, when directed to an electronic mail address at which the stockholder has consented to receive notice;</w:t>
      </w:r>
    </w:p>
    <w:p>
      <w:pPr>
        <w:spacing w:after="0" w:line="117" w:lineRule="exact"/>
        <w:rPr>
          <w:rFonts w:ascii="Arial" w:cs="Arial" w:eastAsia="Arial" w:hAnsi="Arial"/>
          <w:sz w:val="18"/>
          <w:szCs w:val="18"/>
          <w:color w:val="auto"/>
        </w:rPr>
      </w:pPr>
    </w:p>
    <w:p>
      <w:pPr>
        <w:ind w:left="1320" w:hanging="324"/>
        <w:spacing w:after="0"/>
        <w:tabs>
          <w:tab w:leader="none" w:pos="132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if by a posting on an electronic network together with separate notice to the stockholder of such specific posting, upon the later of</w:t>
      </w:r>
    </w:p>
    <w:p>
      <w:pPr>
        <w:spacing w:after="0" w:line="46" w:lineRule="exact"/>
        <w:rPr>
          <w:rFonts w:ascii="Arial" w:cs="Arial" w:eastAsia="Arial" w:hAnsi="Arial"/>
          <w:sz w:val="16"/>
          <w:szCs w:val="16"/>
          <w:color w:val="auto"/>
        </w:rPr>
      </w:pPr>
    </w:p>
    <w:p>
      <w:pPr>
        <w:ind w:left="300" w:hanging="296"/>
        <w:spacing w:after="0"/>
        <w:tabs>
          <w:tab w:leader="none" w:pos="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such posting and (B) the giving of such separate notice; and</w:t>
      </w:r>
    </w:p>
    <w:p>
      <w:pPr>
        <w:spacing w:after="0" w:line="102" w:lineRule="exact"/>
        <w:rPr>
          <w:rFonts w:ascii="Arial" w:cs="Arial" w:eastAsia="Arial" w:hAnsi="Arial"/>
          <w:sz w:val="18"/>
          <w:szCs w:val="18"/>
          <w:color w:val="auto"/>
        </w:rPr>
      </w:pPr>
    </w:p>
    <w:p>
      <w:pPr>
        <w:ind w:left="1300" w:hanging="304"/>
        <w:spacing w:after="0"/>
        <w:tabs>
          <w:tab w:leader="none" w:pos="130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 xml:space="preserve">An affidavit of the Secretary or an Assistant Secretary or of the transfer agent or other agent of the Company that the notice has been given by a form of electronic transmission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70"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As used in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Section 7.2 shall not apply to Section 164, Section 296, Section 311, Section 312 or Section 324 of the DGCL.</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u w:val="single" w:color="auto"/>
          <w:color w:val="auto"/>
        </w:rPr>
        <w:t>Notice to Stockholders Sharing an Address</w:t>
      </w:r>
    </w:p>
    <w:p>
      <w:pPr>
        <w:spacing w:after="0" w:line="121"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Without limiting the manner by which notice otherwise may be given effectively to stockholders, any notice to stockholders given by the Company under any provision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permitted under this Section 7.3, shall be deemed to have consented to receiving such single written notice. This Section 7.3 shall not apply to Section 164, Section 296, Section 311, Section 312 or Section 324 of the DGCL.</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u w:val="single" w:color="auto"/>
          <w:color w:val="auto"/>
        </w:rPr>
        <w:t>Notice to Person with Whom Communication is Unlawful</w:t>
      </w:r>
    </w:p>
    <w:p>
      <w:pPr>
        <w:spacing w:after="0" w:line="121" w:lineRule="exact"/>
        <w:rPr>
          <w:sz w:val="20"/>
          <w:szCs w:val="20"/>
          <w:color w:val="auto"/>
        </w:rPr>
      </w:pPr>
    </w:p>
    <w:p>
      <w:pPr>
        <w:ind w:right="480" w:firstLine="441"/>
        <w:spacing w:after="0" w:line="264" w:lineRule="auto"/>
        <w:rPr>
          <w:sz w:val="20"/>
          <w:szCs w:val="20"/>
          <w:color w:val="auto"/>
        </w:rPr>
      </w:pPr>
      <w:r>
        <w:rPr>
          <w:rFonts w:ascii="Arial" w:cs="Arial" w:eastAsia="Arial" w:hAnsi="Arial"/>
          <w:sz w:val="18"/>
          <w:szCs w:val="18"/>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325" w:name="page326"/>
    <w:bookmarkEnd w:id="325"/>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u w:val="single" w:color="auto"/>
          <w:color w:val="auto"/>
        </w:rPr>
        <w:t>Waiver of Notice</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stockholders, directors or members of a committee of directors need be specified in any written waiver of notice or any waiver by electronic transmission unless so required by the certificate of incorporation or these bylaws.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 — GENERAL MATTERS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u w:val="single" w:color="auto"/>
          <w:color w:val="auto"/>
        </w:rPr>
        <w:t>Fiscal Year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fiscal year of the Company shall be fixed by resolution of the Board and may be changed by the Board.</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u w:val="single" w:color="auto"/>
          <w:color w:val="auto"/>
        </w:rPr>
        <w:t>Seal</w:t>
      </w:r>
    </w:p>
    <w:p>
      <w:pPr>
        <w:spacing w:after="0" w:line="12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The Company may adopt a corporate seal, which shall be in such form as may be approved from time to time by the Board. The Company may use the corporate seal by causing it or a facsimile thereof to be impressed or affixed or in any other manner reproduced.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u w:val="single" w:color="auto"/>
          <w:color w:val="auto"/>
        </w:rPr>
        <w:t>Annual Report</w:t>
      </w:r>
    </w:p>
    <w:p>
      <w:pPr>
        <w:spacing w:after="0" w:line="12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Company shall cause an annual report to be sent to the stockholders of the Company to the extent required by applicable law. If and so long as there are fewer than 100 holders of record of the Company’s shares, the requirement of sending an annual report to the stockholders of the Company is expressly waived to the extent permitted by applicable law.</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u w:val="single" w:color="auto"/>
          <w:color w:val="auto"/>
        </w:rPr>
        <w:t>Construction; Definitions</w:t>
      </w:r>
    </w:p>
    <w:p>
      <w:pPr>
        <w:spacing w:after="0" w:line="121"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326" w:name="page327"/>
    <w:bookmarkEnd w:id="32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8.5 </w:t>
      </w:r>
      <w:r>
        <w:rPr>
          <w:rFonts w:ascii="Arial" w:cs="Arial" w:eastAsia="Arial" w:hAnsi="Arial"/>
          <w:sz w:val="18"/>
          <w:szCs w:val="18"/>
          <w:b w:val="1"/>
          <w:bCs w:val="1"/>
          <w:u w:val="single" w:color="auto"/>
          <w:color w:val="auto"/>
        </w:rPr>
        <w:t>Conflict with Applicable Law or Certificate of Incorporation</w:t>
      </w:r>
    </w:p>
    <w:p>
      <w:pPr>
        <w:spacing w:after="0" w:line="121" w:lineRule="exact"/>
        <w:rPr>
          <w:sz w:val="20"/>
          <w:szCs w:val="20"/>
          <w:color w:val="auto"/>
        </w:rPr>
      </w:pPr>
    </w:p>
    <w:p>
      <w:pPr>
        <w:ind w:right="480" w:firstLine="441"/>
        <w:spacing w:after="0" w:line="342" w:lineRule="auto"/>
        <w:rPr>
          <w:sz w:val="20"/>
          <w:szCs w:val="20"/>
          <w:color w:val="auto"/>
        </w:rPr>
      </w:pPr>
      <w:r>
        <w:rPr>
          <w:rFonts w:ascii="Arial" w:cs="Arial" w:eastAsia="Arial" w:hAnsi="Arial"/>
          <w:sz w:val="16"/>
          <w:szCs w:val="16"/>
          <w:color w:val="auto"/>
        </w:rPr>
        <w:t>These bylaws are adopted subject to any applicable law and the certificate of incorporation. Whenever these bylaws may conflict with any applicable law or the certificate of incorporation, such conflict shall be resolved in favor of such law or the certificate of incorporation.</w:t>
      </w:r>
    </w:p>
    <w:p>
      <w:pPr>
        <w:spacing w:after="0" w:line="3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IX — AMENDMENTS</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These bylaws may be adopted, amended or repealed by the stockholders entitled to vote. However, the Company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81"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A bylaw amendment adopted by stockholders which specifies the votes that shall be necessary for the election of directors shall not be further amended or repealed by the Board.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80"/>
          </w:cols>
          <w:pgMar w:left="440" w:top="270" w:right="579"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4D MOLECULAR THERAPEUTICS, INC.</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SECOND AMENDED AND RESTATED INVESTORS’ RIGHTS AGREEMENT</w:t>
      </w:r>
    </w:p>
    <w:p>
      <w:pPr>
        <w:sectPr>
          <w:pgSz w:w="11900" w:h="16838" w:orient="portrait"/>
          <w:cols w:equalWidth="0" w:num="1">
            <w:col w:w="10020"/>
          </w:cols>
          <w:pgMar w:left="1440" w:top="121" w:right="439" w:bottom="1440" w:gutter="0" w:footer="0" w:header="0"/>
        </w:sectPr>
      </w:pPr>
    </w:p>
    <w:bookmarkStart w:id="328" w:name="page329"/>
    <w:bookmarkEnd w:id="328"/>
    <w:tbl>
      <w:tblPr>
        <w:tblLayout w:type="fixed"/>
        <w:tblInd w:w="0" w:type="dxa"/>
        <w:tblCellMar>
          <w:top w:w="0" w:type="dxa"/>
          <w:left w:w="0" w:type="dxa"/>
          <w:bottom w:w="0" w:type="dxa"/>
          <w:right w:w="0" w:type="dxa"/>
        </w:tblCellMar>
      </w:tblPr>
      <w:tr>
        <w:trPr>
          <w:trHeight w:val="212"/>
        </w:trPr>
        <w:tc>
          <w:tcPr>
            <w:tcW w:w="7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646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rPr>
              <w:t>Execution Version</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6460" w:type="dxa"/>
            <w:vAlign w:val="bottom"/>
            <w:gridSpan w:val="3"/>
          </w:tcPr>
          <w:p>
            <w:pPr>
              <w:jc w:val="right"/>
              <w:spacing w:after="0"/>
              <w:rPr>
                <w:sz w:val="20"/>
                <w:szCs w:val="20"/>
                <w:color w:val="auto"/>
              </w:rPr>
            </w:pPr>
            <w:r>
              <w:rPr>
                <w:rFonts w:ascii="Arial" w:cs="Arial" w:eastAsia="Arial" w:hAnsi="Arial"/>
                <w:sz w:val="18"/>
                <w:szCs w:val="18"/>
                <w:b w:val="1"/>
                <w:bCs w:val="1"/>
                <w:color w:val="auto"/>
              </w:rPr>
              <w:t>CONFIDENTIAL</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460" w:type="dxa"/>
            <w:vAlign w:val="bottom"/>
            <w:gridSpan w:val="3"/>
          </w:tcPr>
          <w:p>
            <w:pPr>
              <w:jc w:val="right"/>
              <w:ind w:right="48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1. Definitions</w:t>
            </w:r>
          </w:p>
        </w:tc>
        <w:tc>
          <w:tcPr>
            <w:tcW w:w="64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4560" w:type="dxa"/>
            <w:vAlign w:val="bottom"/>
            <w:gridSpan w:val="2"/>
            <w:vMerge w:val="continue"/>
          </w:tcPr>
          <w:p>
            <w:pPr>
              <w:spacing w:after="0"/>
              <w:rPr>
                <w:sz w:val="19"/>
                <w:szCs w:val="19"/>
                <w:color w:val="auto"/>
              </w:rPr>
            </w:pPr>
          </w:p>
        </w:tc>
        <w:tc>
          <w:tcPr>
            <w:tcW w:w="612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560" w:type="dxa"/>
            <w:vAlign w:val="bottom"/>
            <w:gridSpan w:val="2"/>
          </w:tcPr>
          <w:p>
            <w:pPr>
              <w:spacing w:after="0"/>
              <w:rPr>
                <w:sz w:val="20"/>
                <w:szCs w:val="20"/>
                <w:color w:val="auto"/>
              </w:rPr>
            </w:pPr>
            <w:r>
              <w:rPr>
                <w:rFonts w:ascii="Arial" w:cs="Arial" w:eastAsia="Arial" w:hAnsi="Arial"/>
                <w:sz w:val="18"/>
                <w:szCs w:val="18"/>
                <w:color w:val="auto"/>
              </w:rPr>
              <w:t>2. Registration Rights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2.1</w:t>
            </w:r>
          </w:p>
        </w:tc>
        <w:tc>
          <w:tcPr>
            <w:tcW w:w="3780" w:type="dxa"/>
            <w:vAlign w:val="bottom"/>
          </w:tcPr>
          <w:p>
            <w:pPr>
              <w:ind w:left="80"/>
              <w:spacing w:after="0"/>
              <w:rPr>
                <w:sz w:val="20"/>
                <w:szCs w:val="20"/>
                <w:color w:val="auto"/>
              </w:rPr>
            </w:pPr>
            <w:r>
              <w:rPr>
                <w:rFonts w:ascii="Arial" w:cs="Arial" w:eastAsia="Arial" w:hAnsi="Arial"/>
                <w:sz w:val="18"/>
                <w:szCs w:val="18"/>
                <w:color w:val="auto"/>
              </w:rPr>
              <w:t>Demand Registration</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2.2</w:t>
            </w:r>
          </w:p>
        </w:tc>
        <w:tc>
          <w:tcPr>
            <w:tcW w:w="3780" w:type="dxa"/>
            <w:vAlign w:val="bottom"/>
          </w:tcPr>
          <w:p>
            <w:pPr>
              <w:ind w:left="80"/>
              <w:spacing w:after="0"/>
              <w:rPr>
                <w:sz w:val="20"/>
                <w:szCs w:val="20"/>
                <w:color w:val="auto"/>
              </w:rPr>
            </w:pPr>
            <w:r>
              <w:rPr>
                <w:rFonts w:ascii="Arial" w:cs="Arial" w:eastAsia="Arial" w:hAnsi="Arial"/>
                <w:sz w:val="18"/>
                <w:szCs w:val="18"/>
                <w:color w:val="auto"/>
              </w:rPr>
              <w:t>Company Registration</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2.3</w:t>
            </w:r>
          </w:p>
        </w:tc>
        <w:tc>
          <w:tcPr>
            <w:tcW w:w="3780" w:type="dxa"/>
            <w:vAlign w:val="bottom"/>
          </w:tcPr>
          <w:p>
            <w:pPr>
              <w:ind w:left="80"/>
              <w:spacing w:after="0"/>
              <w:rPr>
                <w:sz w:val="20"/>
                <w:szCs w:val="20"/>
                <w:color w:val="auto"/>
              </w:rPr>
            </w:pPr>
            <w:r>
              <w:rPr>
                <w:rFonts w:ascii="Arial" w:cs="Arial" w:eastAsia="Arial" w:hAnsi="Arial"/>
                <w:sz w:val="18"/>
                <w:szCs w:val="18"/>
                <w:color w:val="auto"/>
              </w:rPr>
              <w:t>Underwriting Requirements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2.4</w:t>
            </w:r>
          </w:p>
        </w:tc>
        <w:tc>
          <w:tcPr>
            <w:tcW w:w="3780" w:type="dxa"/>
            <w:vAlign w:val="bottom"/>
          </w:tcPr>
          <w:p>
            <w:pPr>
              <w:ind w:left="80"/>
              <w:spacing w:after="0"/>
              <w:rPr>
                <w:sz w:val="20"/>
                <w:szCs w:val="20"/>
                <w:color w:val="auto"/>
              </w:rPr>
            </w:pPr>
            <w:r>
              <w:rPr>
                <w:rFonts w:ascii="Arial" w:cs="Arial" w:eastAsia="Arial" w:hAnsi="Arial"/>
                <w:sz w:val="18"/>
                <w:szCs w:val="18"/>
                <w:color w:val="auto"/>
              </w:rPr>
              <w:t>Obligations of the Company</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2.5</w:t>
            </w:r>
          </w:p>
        </w:tc>
        <w:tc>
          <w:tcPr>
            <w:tcW w:w="3780" w:type="dxa"/>
            <w:vAlign w:val="bottom"/>
          </w:tcPr>
          <w:p>
            <w:pPr>
              <w:ind w:left="80"/>
              <w:spacing w:after="0"/>
              <w:rPr>
                <w:sz w:val="20"/>
                <w:szCs w:val="20"/>
                <w:color w:val="auto"/>
              </w:rPr>
            </w:pPr>
            <w:r>
              <w:rPr>
                <w:rFonts w:ascii="Arial" w:cs="Arial" w:eastAsia="Arial" w:hAnsi="Arial"/>
                <w:sz w:val="18"/>
                <w:szCs w:val="18"/>
                <w:color w:val="auto"/>
              </w:rPr>
              <w:t>Furnish Information</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2.6</w:t>
            </w:r>
          </w:p>
        </w:tc>
        <w:tc>
          <w:tcPr>
            <w:tcW w:w="3780" w:type="dxa"/>
            <w:vAlign w:val="bottom"/>
          </w:tcPr>
          <w:p>
            <w:pPr>
              <w:ind w:left="80"/>
              <w:spacing w:after="0"/>
              <w:rPr>
                <w:sz w:val="20"/>
                <w:szCs w:val="20"/>
                <w:color w:val="auto"/>
              </w:rPr>
            </w:pPr>
            <w:r>
              <w:rPr>
                <w:rFonts w:ascii="Arial" w:cs="Arial" w:eastAsia="Arial" w:hAnsi="Arial"/>
                <w:sz w:val="18"/>
                <w:szCs w:val="18"/>
                <w:color w:val="auto"/>
              </w:rPr>
              <w:t>Expenses of Registration</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2.7</w:t>
            </w:r>
          </w:p>
        </w:tc>
        <w:tc>
          <w:tcPr>
            <w:tcW w:w="3780" w:type="dxa"/>
            <w:vAlign w:val="bottom"/>
          </w:tcPr>
          <w:p>
            <w:pPr>
              <w:ind w:left="80"/>
              <w:spacing w:after="0"/>
              <w:rPr>
                <w:sz w:val="20"/>
                <w:szCs w:val="20"/>
                <w:color w:val="auto"/>
              </w:rPr>
            </w:pPr>
            <w:r>
              <w:rPr>
                <w:rFonts w:ascii="Arial" w:cs="Arial" w:eastAsia="Arial" w:hAnsi="Arial"/>
                <w:sz w:val="18"/>
                <w:szCs w:val="18"/>
                <w:color w:val="auto"/>
              </w:rPr>
              <w:t>Delay of Registration</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2.8</w:t>
            </w:r>
          </w:p>
        </w:tc>
        <w:tc>
          <w:tcPr>
            <w:tcW w:w="3780" w:type="dxa"/>
            <w:vAlign w:val="bottom"/>
          </w:tcPr>
          <w:p>
            <w:pPr>
              <w:ind w:left="80"/>
              <w:spacing w:after="0"/>
              <w:rPr>
                <w:sz w:val="20"/>
                <w:szCs w:val="20"/>
                <w:color w:val="auto"/>
              </w:rPr>
            </w:pPr>
            <w:r>
              <w:rPr>
                <w:rFonts w:ascii="Arial" w:cs="Arial" w:eastAsia="Arial" w:hAnsi="Arial"/>
                <w:sz w:val="18"/>
                <w:szCs w:val="18"/>
                <w:color w:val="auto"/>
              </w:rPr>
              <w:t>Indemnification</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2.9</w:t>
            </w:r>
          </w:p>
        </w:tc>
        <w:tc>
          <w:tcPr>
            <w:tcW w:w="3780" w:type="dxa"/>
            <w:vAlign w:val="bottom"/>
          </w:tcPr>
          <w:p>
            <w:pPr>
              <w:ind w:left="80"/>
              <w:spacing w:after="0"/>
              <w:rPr>
                <w:sz w:val="20"/>
                <w:szCs w:val="20"/>
                <w:color w:val="auto"/>
              </w:rPr>
            </w:pPr>
            <w:r>
              <w:rPr>
                <w:rFonts w:ascii="Arial" w:cs="Arial" w:eastAsia="Arial" w:hAnsi="Arial"/>
                <w:sz w:val="18"/>
                <w:szCs w:val="18"/>
                <w:color w:val="auto"/>
              </w:rPr>
              <w:t>Reports Under Exchange Act</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2.10</w:t>
            </w:r>
          </w:p>
        </w:tc>
        <w:tc>
          <w:tcPr>
            <w:tcW w:w="3780" w:type="dxa"/>
            <w:vAlign w:val="bottom"/>
          </w:tcPr>
          <w:p>
            <w:pPr>
              <w:ind w:left="80"/>
              <w:spacing w:after="0"/>
              <w:rPr>
                <w:sz w:val="20"/>
                <w:szCs w:val="20"/>
                <w:color w:val="auto"/>
              </w:rPr>
            </w:pPr>
            <w:r>
              <w:rPr>
                <w:rFonts w:ascii="Arial" w:cs="Arial" w:eastAsia="Arial" w:hAnsi="Arial"/>
                <w:sz w:val="18"/>
                <w:szCs w:val="18"/>
                <w:color w:val="auto"/>
                <w:w w:val="99"/>
              </w:rPr>
              <w:t>Limitations on Subsequent Registration Rights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2.11</w:t>
            </w:r>
          </w:p>
        </w:tc>
        <w:tc>
          <w:tcPr>
            <w:tcW w:w="3780" w:type="dxa"/>
            <w:vAlign w:val="bottom"/>
          </w:tcPr>
          <w:p>
            <w:pPr>
              <w:ind w:left="80"/>
              <w:spacing w:after="0"/>
              <w:rPr>
                <w:sz w:val="20"/>
                <w:szCs w:val="20"/>
                <w:color w:val="auto"/>
              </w:rPr>
            </w:pPr>
            <w:r>
              <w:rPr>
                <w:rFonts w:ascii="Arial" w:cs="Arial" w:eastAsia="Arial" w:hAnsi="Arial"/>
                <w:sz w:val="18"/>
                <w:szCs w:val="18"/>
                <w:color w:val="auto"/>
              </w:rPr>
              <w:t>Lock-Up Period</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2.12</w:t>
            </w:r>
          </w:p>
        </w:tc>
        <w:tc>
          <w:tcPr>
            <w:tcW w:w="3780" w:type="dxa"/>
            <w:vAlign w:val="bottom"/>
          </w:tcPr>
          <w:p>
            <w:pPr>
              <w:ind w:left="80"/>
              <w:spacing w:after="0"/>
              <w:rPr>
                <w:sz w:val="20"/>
                <w:szCs w:val="20"/>
                <w:color w:val="auto"/>
              </w:rPr>
            </w:pPr>
            <w:r>
              <w:rPr>
                <w:rFonts w:ascii="Arial" w:cs="Arial" w:eastAsia="Arial" w:hAnsi="Arial"/>
                <w:sz w:val="18"/>
                <w:szCs w:val="18"/>
                <w:color w:val="auto"/>
              </w:rPr>
              <w:t>Restrictions on Transfer</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2.13</w:t>
            </w:r>
          </w:p>
        </w:tc>
        <w:tc>
          <w:tcPr>
            <w:tcW w:w="3780" w:type="dxa"/>
            <w:vAlign w:val="bottom"/>
          </w:tcPr>
          <w:p>
            <w:pPr>
              <w:ind w:left="80"/>
              <w:spacing w:after="0"/>
              <w:rPr>
                <w:sz w:val="20"/>
                <w:szCs w:val="20"/>
                <w:color w:val="auto"/>
              </w:rPr>
            </w:pPr>
            <w:r>
              <w:rPr>
                <w:rFonts w:ascii="Arial" w:cs="Arial" w:eastAsia="Arial" w:hAnsi="Arial"/>
                <w:sz w:val="18"/>
                <w:szCs w:val="18"/>
                <w:color w:val="auto"/>
              </w:rPr>
              <w:t>Assignment of Registration Rights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2.14</w:t>
            </w:r>
          </w:p>
        </w:tc>
        <w:tc>
          <w:tcPr>
            <w:tcW w:w="3780" w:type="dxa"/>
            <w:vAlign w:val="bottom"/>
          </w:tcPr>
          <w:p>
            <w:pPr>
              <w:ind w:left="80"/>
              <w:spacing w:after="0"/>
              <w:rPr>
                <w:sz w:val="20"/>
                <w:szCs w:val="20"/>
                <w:color w:val="auto"/>
              </w:rPr>
            </w:pPr>
            <w:r>
              <w:rPr>
                <w:rFonts w:ascii="Arial" w:cs="Arial" w:eastAsia="Arial" w:hAnsi="Arial"/>
                <w:sz w:val="18"/>
                <w:szCs w:val="18"/>
                <w:color w:val="auto"/>
              </w:rPr>
              <w:t>Termination of Registration Rights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560" w:type="dxa"/>
            <w:vAlign w:val="bottom"/>
            <w:gridSpan w:val="2"/>
          </w:tcPr>
          <w:p>
            <w:pPr>
              <w:spacing w:after="0"/>
              <w:rPr>
                <w:sz w:val="20"/>
                <w:szCs w:val="20"/>
                <w:color w:val="auto"/>
              </w:rPr>
            </w:pPr>
            <w:r>
              <w:rPr>
                <w:rFonts w:ascii="Arial" w:cs="Arial" w:eastAsia="Arial" w:hAnsi="Arial"/>
                <w:sz w:val="18"/>
                <w:szCs w:val="18"/>
                <w:color w:val="auto"/>
              </w:rPr>
              <w:t>3. Information Rights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3.1</w:t>
            </w:r>
          </w:p>
        </w:tc>
        <w:tc>
          <w:tcPr>
            <w:tcW w:w="3780" w:type="dxa"/>
            <w:vAlign w:val="bottom"/>
          </w:tcPr>
          <w:p>
            <w:pPr>
              <w:ind w:left="80"/>
              <w:spacing w:after="0"/>
              <w:rPr>
                <w:sz w:val="20"/>
                <w:szCs w:val="20"/>
                <w:color w:val="auto"/>
              </w:rPr>
            </w:pPr>
            <w:r>
              <w:rPr>
                <w:rFonts w:ascii="Arial" w:cs="Arial" w:eastAsia="Arial" w:hAnsi="Arial"/>
                <w:sz w:val="18"/>
                <w:szCs w:val="18"/>
                <w:color w:val="auto"/>
              </w:rPr>
              <w:t>Delivery of Financial Statements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3.2</w:t>
            </w:r>
          </w:p>
        </w:tc>
        <w:tc>
          <w:tcPr>
            <w:tcW w:w="3780" w:type="dxa"/>
            <w:vAlign w:val="bottom"/>
          </w:tcPr>
          <w:p>
            <w:pPr>
              <w:ind w:left="80"/>
              <w:spacing w:after="0"/>
              <w:rPr>
                <w:sz w:val="20"/>
                <w:szCs w:val="20"/>
                <w:color w:val="auto"/>
              </w:rPr>
            </w:pPr>
            <w:r>
              <w:rPr>
                <w:rFonts w:ascii="Arial" w:cs="Arial" w:eastAsia="Arial" w:hAnsi="Arial"/>
                <w:sz w:val="18"/>
                <w:szCs w:val="18"/>
                <w:color w:val="auto"/>
              </w:rPr>
              <w:t>Inspection</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3.3</w:t>
            </w:r>
          </w:p>
        </w:tc>
        <w:tc>
          <w:tcPr>
            <w:tcW w:w="3780" w:type="dxa"/>
            <w:vAlign w:val="bottom"/>
          </w:tcPr>
          <w:p>
            <w:pPr>
              <w:ind w:left="80"/>
              <w:spacing w:after="0"/>
              <w:rPr>
                <w:sz w:val="20"/>
                <w:szCs w:val="20"/>
                <w:color w:val="auto"/>
              </w:rPr>
            </w:pPr>
            <w:r>
              <w:rPr>
                <w:rFonts w:ascii="Arial" w:cs="Arial" w:eastAsia="Arial" w:hAnsi="Arial"/>
                <w:sz w:val="18"/>
                <w:szCs w:val="18"/>
                <w:color w:val="auto"/>
              </w:rPr>
              <w:t>Termination of Information</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3.4</w:t>
            </w:r>
          </w:p>
        </w:tc>
        <w:tc>
          <w:tcPr>
            <w:tcW w:w="3780" w:type="dxa"/>
            <w:vAlign w:val="bottom"/>
          </w:tcPr>
          <w:p>
            <w:pPr>
              <w:ind w:left="80"/>
              <w:spacing w:after="0"/>
              <w:rPr>
                <w:sz w:val="20"/>
                <w:szCs w:val="20"/>
                <w:color w:val="auto"/>
              </w:rPr>
            </w:pPr>
            <w:r>
              <w:rPr>
                <w:rFonts w:ascii="Arial" w:cs="Arial" w:eastAsia="Arial" w:hAnsi="Arial"/>
                <w:sz w:val="18"/>
                <w:szCs w:val="18"/>
                <w:color w:val="auto"/>
              </w:rPr>
              <w:t>Confidentiality</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3.5</w:t>
            </w:r>
          </w:p>
        </w:tc>
        <w:tc>
          <w:tcPr>
            <w:tcW w:w="3780" w:type="dxa"/>
            <w:vAlign w:val="bottom"/>
          </w:tcPr>
          <w:p>
            <w:pPr>
              <w:ind w:left="80"/>
              <w:spacing w:after="0"/>
              <w:rPr>
                <w:sz w:val="20"/>
                <w:szCs w:val="20"/>
                <w:color w:val="auto"/>
              </w:rPr>
            </w:pPr>
            <w:r>
              <w:rPr>
                <w:rFonts w:ascii="Arial" w:cs="Arial" w:eastAsia="Arial" w:hAnsi="Arial"/>
                <w:sz w:val="18"/>
                <w:szCs w:val="18"/>
                <w:color w:val="auto"/>
              </w:rPr>
              <w:t>Auditor Independence</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560" w:type="dxa"/>
            <w:vAlign w:val="bottom"/>
            <w:gridSpan w:val="2"/>
          </w:tcPr>
          <w:p>
            <w:pPr>
              <w:spacing w:after="0"/>
              <w:rPr>
                <w:sz w:val="20"/>
                <w:szCs w:val="20"/>
                <w:color w:val="auto"/>
              </w:rPr>
            </w:pPr>
            <w:r>
              <w:rPr>
                <w:rFonts w:ascii="Arial" w:cs="Arial" w:eastAsia="Arial" w:hAnsi="Arial"/>
                <w:sz w:val="18"/>
                <w:szCs w:val="18"/>
                <w:color w:val="auto"/>
              </w:rPr>
              <w:t>4. Rights to Future Stock Issuances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4.1</w:t>
            </w:r>
          </w:p>
        </w:tc>
        <w:tc>
          <w:tcPr>
            <w:tcW w:w="3780" w:type="dxa"/>
            <w:vAlign w:val="bottom"/>
          </w:tcPr>
          <w:p>
            <w:pPr>
              <w:ind w:left="80"/>
              <w:spacing w:after="0"/>
              <w:rPr>
                <w:sz w:val="20"/>
                <w:szCs w:val="20"/>
                <w:color w:val="auto"/>
              </w:rPr>
            </w:pPr>
            <w:r>
              <w:rPr>
                <w:rFonts w:ascii="Arial" w:cs="Arial" w:eastAsia="Arial" w:hAnsi="Arial"/>
                <w:sz w:val="18"/>
                <w:szCs w:val="18"/>
                <w:color w:val="auto"/>
              </w:rPr>
              <w:t>Right of First Refusal</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4.2</w:t>
            </w:r>
          </w:p>
        </w:tc>
        <w:tc>
          <w:tcPr>
            <w:tcW w:w="3780" w:type="dxa"/>
            <w:vAlign w:val="bottom"/>
          </w:tcPr>
          <w:p>
            <w:pPr>
              <w:ind w:left="80"/>
              <w:spacing w:after="0"/>
              <w:rPr>
                <w:sz w:val="20"/>
                <w:szCs w:val="20"/>
                <w:color w:val="auto"/>
              </w:rPr>
            </w:pPr>
            <w:r>
              <w:rPr>
                <w:rFonts w:ascii="Arial" w:cs="Arial" w:eastAsia="Arial" w:hAnsi="Arial"/>
                <w:sz w:val="18"/>
                <w:szCs w:val="18"/>
                <w:color w:val="auto"/>
              </w:rPr>
              <w:t>Assignment of Right of First Refusal</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4.3</w:t>
            </w:r>
          </w:p>
        </w:tc>
        <w:tc>
          <w:tcPr>
            <w:tcW w:w="3780" w:type="dxa"/>
            <w:vAlign w:val="bottom"/>
          </w:tcPr>
          <w:p>
            <w:pPr>
              <w:ind w:left="80"/>
              <w:spacing w:after="0"/>
              <w:rPr>
                <w:sz w:val="20"/>
                <w:szCs w:val="20"/>
                <w:color w:val="auto"/>
              </w:rPr>
            </w:pPr>
            <w:r>
              <w:rPr>
                <w:rFonts w:ascii="Arial" w:cs="Arial" w:eastAsia="Arial" w:hAnsi="Arial"/>
                <w:sz w:val="18"/>
                <w:szCs w:val="18"/>
                <w:color w:val="auto"/>
              </w:rPr>
              <w:t>Termination of Right of First Refusal</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560" w:type="dxa"/>
            <w:vAlign w:val="bottom"/>
            <w:gridSpan w:val="2"/>
          </w:tcPr>
          <w:p>
            <w:pPr>
              <w:spacing w:after="0"/>
              <w:rPr>
                <w:sz w:val="20"/>
                <w:szCs w:val="20"/>
                <w:color w:val="auto"/>
              </w:rPr>
            </w:pPr>
            <w:r>
              <w:rPr>
                <w:rFonts w:ascii="Arial" w:cs="Arial" w:eastAsia="Arial" w:hAnsi="Arial"/>
                <w:sz w:val="18"/>
                <w:szCs w:val="18"/>
                <w:color w:val="auto"/>
              </w:rPr>
              <w:t>5. Additional Covenants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5.1</w:t>
            </w:r>
          </w:p>
        </w:tc>
        <w:tc>
          <w:tcPr>
            <w:tcW w:w="3780" w:type="dxa"/>
            <w:vAlign w:val="bottom"/>
          </w:tcPr>
          <w:p>
            <w:pPr>
              <w:ind w:left="80"/>
              <w:spacing w:after="0"/>
              <w:rPr>
                <w:sz w:val="20"/>
                <w:szCs w:val="20"/>
                <w:color w:val="auto"/>
              </w:rPr>
            </w:pPr>
            <w:r>
              <w:rPr>
                <w:rFonts w:ascii="Arial" w:cs="Arial" w:eastAsia="Arial" w:hAnsi="Arial"/>
                <w:sz w:val="18"/>
                <w:szCs w:val="18"/>
                <w:color w:val="auto"/>
              </w:rPr>
              <w:t>Employee Agreements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5.2</w:t>
            </w:r>
          </w:p>
        </w:tc>
        <w:tc>
          <w:tcPr>
            <w:tcW w:w="3780" w:type="dxa"/>
            <w:vAlign w:val="bottom"/>
          </w:tcPr>
          <w:p>
            <w:pPr>
              <w:ind w:left="80"/>
              <w:spacing w:after="0"/>
              <w:rPr>
                <w:sz w:val="20"/>
                <w:szCs w:val="20"/>
                <w:color w:val="auto"/>
              </w:rPr>
            </w:pPr>
            <w:r>
              <w:rPr>
                <w:rFonts w:ascii="Arial" w:cs="Arial" w:eastAsia="Arial" w:hAnsi="Arial"/>
                <w:sz w:val="18"/>
                <w:szCs w:val="18"/>
                <w:color w:val="auto"/>
              </w:rPr>
              <w:t>Matters Requiring Preferred Director Approval</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5.3</w:t>
            </w:r>
          </w:p>
        </w:tc>
        <w:tc>
          <w:tcPr>
            <w:tcW w:w="3780" w:type="dxa"/>
            <w:vAlign w:val="bottom"/>
          </w:tcPr>
          <w:p>
            <w:pPr>
              <w:ind w:left="80"/>
              <w:spacing w:after="0"/>
              <w:rPr>
                <w:sz w:val="20"/>
                <w:szCs w:val="20"/>
                <w:color w:val="auto"/>
              </w:rPr>
            </w:pPr>
            <w:r>
              <w:rPr>
                <w:rFonts w:ascii="Arial" w:cs="Arial" w:eastAsia="Arial" w:hAnsi="Arial"/>
                <w:sz w:val="18"/>
                <w:szCs w:val="18"/>
                <w:color w:val="auto"/>
              </w:rPr>
              <w:t>D&amp;O Insurance</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5.4</w:t>
            </w:r>
          </w:p>
        </w:tc>
        <w:tc>
          <w:tcPr>
            <w:tcW w:w="3780" w:type="dxa"/>
            <w:vAlign w:val="bottom"/>
          </w:tcPr>
          <w:p>
            <w:pPr>
              <w:ind w:left="80"/>
              <w:spacing w:after="0"/>
              <w:rPr>
                <w:sz w:val="20"/>
                <w:szCs w:val="20"/>
                <w:color w:val="auto"/>
              </w:rPr>
            </w:pPr>
            <w:r>
              <w:rPr>
                <w:rFonts w:ascii="Arial" w:cs="Arial" w:eastAsia="Arial" w:hAnsi="Arial"/>
                <w:sz w:val="18"/>
                <w:szCs w:val="18"/>
                <w:color w:val="auto"/>
              </w:rPr>
              <w:t>Termination</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560" w:type="dxa"/>
            <w:vAlign w:val="bottom"/>
            <w:gridSpan w:val="2"/>
          </w:tcPr>
          <w:p>
            <w:pPr>
              <w:spacing w:after="0"/>
              <w:rPr>
                <w:sz w:val="20"/>
                <w:szCs w:val="20"/>
                <w:color w:val="auto"/>
              </w:rPr>
            </w:pPr>
            <w:r>
              <w:rPr>
                <w:rFonts w:ascii="Arial" w:cs="Arial" w:eastAsia="Arial" w:hAnsi="Arial"/>
                <w:sz w:val="18"/>
                <w:szCs w:val="18"/>
                <w:color w:val="auto"/>
              </w:rPr>
              <w:t>6. Voting Provisions Regarding Board of Directors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6.1</w:t>
            </w:r>
          </w:p>
        </w:tc>
        <w:tc>
          <w:tcPr>
            <w:tcW w:w="3780" w:type="dxa"/>
            <w:vAlign w:val="bottom"/>
          </w:tcPr>
          <w:p>
            <w:pPr>
              <w:ind w:left="80"/>
              <w:spacing w:after="0"/>
              <w:rPr>
                <w:sz w:val="20"/>
                <w:szCs w:val="20"/>
                <w:color w:val="auto"/>
              </w:rPr>
            </w:pPr>
            <w:r>
              <w:rPr>
                <w:rFonts w:ascii="Arial" w:cs="Arial" w:eastAsia="Arial" w:hAnsi="Arial"/>
                <w:sz w:val="18"/>
                <w:szCs w:val="18"/>
                <w:color w:val="auto"/>
              </w:rPr>
              <w:t>Board Composition</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6.2</w:t>
            </w:r>
          </w:p>
        </w:tc>
        <w:tc>
          <w:tcPr>
            <w:tcW w:w="3780" w:type="dxa"/>
            <w:vAlign w:val="bottom"/>
          </w:tcPr>
          <w:p>
            <w:pPr>
              <w:ind w:left="80"/>
              <w:spacing w:after="0"/>
              <w:rPr>
                <w:sz w:val="20"/>
                <w:szCs w:val="20"/>
                <w:color w:val="auto"/>
              </w:rPr>
            </w:pPr>
            <w:r>
              <w:rPr>
                <w:rFonts w:ascii="Arial" w:cs="Arial" w:eastAsia="Arial" w:hAnsi="Arial"/>
                <w:sz w:val="18"/>
                <w:szCs w:val="18"/>
                <w:color w:val="auto"/>
              </w:rPr>
              <w:t>Failure to Designate a Board Member</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440" w:top="273" w:right="439" w:bottom="1440" w:gutter="0" w:footer="0" w:header="0"/>
        </w:sectPr>
      </w:pPr>
    </w:p>
    <w:bookmarkStart w:id="329" w:name="page330"/>
    <w:bookmarkEnd w:id="329"/>
    <w:tbl>
      <w:tblPr>
        <w:tblLayout w:type="fixed"/>
        <w:tblInd w:w="0" w:type="dxa"/>
        <w:tblCellMar>
          <w:top w:w="0" w:type="dxa"/>
          <w:left w:w="0" w:type="dxa"/>
          <w:bottom w:w="0" w:type="dxa"/>
          <w:right w:w="0" w:type="dxa"/>
        </w:tblCellMar>
      </w:tblP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6.3</w:t>
            </w:r>
          </w:p>
        </w:tc>
        <w:tc>
          <w:tcPr>
            <w:tcW w:w="6960" w:type="dxa"/>
            <w:vAlign w:val="bottom"/>
          </w:tcPr>
          <w:p>
            <w:pPr>
              <w:ind w:left="80"/>
              <w:spacing w:after="0"/>
              <w:rPr>
                <w:sz w:val="20"/>
                <w:szCs w:val="20"/>
                <w:color w:val="auto"/>
              </w:rPr>
            </w:pPr>
            <w:r>
              <w:rPr>
                <w:rFonts w:ascii="Arial" w:cs="Arial" w:eastAsia="Arial" w:hAnsi="Arial"/>
                <w:sz w:val="18"/>
                <w:szCs w:val="18"/>
                <w:color w:val="auto"/>
              </w:rPr>
              <w:t>Removal of Board Members</w:t>
            </w:r>
          </w:p>
        </w:tc>
        <w:tc>
          <w:tcPr>
            <w:tcW w:w="3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6.4</w:t>
            </w:r>
          </w:p>
        </w:tc>
        <w:tc>
          <w:tcPr>
            <w:tcW w:w="6960" w:type="dxa"/>
            <w:vAlign w:val="bottom"/>
          </w:tcPr>
          <w:p>
            <w:pPr>
              <w:ind w:left="80"/>
              <w:spacing w:after="0"/>
              <w:rPr>
                <w:sz w:val="20"/>
                <w:szCs w:val="20"/>
                <w:color w:val="auto"/>
              </w:rPr>
            </w:pPr>
            <w:r>
              <w:rPr>
                <w:rFonts w:ascii="Arial" w:cs="Arial" w:eastAsia="Arial" w:hAnsi="Arial"/>
                <w:sz w:val="18"/>
                <w:szCs w:val="18"/>
                <w:color w:val="auto"/>
              </w:rPr>
              <w:t>No Liability for Election of Recommended Directors</w:t>
            </w:r>
          </w:p>
        </w:tc>
        <w:tc>
          <w:tcPr>
            <w:tcW w:w="3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6.5</w:t>
            </w:r>
          </w:p>
        </w:tc>
        <w:tc>
          <w:tcPr>
            <w:tcW w:w="6960" w:type="dxa"/>
            <w:vAlign w:val="bottom"/>
          </w:tcPr>
          <w:p>
            <w:pPr>
              <w:ind w:left="80"/>
              <w:spacing w:after="0"/>
              <w:rPr>
                <w:sz w:val="20"/>
                <w:szCs w:val="20"/>
                <w:color w:val="auto"/>
              </w:rPr>
            </w:pPr>
            <w:r>
              <w:rPr>
                <w:rFonts w:ascii="Arial" w:cs="Arial" w:eastAsia="Arial" w:hAnsi="Arial"/>
                <w:sz w:val="18"/>
                <w:szCs w:val="18"/>
                <w:color w:val="auto"/>
              </w:rPr>
              <w:t>No “Bad Actor” Designees</w:t>
            </w:r>
          </w:p>
        </w:tc>
        <w:tc>
          <w:tcPr>
            <w:tcW w:w="3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7740" w:type="dxa"/>
            <w:vAlign w:val="bottom"/>
            <w:gridSpan w:val="2"/>
          </w:tcPr>
          <w:p>
            <w:pPr>
              <w:spacing w:after="0"/>
              <w:rPr>
                <w:sz w:val="20"/>
                <w:szCs w:val="20"/>
                <w:color w:val="auto"/>
              </w:rPr>
            </w:pPr>
            <w:r>
              <w:rPr>
                <w:rFonts w:ascii="Arial" w:cs="Arial" w:eastAsia="Arial" w:hAnsi="Arial"/>
                <w:sz w:val="18"/>
                <w:szCs w:val="18"/>
                <w:color w:val="auto"/>
              </w:rPr>
              <w:t>7. Drag-Along Right; Vote to Increase Common Stock</w:t>
            </w:r>
          </w:p>
        </w:tc>
        <w:tc>
          <w:tcPr>
            <w:tcW w:w="3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7.1</w:t>
            </w:r>
          </w:p>
        </w:tc>
        <w:tc>
          <w:tcPr>
            <w:tcW w:w="696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3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7.2</w:t>
            </w:r>
          </w:p>
        </w:tc>
        <w:tc>
          <w:tcPr>
            <w:tcW w:w="6960" w:type="dxa"/>
            <w:vAlign w:val="bottom"/>
          </w:tcPr>
          <w:p>
            <w:pPr>
              <w:ind w:left="80"/>
              <w:spacing w:after="0"/>
              <w:rPr>
                <w:sz w:val="20"/>
                <w:szCs w:val="20"/>
                <w:color w:val="auto"/>
              </w:rPr>
            </w:pPr>
            <w:r>
              <w:rPr>
                <w:rFonts w:ascii="Arial" w:cs="Arial" w:eastAsia="Arial" w:hAnsi="Arial"/>
                <w:sz w:val="18"/>
                <w:szCs w:val="18"/>
                <w:color w:val="auto"/>
              </w:rPr>
              <w:t>Actions to be Taken</w:t>
            </w:r>
          </w:p>
        </w:tc>
        <w:tc>
          <w:tcPr>
            <w:tcW w:w="3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7.3</w:t>
            </w:r>
          </w:p>
        </w:tc>
        <w:tc>
          <w:tcPr>
            <w:tcW w:w="6960" w:type="dxa"/>
            <w:vAlign w:val="bottom"/>
          </w:tcPr>
          <w:p>
            <w:pPr>
              <w:ind w:left="80"/>
              <w:spacing w:after="0"/>
              <w:rPr>
                <w:sz w:val="20"/>
                <w:szCs w:val="20"/>
                <w:color w:val="auto"/>
              </w:rPr>
            </w:pPr>
            <w:r>
              <w:rPr>
                <w:rFonts w:ascii="Arial" w:cs="Arial" w:eastAsia="Arial" w:hAnsi="Arial"/>
                <w:sz w:val="18"/>
                <w:szCs w:val="18"/>
                <w:color w:val="auto"/>
              </w:rPr>
              <w:t>Exceptions</w:t>
            </w:r>
          </w:p>
        </w:tc>
        <w:tc>
          <w:tcPr>
            <w:tcW w:w="3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7.4</w:t>
            </w:r>
          </w:p>
        </w:tc>
        <w:tc>
          <w:tcPr>
            <w:tcW w:w="6960" w:type="dxa"/>
            <w:vAlign w:val="bottom"/>
          </w:tcPr>
          <w:p>
            <w:pPr>
              <w:ind w:left="80"/>
              <w:spacing w:after="0"/>
              <w:rPr>
                <w:sz w:val="20"/>
                <w:szCs w:val="20"/>
                <w:color w:val="auto"/>
              </w:rPr>
            </w:pPr>
            <w:r>
              <w:rPr>
                <w:rFonts w:ascii="Arial" w:cs="Arial" w:eastAsia="Arial" w:hAnsi="Arial"/>
                <w:sz w:val="18"/>
                <w:szCs w:val="18"/>
                <w:color w:val="auto"/>
              </w:rPr>
              <w:t>Restrictions on Sales of Control of the Company</w:t>
            </w:r>
          </w:p>
        </w:tc>
        <w:tc>
          <w:tcPr>
            <w:tcW w:w="3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7.5</w:t>
            </w:r>
          </w:p>
        </w:tc>
        <w:tc>
          <w:tcPr>
            <w:tcW w:w="6960" w:type="dxa"/>
            <w:vAlign w:val="bottom"/>
          </w:tcPr>
          <w:p>
            <w:pPr>
              <w:ind w:left="80"/>
              <w:spacing w:after="0"/>
              <w:rPr>
                <w:sz w:val="20"/>
                <w:szCs w:val="20"/>
                <w:color w:val="auto"/>
              </w:rPr>
            </w:pPr>
            <w:r>
              <w:rPr>
                <w:rFonts w:ascii="Arial" w:cs="Arial" w:eastAsia="Arial" w:hAnsi="Arial"/>
                <w:sz w:val="18"/>
                <w:szCs w:val="18"/>
                <w:color w:val="auto"/>
              </w:rPr>
              <w:t>Vote to Increase Authorized Common Stock</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7.6</w:t>
            </w:r>
          </w:p>
        </w:tc>
        <w:tc>
          <w:tcPr>
            <w:tcW w:w="6960" w:type="dxa"/>
            <w:vAlign w:val="bottom"/>
          </w:tcPr>
          <w:p>
            <w:pPr>
              <w:ind w:left="80"/>
              <w:spacing w:after="0"/>
              <w:rPr>
                <w:sz w:val="20"/>
                <w:szCs w:val="20"/>
                <w:color w:val="auto"/>
              </w:rPr>
            </w:pPr>
            <w:r>
              <w:rPr>
                <w:rFonts w:ascii="Arial" w:cs="Arial" w:eastAsia="Arial" w:hAnsi="Arial"/>
                <w:sz w:val="18"/>
                <w:szCs w:val="18"/>
                <w:color w:val="auto"/>
              </w:rPr>
              <w:t>Remedies</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7.7</w:t>
            </w:r>
          </w:p>
        </w:tc>
        <w:tc>
          <w:tcPr>
            <w:tcW w:w="6960" w:type="dxa"/>
            <w:vAlign w:val="bottom"/>
          </w:tcPr>
          <w:p>
            <w:pPr>
              <w:ind w:left="80"/>
              <w:spacing w:after="0"/>
              <w:rPr>
                <w:sz w:val="20"/>
                <w:szCs w:val="20"/>
                <w:color w:val="auto"/>
              </w:rPr>
            </w:pPr>
            <w:r>
              <w:rPr>
                <w:rFonts w:ascii="Arial" w:cs="Arial" w:eastAsia="Arial" w:hAnsi="Arial"/>
                <w:sz w:val="18"/>
                <w:szCs w:val="18"/>
                <w:color w:val="auto"/>
              </w:rPr>
              <w:t>Equitable Relief</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7.8</w:t>
            </w:r>
          </w:p>
        </w:tc>
        <w:tc>
          <w:tcPr>
            <w:tcW w:w="6960" w:type="dxa"/>
            <w:vAlign w:val="bottom"/>
          </w:tcPr>
          <w:p>
            <w:pPr>
              <w:ind w:left="80"/>
              <w:spacing w:after="0"/>
              <w:rPr>
                <w:sz w:val="20"/>
                <w:szCs w:val="20"/>
                <w:color w:val="auto"/>
              </w:rPr>
            </w:pPr>
            <w:r>
              <w:rPr>
                <w:rFonts w:ascii="Arial" w:cs="Arial" w:eastAsia="Arial" w:hAnsi="Arial"/>
                <w:sz w:val="18"/>
                <w:szCs w:val="18"/>
                <w:color w:val="auto"/>
              </w:rPr>
              <w:t>Termination</w:t>
            </w:r>
          </w:p>
        </w:tc>
        <w:tc>
          <w:tcPr>
            <w:tcW w:w="3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7740" w:type="dxa"/>
            <w:vAlign w:val="bottom"/>
            <w:gridSpan w:val="2"/>
          </w:tcPr>
          <w:p>
            <w:pPr>
              <w:spacing w:after="0"/>
              <w:rPr>
                <w:sz w:val="20"/>
                <w:szCs w:val="20"/>
                <w:color w:val="auto"/>
              </w:rPr>
            </w:pPr>
            <w:r>
              <w:rPr>
                <w:rFonts w:ascii="Arial" w:cs="Arial" w:eastAsia="Arial" w:hAnsi="Arial"/>
                <w:sz w:val="18"/>
                <w:szCs w:val="18"/>
                <w:color w:val="auto"/>
              </w:rPr>
              <w:t>8. Miscellaneous</w:t>
            </w:r>
          </w:p>
        </w:tc>
        <w:tc>
          <w:tcPr>
            <w:tcW w:w="3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8.1</w:t>
            </w:r>
          </w:p>
        </w:tc>
        <w:tc>
          <w:tcPr>
            <w:tcW w:w="6960" w:type="dxa"/>
            <w:vAlign w:val="bottom"/>
          </w:tcPr>
          <w:p>
            <w:pPr>
              <w:ind w:left="80"/>
              <w:spacing w:after="0"/>
              <w:rPr>
                <w:sz w:val="20"/>
                <w:szCs w:val="20"/>
                <w:color w:val="auto"/>
              </w:rPr>
            </w:pPr>
            <w:r>
              <w:rPr>
                <w:rFonts w:ascii="Arial" w:cs="Arial" w:eastAsia="Arial" w:hAnsi="Arial"/>
                <w:sz w:val="18"/>
                <w:szCs w:val="18"/>
                <w:color w:val="auto"/>
              </w:rPr>
              <w:t>Successors and Assigns</w:t>
            </w:r>
          </w:p>
        </w:tc>
        <w:tc>
          <w:tcPr>
            <w:tcW w:w="3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8.2</w:t>
            </w:r>
          </w:p>
        </w:tc>
        <w:tc>
          <w:tcPr>
            <w:tcW w:w="6960" w:type="dxa"/>
            <w:vAlign w:val="bottom"/>
          </w:tcPr>
          <w:p>
            <w:pPr>
              <w:ind w:left="80"/>
              <w:spacing w:after="0"/>
              <w:rPr>
                <w:sz w:val="20"/>
                <w:szCs w:val="20"/>
                <w:color w:val="auto"/>
              </w:rPr>
            </w:pPr>
            <w:r>
              <w:rPr>
                <w:rFonts w:ascii="Arial" w:cs="Arial" w:eastAsia="Arial" w:hAnsi="Arial"/>
                <w:sz w:val="18"/>
                <w:szCs w:val="18"/>
                <w:color w:val="auto"/>
              </w:rPr>
              <w:t>Governing Law; Venue; Jury Trial Waiver</w:t>
            </w:r>
          </w:p>
        </w:tc>
        <w:tc>
          <w:tcPr>
            <w:tcW w:w="3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8.3</w:t>
            </w:r>
          </w:p>
        </w:tc>
        <w:tc>
          <w:tcPr>
            <w:tcW w:w="696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3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8.4</w:t>
            </w:r>
          </w:p>
        </w:tc>
        <w:tc>
          <w:tcPr>
            <w:tcW w:w="6960" w:type="dxa"/>
            <w:vAlign w:val="bottom"/>
          </w:tcPr>
          <w:p>
            <w:pPr>
              <w:ind w:left="80"/>
              <w:spacing w:after="0"/>
              <w:rPr>
                <w:sz w:val="20"/>
                <w:szCs w:val="20"/>
                <w:color w:val="auto"/>
              </w:rPr>
            </w:pPr>
            <w:r>
              <w:rPr>
                <w:rFonts w:ascii="Arial" w:cs="Arial" w:eastAsia="Arial" w:hAnsi="Arial"/>
                <w:sz w:val="18"/>
                <w:szCs w:val="18"/>
                <w:color w:val="auto"/>
              </w:rPr>
              <w:t>Interpretation</w:t>
            </w:r>
          </w:p>
        </w:tc>
        <w:tc>
          <w:tcPr>
            <w:tcW w:w="3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8.5</w:t>
            </w:r>
          </w:p>
        </w:tc>
        <w:tc>
          <w:tcPr>
            <w:tcW w:w="6960" w:type="dxa"/>
            <w:vAlign w:val="bottom"/>
          </w:tcPr>
          <w:p>
            <w:pPr>
              <w:ind w:left="80"/>
              <w:spacing w:after="0"/>
              <w:rPr>
                <w:sz w:val="20"/>
                <w:szCs w:val="20"/>
                <w:color w:val="auto"/>
              </w:rPr>
            </w:pPr>
            <w:r>
              <w:rPr>
                <w:rFonts w:ascii="Arial" w:cs="Arial" w:eastAsia="Arial" w:hAnsi="Arial"/>
                <w:sz w:val="18"/>
                <w:szCs w:val="18"/>
                <w:color w:val="auto"/>
              </w:rPr>
              <w:t>Notices</w:t>
            </w:r>
          </w:p>
        </w:tc>
        <w:tc>
          <w:tcPr>
            <w:tcW w:w="3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8.6</w:t>
            </w:r>
          </w:p>
        </w:tc>
        <w:tc>
          <w:tcPr>
            <w:tcW w:w="6960" w:type="dxa"/>
            <w:vAlign w:val="bottom"/>
          </w:tcPr>
          <w:p>
            <w:pPr>
              <w:ind w:left="80"/>
              <w:spacing w:after="0"/>
              <w:rPr>
                <w:sz w:val="20"/>
                <w:szCs w:val="20"/>
                <w:color w:val="auto"/>
              </w:rPr>
            </w:pPr>
            <w:r>
              <w:rPr>
                <w:rFonts w:ascii="Arial" w:cs="Arial" w:eastAsia="Arial" w:hAnsi="Arial"/>
                <w:sz w:val="18"/>
                <w:szCs w:val="18"/>
                <w:color w:val="auto"/>
              </w:rPr>
              <w:t>Attorneys’ Fees</w:t>
            </w:r>
          </w:p>
        </w:tc>
        <w:tc>
          <w:tcPr>
            <w:tcW w:w="3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8.7</w:t>
            </w:r>
          </w:p>
        </w:tc>
        <w:tc>
          <w:tcPr>
            <w:tcW w:w="6960" w:type="dxa"/>
            <w:vAlign w:val="bottom"/>
          </w:tcPr>
          <w:p>
            <w:pPr>
              <w:ind w:left="80"/>
              <w:spacing w:after="0"/>
              <w:rPr>
                <w:sz w:val="20"/>
                <w:szCs w:val="20"/>
                <w:color w:val="auto"/>
              </w:rPr>
            </w:pPr>
            <w:r>
              <w:rPr>
                <w:rFonts w:ascii="Arial" w:cs="Arial" w:eastAsia="Arial" w:hAnsi="Arial"/>
                <w:sz w:val="18"/>
                <w:szCs w:val="18"/>
                <w:color w:val="auto"/>
              </w:rPr>
              <w:t>Amendments and Waivers; Termination</w:t>
            </w:r>
          </w:p>
        </w:tc>
        <w:tc>
          <w:tcPr>
            <w:tcW w:w="3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8.8</w:t>
            </w:r>
          </w:p>
        </w:tc>
        <w:tc>
          <w:tcPr>
            <w:tcW w:w="696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3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8.9</w:t>
            </w:r>
          </w:p>
        </w:tc>
        <w:tc>
          <w:tcPr>
            <w:tcW w:w="6960" w:type="dxa"/>
            <w:vAlign w:val="bottom"/>
          </w:tcPr>
          <w:p>
            <w:pPr>
              <w:ind w:left="80"/>
              <w:spacing w:after="0"/>
              <w:rPr>
                <w:sz w:val="20"/>
                <w:szCs w:val="20"/>
                <w:color w:val="auto"/>
              </w:rPr>
            </w:pPr>
            <w:r>
              <w:rPr>
                <w:rFonts w:ascii="Arial" w:cs="Arial" w:eastAsia="Arial" w:hAnsi="Arial"/>
                <w:sz w:val="18"/>
                <w:szCs w:val="18"/>
                <w:color w:val="auto"/>
              </w:rPr>
              <w:t>Delays or Omissions</w:t>
            </w:r>
          </w:p>
        </w:tc>
        <w:tc>
          <w:tcPr>
            <w:tcW w:w="3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8.10</w:t>
            </w:r>
          </w:p>
        </w:tc>
        <w:tc>
          <w:tcPr>
            <w:tcW w:w="6960" w:type="dxa"/>
            <w:vAlign w:val="bottom"/>
          </w:tcPr>
          <w:p>
            <w:pPr>
              <w:ind w:left="80"/>
              <w:spacing w:after="0"/>
              <w:rPr>
                <w:sz w:val="20"/>
                <w:szCs w:val="20"/>
                <w:color w:val="auto"/>
              </w:rPr>
            </w:pPr>
            <w:r>
              <w:rPr>
                <w:rFonts w:ascii="Arial" w:cs="Arial" w:eastAsia="Arial" w:hAnsi="Arial"/>
                <w:sz w:val="18"/>
                <w:szCs w:val="18"/>
                <w:color w:val="auto"/>
              </w:rPr>
              <w:t>Entire Agreement</w:t>
            </w:r>
          </w:p>
        </w:tc>
        <w:tc>
          <w:tcPr>
            <w:tcW w:w="3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8.11</w:t>
            </w:r>
          </w:p>
        </w:tc>
        <w:tc>
          <w:tcPr>
            <w:tcW w:w="6960" w:type="dxa"/>
            <w:vAlign w:val="bottom"/>
          </w:tcPr>
          <w:p>
            <w:pPr>
              <w:ind w:left="80"/>
              <w:spacing w:after="0"/>
              <w:rPr>
                <w:sz w:val="20"/>
                <w:szCs w:val="20"/>
                <w:color w:val="auto"/>
              </w:rPr>
            </w:pPr>
            <w:r>
              <w:rPr>
                <w:rFonts w:ascii="Arial" w:cs="Arial" w:eastAsia="Arial" w:hAnsi="Arial"/>
                <w:sz w:val="18"/>
                <w:szCs w:val="18"/>
                <w:color w:val="auto"/>
              </w:rPr>
              <w:t>Further Assurances</w:t>
            </w:r>
          </w:p>
        </w:tc>
        <w:tc>
          <w:tcPr>
            <w:tcW w:w="3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8.12</w:t>
            </w:r>
          </w:p>
        </w:tc>
        <w:tc>
          <w:tcPr>
            <w:tcW w:w="6960" w:type="dxa"/>
            <w:vAlign w:val="bottom"/>
          </w:tcPr>
          <w:p>
            <w:pPr>
              <w:ind w:left="80"/>
              <w:spacing w:after="0"/>
              <w:rPr>
                <w:sz w:val="20"/>
                <w:szCs w:val="20"/>
                <w:color w:val="auto"/>
              </w:rPr>
            </w:pPr>
            <w:r>
              <w:rPr>
                <w:rFonts w:ascii="Arial" w:cs="Arial" w:eastAsia="Arial" w:hAnsi="Arial"/>
                <w:sz w:val="18"/>
                <w:szCs w:val="18"/>
                <w:color w:val="auto"/>
              </w:rPr>
              <w:t>Adjustments for Stock Splits, Etc</w:t>
            </w:r>
          </w:p>
        </w:tc>
        <w:tc>
          <w:tcPr>
            <w:tcW w:w="3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8.13</w:t>
            </w:r>
          </w:p>
        </w:tc>
        <w:tc>
          <w:tcPr>
            <w:tcW w:w="6960" w:type="dxa"/>
            <w:vAlign w:val="bottom"/>
          </w:tcPr>
          <w:p>
            <w:pPr>
              <w:ind w:left="80"/>
              <w:spacing w:after="0"/>
              <w:rPr>
                <w:sz w:val="20"/>
                <w:szCs w:val="20"/>
                <w:color w:val="auto"/>
              </w:rPr>
            </w:pPr>
            <w:r>
              <w:rPr>
                <w:rFonts w:ascii="Arial" w:cs="Arial" w:eastAsia="Arial" w:hAnsi="Arial"/>
                <w:sz w:val="18"/>
                <w:szCs w:val="18"/>
                <w:color w:val="auto"/>
              </w:rPr>
              <w:t>Additional Parties</w:t>
            </w:r>
          </w:p>
        </w:tc>
        <w:tc>
          <w:tcPr>
            <w:tcW w:w="3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8.14</w:t>
            </w:r>
          </w:p>
        </w:tc>
        <w:tc>
          <w:tcPr>
            <w:tcW w:w="6960" w:type="dxa"/>
            <w:vAlign w:val="bottom"/>
          </w:tcPr>
          <w:p>
            <w:pPr>
              <w:ind w:left="80"/>
              <w:spacing w:after="0"/>
              <w:rPr>
                <w:sz w:val="20"/>
                <w:szCs w:val="20"/>
                <w:color w:val="auto"/>
              </w:rPr>
            </w:pPr>
            <w:r>
              <w:rPr>
                <w:rFonts w:ascii="Arial" w:cs="Arial" w:eastAsia="Arial" w:hAnsi="Arial"/>
                <w:sz w:val="18"/>
                <w:szCs w:val="18"/>
                <w:color w:val="auto"/>
              </w:rPr>
              <w:t>Transfers</w:t>
            </w:r>
          </w:p>
        </w:tc>
        <w:tc>
          <w:tcPr>
            <w:tcW w:w="3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8.15</w:t>
            </w:r>
          </w:p>
        </w:tc>
        <w:tc>
          <w:tcPr>
            <w:tcW w:w="6960" w:type="dxa"/>
            <w:vAlign w:val="bottom"/>
          </w:tcPr>
          <w:p>
            <w:pPr>
              <w:ind w:left="80"/>
              <w:spacing w:after="0"/>
              <w:rPr>
                <w:sz w:val="20"/>
                <w:szCs w:val="20"/>
                <w:color w:val="auto"/>
              </w:rPr>
            </w:pPr>
            <w:r>
              <w:rPr>
                <w:rFonts w:ascii="Arial" w:cs="Arial" w:eastAsia="Arial" w:hAnsi="Arial"/>
                <w:sz w:val="18"/>
                <w:szCs w:val="18"/>
                <w:color w:val="auto"/>
              </w:rPr>
              <w:t>Aggregation of Stock</w:t>
            </w:r>
          </w:p>
        </w:tc>
        <w:tc>
          <w:tcPr>
            <w:tcW w:w="3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8.16</w:t>
            </w:r>
          </w:p>
        </w:tc>
        <w:tc>
          <w:tcPr>
            <w:tcW w:w="6960" w:type="dxa"/>
            <w:vAlign w:val="bottom"/>
          </w:tcPr>
          <w:p>
            <w:pPr>
              <w:ind w:left="80"/>
              <w:spacing w:after="0"/>
              <w:rPr>
                <w:sz w:val="20"/>
                <w:szCs w:val="20"/>
                <w:color w:val="auto"/>
              </w:rPr>
            </w:pPr>
            <w:r>
              <w:rPr>
                <w:rFonts w:ascii="Arial" w:cs="Arial" w:eastAsia="Arial" w:hAnsi="Arial"/>
                <w:sz w:val="18"/>
                <w:szCs w:val="18"/>
                <w:color w:val="auto"/>
              </w:rPr>
              <w:t>Calculations</w:t>
            </w:r>
          </w:p>
        </w:tc>
        <w:tc>
          <w:tcPr>
            <w:tcW w:w="3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8.17</w:t>
            </w:r>
          </w:p>
        </w:tc>
        <w:tc>
          <w:tcPr>
            <w:tcW w:w="6960" w:type="dxa"/>
            <w:vAlign w:val="bottom"/>
          </w:tcPr>
          <w:p>
            <w:pPr>
              <w:ind w:left="80"/>
              <w:spacing w:after="0"/>
              <w:rPr>
                <w:sz w:val="20"/>
                <w:szCs w:val="20"/>
                <w:color w:val="auto"/>
              </w:rPr>
            </w:pPr>
            <w:r>
              <w:rPr>
                <w:rFonts w:ascii="Arial" w:cs="Arial" w:eastAsia="Arial" w:hAnsi="Arial"/>
                <w:sz w:val="18"/>
                <w:szCs w:val="18"/>
                <w:color w:val="auto"/>
              </w:rPr>
              <w:t>Conflict</w:t>
            </w:r>
          </w:p>
        </w:tc>
        <w:tc>
          <w:tcPr>
            <w:tcW w:w="3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8.18</w:t>
            </w:r>
          </w:p>
        </w:tc>
        <w:tc>
          <w:tcPr>
            <w:tcW w:w="6960" w:type="dxa"/>
            <w:vAlign w:val="bottom"/>
          </w:tcPr>
          <w:p>
            <w:pPr>
              <w:ind w:left="80"/>
              <w:spacing w:after="0"/>
              <w:rPr>
                <w:sz w:val="20"/>
                <w:szCs w:val="20"/>
                <w:color w:val="auto"/>
              </w:rPr>
            </w:pPr>
            <w:r>
              <w:rPr>
                <w:rFonts w:ascii="Arial" w:cs="Arial" w:eastAsia="Arial" w:hAnsi="Arial"/>
                <w:sz w:val="18"/>
                <w:szCs w:val="18"/>
                <w:color w:val="auto"/>
              </w:rPr>
              <w:t>Spousal Consent</w:t>
            </w:r>
          </w:p>
        </w:tc>
        <w:tc>
          <w:tcPr>
            <w:tcW w:w="3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8.19</w:t>
            </w:r>
          </w:p>
        </w:tc>
        <w:tc>
          <w:tcPr>
            <w:tcW w:w="6960" w:type="dxa"/>
            <w:vAlign w:val="bottom"/>
          </w:tcPr>
          <w:p>
            <w:pPr>
              <w:ind w:left="80"/>
              <w:spacing w:after="0"/>
              <w:rPr>
                <w:sz w:val="20"/>
                <w:szCs w:val="20"/>
                <w:color w:val="auto"/>
              </w:rPr>
            </w:pPr>
            <w:r>
              <w:rPr>
                <w:rFonts w:ascii="Arial" w:cs="Arial" w:eastAsia="Arial" w:hAnsi="Arial"/>
                <w:sz w:val="18"/>
                <w:szCs w:val="18"/>
                <w:color w:val="auto"/>
              </w:rPr>
              <w:t>Prior Agreement Superseded</w:t>
            </w:r>
          </w:p>
        </w:tc>
        <w:tc>
          <w:tcPr>
            <w:tcW w:w="32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8.20</w:t>
            </w:r>
          </w:p>
        </w:tc>
        <w:tc>
          <w:tcPr>
            <w:tcW w:w="6960" w:type="dxa"/>
            <w:vAlign w:val="bottom"/>
          </w:tcPr>
          <w:p>
            <w:pPr>
              <w:ind w:left="80"/>
              <w:spacing w:after="0"/>
              <w:rPr>
                <w:sz w:val="20"/>
                <w:szCs w:val="20"/>
                <w:color w:val="auto"/>
              </w:rPr>
            </w:pPr>
            <w:r>
              <w:rPr>
                <w:rFonts w:ascii="Arial" w:cs="Arial" w:eastAsia="Arial" w:hAnsi="Arial"/>
                <w:sz w:val="18"/>
                <w:szCs w:val="18"/>
                <w:color w:val="auto"/>
              </w:rPr>
              <w:t>Other Business Activities of Investors</w:t>
            </w:r>
          </w:p>
        </w:tc>
        <w:tc>
          <w:tcPr>
            <w:tcW w:w="324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Schedule 1 - 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2 - Key Holders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4D MOLECULAR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INVESTORS’ RIGHTS AGREEMENT</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This Second Amended and Restated Investors’ Rights Agreement, dated as of August 27, 2018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entered into by and among 4D Molecular 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each holder of the Company’s Preferred Stock, par value $0.0001 per share (the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xml:space="preserve">”), listed on </w:t>
      </w:r>
      <w:r>
        <w:rPr>
          <w:rFonts w:ascii="Arial" w:cs="Arial" w:eastAsia="Arial" w:hAnsi="Arial"/>
          <w:sz w:val="16"/>
          <w:szCs w:val="16"/>
          <w:b w:val="1"/>
          <w:bCs w:val="1"/>
          <w:u w:val="single" w:color="auto"/>
          <w:color w:val="auto"/>
        </w:rPr>
        <w:t>Schedule 1</w:t>
      </w:r>
      <w:r>
        <w:rPr>
          <w:rFonts w:ascii="Arial" w:cs="Arial" w:eastAsia="Arial" w:hAnsi="Arial"/>
          <w:sz w:val="16"/>
          <w:szCs w:val="16"/>
          <w:color w:val="auto"/>
        </w:rPr>
        <w:t xml:space="preserve"> attached hereto (each, an “</w:t>
      </w:r>
      <w:r>
        <w:rPr>
          <w:rFonts w:ascii="Arial" w:cs="Arial" w:eastAsia="Arial" w:hAnsi="Arial"/>
          <w:sz w:val="16"/>
          <w:szCs w:val="16"/>
          <w:b w:val="1"/>
          <w:bCs w:val="1"/>
          <w:i w:val="1"/>
          <w:iCs w:val="1"/>
          <w:color w:val="auto"/>
        </w:rPr>
        <w:t>Investor</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Investors</w:t>
      </w:r>
      <w:r>
        <w:rPr>
          <w:rFonts w:ascii="Arial" w:cs="Arial" w:eastAsia="Arial" w:hAnsi="Arial"/>
          <w:sz w:val="16"/>
          <w:szCs w:val="16"/>
          <w:color w:val="auto"/>
        </w:rPr>
        <w:t xml:space="preserve">”), and each Person (as defined below) listed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attached hereto (each, a “</w:t>
      </w:r>
      <w:r>
        <w:rPr>
          <w:rFonts w:ascii="Arial" w:cs="Arial" w:eastAsia="Arial" w:hAnsi="Arial"/>
          <w:sz w:val="16"/>
          <w:szCs w:val="16"/>
          <w:b w:val="1"/>
          <w:bCs w:val="1"/>
          <w:i w:val="1"/>
          <w:iCs w:val="1"/>
          <w:color w:val="auto"/>
        </w:rPr>
        <w:t>Key Holder</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Key Holders</w:t>
      </w:r>
      <w:r>
        <w:rPr>
          <w:rFonts w:ascii="Arial" w:cs="Arial" w:eastAsia="Arial" w:hAnsi="Arial"/>
          <w:sz w:val="16"/>
          <w:szCs w:val="16"/>
          <w:color w:val="auto"/>
        </w:rPr>
        <w:t>” and together with the Investors, the “</w:t>
      </w:r>
      <w:r>
        <w:rPr>
          <w:rFonts w:ascii="Arial" w:cs="Arial" w:eastAsia="Arial" w:hAnsi="Arial"/>
          <w:sz w:val="16"/>
          <w:szCs w:val="16"/>
          <w:b w:val="1"/>
          <w:bCs w:val="1"/>
          <w:i w:val="1"/>
          <w:iCs w:val="1"/>
          <w:color w:val="auto"/>
        </w:rPr>
        <w:t>Stockholders</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WHEREAS, certain of the Investors (the “</w:t>
      </w:r>
      <w:r>
        <w:rPr>
          <w:rFonts w:ascii="Arial" w:cs="Arial" w:eastAsia="Arial" w:hAnsi="Arial"/>
          <w:sz w:val="17"/>
          <w:szCs w:val="17"/>
          <w:b w:val="1"/>
          <w:bCs w:val="1"/>
          <w:i w:val="1"/>
          <w:iCs w:val="1"/>
          <w:color w:val="auto"/>
        </w:rPr>
        <w:t>Prior Investors</w:t>
      </w:r>
      <w:r>
        <w:rPr>
          <w:rFonts w:ascii="Arial" w:cs="Arial" w:eastAsia="Arial" w:hAnsi="Arial"/>
          <w:sz w:val="17"/>
          <w:szCs w:val="17"/>
          <w:color w:val="auto"/>
        </w:rPr>
        <w:t>”) hold shares of Series A Preferred Stock, $0.0001 par value per share, of the Company</w:t>
      </w:r>
    </w:p>
    <w:p>
      <w:pPr>
        <w:spacing w:after="0" w:line="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Preferred Stock</w:t>
      </w:r>
      <w:r>
        <w:rPr>
          <w:rFonts w:ascii="Arial" w:cs="Arial" w:eastAsia="Arial" w:hAnsi="Arial"/>
          <w:sz w:val="18"/>
          <w:szCs w:val="18"/>
          <w:color w:val="auto"/>
        </w:rPr>
        <w:t>”) and/or shares of Series A-1 Preferred Stock, $0.0001 par value per share, of the Company (“</w:t>
      </w:r>
      <w:r>
        <w:rPr>
          <w:rFonts w:ascii="Arial" w:cs="Arial" w:eastAsia="Arial" w:hAnsi="Arial"/>
          <w:sz w:val="18"/>
          <w:szCs w:val="18"/>
          <w:b w:val="1"/>
          <w:bCs w:val="1"/>
          <w:i w:val="1"/>
          <w:iCs w:val="1"/>
          <w:color w:val="auto"/>
        </w:rPr>
        <w:t>Series A-1 Preferred Stock</w:t>
      </w:r>
      <w:r>
        <w:rPr>
          <w:rFonts w:ascii="Arial" w:cs="Arial" w:eastAsia="Arial" w:hAnsi="Arial"/>
          <w:sz w:val="18"/>
          <w:szCs w:val="18"/>
          <w:color w:val="auto"/>
        </w:rPr>
        <w:t>”) (and/or shares of Common Stock (as defined below) issued upon conversion thereof), and possess registration rights, rights of first refusal and other rights pursuant to that certain Investors’ Rights Agreement, dated as of October 6, 2015 (the “</w:t>
      </w:r>
      <w:r>
        <w:rPr>
          <w:rFonts w:ascii="Arial" w:cs="Arial" w:eastAsia="Arial" w:hAnsi="Arial"/>
          <w:sz w:val="18"/>
          <w:szCs w:val="18"/>
          <w:b w:val="1"/>
          <w:bCs w:val="1"/>
          <w:i w:val="1"/>
          <w:iCs w:val="1"/>
          <w:color w:val="auto"/>
        </w:rPr>
        <w:t>Prior Agreement</w:t>
      </w:r>
      <w:r>
        <w:rPr>
          <w:rFonts w:ascii="Arial" w:cs="Arial" w:eastAsia="Arial" w:hAnsi="Arial"/>
          <w:sz w:val="18"/>
          <w:szCs w:val="18"/>
          <w:color w:val="auto"/>
        </w:rPr>
        <w:t>”), by and among the Company, the Key Holders and the Prior Investors; and</w:t>
      </w:r>
    </w:p>
    <w:p>
      <w:pPr>
        <w:spacing w:after="0" w:line="19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WHEREAS, the Prior Investors are holders of at least a majority of the Registrable Securities then outstanding (as defined in the Prior Agreement) and the Key Holders hold a majority of the shares of capital stock of the Company held by all of the Key Holders (as defined in the Prior Agreement) who are providing services to the Company as directors, officers, employees or consultants, and the Prior Investors and the Key Holders desire to amend and restate the Prior Agreement in its entirety and accept the rights created pursuant to this Agreement in lieu of the rights granted to them under the Prior Agreement;</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WHEREAS, the Company and certain of the Investors are parties to that certain Series B Preferred Stock Purchase Agreement, dated of even date herewith (the “</w:t>
      </w:r>
      <w:r>
        <w:rPr>
          <w:rFonts w:ascii="Arial" w:cs="Arial" w:eastAsia="Arial" w:hAnsi="Arial"/>
          <w:sz w:val="18"/>
          <w:szCs w:val="18"/>
          <w:b w:val="1"/>
          <w:bCs w:val="1"/>
          <w:i w:val="1"/>
          <w:iCs w:val="1"/>
          <w:color w:val="auto"/>
        </w:rPr>
        <w:t>Series B Purchase Agreement</w:t>
      </w:r>
      <w:r>
        <w:rPr>
          <w:rFonts w:ascii="Arial" w:cs="Arial" w:eastAsia="Arial" w:hAnsi="Arial"/>
          <w:sz w:val="18"/>
          <w:szCs w:val="18"/>
          <w:color w:val="auto"/>
        </w:rPr>
        <w:t>”), pursuant to which such Investors have agreed to purchase shares of Series B Preferred Stock, $0.0001 par value per share, of the Company (“</w:t>
      </w:r>
      <w:r>
        <w:rPr>
          <w:rFonts w:ascii="Arial" w:cs="Arial" w:eastAsia="Arial" w:hAnsi="Arial"/>
          <w:sz w:val="18"/>
          <w:szCs w:val="18"/>
          <w:b w:val="1"/>
          <w:bCs w:val="1"/>
          <w:i w:val="1"/>
          <w:iCs w:val="1"/>
          <w:color w:val="auto"/>
        </w:rPr>
        <w:t>Series B Preferred Stock</w:t>
      </w:r>
      <w:r>
        <w:rPr>
          <w:rFonts w:ascii="Arial" w:cs="Arial" w:eastAsia="Arial" w:hAnsi="Arial"/>
          <w:sz w:val="18"/>
          <w:szCs w:val="18"/>
          <w:color w:val="auto"/>
        </w:rPr>
        <w:t>” and, together with the Series A Preferred Stock and Series A-1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and under which certain of the Company’s and such Investors’ obligations are conditioned upon the execution and delivery of this Agreement by the parties hereto;</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WHEREAS, in order to induce the Company to enter into the Series B Purchase Agreement and to induce certain of the Investors to invest funds in the Company pursuant to the Series B Purchase Agreement, the parties hereby agree that this Agreement shall govern the rights of the Investors to cause the Company to register shares of Common Stock (as defined below), to receive certain information from the Company and to participate in future equity offerings by the Company, and shall govern certain other matters, all as set forth in this Agreement; and</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WHEREAS, the parties also desire to enter into this Agreement to set forth their agreements and understandings with respect to how shares of the Company’s capital stock held by them will be voted on, or tendered in connection with, certain matters.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4" w:right="43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the parties to this Agreement hereby agree as follows:</w:t>
      </w:r>
    </w:p>
    <w:p>
      <w:pPr>
        <w:spacing w:after="0" w:line="117" w:lineRule="exact"/>
        <w:rPr>
          <w:sz w:val="20"/>
          <w:szCs w:val="20"/>
          <w:color w:val="auto"/>
        </w:rPr>
      </w:pPr>
    </w:p>
    <w:p>
      <w:pPr>
        <w:ind w:right="40" w:firstLine="4"/>
        <w:spacing w:after="0" w:line="277" w:lineRule="auto"/>
        <w:tabs>
          <w:tab w:leader="none" w:pos="18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the following terms used herein shall be construed to have the meanings set forth or referenced below:</w:t>
      </w:r>
    </w:p>
    <w:p>
      <w:pPr>
        <w:spacing w:after="0" w:line="170" w:lineRule="exact"/>
        <w:rPr>
          <w:sz w:val="20"/>
          <w:szCs w:val="20"/>
          <w:color w:val="auto"/>
        </w:rPr>
      </w:pPr>
    </w:p>
    <w:p>
      <w:pPr>
        <w:ind w:right="28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specified Person, any other Person who (i) directly or indirectly, controls, is controlled by, or is under common control with such specified Person, including any general partner, managing member, officer or director of such specified Person or any venture capital, private equity or similar investment fund now or hereafter existing which is controlled by one or more general partners or managing members of, or shares the same management company with, such specified Person or (ii) is an Immediate Family Member of or associated with such Person, including their respective trusts and other controlled entities.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shares of Common Stock, par value $0.0001 per share, of the Company.</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IPO</w:t>
      </w:r>
      <w:r>
        <w:rPr>
          <w:rFonts w:ascii="Arial" w:cs="Arial" w:eastAsia="Arial" w:hAnsi="Arial"/>
          <w:sz w:val="18"/>
          <w:szCs w:val="18"/>
          <w:color w:val="auto"/>
        </w:rPr>
        <w:t>” means the Company’s first underwritten public offering of Common Stock under the Securities Act that includes securities to be sold on behalf of the Company to the public.</w:t>
      </w:r>
    </w:p>
    <w:p>
      <w:pPr>
        <w:spacing w:after="0" w:line="170"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Damages</w:t>
      </w:r>
      <w:r>
        <w:rPr>
          <w:rFonts w:ascii="Arial" w:cs="Arial" w:eastAsia="Arial" w:hAnsi="Arial"/>
          <w:sz w:val="16"/>
          <w:szCs w:val="16"/>
          <w:color w:val="auto"/>
        </w:rPr>
        <w:t>” means any loss, damage, claim or liability (joint or several) to which a Holder Indemnified Person (as defined in Section 2.8(a)) or a Company Indemnified Person (as defined in Section 2.8(b)) may become subject under the Securities Act, the Exchange Act or any state securities law in connection with a registration statement filed pursuant to Section 2, insofar as such loss, damage, claim or liability (or any action, claim or proceeding in respect thereof) arises out of or is based upon (i) any untrue statement or alleged untrue statement of a material fact contained in any such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w:t>
      </w:r>
    </w:p>
    <w:p>
      <w:pPr>
        <w:spacing w:after="0" w:line="5" w:lineRule="exact"/>
        <w:rPr>
          <w:sz w:val="20"/>
          <w:szCs w:val="20"/>
          <w:color w:val="auto"/>
        </w:rPr>
      </w:pPr>
    </w:p>
    <w:p>
      <w:pPr>
        <w:ind w:right="180" w:firstLine="4"/>
        <w:spacing w:after="0" w:line="261" w:lineRule="auto"/>
        <w:tabs>
          <w:tab w:leader="none" w:pos="31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violation or alleged violation by the indemnifying party (or any of its agents or Affiliates) of the Securities Act, the Exchange Act or any state securities law.</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Deemed Liquidation Event</w:t>
      </w:r>
      <w:r>
        <w:rPr>
          <w:rFonts w:ascii="Arial" w:cs="Arial" w:eastAsia="Arial" w:hAnsi="Arial"/>
          <w:sz w:val="18"/>
          <w:szCs w:val="18"/>
          <w:color w:val="auto"/>
        </w:rPr>
        <w:t>” has the meaning given to that term in the Restated Charter.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jc w:val="both"/>
        <w:ind w:right="20" w:firstLine="44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Excluded Registration</w:t>
      </w:r>
      <w:r>
        <w:rPr>
          <w:rFonts w:ascii="Arial" w:cs="Arial" w:eastAsia="Arial" w:hAnsi="Arial"/>
          <w:sz w:val="16"/>
          <w:szCs w:val="16"/>
          <w:color w:val="auto"/>
        </w:rPr>
        <w:t>” means (i) a registration relating to the sale of securities to employees of the Company or any of its subsidiaries pursuant to a stock option, stock purchase or similar plan, (ii) a registration relating to a Rule 145 transaction, (iii) a registration on any form that does not include substantially the same information as would be required to be included in a registration statement covering the sale of the Registrable Securities, or</w:t>
      </w:r>
    </w:p>
    <w:p>
      <w:pPr>
        <w:ind w:right="260" w:firstLine="4"/>
        <w:spacing w:after="0" w:line="261" w:lineRule="auto"/>
        <w:tabs>
          <w:tab w:leader="none" w:pos="30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 registration in which the only Common Stock being registered is Common Stock issuable upon conversion of debt securities that are also being registered.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332" w:name="page333"/>
    <w:bookmarkEnd w:id="332"/>
    <w:p>
      <w:pPr>
        <w:ind w:right="3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means such form registration statement under the Securities Act as in effect on the date of this Agreement or any successor form registration statement under the Securities Act subsequently adopted by the SEC.</w:t>
      </w:r>
    </w:p>
    <w:p>
      <w:pPr>
        <w:spacing w:after="0" w:line="170"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means such form registration statement under the Securities Act as in effect on the date of this Agreement or any form registration statement under the Securities Act subsequently adopted by the SEC that permits incorporation of substantial information by reference to other documents filed by the Company with the SEC.</w:t>
      </w:r>
    </w:p>
    <w:p>
      <w:pPr>
        <w:spacing w:after="0" w:line="18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any holder of Registrable Securities who is a party to this Agreement or any assignee of record of such Registrable Securities to whom registration rights set forth in Section 2 have been duly assigned in accordance with Section 2.13.</w:t>
      </w:r>
    </w:p>
    <w:p>
      <w:pPr>
        <w:spacing w:after="0" w:line="170"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Immediate Family Member</w:t>
      </w:r>
      <w:r>
        <w:rPr>
          <w:rFonts w:ascii="Arial" w:cs="Arial" w:eastAsia="Arial" w:hAnsi="Arial"/>
          <w:sz w:val="17"/>
          <w:szCs w:val="17"/>
          <w:color w:val="auto"/>
        </w:rPr>
        <w:t xml:space="preserve">” means a spouse (or former spouse) or domestic partner, child or stepchild, grandchild, parent, stepparent, sibling, father-in-law, mother-in-law, son-in-law, daughter-or-law, brother-in-law, sister-in-law, grandparent, niece or nephew, including adoptive relationships, of a natural person referred to herein. A person shall be deemed to be a “domestic partner” of another person if the two persons (i) reside in the same residence and plan to do so indefinitely, (ii) have resided together for at least one year, (iii) are each at least 18 years of age and mentally competent to consent to contract, (iv) are not blood relatives closer than would prohibit legal marriage in the state in which they reside, (v) are financially interdependent, as demonstrated to the Company’s reasonable satisfaction, and (vi) have each been the sole spousal equivalent of the other for the year prior to the determination of “domestic partner” status and plan to remain so indefinitely;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person shall not be deemed to be a “domestic partner” if he or she is married to another person or has any other spousal equivalent.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Initiating Holders</w:t>
      </w:r>
      <w:r>
        <w:rPr>
          <w:rFonts w:ascii="Arial" w:cs="Arial" w:eastAsia="Arial" w:hAnsi="Arial"/>
          <w:sz w:val="18"/>
          <w:szCs w:val="18"/>
          <w:color w:val="auto"/>
        </w:rPr>
        <w:t>” means, collectively, Holders who properly initiate a registration request under this Agreement.</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Major Investor</w:t>
      </w:r>
      <w:r>
        <w:rPr>
          <w:rFonts w:ascii="Arial" w:cs="Arial" w:eastAsia="Arial" w:hAnsi="Arial"/>
          <w:sz w:val="18"/>
          <w:szCs w:val="18"/>
          <w:color w:val="auto"/>
        </w:rPr>
        <w:t>” means any Investor that, individually or together with such Investor’s Affiliates, holds at least 450,000 shares of Registrable Securities.</w:t>
      </w:r>
    </w:p>
    <w:p>
      <w:pPr>
        <w:spacing w:after="0" w:line="170"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Securities</w:t>
      </w:r>
      <w:r>
        <w:rPr>
          <w:rFonts w:ascii="Arial" w:cs="Arial" w:eastAsia="Arial" w:hAnsi="Arial"/>
          <w:sz w:val="18"/>
          <w:szCs w:val="18"/>
          <w:color w:val="auto"/>
        </w:rPr>
        <w:t>” means, collectively, (i) equity securities of the Company, whether or not currently authorized, (ii) rights, options or warrants to purchase equity securities of the Company, and (iii) securities of any type whatsoever that are, or may become, convertible or exchangeable into or exercisable for equity securities of the Company.</w:t>
      </w:r>
    </w:p>
    <w:p>
      <w:pPr>
        <w:spacing w:after="0" w:line="18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Shares</w:t>
      </w:r>
      <w:r>
        <w:rPr>
          <w:rFonts w:ascii="Arial" w:cs="Arial" w:eastAsia="Arial" w:hAnsi="Arial"/>
          <w:sz w:val="18"/>
          <w:szCs w:val="18"/>
          <w:color w:val="auto"/>
        </w:rPr>
        <w:t>” means shares of Common Stock, other than Registrable Securities, with respect to which registration rights have been granted by the Company.</w:t>
      </w:r>
    </w:p>
    <w:p>
      <w:pPr>
        <w:spacing w:after="0" w:line="170"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a partnership, a corporation (including a business trust), a joint stock company, a limited liability company, an unincorporated association, a joint venture or other entity or a governmental authority.</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Preferred Directors</w:t>
      </w:r>
      <w:r>
        <w:rPr>
          <w:rFonts w:ascii="Arial" w:cs="Arial" w:eastAsia="Arial" w:hAnsi="Arial"/>
          <w:sz w:val="18"/>
          <w:szCs w:val="18"/>
          <w:color w:val="auto"/>
        </w:rPr>
        <w:t>” means the Series A-1 Director (as defined below), so long as Pfizer is entitled to elect a Series A-1 Director, and the Series B Director (as defined below), so long as the holders of Series B Preferred Stock are entitled to elect a Series B Director.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3" w:right="519" w:bottom="1440" w:gutter="0" w:footer="0" w:header="0"/>
        </w:sectPr>
      </w:pPr>
    </w:p>
    <w:bookmarkStart w:id="333" w:name="page334"/>
    <w:bookmarkEnd w:id="333"/>
    <w:p>
      <w:pPr>
        <w:jc w:val="both"/>
        <w:ind w:right="36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Pfizer</w:t>
      </w:r>
      <w:r>
        <w:rPr>
          <w:rFonts w:ascii="Arial" w:cs="Arial" w:eastAsia="Arial" w:hAnsi="Arial"/>
          <w:sz w:val="18"/>
          <w:szCs w:val="18"/>
          <w:color w:val="auto"/>
        </w:rPr>
        <w:t>” means (i) Pfizer Manufacturing LLC, a Delaware limited liability company, and Pfizer Production LLC, a Delaware limited liability company, acting for and on behalf of C.P. Pharmaceuticals International C.V., a Netherlands limited partnership (commanditaire vennootschap), and (ii) Pfizer Inc.</w:t>
      </w:r>
    </w:p>
    <w:p>
      <w:pPr>
        <w:spacing w:after="0" w:line="18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Registrable Securities</w:t>
      </w:r>
      <w:r>
        <w:rPr>
          <w:rFonts w:ascii="Arial" w:cs="Arial" w:eastAsia="Arial" w:hAnsi="Arial"/>
          <w:sz w:val="18"/>
          <w:szCs w:val="18"/>
          <w:color w:val="auto"/>
        </w:rPr>
        <w:t>” means (i) the Common Stock issued or issuable upon conversion of the Preferred Stock and (ii) any Common Stock issued as (or issuable upon the conversion or exercise of any warrant, right or other security that is issued as) a dividend or other distribution with respect to, or in exchange for or in replacement of, the shares referenced in clause (i) above; excluding, in all cases, however, (x) any Registrable Securities Transferred by a Person in a transaction in which the applicable rights under this Agreement are not assigned in accordance with the terms and provisions of this Agreement, (y) any Registrable Securities that have been previously registered, and (z) any Registrable Securities that have been sold to the public either pursuant to a registration statement or Rule 144, and excluding, for purposes of Section 2, any shares for which registration rights have terminated pursuant to Section 2.14.</w:t>
      </w:r>
    </w:p>
    <w:p>
      <w:pPr>
        <w:spacing w:after="0" w:line="189" w:lineRule="exact"/>
        <w:rPr>
          <w:sz w:val="20"/>
          <w:szCs w:val="20"/>
          <w:color w:val="auto"/>
        </w:rPr>
      </w:pPr>
    </w:p>
    <w:p>
      <w:pPr>
        <w:ind w:right="28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Registrable Securities then outstanding</w:t>
      </w:r>
      <w:r>
        <w:rPr>
          <w:rFonts w:ascii="Arial" w:cs="Arial" w:eastAsia="Arial" w:hAnsi="Arial"/>
          <w:sz w:val="17"/>
          <w:szCs w:val="17"/>
          <w:color w:val="auto"/>
        </w:rPr>
        <w:t>” means the number of shares determined by adding (i) the number of shares of outstanding Common Stock which are Registrable Securities that are then issued and outstanding and (ii) the number of shares of Common Stock issuable (directly or indirectly) pursuant to then exercisable and/or then convertible securities that are Registrable Securities.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Restated Charter</w:t>
      </w:r>
      <w:r>
        <w:rPr>
          <w:rFonts w:ascii="Arial" w:cs="Arial" w:eastAsia="Arial" w:hAnsi="Arial"/>
          <w:sz w:val="18"/>
          <w:szCs w:val="18"/>
          <w:color w:val="auto"/>
        </w:rPr>
        <w:t>” means the Company’s Third Amended and Restated Certificate of Incorporation, as amended from time to time.</w:t>
      </w:r>
    </w:p>
    <w:p>
      <w:pPr>
        <w:spacing w:after="0" w:line="225"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Securities</w:t>
      </w:r>
      <w:r>
        <w:rPr>
          <w:rFonts w:ascii="Arial" w:cs="Arial" w:eastAsia="Arial" w:hAnsi="Arial"/>
          <w:sz w:val="17"/>
          <w:szCs w:val="17"/>
          <w:color w:val="auto"/>
        </w:rPr>
        <w:t>” means (i) the Preferred Stock, (ii) the Registrable Securities, and (iii) any other securities issued in respect of the securities referenced in clauses (i) and (ii) upon any stock combination, stock split, stock dividend, recapitalization or other similar transaction.</w:t>
      </w:r>
    </w:p>
    <w:p>
      <w:pPr>
        <w:spacing w:after="0" w:line="147"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ROFR and Co-Sale Agreement</w:t>
      </w:r>
      <w:r>
        <w:rPr>
          <w:rFonts w:ascii="Arial" w:cs="Arial" w:eastAsia="Arial" w:hAnsi="Arial"/>
          <w:sz w:val="18"/>
          <w:szCs w:val="18"/>
          <w:color w:val="auto"/>
        </w:rPr>
        <w:t>” means that certain Second Amended and Restated Right of First Refusal and Co-Sale Agreement, dated of even date herewith, by and among the Company and the other parties specified therein.</w:t>
      </w:r>
    </w:p>
    <w:p>
      <w:pPr>
        <w:spacing w:after="0" w:line="170"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144</w:t>
      </w:r>
      <w:r>
        <w:rPr>
          <w:rFonts w:ascii="Arial" w:cs="Arial" w:eastAsia="Arial" w:hAnsi="Arial"/>
          <w:sz w:val="18"/>
          <w:szCs w:val="18"/>
          <w:color w:val="auto"/>
        </w:rPr>
        <w:t>” means Rule 144 promulgated by the SEC under the Securities Act, as amended from time to time, or any similar rule that may be promulgated by the SEC.</w:t>
      </w:r>
    </w:p>
    <w:p>
      <w:pPr>
        <w:spacing w:after="0" w:line="170"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145</w:t>
      </w:r>
      <w:r>
        <w:rPr>
          <w:rFonts w:ascii="Arial" w:cs="Arial" w:eastAsia="Arial" w:hAnsi="Arial"/>
          <w:sz w:val="18"/>
          <w:szCs w:val="18"/>
          <w:color w:val="auto"/>
        </w:rPr>
        <w:t>” means Rule 145 promulgated by the SEC under the Securities Act, as amended from time to time, or any similar rule that may be promulgated by the SEC.</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U.S. Securities and Exchange Commission.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means, collectively, (i) all underwriting discounts, selling commissions and stock transfer taxes applicable to the sale of Registrable Securities and (ii) the fees and disbursements of legal counsel for any Holder, except for the fees and disbursements of the Selling Holder Counsel (as defined in Section 2.6) borne and paid by the Company as provided in Section 2.6.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3" w:right="439" w:bottom="1440" w:gutter="0" w:footer="0" w:header="0"/>
        </w:sectPr>
      </w:pPr>
    </w:p>
    <w:bookmarkStart w:id="334" w:name="page335"/>
    <w:bookmarkEnd w:id="334"/>
    <w:p>
      <w:pPr>
        <w:ind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means any sale, transfer, assignment, pledge, encumbrance or other disposition; provided, that any customary arrangement in connection with the deposit of Registrable Securities in a non-margin custodial account shall not be deemed a sale, transfer or pledge for purposes of this Agreement so long as such Registrable Securities are in certificated form (it being understood that the Company may require the exchange of any such certificated securities for book-entry shares upon the Company IPO).</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Viking</w:t>
      </w:r>
      <w:r>
        <w:rPr>
          <w:rFonts w:ascii="Arial" w:cs="Arial" w:eastAsia="Arial" w:hAnsi="Arial"/>
          <w:sz w:val="18"/>
          <w:szCs w:val="18"/>
          <w:color w:val="auto"/>
        </w:rPr>
        <w:t>” means Viking Global Opportunities Illiquid Investments Sub-Master LP and its Affiliates.</w:t>
      </w:r>
    </w:p>
    <w:p>
      <w:pPr>
        <w:spacing w:after="0" w:line="225" w:lineRule="exact"/>
        <w:rPr>
          <w:sz w:val="20"/>
          <w:szCs w:val="20"/>
          <w:color w:val="auto"/>
        </w:rPr>
      </w:pPr>
    </w:p>
    <w:p>
      <w:pPr>
        <w:jc w:val="both"/>
        <w:ind w:right="10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Voting Shares</w:t>
      </w:r>
      <w:r>
        <w:rPr>
          <w:rFonts w:ascii="Arial" w:cs="Arial" w:eastAsia="Arial" w:hAnsi="Arial"/>
          <w:sz w:val="17"/>
          <w:szCs w:val="17"/>
          <w:color w:val="auto"/>
        </w:rPr>
        <w:t>” means and includes any securities of the Company the holders of which are entitled to vote for members of the Board, including all shares of Common Stock and Preferred Stock, by whatever name called, now owned or subsequently acquired by a Stockholder, however acquired, whether through stock splits, stock dividends, reclassifications, recapitalizations, similar events or otherwise.</w:t>
      </w:r>
    </w:p>
    <w:p>
      <w:pPr>
        <w:spacing w:after="0" w:line="57" w:lineRule="exact"/>
        <w:rPr>
          <w:sz w:val="20"/>
          <w:szCs w:val="20"/>
          <w:color w:val="auto"/>
        </w:rPr>
      </w:pPr>
    </w:p>
    <w:p>
      <w:pPr>
        <w:ind w:left="440" w:right="5920" w:hanging="436"/>
        <w:spacing w:after="0" w:line="375" w:lineRule="auto"/>
        <w:tabs>
          <w:tab w:leader="none" w:pos="179"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The Company covenants and agrees as follows: 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right="60" w:firstLine="996"/>
        <w:spacing w:after="0" w:line="287" w:lineRule="auto"/>
        <w:tabs>
          <w:tab w:leader="none" w:pos="1236" w:val="left"/>
        </w:tabs>
        <w:numPr>
          <w:ilvl w:val="1"/>
          <w:numId w:val="215"/>
        </w:numPr>
        <w:rPr>
          <w:rFonts w:ascii="Arial" w:cs="Arial" w:eastAsia="Arial" w:hAnsi="Arial"/>
          <w:sz w:val="16"/>
          <w:szCs w:val="16"/>
          <w:color w:val="auto"/>
        </w:rPr>
      </w:pPr>
      <w:r>
        <w:rPr>
          <w:rFonts w:ascii="Arial" w:cs="Arial" w:eastAsia="Arial" w:hAnsi="Arial"/>
          <w:sz w:val="16"/>
          <w:szCs w:val="16"/>
          <w:u w:val="single" w:color="auto"/>
          <w:color w:val="auto"/>
        </w:rPr>
        <w:t>Form S-1 Demand</w:t>
      </w:r>
      <w:r>
        <w:rPr>
          <w:rFonts w:ascii="Arial" w:cs="Arial" w:eastAsia="Arial" w:hAnsi="Arial"/>
          <w:sz w:val="16"/>
          <w:szCs w:val="16"/>
          <w:color w:val="auto"/>
        </w:rPr>
        <w:t>. If, at any time after 180 days after the effective date of the registration statement for the Company IPO (or the subsequent date on which all lock-up periods applicable to the Company IPO have terminated), the Company receives a written request from Holders of at least 50% of the Registrable Securities then outstanding that the Company file a Form S-1 with respect to at least 50% of the Registrable Securities then outstanding (or a lesser percent if the anticipated aggregate offering price, net of Selling Expenses, would exceed $30,000,000), then the Company shall (A) within 20 days after the Company’s receipt of such request, give written notice thereof (the “</w:t>
      </w:r>
      <w:r>
        <w:rPr>
          <w:rFonts w:ascii="Arial" w:cs="Arial" w:eastAsia="Arial" w:hAnsi="Arial"/>
          <w:sz w:val="16"/>
          <w:szCs w:val="16"/>
          <w:b w:val="1"/>
          <w:bCs w:val="1"/>
          <w:i w:val="1"/>
          <w:iCs w:val="1"/>
          <w:color w:val="auto"/>
        </w:rPr>
        <w:t>Form S-1 Demand Notice</w:t>
      </w:r>
      <w:r>
        <w:rPr>
          <w:rFonts w:ascii="Arial" w:cs="Arial" w:eastAsia="Arial" w:hAnsi="Arial"/>
          <w:sz w:val="16"/>
          <w:szCs w:val="16"/>
          <w:color w:val="auto"/>
        </w:rPr>
        <w:t>”) to all Holders other than the Initiating Holders and (B) as soon as practicable, and in any event within 60 days after the Company’s receipt of such request, file a Form S-1 under the Securities Act covering all Registrable Securities that the Initiating Holders requested to be registered and any additional Registrable Securities requested to be included in such registration by any other Holders, as specified in a written notice given by each such Holder to the Company by no later than the 20</w:t>
      </w:r>
      <w:r>
        <w:rPr>
          <w:rFonts w:ascii="Arial" w:cs="Arial" w:eastAsia="Arial" w:hAnsi="Arial"/>
          <w:sz w:val="13"/>
          <w:szCs w:val="13"/>
          <w:color w:val="auto"/>
        </w:rPr>
        <w:t>th</w:t>
      </w:r>
      <w:r>
        <w:rPr>
          <w:rFonts w:ascii="Arial" w:cs="Arial" w:eastAsia="Arial" w:hAnsi="Arial"/>
          <w:sz w:val="16"/>
          <w:szCs w:val="16"/>
          <w:color w:val="auto"/>
        </w:rPr>
        <w:t xml:space="preserve"> day after the date on which the Form S-1 Demand Notice is, pursuant to Section 8.5, deemed to have been delivered to such Holder, and, in each case, subject to the limitations of this Section 2. Any registration statement filed pursuant to this Section 2.1(a) may, subject to the provisions of Section 2.3, include Company Shares (as defined in Section 2.3(a)) or Other Shares.</w:t>
      </w:r>
    </w:p>
    <w:p>
      <w:pPr>
        <w:spacing w:after="0" w:line="64" w:lineRule="exact"/>
        <w:rPr>
          <w:rFonts w:ascii="Arial" w:cs="Arial" w:eastAsia="Arial" w:hAnsi="Arial"/>
          <w:sz w:val="16"/>
          <w:szCs w:val="16"/>
          <w:color w:val="auto"/>
        </w:rPr>
      </w:pPr>
    </w:p>
    <w:p>
      <w:pPr>
        <w:jc w:val="both"/>
        <w:ind w:right="420" w:firstLine="996"/>
        <w:spacing w:after="0" w:line="288" w:lineRule="auto"/>
        <w:tabs>
          <w:tab w:leader="none" w:pos="1247" w:val="left"/>
        </w:tabs>
        <w:numPr>
          <w:ilvl w:val="1"/>
          <w:numId w:val="215"/>
        </w:numPr>
        <w:rPr>
          <w:rFonts w:ascii="Arial" w:cs="Arial" w:eastAsia="Arial" w:hAnsi="Arial"/>
          <w:sz w:val="16"/>
          <w:szCs w:val="16"/>
          <w:color w:val="auto"/>
        </w:rPr>
      </w:pPr>
      <w:r>
        <w:rPr>
          <w:rFonts w:ascii="Arial" w:cs="Arial" w:eastAsia="Arial" w:hAnsi="Arial"/>
          <w:sz w:val="16"/>
          <w:szCs w:val="16"/>
          <w:u w:val="single" w:color="auto"/>
          <w:color w:val="auto"/>
        </w:rPr>
        <w:t>Form S-3 Demand</w:t>
      </w:r>
      <w:r>
        <w:rPr>
          <w:rFonts w:ascii="Arial" w:cs="Arial" w:eastAsia="Arial" w:hAnsi="Arial"/>
          <w:sz w:val="16"/>
          <w:szCs w:val="16"/>
          <w:color w:val="auto"/>
        </w:rPr>
        <w:t>. If, at any time when the Company is eligible to use a Form S-3, the Company receives a written request from Holders of at least 30% of the Registrable Securities then outstanding that the Company file a Form S-3 with respect to Registrable Securities then outstanding of such Holders having an anticipated aggregate offering price, net of Selling Expenses, of at least $5,000,000, then the Company shall</w:t>
      </w:r>
    </w:p>
    <w:p>
      <w:pPr>
        <w:ind w:right="140"/>
        <w:spacing w:after="0" w:line="323" w:lineRule="auto"/>
        <w:rPr>
          <w:rFonts w:ascii="Arial" w:cs="Arial" w:eastAsia="Arial" w:hAnsi="Arial"/>
          <w:sz w:val="16"/>
          <w:szCs w:val="16"/>
          <w:color w:val="auto"/>
        </w:rPr>
      </w:pPr>
      <w:r>
        <w:rPr>
          <w:rFonts w:ascii="Arial" w:cs="Arial" w:eastAsia="Arial" w:hAnsi="Arial"/>
          <w:sz w:val="16"/>
          <w:szCs w:val="16"/>
          <w:color w:val="auto"/>
        </w:rPr>
        <w:t>(i) within 20 days after the Company’s receipt of such request, give a written notice thereof (the “</w:t>
      </w:r>
      <w:r>
        <w:rPr>
          <w:rFonts w:ascii="Arial" w:cs="Arial" w:eastAsia="Arial" w:hAnsi="Arial"/>
          <w:sz w:val="16"/>
          <w:szCs w:val="16"/>
          <w:b w:val="1"/>
          <w:bCs w:val="1"/>
          <w:i w:val="1"/>
          <w:iCs w:val="1"/>
          <w:color w:val="auto"/>
        </w:rPr>
        <w:t>Form S-3 Demand Notice</w:t>
      </w:r>
      <w:r>
        <w:rPr>
          <w:rFonts w:ascii="Arial" w:cs="Arial" w:eastAsia="Arial" w:hAnsi="Arial"/>
          <w:sz w:val="16"/>
          <w:szCs w:val="16"/>
          <w:color w:val="auto"/>
        </w:rPr>
        <w:t>”) to all Holders other than the Initiating Holders and (ii) as soon as practicable, and in any event within 45 days after the Company’s receipt of such request, file a Form S-3</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335" w:name="page336"/>
    <w:bookmarkEnd w:id="335"/>
    <w:p>
      <w:pPr>
        <w:ind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Securities Act covering all Registrable Securities that the Initiating Holders requested to be registered and any additional Registrable Securities requested to be included in such registration by any other Holders, as specified in a written notice given by each such Holder to the Company by no later than the tenth day after the date on which the Form S-3 Demand Notice is, pursuant to Section 8.5, deemed to have been delivered to such Holder, and, in each case, subject to the limitations of this Section 2. Any registration statement filed pursuant to this Section 2.1(b) may, subject to the provisions of Section 2.3, include Company Shares (as defined in Section 2.3(a)) or Other Shares.</w:t>
      </w:r>
    </w:p>
    <w:p>
      <w:pPr>
        <w:spacing w:after="0" w:line="64" w:lineRule="exact"/>
        <w:rPr>
          <w:sz w:val="20"/>
          <w:szCs w:val="20"/>
          <w:color w:val="auto"/>
        </w:rPr>
      </w:pPr>
    </w:p>
    <w:p>
      <w:pPr>
        <w:ind w:right="80" w:firstLine="996"/>
        <w:spacing w:after="0" w:line="271" w:lineRule="auto"/>
        <w:tabs>
          <w:tab w:leader="none" w:pos="1236"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Deferral</w:t>
      </w:r>
      <w:r>
        <w:rPr>
          <w:rFonts w:ascii="Arial" w:cs="Arial" w:eastAsia="Arial" w:hAnsi="Arial"/>
          <w:sz w:val="17"/>
          <w:szCs w:val="17"/>
          <w:color w:val="auto"/>
        </w:rPr>
        <w:t xml:space="preserve">. Notwithstanding the foregoing obligations in Section 2.1(a) and Section 2.1(b), if the Company furnishes to the Holders requesting a registration pursuant to this Section 2.1 a certificate signed by the Company’s Chief Executive Officer or President stating that, in the good faith judgment of the Board, it would be materially detrimental to the Company and its stockholders for such registration statement to be filed and it is therefore necessary to defer the filing of such registration statement, then the Company shall have the right to defer taking action with respect to such filing, and any time periods with respect to filing or effectiveness thereof shall be tolled correspondingly, for a period of not more than 120 days after delivery to the Company by the Initiating Holders of such registration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may not invoke this right more than once in any 12-month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shall not register any securities for its own account or that of any other stockholder during such 120-day period other than pursuant to an Excluded Registration.</w:t>
      </w:r>
    </w:p>
    <w:p>
      <w:pPr>
        <w:spacing w:after="0" w:line="70" w:lineRule="exact"/>
        <w:rPr>
          <w:rFonts w:ascii="Arial" w:cs="Arial" w:eastAsia="Arial" w:hAnsi="Arial"/>
          <w:sz w:val="17"/>
          <w:szCs w:val="17"/>
          <w:color w:val="auto"/>
        </w:rPr>
      </w:pPr>
    </w:p>
    <w:p>
      <w:pPr>
        <w:ind w:right="20" w:firstLine="996"/>
        <w:spacing w:after="0" w:line="283" w:lineRule="auto"/>
        <w:tabs>
          <w:tab w:leader="none" w:pos="1247"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Limitations</w:t>
      </w:r>
      <w:r>
        <w:rPr>
          <w:rFonts w:ascii="Arial" w:cs="Arial" w:eastAsia="Arial" w:hAnsi="Arial"/>
          <w:sz w:val="16"/>
          <w:szCs w:val="16"/>
          <w:color w:val="auto"/>
        </w:rPr>
        <w:t xml:space="preserve">. The Company shall not be obligated to effect, or to take any action to effect, any registration pursuant to Section 2.1(a): (i) during the period that is 60 days before the Company’s good faith estimate of the date of filing of, and ending on a date that is 180 days after the effective date of, a Company-initiated registration,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Company is actively employing, in good faith, commercially reasonable efforts to cause such registration statement to become effective; (ii) if the Company has already effected two (2) registrations pursuant to Section 2.1(a); or (iii) if the Initiating Holders propose to dispose of shares of Registrable Securities that may be immediately registered on Form S-3 pursuant to a request made pursuant to Section 2.1(b). The Company shall not be obligated to effect, or to take any action to effect, any registration pursuant to Section 2.1(b): (i) during the period that is 30 days before the Company’s good faith estimate of the date of filing of, and ending on a date that is 90 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or (ii) if the Company has already effected two (2) registrations pursuant to Section 2.1(b) within the</w:t>
      </w:r>
    </w:p>
    <w:p>
      <w:pPr>
        <w:spacing w:after="0" w:line="6" w:lineRule="exact"/>
        <w:rPr>
          <w:rFonts w:ascii="Arial" w:cs="Arial" w:eastAsia="Arial" w:hAnsi="Arial"/>
          <w:sz w:val="16"/>
          <w:szCs w:val="16"/>
          <w:color w:val="auto"/>
        </w:rPr>
      </w:pPr>
    </w:p>
    <w:p>
      <w:pPr>
        <w:spacing w:after="0" w:line="269" w:lineRule="auto"/>
        <w:rPr>
          <w:rFonts w:ascii="Arial" w:cs="Arial" w:eastAsia="Arial" w:hAnsi="Arial"/>
          <w:sz w:val="16"/>
          <w:szCs w:val="16"/>
          <w:color w:val="auto"/>
        </w:rPr>
      </w:pPr>
      <w:r>
        <w:rPr>
          <w:rFonts w:ascii="Arial" w:cs="Arial" w:eastAsia="Arial" w:hAnsi="Arial"/>
          <w:sz w:val="17"/>
          <w:szCs w:val="17"/>
          <w:color w:val="auto"/>
        </w:rPr>
        <w:t xml:space="preserve">12-month period immediately preceding the date of such request. A registration shall not be counted as “effected” for purposes of this Section 2.1(d) until such time as the applicable registration statement has been declared effective by the SEC;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(i) Holders of a majority of the Registrable Securities to be registered withdraw the request for such registration or a sufficient number of Holders withdraw from such registration so that the minimum offering conditions set forth in Section 2.1(a) or Section 2.1(b), as applicable, are no longer satisfied and (ii) the Holders of a majority of the Registrable Securities agree to forfeit their right to one registration pursuant to Section 2.1(a) or Section 2.1(b), as the case may be, as described in Section 2.6, with the Company paying the Withdrawn Registration Expenses (as defined in Section 2.6), then such withdrawn registration statement shall be counted as “effected” for purposes of this Section 2.1(d).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336" w:name="page337"/>
    <w:bookmarkEnd w:id="336"/>
    <w:p>
      <w:pPr>
        <w:ind w:right="20" w:firstLine="44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 </w:t>
      </w:r>
      <w:r>
        <w:rPr>
          <w:rFonts w:ascii="Arial" w:cs="Arial" w:eastAsia="Arial" w:hAnsi="Arial"/>
          <w:sz w:val="17"/>
          <w:szCs w:val="17"/>
          <w:u w:val="single" w:color="auto"/>
          <w:color w:val="auto"/>
        </w:rPr>
        <w:t>Company Registration</w:t>
      </w:r>
      <w:r>
        <w:rPr>
          <w:rFonts w:ascii="Arial" w:cs="Arial" w:eastAsia="Arial" w:hAnsi="Arial"/>
          <w:sz w:val="17"/>
          <w:szCs w:val="17"/>
          <w:color w:val="auto"/>
        </w:rPr>
        <w:t>. If the Company proposes to register (including, for this purpose, a registration effected by the Company for stockholders other than the Holders) any of its Common Stock under the Securities Act in connection with the public offering of such securities solely for cash (other than in an Excluded Registration), then the Company shall, at such time, promptly give each Holder written notice of such registration (the “</w:t>
      </w:r>
      <w:r>
        <w:rPr>
          <w:rFonts w:ascii="Arial" w:cs="Arial" w:eastAsia="Arial" w:hAnsi="Arial"/>
          <w:sz w:val="17"/>
          <w:szCs w:val="17"/>
          <w:b w:val="1"/>
          <w:bCs w:val="1"/>
          <w:i w:val="1"/>
          <w:iCs w:val="1"/>
          <w:color w:val="auto"/>
        </w:rPr>
        <w:t>Company Notice</w:t>
      </w:r>
      <w:r>
        <w:rPr>
          <w:rFonts w:ascii="Arial" w:cs="Arial" w:eastAsia="Arial" w:hAnsi="Arial"/>
          <w:sz w:val="17"/>
          <w:szCs w:val="17"/>
          <w:color w:val="auto"/>
        </w:rPr>
        <w:t>”). Upon the written request of each Holder given to the Company by no later than the 20th day after the date on which the Company Notice is, pursuant to Section 8.5, deemed to have been delivered to such Holder, the Company shall, subject to the provisions of Section 2.3, cause to be registered all of the Registrable Securities that each such Holder has so requested to be included in such registration. The Company shall have the right to terminate or withdraw any registration initiated by it under this Section 2.2 before the effective date of such registration, whether or not any Holder has elected to include Registrable Securities in such registration. The expenses of such withdrawn registration (other than Selling Expenses) shall be borne by the Company in accordance with Section 2.6.</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Underwriting Requirements</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85" w:lineRule="auto"/>
        <w:tabs>
          <w:tab w:leader="none" w:pos="1237" w:val="left"/>
        </w:tabs>
        <w:numPr>
          <w:ilvl w:val="1"/>
          <w:numId w:val="217"/>
        </w:numPr>
        <w:rPr>
          <w:rFonts w:ascii="Arial" w:cs="Arial" w:eastAsia="Arial" w:hAnsi="Arial"/>
          <w:sz w:val="16"/>
          <w:szCs w:val="16"/>
          <w:color w:val="auto"/>
        </w:rPr>
      </w:pPr>
      <w:r>
        <w:rPr>
          <w:rFonts w:ascii="Arial" w:cs="Arial" w:eastAsia="Arial" w:hAnsi="Arial"/>
          <w:sz w:val="16"/>
          <w:szCs w:val="16"/>
          <w:color w:val="auto"/>
        </w:rPr>
        <w:t>If, pursuant to Section 2.1, the Initiating Holders intend to distribute the Registrable Securities covered by their request by means of an underwriting, they shall so advise the Company as part of their request made pursuant to Section 2.1, and the Company shall include such information in the Form S-1 Demand Notice. The underwriter(s) will be selected by the Company and shall be reasonably acceptable to a majority in interest of the Initiating Holders. If, within 20 days after the Company’s receipt of a written registration request pursuant to Section 2.1, the Company delivers to the Initiating Holders a written request to include in such registration (x) securities being sold for the Company’s own account (“</w:t>
      </w:r>
      <w:r>
        <w:rPr>
          <w:rFonts w:ascii="Arial" w:cs="Arial" w:eastAsia="Arial" w:hAnsi="Arial"/>
          <w:sz w:val="16"/>
          <w:szCs w:val="16"/>
          <w:b w:val="1"/>
          <w:bCs w:val="1"/>
          <w:i w:val="1"/>
          <w:iCs w:val="1"/>
          <w:color w:val="auto"/>
        </w:rPr>
        <w:t>Company Shares</w:t>
      </w:r>
      <w:r>
        <w:rPr>
          <w:rFonts w:ascii="Arial" w:cs="Arial" w:eastAsia="Arial" w:hAnsi="Arial"/>
          <w:sz w:val="16"/>
          <w:szCs w:val="16"/>
          <w:color w:val="auto"/>
        </w:rPr>
        <w:t>”) or</w:t>
      </w:r>
    </w:p>
    <w:p>
      <w:pPr>
        <w:spacing w:after="0" w:line="2" w:lineRule="exact"/>
        <w:rPr>
          <w:rFonts w:ascii="Arial" w:cs="Arial" w:eastAsia="Arial" w:hAnsi="Arial"/>
          <w:sz w:val="16"/>
          <w:szCs w:val="16"/>
          <w:color w:val="auto"/>
        </w:rPr>
      </w:pPr>
    </w:p>
    <w:p>
      <w:pPr>
        <w:ind w:right="40" w:firstLine="4"/>
        <w:spacing w:after="0" w:line="267" w:lineRule="auto"/>
        <w:tabs>
          <w:tab w:leader="none" w:pos="255" w:val="left"/>
        </w:tabs>
        <w:numPr>
          <w:ilvl w:val="0"/>
          <w:numId w:val="218"/>
        </w:numPr>
        <w:rPr>
          <w:rFonts w:ascii="Arial" w:cs="Arial" w:eastAsia="Arial" w:hAnsi="Arial"/>
          <w:sz w:val="17"/>
          <w:szCs w:val="17"/>
          <w:color w:val="auto"/>
        </w:rPr>
      </w:pPr>
      <w:r>
        <w:rPr>
          <w:rFonts w:ascii="Arial" w:cs="Arial" w:eastAsia="Arial" w:hAnsi="Arial"/>
          <w:sz w:val="17"/>
          <w:szCs w:val="17"/>
          <w:color w:val="auto"/>
        </w:rPr>
        <w:t>Other Shares, then the Initiating Holders shall, on behalf of all Holders, offer to include the Company Shares and such Other Shares in the underwriting. All Holders proposing to distribute their securities through such underwriting shall, together with the Company as provided in Section 2.4(e) and the holders of any Other Shares that are to be included in such underwriting and registration (such holders, the “</w:t>
      </w:r>
      <w:r>
        <w:rPr>
          <w:rFonts w:ascii="Arial" w:cs="Arial" w:eastAsia="Arial" w:hAnsi="Arial"/>
          <w:sz w:val="17"/>
          <w:szCs w:val="17"/>
          <w:b w:val="1"/>
          <w:bCs w:val="1"/>
          <w:i w:val="1"/>
          <w:iCs w:val="1"/>
          <w:color w:val="auto"/>
        </w:rPr>
        <w:t>Other Holders</w:t>
      </w:r>
      <w:r>
        <w:rPr>
          <w:rFonts w:ascii="Arial" w:cs="Arial" w:eastAsia="Arial" w:hAnsi="Arial"/>
          <w:sz w:val="17"/>
          <w:szCs w:val="17"/>
          <w:color w:val="auto"/>
        </w:rPr>
        <w:t xml:space="preserve">”), enter into an underwriting agreement in customary form with the underwriter(s) selected for such underwriting. Notwithstanding any other provision of this Section 2, if the managing underwriter(s) advise(s) the Initiating Holders, in writing, that marketing factors require a limitation on the number of shares to be underwritten, then the Initiating Holders shall so notify the Company, all Holders of Registrable Securities that otherwise would be underwritten and registered and all Other Holders, in writing, and the number of Registrable Securities, Company Shares and Other Shares that may be included in such underwriting and registration shall be allocated as follows: (i) first, among all Holders that requested inclusion of any Registrable Securities in such registration statement, including the Initiating Holders, in proportion (as nearly as practicable) to the number of Registrable Securities held by each selling Holder (or in such other proportion as shall mutually be agreed to, in writing, by all such selling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number of Registrable Securities held by the Holders to be included in such underwriting shall not be reduced unless all other securities are first entirely excluded from the underwriting; (ii) second, to the Other Holders; and (iii) third, to the Company. To facilitate the allocation of shares in accordance with the foregoing provisions of this Section 2.3(a), the Company or the underwriter(s) may round the number of shares allocated to any Holder or Other Holder, as the case may be, to the nearest 100 shares.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37" w:name="page338"/>
    <w:bookmarkEnd w:id="337"/>
    <w:p>
      <w:pPr>
        <w:ind w:left="-20" w:firstLine="996"/>
        <w:spacing w:after="0" w:line="284" w:lineRule="auto"/>
        <w:tabs>
          <w:tab w:leader="none" w:pos="1227" w:val="left"/>
        </w:tabs>
        <w:numPr>
          <w:ilvl w:val="0"/>
          <w:numId w:val="2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connection with any offering involving an underwriting of shares of the Company’s capital stock pursuant to Section 2.2 (each, a “</w:t>
      </w:r>
      <w:r>
        <w:rPr>
          <w:rFonts w:ascii="Arial" w:cs="Arial" w:eastAsia="Arial" w:hAnsi="Arial"/>
          <w:sz w:val="16"/>
          <w:szCs w:val="16"/>
          <w:b w:val="1"/>
          <w:bCs w:val="1"/>
          <w:i w:val="1"/>
          <w:iCs w:val="1"/>
          <w:color w:val="auto"/>
        </w:rPr>
        <w:t>Company Offering</w:t>
      </w:r>
      <w:r>
        <w:rPr>
          <w:rFonts w:ascii="Arial" w:cs="Arial" w:eastAsia="Arial" w:hAnsi="Arial"/>
          <w:sz w:val="16"/>
          <w:szCs w:val="16"/>
          <w:color w:val="auto"/>
        </w:rPr>
        <w:t>”), the Company will not be required to include any Registrable Securities in such Company Offering unless the Holders of the Registrable Securities to be included in such Company Offering accept the terms of the underwriting as agreed upon between the Company and the underwriter(s) selected by the Company (and enter into an underwriting agreement in customary form with the underwriter(s)selected for such Company Offering), and then only in such quantity, as determined in the sole discretion of the underwriter(s) and the Company, as will not jeopardize the success of such Company Offering. If the total number of securities, including Registrable Securities, requested by stockholders of the Company to be included in a Company Offering exceeds the number of securities to be sold (other than by the Company) that the underwriter(s) and the Company determine is compatible with the success of such Company Offering, then the Company will be required to include in such Company Offering only that number of such securities, including Registrable Securities, which the underwriter(s) and the Company in their sole discretion determine will not jeopardize the success of such Company Offering. If the underwriter(s) and the Company determine that less than all of the Registrable Securities requested to be registered can be included in a Company Offering, then the Registrable Securities that are included in such Company Offering shall be allocated among the selling Holders in proportion (as nearly as practicable) to the number of Registrable Securities held by each selling Holder (or in such other proportion as shall mutually be agreed to, in writing, by all such selling Holders). To facilitate the allocation of shares in accordance with the foregoing provisions of this Section 2.3(b), the Company or the underwriter(s) may round the number of shares allocated to any Holder or Other Holder, as the case may be, to the nearest 100 shares. Notwithstanding the foregoing, in no event shall the number of Registrable Securities to be included in a Company Offering (i) be reduced unless all other securities (other than securities to be sold by the Company) are first entirely excluded from such Company Offering or (ii) be reduced below 30% of the total number of securities included in such Company Offering, unless such Company Offering is the Company IPO, in which case the selling Holders may be excluded further if the underwriter(s) and the Company make the determination described above and no other stockholder’s securities are included in such Company Offering. For purposes of the provisions in this Section 2.3(b) concerning apportionment, for any selling Holder that is a partnership, limited liability company or corporation, the partners, members, retired partners, retired members, stockholders and Affiliates of such Holder, or the estates and Immediate Family Members of any such partners, members, retired partners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286" w:lineRule="exact"/>
        <w:rPr>
          <w:rFonts w:ascii="Arial" w:cs="Arial" w:eastAsia="Arial" w:hAnsi="Arial"/>
          <w:sz w:val="16"/>
          <w:szCs w:val="16"/>
          <w:color w:val="auto"/>
        </w:rPr>
      </w:pPr>
    </w:p>
    <w:p>
      <w:pPr>
        <w:ind w:left="-20" w:right="220" w:firstLine="996"/>
        <w:spacing w:after="0" w:line="264" w:lineRule="auto"/>
        <w:tabs>
          <w:tab w:leader="none" w:pos="121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 registration shall not be counted as “effected” if, as a result of an exercise of the underwriters’ and the Company’s cutback in </w:t>
      </w:r>
      <w:r>
        <w:rPr>
          <w:rFonts w:ascii="Arial" w:cs="Arial" w:eastAsia="Arial" w:hAnsi="Arial"/>
          <w:sz w:val="18"/>
          <w:szCs w:val="18"/>
          <w:u w:val="single" w:color="auto"/>
          <w:color w:val="auto"/>
        </w:rPr>
        <w:t>Section 2.3(a)</w:t>
      </w:r>
      <w:r>
        <w:rPr>
          <w:rFonts w:ascii="Arial" w:cs="Arial" w:eastAsia="Arial" w:hAnsi="Arial"/>
          <w:sz w:val="18"/>
          <w:szCs w:val="18"/>
          <w:color w:val="auto"/>
        </w:rPr>
        <w:t>, fewer than fifty percent (50%) of the total number of Registrable Securities that Holders have requested to be included in such registration statement are actually included.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3" w:right="459" w:bottom="1440" w:gutter="0" w:footer="0" w:header="0"/>
        </w:sectPr>
      </w:pPr>
    </w:p>
    <w:bookmarkStart w:id="338" w:name="page339"/>
    <w:bookmarkEnd w:id="338"/>
    <w:p>
      <w:pPr>
        <w:ind w:right="3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2.4 </w:t>
      </w:r>
      <w:r>
        <w:rPr>
          <w:rFonts w:ascii="Arial" w:cs="Arial" w:eastAsia="Arial" w:hAnsi="Arial"/>
          <w:sz w:val="18"/>
          <w:szCs w:val="18"/>
          <w:u w:val="single" w:color="auto"/>
          <w:color w:val="auto"/>
        </w:rPr>
        <w:t>Obligations of the Company</w:t>
      </w:r>
      <w:r>
        <w:rPr>
          <w:rFonts w:ascii="Arial" w:cs="Arial" w:eastAsia="Arial" w:hAnsi="Arial"/>
          <w:sz w:val="18"/>
          <w:szCs w:val="18"/>
          <w:color w:val="auto"/>
        </w:rPr>
        <w:t>. Whenever required under this Section 2 to effect the registration of any Registrable Securities, the Company shall use its commercially reasonable efforts to:</w:t>
      </w:r>
    </w:p>
    <w:p>
      <w:pPr>
        <w:spacing w:after="0" w:line="62" w:lineRule="exact"/>
        <w:rPr>
          <w:sz w:val="20"/>
          <w:szCs w:val="20"/>
          <w:color w:val="auto"/>
        </w:rPr>
      </w:pPr>
    </w:p>
    <w:p>
      <w:pPr>
        <w:ind w:right="60" w:firstLine="996"/>
        <w:spacing w:after="0" w:line="276" w:lineRule="auto"/>
        <w:tabs>
          <w:tab w:leader="none" w:pos="1237"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prepare and file with the SEC a registration statement with respect to such Registrable Securities and cause such registration statement to become effective and, upon the request of the Holders of a majority of the Registrable Securities registered thereunder, keep such registration statement effective for a period of up to 90 days or, if shorter, until the distribution contemplated therein has been completed;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90-day period shall be extended for a period of time equal to the period that the Holders refrain, at the request of an underwriter of Common Stock (or other securities) of the Company, from selling any securities included in such registration;</w:t>
      </w:r>
    </w:p>
    <w:p>
      <w:pPr>
        <w:spacing w:after="0" w:line="64" w:lineRule="exact"/>
        <w:rPr>
          <w:rFonts w:ascii="Arial" w:cs="Arial" w:eastAsia="Arial" w:hAnsi="Arial"/>
          <w:sz w:val="17"/>
          <w:szCs w:val="17"/>
          <w:color w:val="auto"/>
        </w:rPr>
      </w:pPr>
    </w:p>
    <w:p>
      <w:pPr>
        <w:ind w:right="640" w:firstLine="996"/>
        <w:spacing w:after="0" w:line="286" w:lineRule="auto"/>
        <w:tabs>
          <w:tab w:leader="none" w:pos="1247" w:val="left"/>
        </w:tabs>
        <w:numPr>
          <w:ilvl w:val="0"/>
          <w:numId w:val="220"/>
        </w:numPr>
        <w:rPr>
          <w:rFonts w:ascii="Arial" w:cs="Arial" w:eastAsia="Arial" w:hAnsi="Arial"/>
          <w:sz w:val="17"/>
          <w:szCs w:val="17"/>
          <w:color w:val="auto"/>
        </w:rPr>
      </w:pPr>
      <w:r>
        <w:rPr>
          <w:rFonts w:ascii="Arial" w:cs="Arial" w:eastAsia="Arial" w:hAnsi="Arial"/>
          <w:sz w:val="17"/>
          <w:szCs w:val="17"/>
          <w:color w:val="auto"/>
        </w:rPr>
        <w:t>prepare and file with the SEC such amendments and supplements to the registration statement with respect to such Registrable Securities, or prospectus forming a part thereto, as may be necessary to comply with the Securities Act in order to enable the disposition of all Registrable Securities covered by such registration statement for the period set forth in Section 2.4(a);</w:t>
      </w:r>
    </w:p>
    <w:p>
      <w:pPr>
        <w:spacing w:after="0" w:line="57" w:lineRule="exact"/>
        <w:rPr>
          <w:rFonts w:ascii="Arial" w:cs="Arial" w:eastAsia="Arial" w:hAnsi="Arial"/>
          <w:sz w:val="17"/>
          <w:szCs w:val="17"/>
          <w:color w:val="auto"/>
        </w:rPr>
      </w:pPr>
    </w:p>
    <w:p>
      <w:pPr>
        <w:ind w:right="100" w:firstLine="996"/>
        <w:spacing w:after="0" w:line="264" w:lineRule="auto"/>
        <w:tabs>
          <w:tab w:leader="none" w:pos="123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furnish to the selling Holders such number of copies of a prospectus (including a preliminary prospectus) as required by the Securities Act and such other documents incident thereto as such Holders may reasonably request in order to facilitate the disposition of their Registrable Securities included in such registration;</w:t>
      </w:r>
    </w:p>
    <w:p>
      <w:pPr>
        <w:spacing w:after="0" w:line="73" w:lineRule="exact"/>
        <w:rPr>
          <w:rFonts w:ascii="Arial" w:cs="Arial" w:eastAsia="Arial" w:hAnsi="Arial"/>
          <w:sz w:val="18"/>
          <w:szCs w:val="18"/>
          <w:color w:val="auto"/>
        </w:rPr>
      </w:pPr>
    </w:p>
    <w:p>
      <w:pPr>
        <w:ind w:firstLine="996"/>
        <w:spacing w:after="0" w:line="264" w:lineRule="auto"/>
        <w:tabs>
          <w:tab w:leader="none" w:pos="124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register and qualify the Registrable Securities covered by the registration statement under such other securities or blue sky laws of such jurisdictions as shall be reasonably requested by the selling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qualify to do business, or to file a general consent to service of process, in any such states or jurisdictions;</w:t>
      </w:r>
    </w:p>
    <w:p>
      <w:pPr>
        <w:spacing w:after="0" w:line="73" w:lineRule="exact"/>
        <w:rPr>
          <w:rFonts w:ascii="Arial" w:cs="Arial" w:eastAsia="Arial" w:hAnsi="Arial"/>
          <w:sz w:val="18"/>
          <w:szCs w:val="18"/>
          <w:color w:val="auto"/>
        </w:rPr>
      </w:pPr>
    </w:p>
    <w:p>
      <w:pPr>
        <w:ind w:right="760" w:firstLine="996"/>
        <w:spacing w:after="0" w:line="308" w:lineRule="auto"/>
        <w:tabs>
          <w:tab w:leader="none" w:pos="1237"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in the event of any underwritten public offering, enter into an underwriting agreement, in usual and customary form, with the underwriter(s) of such offering,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each Holder participating in such underwriting also enters into such agreement;</w:t>
      </w:r>
    </w:p>
    <w:p>
      <w:pPr>
        <w:spacing w:after="0" w:line="38" w:lineRule="exact"/>
        <w:rPr>
          <w:rFonts w:ascii="Arial" w:cs="Arial" w:eastAsia="Arial" w:hAnsi="Arial"/>
          <w:sz w:val="17"/>
          <w:szCs w:val="17"/>
          <w:color w:val="auto"/>
        </w:rPr>
      </w:pPr>
    </w:p>
    <w:p>
      <w:pPr>
        <w:ind w:right="280" w:firstLine="996"/>
        <w:spacing w:after="0" w:line="308" w:lineRule="auto"/>
        <w:tabs>
          <w:tab w:leader="none" w:pos="1217" w:val="left"/>
        </w:tabs>
        <w:numPr>
          <w:ilvl w:val="0"/>
          <w:numId w:val="220"/>
        </w:numPr>
        <w:rPr>
          <w:rFonts w:ascii="Arial" w:cs="Arial" w:eastAsia="Arial" w:hAnsi="Arial"/>
          <w:sz w:val="17"/>
          <w:szCs w:val="17"/>
          <w:color w:val="auto"/>
        </w:rPr>
      </w:pPr>
      <w:r>
        <w:rPr>
          <w:rFonts w:ascii="Arial" w:cs="Arial" w:eastAsia="Arial" w:hAnsi="Arial"/>
          <w:sz w:val="17"/>
          <w:szCs w:val="17"/>
          <w:color w:val="auto"/>
        </w:rPr>
        <w:t>cause all Registrable Securities covered by the registration statement to be listed on a national securities exchange or trading system and each securities exchange and trading system (if any) on which similar securities issued by the Company are then listed;</w:t>
      </w:r>
    </w:p>
    <w:p>
      <w:pPr>
        <w:spacing w:after="0" w:line="38" w:lineRule="exact"/>
        <w:rPr>
          <w:rFonts w:ascii="Arial" w:cs="Arial" w:eastAsia="Arial" w:hAnsi="Arial"/>
          <w:sz w:val="17"/>
          <w:szCs w:val="17"/>
          <w:color w:val="auto"/>
        </w:rPr>
      </w:pPr>
    </w:p>
    <w:p>
      <w:pPr>
        <w:ind w:right="60" w:firstLine="996"/>
        <w:spacing w:after="0" w:line="277" w:lineRule="auto"/>
        <w:tabs>
          <w:tab w:leader="none" w:pos="124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62" w:lineRule="exact"/>
        <w:rPr>
          <w:rFonts w:ascii="Arial" w:cs="Arial" w:eastAsia="Arial" w:hAnsi="Arial"/>
          <w:sz w:val="18"/>
          <w:szCs w:val="18"/>
          <w:color w:val="auto"/>
        </w:rPr>
      </w:pPr>
    </w:p>
    <w:p>
      <w:pPr>
        <w:ind w:right="180" w:firstLine="996"/>
        <w:spacing w:after="0" w:line="255" w:lineRule="auto"/>
        <w:tabs>
          <w:tab w:leader="none" w:pos="124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promptly make all financial and other records, pertinent corporate documents and properties of the Company available for inspection by the selling Holders, any managing underwriter(s) participating in any disposition pursuant to the registration statement with respect to such Registrable Securities and any attorney, accountant or other agent retained by any such selling Holders or underwriter(s) and cause the Company’s directors, officers, employees and independent accountants to supply all information reasonably requested by any such selling Holder, underwriter, attorney, accountant or agent, in each case, as necessary or advisable to verify the accuracy of the information in such registration statement and to conduct appropriate due diligence in connection therewith;</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3" w:right="459" w:bottom="1440" w:gutter="0" w:footer="0" w:header="0"/>
        </w:sectPr>
      </w:pPr>
    </w:p>
    <w:bookmarkStart w:id="339" w:name="page340"/>
    <w:bookmarkEnd w:id="339"/>
    <w:p>
      <w:pPr>
        <w:ind w:right="20" w:firstLine="996"/>
        <w:spacing w:after="0" w:line="308" w:lineRule="auto"/>
        <w:tabs>
          <w:tab w:leader="none" w:pos="1207" w:val="left"/>
        </w:tabs>
        <w:numPr>
          <w:ilvl w:val="0"/>
          <w:numId w:val="2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notify each selling Holder, promptly after the Company receives notice thereof, of the time when the registration statement with respect to such Registrable Securities has been declared effective or a supplement to any prospectus forming a part thereto has been filed; and</w:t>
      </w:r>
    </w:p>
    <w:p>
      <w:pPr>
        <w:spacing w:after="0" w:line="38" w:lineRule="exact"/>
        <w:rPr>
          <w:rFonts w:ascii="Arial" w:cs="Arial" w:eastAsia="Arial" w:hAnsi="Arial"/>
          <w:sz w:val="17"/>
          <w:szCs w:val="17"/>
          <w:color w:val="auto"/>
        </w:rPr>
      </w:pPr>
    </w:p>
    <w:p>
      <w:pPr>
        <w:ind w:firstLine="996"/>
        <w:spacing w:after="0" w:line="277" w:lineRule="auto"/>
        <w:tabs>
          <w:tab w:leader="none" w:pos="120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notify each selling Holder, after a registration statement with respect to such Registrable Securities becomes effective, of any request by the SEC that the Company amend or supplement such registration statement or prospectus forming a part thereto.</w:t>
      </w:r>
    </w:p>
    <w:p>
      <w:pPr>
        <w:spacing w:after="0" w:line="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the Company’s securities under the Securities Act shall have become effective, its insider trading policy shall provide that the Company’s directors may implement a trading program under Rule 10b5-1 of the Exchange Act.</w:t>
      </w:r>
    </w:p>
    <w:p>
      <w:pPr>
        <w:spacing w:after="0" w:line="73"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It shall be a condition precedent to the Company’s obligation to take any action pursuant to this Section 2 with respect to the Registrable Securities of any selling Holder that such Holder shall have furnished to the Company such information regarding himself/herself/itself, the Registrable Securities held by him/her/it, and the intended method of disposition of such Registrable Securities as is reasonably required in connection with any registration, qualification or compliance referred to in this Section 2.</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All expenses (other than Selling Expenses) incurred in connection with registrations pursuant to Section 2.1(a)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Section 2.2 and the first registration pursuant to Section 2.1(b), including all registration, filing and qualification fees, printers’ and accounting fees, fees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disbursements of legal counsel for the Company, and the reasonable fees and disbursements (not to exceed $25,000) of one legal counsel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selling Holders (the “</w:t>
      </w:r>
      <w:r>
        <w:rPr>
          <w:rFonts w:ascii="Arial" w:cs="Arial" w:eastAsia="Arial" w:hAnsi="Arial"/>
          <w:sz w:val="16"/>
          <w:szCs w:val="16"/>
          <w:b w:val="1"/>
          <w:bCs w:val="1"/>
          <w:i w:val="1"/>
          <w:iCs w:val="1"/>
          <w:color w:val="auto"/>
        </w:rPr>
        <w:t>Selling Holder Counsel</w:t>
      </w:r>
      <w:r>
        <w:rPr>
          <w:rFonts w:ascii="Arial" w:cs="Arial" w:eastAsia="Arial" w:hAnsi="Arial"/>
          <w:sz w:val="16"/>
          <w:szCs w:val="16"/>
          <w:color w:val="auto"/>
        </w:rPr>
        <w:t xml:space="preserve">”), shall be borne and paid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 for any expenses of any registration proceeding begun pursuant to Section 2.1 if such registration request is subsequently withdrawn at the request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Holders of a majority of the Registrable Securities to be registered or because a sufficient number of Holders have withdrawn from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registration so that the minimum offering conditions set forth in Section 2.1(a) or Section 2.1(b), as applicable, are no longer satisfied (such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Withdrawn Registration Expenses</w:t>
      </w:r>
      <w:r>
        <w:rPr>
          <w:rFonts w:ascii="Arial" w:cs="Arial" w:eastAsia="Arial" w:hAnsi="Arial"/>
          <w:sz w:val="16"/>
          <w:szCs w:val="16"/>
          <w:color w:val="auto"/>
        </w:rPr>
        <w:t>”) (in which case, all participating Holders shall bear such Withdrawn Registration Expenses pro rata based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number of Registrable Securities that were to be included by each such Holder in such withdrawn registration), unless the Holders of a majority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Registrable Securities agree to forfeit their right to one registration pursuant to Section 2.1(a) or Section 2.1(b), as the case may be (in which case,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right shall be forfeited by all Holders and the Company shall pay for such Withdrawn Registration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at the time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withdrawal, the Holders requesting withdrawal (x) shall have learned of a material adverse change in the condition, business or prospects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from that known to the Holders at the time of their registration request and (y) have withdrawn their request with reasonable promptness after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learning of such material adverse change, then the Holders shall not be required to pay for any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40" w:name="page341"/>
    <w:bookmarkEnd w:id="340"/>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Withdrawn Registration Expenses and shall not forfeit their right to one registration pursuant to Section 2.1(a) or Section 2.1(b), as the case may be. Notwithstanding anything to the contrary contained herein, (i) all Selling Expenses and fees and disbursements of the Selling Holder Counsel in excess of $25,000 shall be borne and paid by the Holders pro rata based upon the number of Registrable Securities registered on their behalf (or, in the case of a withdrawn registration, the number of Registrable Securities that were to be included on their behalf) and (ii) all expenses incurred in connection with any registration pursuant to Section 2.1(b) after the first such registration shall be borne and paid by the Holders who participate in such registration pro rata based upon the number of Registrable Securities registered on their behalf (or, in the case of a withdrawn registration, the number of Registrable Securities that were to be included on their behalf).</w:t>
      </w:r>
    </w:p>
    <w:p>
      <w:pPr>
        <w:spacing w:after="0" w:line="70" w:lineRule="exact"/>
        <w:rPr>
          <w:sz w:val="20"/>
          <w:szCs w:val="20"/>
          <w:color w:val="auto"/>
        </w:rPr>
      </w:pPr>
    </w:p>
    <w:p>
      <w:pPr>
        <w:ind w:right="120" w:firstLine="441"/>
        <w:spacing w:after="0" w:line="308"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Delay of Registration</w:t>
      </w:r>
      <w:r>
        <w:rPr>
          <w:rFonts w:ascii="Arial" w:cs="Arial" w:eastAsia="Arial" w:hAnsi="Arial"/>
          <w:sz w:val="17"/>
          <w:szCs w:val="17"/>
          <w:color w:val="auto"/>
        </w:rPr>
        <w:t>. No Holder shall have any right to take any action to restrain, enjoin or otherwise delay any registration pursuant to this Agreement as the result of any controversy that might arise with respect to the interpretation or implementation of this Section 2.</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right="60" w:firstLine="996"/>
        <w:spacing w:after="0" w:line="269" w:lineRule="auto"/>
        <w:tabs>
          <w:tab w:leader="none" w:pos="1236"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By the Company</w:t>
      </w:r>
      <w:r>
        <w:rPr>
          <w:rFonts w:ascii="Arial" w:cs="Arial" w:eastAsia="Arial" w:hAnsi="Arial"/>
          <w:sz w:val="17"/>
          <w:szCs w:val="17"/>
          <w:color w:val="auto"/>
        </w:rPr>
        <w:t>. If any Registrable Securities are included in a registration statement under this Section 2, then, to the extent permitted by law, the Company will indemnify and hold harmless each selling Holder, the partners, members, directors, officers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(each, a “</w:t>
      </w:r>
      <w:r>
        <w:rPr>
          <w:rFonts w:ascii="Arial" w:cs="Arial" w:eastAsia="Arial" w:hAnsi="Arial"/>
          <w:sz w:val="17"/>
          <w:szCs w:val="17"/>
          <w:b w:val="1"/>
          <w:bCs w:val="1"/>
          <w:i w:val="1"/>
          <w:iCs w:val="1"/>
          <w:color w:val="auto"/>
        </w:rPr>
        <w:t>Holder Indemnified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against any Damages, and the Company will pay to each Holder Indemnified Person any legal or other expenses reasonably incurred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him/her/it, within three months after a request for reimbursement has been received by the Company, in connection with investigating or defending any action, claim or proceeding from which Damages may result;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indemnity agreement contained in this Section 2.8(a) shall not apply to amounts paid in settlement of any such action, claim or proceeding if such settlement is effected without the Company’s prior written consent, which consent shall not be unreasonably withheld, nor shall the Company be liable for any Damages to the extent that they arise out of or are based upon statements, actions, omissions or violations made in reliance upon, and in conformity with, written information furnished by or on behalf of any such Holder Indemnified Person expressly for use in connection with such registration.</w:t>
      </w:r>
    </w:p>
    <w:p>
      <w:pPr>
        <w:spacing w:after="0" w:line="74" w:lineRule="exact"/>
        <w:rPr>
          <w:rFonts w:ascii="Arial" w:cs="Arial" w:eastAsia="Arial" w:hAnsi="Arial"/>
          <w:sz w:val="17"/>
          <w:szCs w:val="17"/>
          <w:color w:val="auto"/>
        </w:rPr>
      </w:pPr>
    </w:p>
    <w:p>
      <w:pPr>
        <w:ind w:firstLine="996"/>
        <w:spacing w:after="0" w:line="255" w:lineRule="auto"/>
        <w:tabs>
          <w:tab w:leader="none" w:pos="1247"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By Selling Holders</w:t>
      </w:r>
      <w:r>
        <w:rPr>
          <w:rFonts w:ascii="Arial" w:cs="Arial" w:eastAsia="Arial" w:hAnsi="Arial"/>
          <w:sz w:val="18"/>
          <w:szCs w:val="18"/>
          <w:color w:val="auto"/>
        </w:rPr>
        <w:t>. If any Registrable Securities are included in a registration statement under this Section 2, then, to the extent permitted by law, each selling Holder, severally and not jointly, will indemnify and hold harmless the Company, the directors, officers and partners of the Company, legal counsel and accountants for the Company, any underwriter (as defined in the Securities Act) and each Person, if any, who controls the Company or such underwriter within the meaning of the Securities Act or the Exchange Act (each, a “</w:t>
      </w:r>
      <w:r>
        <w:rPr>
          <w:rFonts w:ascii="Arial" w:cs="Arial" w:eastAsia="Arial" w:hAnsi="Arial"/>
          <w:sz w:val="18"/>
          <w:szCs w:val="18"/>
          <w:b w:val="1"/>
          <w:bCs w:val="1"/>
          <w:i w:val="1"/>
          <w:iCs w:val="1"/>
          <w:color w:val="auto"/>
        </w:rPr>
        <w:t>Company Indemnified Person</w:t>
      </w:r>
      <w:r>
        <w:rPr>
          <w:rFonts w:ascii="Arial" w:cs="Arial" w:eastAsia="Arial" w:hAnsi="Arial"/>
          <w:sz w:val="18"/>
          <w:szCs w:val="18"/>
          <w:color w:val="auto"/>
        </w:rPr>
        <w:t>”) against any Damages, and such selling Holder will pay to each Company Indemnified Person any legal or other expenses reasonably incurred by him/her/it, within three months after a request for reimbursement has been received by such selling Holder, in connection with investigating or defending any action, claim or proceeding from which</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341" w:name="page342"/>
    <w:bookmarkEnd w:id="341"/>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Damages may result, in each case only to the extent that such Damages arise out of or are based upon statements, actions, omissions or violations made in reliance upon, and in conformity with, written information furnished by or on behalf of such selling Holder expressly for use in connection with such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Section 2.8(b) shall not apply to amounts paid in settlement of any such action, claim or proceeding if such settlement is effected without such selling Holder’s prior written consent, which consent shall not be unreasonably withheld;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no event shall the aggregate amounts payable by any selling Holder by way of indemnity under this Section 2.8(b) or contribution under Section 2.8(d) exceed the proceeds from the offering received by such Holder (net of any Selling Expenses paid by such Holder), except in the case of fraud or willful misconduct by such Holder.</w:t>
      </w:r>
    </w:p>
    <w:p>
      <w:pPr>
        <w:spacing w:after="0" w:line="70" w:lineRule="exact"/>
        <w:rPr>
          <w:sz w:val="20"/>
          <w:szCs w:val="20"/>
          <w:color w:val="auto"/>
        </w:rPr>
      </w:pPr>
    </w:p>
    <w:p>
      <w:pPr>
        <w:ind w:firstLine="996"/>
        <w:spacing w:after="0" w:line="286" w:lineRule="auto"/>
        <w:tabs>
          <w:tab w:leader="none" w:pos="1236" w:val="left"/>
        </w:tabs>
        <w:numPr>
          <w:ilvl w:val="1"/>
          <w:numId w:val="223"/>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Promptly after (i) receipt by a Holder Indemnified Person or a Company Indemnified Person (each, an “</w:t>
      </w:r>
      <w:r>
        <w:rPr>
          <w:rFonts w:ascii="Arial" w:cs="Arial" w:eastAsia="Arial" w:hAnsi="Arial"/>
          <w:sz w:val="16"/>
          <w:szCs w:val="16"/>
          <w:b w:val="1"/>
          <w:bCs w:val="1"/>
          <w:i w:val="1"/>
          <w:iCs w:val="1"/>
          <w:color w:val="auto"/>
        </w:rPr>
        <w:t>Indemnified Party</w:t>
      </w:r>
      <w:r>
        <w:rPr>
          <w:rFonts w:ascii="Arial" w:cs="Arial" w:eastAsia="Arial" w:hAnsi="Arial"/>
          <w:sz w:val="16"/>
          <w:szCs w:val="16"/>
          <w:color w:val="auto"/>
        </w:rPr>
        <w:t>”) of notice of the commencement of any action, claim or proceeding (including any governmental action, claim or proceeding) for which a party may be entitled to indemnification hereunder or (ii) an Indemnified Party has actual knowledge of any claim as to which indemnity may be sought hereunder, such Indemnified Party shall, if a claim in respect thereof is to be made against any indemnifying party under this Section 2.8 (each, an “</w:t>
      </w:r>
      <w:r>
        <w:rPr>
          <w:rFonts w:ascii="Arial" w:cs="Arial" w:eastAsia="Arial" w:hAnsi="Arial"/>
          <w:sz w:val="16"/>
          <w:szCs w:val="16"/>
          <w:b w:val="1"/>
          <w:bCs w:val="1"/>
          <w:i w:val="1"/>
          <w:iCs w:val="1"/>
          <w:color w:val="auto"/>
        </w:rPr>
        <w:t>Indemnifying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Party</w:t>
      </w:r>
      <w:r>
        <w:rPr>
          <w:rFonts w:ascii="Arial" w:cs="Arial" w:eastAsia="Arial" w:hAnsi="Arial"/>
          <w:sz w:val="16"/>
          <w:szCs w:val="16"/>
          <w:color w:val="auto"/>
        </w:rPr>
        <w:t>”), give the Indemnifying Party written notice thereof. The Indemnifying Party shall have the right to (x) participate in such action, claim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proceeding and, to the extent the Indemnifying Party so desires, participate jointly with any other Indemnifying Party to which written notice has been given and (y) assume the defense thereof with legal counsel approved by the Indemnified Party (whose approval shall not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Indemnified Party shall have the right to retain one separate counsel, with the fees and expense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timely written notice to the Indemnifying Party as provided in this Section 2.8(c) (1) shall relieve such Indemnifying Party of any liability to the Indemnified Party under this Section 2.8, but only to the extent that such failure materially prejudices the Indemnifying Party’s ability to defend such action, claim or proceeding and (2) shall not relieve such Indemnifying Party of any liability that it may have to the Indemnified Party otherwise than under this Section 2.8. Each Indemnified Party shall furnish such information regarding such Indemnified Party or the claim in question as the Indemnifying Party may reasonably request in writing and as shall be reasonably required in connection with the defense of such action, claim or proceeding.</w:t>
      </w:r>
    </w:p>
    <w:p>
      <w:pPr>
        <w:spacing w:after="0" w:line="60" w:lineRule="exact"/>
        <w:rPr>
          <w:rFonts w:ascii="Arial" w:cs="Arial" w:eastAsia="Arial" w:hAnsi="Arial"/>
          <w:sz w:val="16"/>
          <w:szCs w:val="16"/>
          <w:color w:val="auto"/>
        </w:rPr>
      </w:pPr>
    </w:p>
    <w:p>
      <w:pPr>
        <w:ind w:right="20" w:firstLine="996"/>
        <w:spacing w:after="0" w:line="286" w:lineRule="auto"/>
        <w:tabs>
          <w:tab w:leader="none" w:pos="1247" w:val="left"/>
        </w:tabs>
        <w:numPr>
          <w:ilvl w:val="1"/>
          <w:numId w:val="223"/>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To provide for just and equitable contribution to joint liability under the Securities Act in any case in which either (i) any party otherwise entitled to indemnification hereunder makes a claim for indemnification pursuant to this Section 2.8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2.8 provides for indemnification in such case, or</w:t>
      </w:r>
    </w:p>
    <w:p>
      <w:pPr>
        <w:spacing w:after="0" w:line="1" w:lineRule="exact"/>
        <w:rPr>
          <w:rFonts w:ascii="Arial" w:cs="Arial" w:eastAsia="Arial" w:hAnsi="Arial"/>
          <w:sz w:val="16"/>
          <w:szCs w:val="16"/>
          <w:color w:val="auto"/>
        </w:rPr>
      </w:pPr>
    </w:p>
    <w:p>
      <w:pPr>
        <w:jc w:val="both"/>
        <w:ind w:right="200" w:firstLine="4"/>
        <w:spacing w:after="0" w:line="255" w:lineRule="auto"/>
        <w:tabs>
          <w:tab w:leader="none" w:pos="26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contribution under the Securities Act may be required on the part of any party hereto for which indemnification is provided under this Section 2.8, then, and in each such case, such parties shall contribute to the aggregate losses, damages, claims, liabilities or expenses to which they may be subject (after contribution from others) in</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42" w:name="page343"/>
    <w:bookmarkEnd w:id="342"/>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proportion as is appropriate to reflect the relative fault of each of the Indemnifying Party and the Indemnified Party in connection with the statements, actions, omissions or violations that resulted in such loss, damage, claim, liability or expense, as well as to reflect any other relevant equitable considerations. The relative fault of the Indemnifying Party and of the Indemnified Party shall be determined by reference to, among other things, whether the untrue or alleged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(x) no Holder will be required to contribute any amount in excess of the public offering price of all such Registrable Securities offered and sold by such Holder pursuant to such registration statement, and (y) in any such case,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a Holder’s liability pursuant to this Section 2.8(d), when combined with the amounts paid or payable by such Holder pursuant to Section 2.8(b), exceed the proceeds from the offering received by such Holder, except in the case of willful misconduct or fraud by such Holder.</w:t>
      </w:r>
    </w:p>
    <w:p>
      <w:pPr>
        <w:spacing w:after="0" w:line="75" w:lineRule="exact"/>
        <w:rPr>
          <w:sz w:val="20"/>
          <w:szCs w:val="20"/>
          <w:color w:val="auto"/>
        </w:rPr>
      </w:pPr>
    </w:p>
    <w:p>
      <w:pPr>
        <w:jc w:val="both"/>
        <w:ind w:right="120" w:firstLine="996"/>
        <w:spacing w:after="0" w:line="312" w:lineRule="auto"/>
        <w:tabs>
          <w:tab w:leader="none" w:pos="1236"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Conflict with Underwriting Agreement</w:t>
      </w:r>
      <w:r>
        <w:rPr>
          <w:rFonts w:ascii="Arial" w:cs="Arial" w:eastAsia="Arial" w:hAnsi="Arial"/>
          <w:sz w:val="16"/>
          <w:szCs w:val="16"/>
          <w:color w:val="auto"/>
        </w:rPr>
        <w:t>. Notwithstanding the foregoing provisions of this Section 2.8, to the extent that the provisions on indemnification and contribution contained in the underwriting agreement entered into in connection with an underwritten public offering under this Section 2 are in conflict with the foregoing provisions of this Section 2.8, the provisions in the underwriting agreement shall control.</w:t>
      </w:r>
    </w:p>
    <w:p>
      <w:pPr>
        <w:spacing w:after="0" w:line="38" w:lineRule="exact"/>
        <w:rPr>
          <w:rFonts w:ascii="Arial" w:cs="Arial" w:eastAsia="Arial" w:hAnsi="Arial"/>
          <w:sz w:val="16"/>
          <w:szCs w:val="16"/>
          <w:color w:val="auto"/>
        </w:rPr>
      </w:pPr>
    </w:p>
    <w:p>
      <w:pPr>
        <w:ind w:right="240" w:firstLine="996"/>
        <w:spacing w:after="0" w:line="286" w:lineRule="auto"/>
        <w:tabs>
          <w:tab w:leader="none" w:pos="1217"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Unless otherwise superseded by an underwriting agreement entered into in connection with an underwritten public offering under this Section 2, the obligations of the Company and the Holders pursuant to this Section 2.8 shall survive the completion of any offering of Registrable Securities in a registration under this Section 2 and otherwise shall survive the termination of this Agreement.</w:t>
      </w:r>
    </w:p>
    <w:p>
      <w:pPr>
        <w:spacing w:after="0" w:line="57"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Rule 144 and any other rule or regulation of the SEC that may at any time permit a Holder to sell Registrable Securities to the public pursuant to a registration on Form S-3 or without registration, the Company shall use its commercially reasonable efforts to:</w:t>
      </w:r>
    </w:p>
    <w:p>
      <w:pPr>
        <w:spacing w:after="0" w:line="73" w:lineRule="exact"/>
        <w:rPr>
          <w:sz w:val="20"/>
          <w:szCs w:val="20"/>
          <w:color w:val="auto"/>
        </w:rPr>
      </w:pPr>
    </w:p>
    <w:p>
      <w:pPr>
        <w:ind w:firstLine="996"/>
        <w:spacing w:after="0" w:line="342" w:lineRule="auto"/>
        <w:tabs>
          <w:tab w:leader="none" w:pos="123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at any time from and after 90 days following the effective date of the registration statement filed by the Company for the Company IPO, make and keep available adequate current public information (as those terms are understood and defined in Rule 144) with respect to the Company;</w:t>
      </w:r>
    </w:p>
    <w:p>
      <w:pPr>
        <w:spacing w:after="0" w:line="15" w:lineRule="exact"/>
        <w:rPr>
          <w:rFonts w:ascii="Arial" w:cs="Arial" w:eastAsia="Arial" w:hAnsi="Arial"/>
          <w:sz w:val="16"/>
          <w:szCs w:val="16"/>
          <w:color w:val="auto"/>
        </w:rPr>
      </w:pPr>
    </w:p>
    <w:p>
      <w:pPr>
        <w:ind w:right="80" w:firstLine="996"/>
        <w:spacing w:after="0" w:line="277" w:lineRule="auto"/>
        <w:tabs>
          <w:tab w:leader="none" w:pos="124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at any time after the Company has become subject to such reporting requirements, file with the SEC in a timely manner all reports and other documents required of the Company under the Securities Act and the Exchange Act;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3" w:right="439" w:bottom="1440" w:gutter="0" w:footer="0" w:header="0"/>
        </w:sectPr>
      </w:pPr>
    </w:p>
    <w:bookmarkStart w:id="343" w:name="page344"/>
    <w:bookmarkEnd w:id="343"/>
    <w:p>
      <w:pPr>
        <w:ind w:right="60" w:firstLine="996"/>
        <w:spacing w:after="0" w:line="271" w:lineRule="auto"/>
        <w:tabs>
          <w:tab w:leader="none" w:pos="1237" w:val="left"/>
        </w:tabs>
        <w:numPr>
          <w:ilvl w:val="0"/>
          <w:numId w:val="2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 long as a Holder owns any Registrable Securities, furnish to such Holder upon his/her/its written request (i) to the extent accurate, a written statement by the Company that (A) it has complied with the reporting requirements of Rule 144 (at any time from and after 90 days following the effective date of the registration statement filed by the Company for the Company IPO), the Securities Act and the Exchange Act (at any time after the Company has become subject to such reporting requirements) or (B) it qualifies as a registrant whose securities may be resold pursuant to Form S-3 (at any time after the Company so qualifies to use such form) and (ii) such other information as may be reasonably requested by such Holder in availing himself/herself/itself of any rule or regulation of the SEC that permits the selling of such securities of the Company to the public pursuant to a registration on Form S-3 (at any time after the Company so qualifies to use such form) or without registration (at any time after the Company has become subject to the reporting requirements under the Exchange Act).</w:t>
      </w:r>
    </w:p>
    <w:p>
      <w:pPr>
        <w:spacing w:after="0" w:line="71" w:lineRule="exact"/>
        <w:rPr>
          <w:sz w:val="20"/>
          <w:szCs w:val="20"/>
          <w:color w:val="auto"/>
        </w:rPr>
      </w:pPr>
    </w:p>
    <w:p>
      <w:pPr>
        <w:ind w:right="160" w:firstLine="441"/>
        <w:spacing w:after="0" w:line="276"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Limitations on Subsequent Registration Rights</w:t>
      </w:r>
      <w:r>
        <w:rPr>
          <w:rFonts w:ascii="Arial" w:cs="Arial" w:eastAsia="Arial" w:hAnsi="Arial"/>
          <w:sz w:val="17"/>
          <w:szCs w:val="17"/>
          <w:color w:val="auto"/>
        </w:rPr>
        <w:t xml:space="preserve">. From and after the date of this Agreement, the Company shall not, without the prior written consent of the holders of at least a majority of the Registrable Securities, enter into any agreement with any holder or prospective holder of any securities of the Company giving such holder or prospective holder any registration rights the terms of which are pari passu with or senior to the registration rights granted to the Holders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limitation shall not apply to Registrable Securities acquired by any additional Investor that becomes a party to this Agreement in accordance with Subsection 8.13(a).</w:t>
      </w:r>
    </w:p>
    <w:p>
      <w:pPr>
        <w:spacing w:after="0" w:line="64"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Lock-Up Period</w:t>
      </w:r>
      <w:r>
        <w:rPr>
          <w:rFonts w:ascii="Arial" w:cs="Arial" w:eastAsia="Arial" w:hAnsi="Arial"/>
          <w:sz w:val="16"/>
          <w:szCs w:val="16"/>
          <w:color w:val="auto"/>
        </w:rPr>
        <w:t>. Each Holder hereby agrees that such Holder will not, during the period commencing on the date of the final prospectus relating to the Company IPO and ending on the date specified by the Company and the managing underwriter(s) (such period not to exceed 180 days, or such other period as may be requested by the Company or the underwriter(s) to accommodate regulatory restrictions on (i) the publication or other distribution of research reports and (ii) analyst recommendations and opinions, including the restrictions contained in FINRA Rule 2241 (or any successor provisions or amendments thereto), as applicable), (a) sell, dispose of, make any short sale of, offer, hypothecate, pledge, contract to sell, grant or sell any option or contract to purchase, purchase any option or contract to sell, grant any right or warrant to purchase, lend or otherwise transfer or encumber, directly or indirectly, any shares of Common Stock or other securities convertible into or exercisable or exchangeable (directly or indirectly) for shares of Common Stock held immediately prior to the effectiveness of the Registration Statement for such Offering (such shares and other securities, the “</w:t>
      </w:r>
      <w:r>
        <w:rPr>
          <w:rFonts w:ascii="Arial" w:cs="Arial" w:eastAsia="Arial" w:hAnsi="Arial"/>
          <w:sz w:val="16"/>
          <w:szCs w:val="16"/>
          <w:b w:val="1"/>
          <w:bCs w:val="1"/>
          <w:i w:val="1"/>
          <w:iCs w:val="1"/>
          <w:color w:val="auto"/>
        </w:rPr>
        <w:t>Lock-Up Shares</w:t>
      </w:r>
      <w:r>
        <w:rPr>
          <w:rFonts w:ascii="Arial" w:cs="Arial" w:eastAsia="Arial" w:hAnsi="Arial"/>
          <w:sz w:val="16"/>
          <w:szCs w:val="16"/>
          <w:color w:val="auto"/>
        </w:rPr>
        <w:t>”) or (b) enter into any swap, hedging or other arrangement that transfers to another, in whole or in part, any of the economic consequences of ownership of any Lock-Up Shares, whether any such transaction described in clause (a) or (b) above is to be settled by delivery of Common Stock or other securities, in cash or otherwise. The foregoing provisions of this Section 2.11 (1) shall not apply to the sale of any Lock-Up Shares to an underwriter pursuant to an underwriting agreement and (2) shall be applicable to the Holders only if all directors and officers of the Company are subject to similar restrictions and the Company uses commercially reasonable effort to obtain a similar agreement from all stockholders individually owning more than one percent (1%) of the Company’s outstanding Common Stock (after giving effect to conversion into Common Stock of all outstanding shares of Preferred Stock). The underwriters for any registered offering described in this Section 2.11 are intended third party beneficiaries of this Section 2.11 and shall have the right, power and authority to enforce the provisions of this Section 2.11 as though they were parties hereto. Each Holder further agrees to execute such agreements as may be reasonably requested by the underwriter(s) in connection with any registered offering described in this Section 2.11 and that are consistent with this Section 2.11 or necessary to give further effect thereto. Any discretionary waiver or termination of the restrictions of any or all of such agreements by the Company or the underwriter(s) shall apply pro rata to all Holders subject to such agreements based on the number of shares subject to such agreements.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3" w:right="439" w:bottom="1440" w:gutter="0" w:footer="0" w:header="0"/>
        </w:sectPr>
      </w:pPr>
    </w:p>
    <w:bookmarkStart w:id="344" w:name="page345"/>
    <w:bookmarkEnd w:id="344"/>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2.12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17" w:lineRule="exact"/>
        <w:rPr>
          <w:sz w:val="20"/>
          <w:szCs w:val="20"/>
          <w:color w:val="auto"/>
        </w:rPr>
      </w:pPr>
    </w:p>
    <w:p>
      <w:pPr>
        <w:ind w:left="-60" w:right="140" w:firstLine="996"/>
        <w:spacing w:after="0" w:line="297" w:lineRule="auto"/>
        <w:tabs>
          <w:tab w:leader="none" w:pos="117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Restricted Securities, and any beneficial interest therein, shall not be Transferred, and the Company will not recognize, and will issue stop-transfer instructions to its transfer agent with respect to, any such Transfer, except upon the conditions specified in this Agreement, which conditions are intended to ensure compliance with the provisions of the Securities Act. Each Holder shall cause any proposed purchaser, pledgee or transferee of any Restricted Securities held by such Holder to agree, in a written instrument delivered to the Company, to take and hold such securities subject to the provisions, and upon the conditions, specified in this Agreement (including the obligations set forth in Section 2.11).</w:t>
      </w:r>
    </w:p>
    <w:p>
      <w:pPr>
        <w:spacing w:after="0" w:line="50" w:lineRule="exact"/>
        <w:rPr>
          <w:rFonts w:ascii="Arial" w:cs="Arial" w:eastAsia="Arial" w:hAnsi="Arial"/>
          <w:sz w:val="16"/>
          <w:szCs w:val="16"/>
          <w:color w:val="auto"/>
        </w:rPr>
      </w:pPr>
    </w:p>
    <w:p>
      <w:pPr>
        <w:ind w:left="-60" w:right="200" w:firstLine="996"/>
        <w:spacing w:after="0" w:line="308" w:lineRule="auto"/>
        <w:tabs>
          <w:tab w:leader="none" w:pos="1187" w:val="left"/>
        </w:tabs>
        <w:numPr>
          <w:ilvl w:val="0"/>
          <w:numId w:val="228"/>
        </w:numPr>
        <w:rPr>
          <w:rFonts w:ascii="Arial" w:cs="Arial" w:eastAsia="Arial" w:hAnsi="Arial"/>
          <w:sz w:val="17"/>
          <w:szCs w:val="17"/>
          <w:color w:val="auto"/>
        </w:rPr>
      </w:pPr>
      <w:r>
        <w:rPr>
          <w:rFonts w:ascii="Arial" w:cs="Arial" w:eastAsia="Arial" w:hAnsi="Arial"/>
          <w:sz w:val="17"/>
          <w:szCs w:val="17"/>
          <w:color w:val="auto"/>
        </w:rPr>
        <w:t>Each certificate evidencing any Restricted Securities shall (unless otherwise permitted by the provisions of Section 2.12(c)) bear the following legends (or substantially equivalent legends) in addition to any legends required under applicable securities laws:</w:t>
      </w:r>
    </w:p>
    <w:p>
      <w:pPr>
        <w:spacing w:after="0" w:line="38" w:lineRule="exact"/>
        <w:rPr>
          <w:sz w:val="20"/>
          <w:szCs w:val="20"/>
          <w:color w:val="auto"/>
        </w:rPr>
      </w:pPr>
    </w:p>
    <w:p>
      <w:pPr>
        <w:ind w:left="940" w:right="80"/>
        <w:spacing w:after="0" w:line="271" w:lineRule="auto"/>
        <w:rPr>
          <w:sz w:val="20"/>
          <w:szCs w:val="20"/>
          <w:color w:val="auto"/>
        </w:rPr>
      </w:pPr>
      <w:r>
        <w:rPr>
          <w:rFonts w:ascii="Arial" w:cs="Arial" w:eastAsia="Arial" w:hAnsi="Arial"/>
          <w:sz w:val="17"/>
          <w:szCs w:val="17"/>
          <w:color w:val="auto"/>
        </w:rPr>
        <w:t>THE SECURITIES REPRESENTED BY THIS CERTIFICATE HAVE BEEN ACQUIRED FOR INVESTMENT AND NOT WITH A VIEW TO, OR IN CONNECTION WITH, THE SALE OR DISTRIBUTION THEREOF AND HAVE NOT BEEN REGISTERED UNDER THE SECURITIES ACT OF 1933, AS AMENDED (THE “ACT”), OR ANY STATE SECURITIES LAWS. THEY MAY NOT BE OFFERED, SOLD OR OTHERWISE TRANSFERRED, PLEDGED OR HYPOTHECATED EXCEPT AS PERMITTED UNDER THE ACT AND APPLICABLE STATE SECURITIES LAWS PURSUANT TO AN EFFECTIVE REGISTRATION STATEMENT OR AN EXEMPTION THEREFROM. THE ISSUER OF THESE SECURITIES MAY REQUIRE AN OPINION OF COUNSEL SATISFACTORY TO THE ISSUER THAT SUCH OFFER, SALE, TRANSFER, PLEDGE OR HYPOTHECATION OTHERWISE COMPLIES WITH THE ACT AND ANY APPLICABLE STATE SECURITIES LAWS.</w:t>
      </w:r>
    </w:p>
    <w:p>
      <w:pPr>
        <w:spacing w:after="0" w:line="71" w:lineRule="exact"/>
        <w:rPr>
          <w:sz w:val="20"/>
          <w:szCs w:val="20"/>
          <w:color w:val="auto"/>
        </w:rPr>
      </w:pPr>
    </w:p>
    <w:p>
      <w:pPr>
        <w:ind w:left="940"/>
        <w:spacing w:after="0" w:line="276" w:lineRule="auto"/>
        <w:rPr>
          <w:sz w:val="20"/>
          <w:szCs w:val="20"/>
          <w:color w:val="auto"/>
        </w:rPr>
      </w:pPr>
      <w:r>
        <w:rPr>
          <w:rFonts w:ascii="Arial" w:cs="Arial" w:eastAsia="Arial" w:hAnsi="Arial"/>
          <w:sz w:val="17"/>
          <w:szCs w:val="17"/>
          <w:color w:val="auto"/>
        </w:rPr>
        <w:t>THE SECURITIES REPRESENTED BY THIS CERTIFICATE ARE SUBJECT TO THE TERMS OF AGREEMENTS BETWEEN THE ISSUER AND THE ORIGINAL HOLDER OF SUCH SECURITIES (COPIES OF WHICH ARE ON FILE WITH THE SECRETARY OF THE ISSUER) AND BY ACCEPTING ANY INTEREST IN SUCH SECURITIES THE PERSON ACCEPTING SUCH INTEREST SHALL BE DEEMED TO AGREE TO, AND SHALL BECOME BOUND BY, ALL OF THE PROVISIONS OF THOSE AGREEMENTS, INCLUDING CERTAIN RESTRICTIONS ON TRANSFER AND OWNERSHIP SET FORTH THEREIN.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500" w:top="274" w:right="499" w:bottom="1440" w:gutter="0" w:footer="0" w:header="0"/>
        </w:sectPr>
      </w:pPr>
    </w:p>
    <w:bookmarkStart w:id="345" w:name="page346"/>
    <w:bookmarkEnd w:id="345"/>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hereby agree that the failure to cause the certificates, if any, evidencing Restricted Securities to bear the legends required by this Section 2.12(b) shall not affect the validity or enforcement of this Agreement. In order to enforce the provisions hereof, the Company may issue appropriate stop-transfer instructions to its transfer agent, if any, and if the Company transfers its own securities, it may make appropriate notations to the same effect in its own records.</w:t>
      </w:r>
    </w:p>
    <w:p>
      <w:pPr>
        <w:spacing w:after="0" w:line="79" w:lineRule="exact"/>
        <w:rPr>
          <w:sz w:val="20"/>
          <w:szCs w:val="20"/>
          <w:color w:val="auto"/>
        </w:rPr>
      </w:pPr>
    </w:p>
    <w:p>
      <w:pPr>
        <w:ind w:firstLine="996"/>
        <w:spacing w:after="0" w:line="283" w:lineRule="auto"/>
        <w:tabs>
          <w:tab w:leader="none" w:pos="123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Each holder of Restricted Securities, by acceptance thereof, agrees to comply in all respects with the provisions of this Section 2. Before any proposed Transfer of any Restricted Securities, unless there is in effect a registration statement under the Securities Act covering the proposed transaction (and the proposed transaction is made in accordance with such registration statement), the holder thereof shall give written notice to the Company of such holder’s intention to effect such Transfer (“</w:t>
      </w:r>
      <w:r>
        <w:rPr>
          <w:rFonts w:ascii="Arial" w:cs="Arial" w:eastAsia="Arial" w:hAnsi="Arial"/>
          <w:sz w:val="16"/>
          <w:szCs w:val="16"/>
          <w:b w:val="1"/>
          <w:bCs w:val="1"/>
          <w:i w:val="1"/>
          <w:iCs w:val="1"/>
          <w:color w:val="auto"/>
        </w:rPr>
        <w:t>Transfer Notice</w:t>
      </w:r>
      <w:r>
        <w:rPr>
          <w:rFonts w:ascii="Arial" w:cs="Arial" w:eastAsia="Arial" w:hAnsi="Arial"/>
          <w:sz w:val="16"/>
          <w:szCs w:val="16"/>
          <w:color w:val="auto"/>
        </w:rPr>
        <w:t>”). Each such Transfer Notice shall describe the manner and circumstances of the proposed Transfer in sufficient detail and, if reasonably requested by the Company, shall be accompanied, at such holder’s expense, by either (x) a written opinion of legal counsel who shall, and whose legal opinion shall, be reasonably satisfactory to the Company, addressed to the Company, to the effect that the proposed Transfer may be effected without registration under the Securities Act, (y) a “no action” letter from the SEC to the effect that the proposed Transfer without registration will not result in a recommendation by the staff of the SEC that action be taken with respect thereto, or (z) any other evidence reasonably satisfactory to legal counsel for the Company to the effect that the proposed Transfer may be effected without registration under the Securities Act, whereupon the holder of such Restricted Securities shall be entitled to Transfer such Restricted Securities in accordance with the terms of the applicable Transfer Notice given by such holder to the Company. The Company will not require such a legal opinion or “no action” letter (x) in any transaction in compliance with Rule 144; or (y) in any transaction in which such Holder distributes Restricted Securities to an Affiliate of such Holder for no consideration. Each certificate evidencing any Restricted Securities that are Transferred as provided in this Section 2.12(c) shall bear, except if such Transfer is made pursuant to Rule 144, the appropriate restrictive legends set forth or described in</w:t>
      </w:r>
    </w:p>
    <w:p>
      <w:pPr>
        <w:spacing w:after="0" w:line="2" w:lineRule="exact"/>
        <w:rPr>
          <w:rFonts w:ascii="Arial" w:cs="Arial" w:eastAsia="Arial" w:hAnsi="Arial"/>
          <w:sz w:val="16"/>
          <w:szCs w:val="16"/>
          <w:color w:val="auto"/>
        </w:rPr>
      </w:pPr>
    </w:p>
    <w:p>
      <w:pPr>
        <w:ind w:right="340"/>
        <w:spacing w:after="0" w:line="255" w:lineRule="auto"/>
        <w:rPr>
          <w:rFonts w:ascii="Arial" w:cs="Arial" w:eastAsia="Arial" w:hAnsi="Arial"/>
          <w:sz w:val="16"/>
          <w:szCs w:val="16"/>
          <w:color w:val="auto"/>
        </w:rPr>
      </w:pPr>
      <w:r>
        <w:rPr>
          <w:rFonts w:ascii="Arial" w:cs="Arial" w:eastAsia="Arial" w:hAnsi="Arial"/>
          <w:sz w:val="18"/>
          <w:szCs w:val="18"/>
          <w:color w:val="auto"/>
        </w:rPr>
        <w:t>Section 2.12(b), except that such certificate shall not bear such restrictive legends if, in the opinion of legal counsel for such Transferring holder and legal counsel for the Company, such legends are not required in order to establish compliance with any provisions of applicable securities laws, including the Securities Act.</w:t>
      </w:r>
    </w:p>
    <w:p>
      <w:pPr>
        <w:spacing w:after="0" w:line="82"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Assignment of Registration Rights</w:t>
      </w:r>
      <w:r>
        <w:rPr>
          <w:rFonts w:ascii="Arial" w:cs="Arial" w:eastAsia="Arial" w:hAnsi="Arial"/>
          <w:sz w:val="17"/>
          <w:szCs w:val="17"/>
          <w:color w:val="auto"/>
        </w:rPr>
        <w:t>. The right of any Holder to request registration or inclusion of Registrable Securities in any registration pursuant to Section 2.1 or Section 2.2 (collectively, “</w:t>
      </w:r>
      <w:r>
        <w:rPr>
          <w:rFonts w:ascii="Arial" w:cs="Arial" w:eastAsia="Arial" w:hAnsi="Arial"/>
          <w:sz w:val="17"/>
          <w:szCs w:val="17"/>
          <w:b w:val="1"/>
          <w:bCs w:val="1"/>
          <w:i w:val="1"/>
          <w:iCs w:val="1"/>
          <w:color w:val="auto"/>
        </w:rPr>
        <w:t>Registration Rights</w:t>
      </w:r>
      <w:r>
        <w:rPr>
          <w:rFonts w:ascii="Arial" w:cs="Arial" w:eastAsia="Arial" w:hAnsi="Arial"/>
          <w:sz w:val="17"/>
          <w:szCs w:val="17"/>
          <w:color w:val="auto"/>
        </w:rPr>
        <w:t xml:space="preserve">”) may be assigned (but only with all related obligations) by such Holder to a transferee of Registrable Securities that (x) after such Transfer, holds at least 450,000 shares of Registrable Securities, (y) is an Affiliate of such Holder, or (z) is such Holder’s Immediate Family Member or trust for the benefit of such individual Holder (or one or more of his or her Immediate Family Members);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such Transfer of Registrable Securities is effected in accordance with Sections 2.12 and 8.14 and all applicable securities laws, (ii) before such Transfer of Registrable Securities, such Holder gives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346" w:name="page347"/>
    <w:bookmarkEnd w:id="346"/>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Company written notice stating the name and address of such transferee and identifying the securities of the Company with respect to which Registration Rights are intended to be assigned, (iii) such transferee of Registrable Securities agrees, in a written instrument delivered to the Company, to receive such assigned Registration Rights subject to all of the terms and conditions hereof, including the provisions of Section 2.11, and (iv) such transferee of Registrable Securities is not deemed by the Board, in its reasonable judgment, to be a competitor of the Company or a director, officer, employee or holder of more than 10% of a competitor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none of Pfizer, Viking, or any of their respective Affiliates shall be deemed to be a competitor of the Company for purposes of this Agreement.</w:t>
      </w:r>
    </w:p>
    <w:p>
      <w:pPr>
        <w:spacing w:after="0" w:line="70" w:lineRule="exact"/>
        <w:rPr>
          <w:sz w:val="20"/>
          <w:szCs w:val="20"/>
          <w:color w:val="auto"/>
        </w:rPr>
      </w:pPr>
    </w:p>
    <w:p>
      <w:pPr>
        <w:jc w:val="both"/>
        <w:ind w:right="540" w:firstLine="441"/>
        <w:spacing w:after="0" w:line="291"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Termination of Registration Rights</w:t>
      </w:r>
      <w:r>
        <w:rPr>
          <w:rFonts w:ascii="Arial" w:cs="Arial" w:eastAsia="Arial" w:hAnsi="Arial"/>
          <w:sz w:val="16"/>
          <w:szCs w:val="16"/>
          <w:color w:val="auto"/>
        </w:rPr>
        <w:t>. The Registration Rights shall automatically terminate and be of no further force or effect upon the earliest to occur of: (i) the dissolution or winding up of the Company; (ii) immediately before the consummation of a Deemed Liquidation Event;</w:t>
      </w:r>
    </w:p>
    <w:p>
      <w:pPr>
        <w:ind w:firstLine="4"/>
        <w:spacing w:after="0" w:line="261" w:lineRule="auto"/>
        <w:tabs>
          <w:tab w:leader="none" w:pos="31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such time as Rule 144 or another similar exemption under the Securities Act is available for the sale of all Registrable Securities proposed to be sold by such Holder without limitation during a three-month period; and (iv) the 5-year anniversary of the Company IPO.</w:t>
      </w:r>
    </w:p>
    <w:p>
      <w:pPr>
        <w:spacing w:after="0" w:line="76" w:lineRule="exact"/>
        <w:rPr>
          <w:sz w:val="20"/>
          <w:szCs w:val="20"/>
          <w:color w:val="auto"/>
        </w:rPr>
      </w:pPr>
    </w:p>
    <w:p>
      <w:pPr>
        <w:ind w:left="180" w:hanging="176"/>
        <w:spacing w:after="0"/>
        <w:tabs>
          <w:tab w:leader="none" w:pos="180"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Information Rights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The Company shall deliver to each Major Investor:</w:t>
      </w:r>
    </w:p>
    <w:p>
      <w:pPr>
        <w:spacing w:after="0" w:line="117" w:lineRule="exact"/>
        <w:rPr>
          <w:sz w:val="20"/>
          <w:szCs w:val="20"/>
          <w:color w:val="auto"/>
        </w:rPr>
      </w:pPr>
    </w:p>
    <w:p>
      <w:pPr>
        <w:ind w:right="20" w:firstLine="996"/>
        <w:spacing w:after="0" w:line="257" w:lineRule="auto"/>
        <w:tabs>
          <w:tab w:leader="none" w:pos="123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as soon as practicable, but in any event within one hundred twenty (120) days after the end of each fiscal year of the Company (i) a balance sheet as of the end of such year, (ii) statements of income and of cash flows for such year, and (iii) a statement of stockholders’ equity as of the end of such fiscal year, all such financial statements to be in reasonable detail, and prepared in accordance with generally accepted accounting principles (“</w:t>
      </w:r>
      <w:r>
        <w:rPr>
          <w:rFonts w:ascii="Arial" w:cs="Arial" w:eastAsia="Arial" w:hAnsi="Arial"/>
          <w:sz w:val="18"/>
          <w:szCs w:val="18"/>
          <w:b w:val="1"/>
          <w:bCs w:val="1"/>
          <w:i w:val="1"/>
          <w:iCs w:val="1"/>
          <w:color w:val="auto"/>
        </w:rPr>
        <w:t>GAAP</w:t>
      </w:r>
      <w:r>
        <w:rPr>
          <w:rFonts w:ascii="Arial" w:cs="Arial" w:eastAsia="Arial" w:hAnsi="Arial"/>
          <w:sz w:val="18"/>
          <w:szCs w:val="18"/>
          <w:color w:val="auto"/>
        </w:rPr>
        <w:t>”), and audited and certified by an independent public accounting firm of nationally recognized standing approved by the Board (including at least one Preferred Director);</w:t>
      </w:r>
    </w:p>
    <w:p>
      <w:pPr>
        <w:spacing w:after="0" w:line="80" w:lineRule="exact"/>
        <w:rPr>
          <w:rFonts w:ascii="Arial" w:cs="Arial" w:eastAsia="Arial" w:hAnsi="Arial"/>
          <w:sz w:val="18"/>
          <w:szCs w:val="18"/>
          <w:color w:val="auto"/>
        </w:rPr>
      </w:pPr>
    </w:p>
    <w:p>
      <w:pPr>
        <w:ind w:right="40" w:firstLine="996"/>
        <w:spacing w:after="0" w:line="259" w:lineRule="auto"/>
        <w:tabs>
          <w:tab w:leader="none" w:pos="124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as soon as practicable, but in any event within forty-five (45) days after the end of each quarter of each fiscal year of the Company, unaudited statements of income and cash flows for such fiscal quarter, and an unaudited balance sheet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78" w:lineRule="exact"/>
        <w:rPr>
          <w:rFonts w:ascii="Arial" w:cs="Arial" w:eastAsia="Arial" w:hAnsi="Arial"/>
          <w:sz w:val="18"/>
          <w:szCs w:val="18"/>
          <w:color w:val="auto"/>
        </w:rPr>
      </w:pPr>
    </w:p>
    <w:p>
      <w:pPr>
        <w:ind w:right="80" w:firstLine="996"/>
        <w:spacing w:after="0" w:line="264" w:lineRule="auto"/>
        <w:tabs>
          <w:tab w:leader="none" w:pos="123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as soon as practicable, but in any event at least thirty (30) days prior to the end of each fiscal year, a budget and business plan for the next fiscal year, prepared on a monthly basis, including balance sheets, income statements and statements of cash flows for such months and, as soon as prepared, any other budgets or revised budgets prepared by the Company;</w:t>
      </w:r>
    </w:p>
    <w:p>
      <w:pPr>
        <w:spacing w:after="0" w:line="73" w:lineRule="exact"/>
        <w:rPr>
          <w:rFonts w:ascii="Arial" w:cs="Arial" w:eastAsia="Arial" w:hAnsi="Arial"/>
          <w:sz w:val="18"/>
          <w:szCs w:val="18"/>
          <w:color w:val="auto"/>
        </w:rPr>
      </w:pPr>
    </w:p>
    <w:p>
      <w:pPr>
        <w:ind w:right="160" w:firstLine="996"/>
        <w:spacing w:after="0" w:line="276" w:lineRule="auto"/>
        <w:tabs>
          <w:tab w:leader="none" w:pos="1247" w:val="left"/>
        </w:tabs>
        <w:numPr>
          <w:ilvl w:val="0"/>
          <w:numId w:val="232"/>
        </w:numPr>
        <w:rPr>
          <w:rFonts w:ascii="Arial" w:cs="Arial" w:eastAsia="Arial" w:hAnsi="Arial"/>
          <w:sz w:val="17"/>
          <w:szCs w:val="17"/>
          <w:color w:val="auto"/>
        </w:rPr>
      </w:pPr>
      <w:r>
        <w:rPr>
          <w:rFonts w:ascii="Arial" w:cs="Arial" w:eastAsia="Arial" w:hAnsi="Arial"/>
          <w:sz w:val="17"/>
          <w:szCs w:val="17"/>
          <w:color w:val="auto"/>
        </w:rPr>
        <w:t xml:space="preserve">such other information relating to the financial condition, business, prospects, or corporate affairs of the Company as any Major Investor may from time to time reasonably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obligated under this </w:t>
      </w:r>
      <w:r>
        <w:rPr>
          <w:rFonts w:ascii="Arial" w:cs="Arial" w:eastAsia="Arial" w:hAnsi="Arial"/>
          <w:sz w:val="17"/>
          <w:szCs w:val="17"/>
          <w:u w:val="single" w:color="auto"/>
          <w:color w:val="auto"/>
        </w:rPr>
        <w:t>Subsection 3.1</w:t>
      </w:r>
      <w:r>
        <w:rPr>
          <w:rFonts w:ascii="Arial" w:cs="Arial" w:eastAsia="Arial" w:hAnsi="Arial"/>
          <w:sz w:val="17"/>
          <w:szCs w:val="17"/>
          <w:color w:val="auto"/>
        </w:rPr>
        <w:t xml:space="preserve"> to provide information (i) that the Company reasonably determines in good faith to be a trade secret or confidential or commercially sensitive information (unless covered by a confidentiality agreement, in a form reasonably acceptable to the Company, including in a form as set forth in Section 3.4); or (ii) the disclosure of which would adversely affect the attorney-client privilege between the Company and its counsel.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347" w:name="page348"/>
    <w:bookmarkEnd w:id="347"/>
    <w:p>
      <w:pPr>
        <w:ind w:right="260" w:firstLine="992"/>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1" w:lineRule="exact"/>
        <w:rPr>
          <w:sz w:val="20"/>
          <w:szCs w:val="20"/>
          <w:color w:val="auto"/>
        </w:rPr>
      </w:pPr>
    </w:p>
    <w:p>
      <w:pPr>
        <w:ind w:right="140" w:firstLine="992"/>
        <w:spacing w:after="0" w:line="257" w:lineRule="auto"/>
        <w:rPr>
          <w:sz w:val="20"/>
          <w:szCs w:val="20"/>
          <w:color w:val="auto"/>
        </w:rPr>
      </w:pPr>
      <w:r>
        <w:rPr>
          <w:rFonts w:ascii="Arial" w:cs="Arial" w:eastAsia="Arial" w:hAnsi="Arial"/>
          <w:sz w:val="18"/>
          <w:szCs w:val="18"/>
          <w:color w:val="auto"/>
        </w:rPr>
        <w:t xml:space="preserve">Notwithstanding anything else in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to the contrary, the Company may cease providing the information set forth in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Company’s covenants under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shall be reinstated at such time as the Company is no longer actively employing its commercially reasonable efforts to cause such registration statement to become effective.</w:t>
      </w:r>
    </w:p>
    <w:p>
      <w:pPr>
        <w:spacing w:after="0" w:line="80" w:lineRule="exact"/>
        <w:rPr>
          <w:sz w:val="20"/>
          <w:szCs w:val="20"/>
          <w:color w:val="auto"/>
        </w:rPr>
      </w:pPr>
    </w:p>
    <w:p>
      <w:pPr>
        <w:ind w:right="140" w:firstLine="441"/>
        <w:spacing w:after="0" w:line="29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Inspection</w:t>
      </w:r>
      <w:r>
        <w:rPr>
          <w:rFonts w:ascii="Arial" w:cs="Arial" w:eastAsia="Arial" w:hAnsi="Arial"/>
          <w:sz w:val="16"/>
          <w:szCs w:val="16"/>
          <w:color w:val="auto"/>
        </w:rPr>
        <w:t xml:space="preserve">. The Company shall permit each Major Investor,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pursuant to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to provide access to any information that it reasonably and in good faith considers to be a trade secret or confidential or commercially sensitive information (unless covered by a confidentiality agreement, in form reasonably acceptable to the Company, including in a form as set forth in Section 3.4) or the disclosure of which would adversely affect the attorney-client privilege between the Company and its counsel.</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Termination of Information</w:t>
      </w:r>
      <w:r>
        <w:rPr>
          <w:rFonts w:ascii="Arial" w:cs="Arial" w:eastAsia="Arial" w:hAnsi="Arial"/>
          <w:sz w:val="16"/>
          <w:szCs w:val="16"/>
          <w:color w:val="auto"/>
        </w:rPr>
        <w:t xml:space="preserve">. The covenants set forth in </w:t>
      </w:r>
      <w:r>
        <w:rPr>
          <w:rFonts w:ascii="Arial" w:cs="Arial" w:eastAsia="Arial" w:hAnsi="Arial"/>
          <w:sz w:val="16"/>
          <w:szCs w:val="16"/>
          <w:u w:val="single" w:color="auto"/>
          <w:color w:val="auto"/>
        </w:rPr>
        <w:t>Subsection 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shall terminate and be of no further force or effect</w:t>
      </w:r>
    </w:p>
    <w:p>
      <w:pPr>
        <w:spacing w:after="0" w:line="46" w:lineRule="exact"/>
        <w:rPr>
          <w:sz w:val="20"/>
          <w:szCs w:val="20"/>
          <w:color w:val="auto"/>
        </w:rPr>
      </w:pPr>
    </w:p>
    <w:p>
      <w:pPr>
        <w:ind w:right="60" w:firstLine="4"/>
        <w:spacing w:after="0" w:line="323" w:lineRule="auto"/>
        <w:tabs>
          <w:tab w:leader="none" w:pos="215"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immediately before the consummation of the Company IPO; (ii) upon the consummation of a Deemed Liquidation Event; or (iii) when the Company first becomes subject to the periodic reporting requirements of Section 12(g) or 15(d) of the Exchange Act, whichever event occurs first.</w:t>
      </w:r>
    </w:p>
    <w:p>
      <w:pPr>
        <w:spacing w:after="0" w:line="3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Confidentiality</w:t>
      </w:r>
      <w:r>
        <w:rPr>
          <w:rFonts w:ascii="Arial" w:cs="Arial" w:eastAsia="Arial" w:hAnsi="Arial"/>
          <w:sz w:val="18"/>
          <w:szCs w:val="18"/>
          <w:color w:val="auto"/>
        </w:rPr>
        <w:t>. Each Investor agrees that such Investor will keep confidential and will not disclose, divulge or use for any purpose (other than to monitor such Investor’s investment in the Company) any confidential information obtained from the Company pursuant to this Agreement (including notice of the Company’s intention to file a registration statement), unless such confidential information (x) is known or becomes known to the public in general (other than as a result of a breach or violation by such Investor or any of its Affiliates or representatives of this Section 3.4 or any other non-use or confidentiality obligation), (y) is or has been independently developed or conceived by such Investor without use of, derivation from, reference to or reliance upon any of the Company’s confidential information and without violating any of the confidentiality obligations hereunder or any other non-use or confidentiality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3" w:right="459" w:bottom="1440" w:gutter="0" w:footer="0" w:header="0"/>
        </w:sectPr>
      </w:pPr>
    </w:p>
    <w:bookmarkStart w:id="348" w:name="page349"/>
    <w:bookmarkEnd w:id="34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obligation, or (z) is or has been made known or disclosed to such Investor by a third party without a breach of any legal, fiduciary, contractual or other obligation of confidentiality such third party may have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Investor may disclose the Company’s confidential information (i) to such Investor’s attorneys, accountants, consultants, advisors and other professionals to the extent necessary to obtain their services in connection with monitoring such Investor’s investment in the Company,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Investor informs each such individual that such information is confidential and that by receiving such information such individual is agreeing to maintain the confidentiality of such information, (ii) to any Affiliate, current and prospective partner, member, stockholder or wholly owned subsidiary of such Investor in the ordinary course of business, provided that such Investor informs such Person that such information is confidential and directs such Person to maintain the confidentiality of such information, (iii) with prior notification to the Company, to any prospective purchaser of any Registrable Securities from such Investor, provided that such prospective purchaser agrees, in writing, to be bound by provisions not less restrictive than those set forth in this Section 3.4, or (iv) as may be required by applicable law, provided that such Investor delivers to the Company advance written notice of such disclosure and exercises commercially reasonable efforts to minimize the extent of any such required disclosure and obtain assurance that confidential treatment will be accorded to the disclosed information.</w:t>
      </w:r>
    </w:p>
    <w:p>
      <w:pPr>
        <w:spacing w:after="0" w:line="72"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Auditor Independence</w:t>
      </w:r>
      <w:r>
        <w:rPr>
          <w:rFonts w:ascii="Arial" w:cs="Arial" w:eastAsia="Arial" w:hAnsi="Arial"/>
          <w:sz w:val="18"/>
          <w:szCs w:val="18"/>
          <w:color w:val="auto"/>
        </w:rPr>
        <w:t>. The Company shall be reasonably responsive to requests for information from the Investor relating to issues that may impact auditor independence rules applicable to the Investor.</w:t>
      </w:r>
    </w:p>
    <w:p>
      <w:pPr>
        <w:spacing w:after="0" w:line="62" w:lineRule="exact"/>
        <w:rPr>
          <w:sz w:val="20"/>
          <w:szCs w:val="20"/>
          <w:color w:val="auto"/>
        </w:rPr>
      </w:pPr>
    </w:p>
    <w:p>
      <w:pPr>
        <w:ind w:left="180" w:hanging="176"/>
        <w:spacing w:after="0"/>
        <w:tabs>
          <w:tab w:leader="none" w:pos="18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Rights to Future Stock Issuances</w:t>
      </w:r>
      <w:r>
        <w:rPr>
          <w:rFonts w:ascii="Arial" w:cs="Arial" w:eastAsia="Arial" w:hAnsi="Arial"/>
          <w:sz w:val="18"/>
          <w:szCs w:val="18"/>
          <w:color w:val="auto"/>
        </w:rPr>
        <w:t>.</w:t>
      </w:r>
    </w:p>
    <w:p>
      <w:pPr>
        <w:spacing w:after="0" w:line="117" w:lineRule="exact"/>
        <w:rPr>
          <w:sz w:val="20"/>
          <w:szCs w:val="20"/>
          <w:color w:val="auto"/>
        </w:rPr>
      </w:pPr>
    </w:p>
    <w:p>
      <w:pPr>
        <w:ind w:right="120" w:firstLine="441"/>
        <w:spacing w:after="0" w:line="34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 If the Company proposes to offer or sell any New Securities, the Company shall first offer such New Securities to the Major Investors in accordance with the terms and conditions of this Section 4.1 and subject to applicable securities laws (the “</w:t>
      </w:r>
      <w:r>
        <w:rPr>
          <w:rFonts w:ascii="Arial" w:cs="Arial" w:eastAsia="Arial" w:hAnsi="Arial"/>
          <w:sz w:val="16"/>
          <w:szCs w:val="16"/>
          <w:b w:val="1"/>
          <w:bCs w:val="1"/>
          <w:i w:val="1"/>
          <w:iCs w:val="1"/>
          <w:color w:val="auto"/>
        </w:rPr>
        <w:t>Right of First Refusal</w:t>
      </w:r>
      <w:r>
        <w:rPr>
          <w:rFonts w:ascii="Arial" w:cs="Arial" w:eastAsia="Arial" w:hAnsi="Arial"/>
          <w:sz w:val="16"/>
          <w:szCs w:val="16"/>
          <w:color w:val="auto"/>
        </w:rPr>
        <w:t>”).</w:t>
      </w:r>
    </w:p>
    <w:p>
      <w:pPr>
        <w:spacing w:after="0" w:line="16" w:lineRule="exact"/>
        <w:rPr>
          <w:sz w:val="20"/>
          <w:szCs w:val="20"/>
          <w:color w:val="auto"/>
        </w:rPr>
      </w:pPr>
    </w:p>
    <w:p>
      <w:pPr>
        <w:jc w:val="both"/>
        <w:ind w:firstLine="996"/>
        <w:spacing w:after="0" w:line="264" w:lineRule="auto"/>
        <w:tabs>
          <w:tab w:leader="none" w:pos="123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Company shall give written notice (the “</w:t>
      </w:r>
      <w:r>
        <w:rPr>
          <w:rFonts w:ascii="Arial" w:cs="Arial" w:eastAsia="Arial" w:hAnsi="Arial"/>
          <w:sz w:val="18"/>
          <w:szCs w:val="18"/>
          <w:b w:val="1"/>
          <w:bCs w:val="1"/>
          <w:i w:val="1"/>
          <w:iCs w:val="1"/>
          <w:color w:val="auto"/>
        </w:rPr>
        <w:t>Offer Notice</w:t>
      </w:r>
      <w:r>
        <w:rPr>
          <w:rFonts w:ascii="Arial" w:cs="Arial" w:eastAsia="Arial" w:hAnsi="Arial"/>
          <w:sz w:val="18"/>
          <w:szCs w:val="18"/>
          <w:color w:val="auto"/>
        </w:rPr>
        <w:t>”) to each Major Investor, stating (i) its bona fide intention to offer such New Securities, (ii) the type and number of such New Securities to be offered (the “</w:t>
      </w:r>
      <w:r>
        <w:rPr>
          <w:rFonts w:ascii="Arial" w:cs="Arial" w:eastAsia="Arial" w:hAnsi="Arial"/>
          <w:sz w:val="18"/>
          <w:szCs w:val="18"/>
          <w:b w:val="1"/>
          <w:bCs w:val="1"/>
          <w:i w:val="1"/>
          <w:iCs w:val="1"/>
          <w:color w:val="auto"/>
        </w:rPr>
        <w:t>Offered Shares</w:t>
      </w:r>
      <w:r>
        <w:rPr>
          <w:rFonts w:ascii="Arial" w:cs="Arial" w:eastAsia="Arial" w:hAnsi="Arial"/>
          <w:sz w:val="18"/>
          <w:szCs w:val="18"/>
          <w:color w:val="auto"/>
        </w:rPr>
        <w:t>”), and (iii) the price and general terms, if any, upon which it proposes to offer such New Securities.</w:t>
      </w:r>
    </w:p>
    <w:p>
      <w:pPr>
        <w:spacing w:after="0" w:line="73" w:lineRule="exact"/>
        <w:rPr>
          <w:rFonts w:ascii="Arial" w:cs="Arial" w:eastAsia="Arial" w:hAnsi="Arial"/>
          <w:sz w:val="18"/>
          <w:szCs w:val="18"/>
          <w:color w:val="auto"/>
        </w:rPr>
      </w:pPr>
    </w:p>
    <w:p>
      <w:pPr>
        <w:ind w:right="60" w:firstLine="996"/>
        <w:spacing w:after="0" w:line="271" w:lineRule="auto"/>
        <w:tabs>
          <w:tab w:leader="none" w:pos="1247" w:val="left"/>
        </w:tabs>
        <w:numPr>
          <w:ilvl w:val="0"/>
          <w:numId w:val="235"/>
        </w:numPr>
        <w:rPr>
          <w:rFonts w:ascii="Arial" w:cs="Arial" w:eastAsia="Arial" w:hAnsi="Arial"/>
          <w:sz w:val="17"/>
          <w:szCs w:val="17"/>
          <w:color w:val="auto"/>
        </w:rPr>
      </w:pPr>
      <w:r>
        <w:rPr>
          <w:rFonts w:ascii="Arial" w:cs="Arial" w:eastAsia="Arial" w:hAnsi="Arial"/>
          <w:sz w:val="17"/>
          <w:szCs w:val="17"/>
          <w:color w:val="auto"/>
        </w:rPr>
        <w:t>Each Major Investor, by written notice to the Company (the “</w:t>
      </w:r>
      <w:r>
        <w:rPr>
          <w:rFonts w:ascii="Arial" w:cs="Arial" w:eastAsia="Arial" w:hAnsi="Arial"/>
          <w:sz w:val="17"/>
          <w:szCs w:val="17"/>
          <w:b w:val="1"/>
          <w:bCs w:val="1"/>
          <w:i w:val="1"/>
          <w:iCs w:val="1"/>
          <w:color w:val="auto"/>
        </w:rPr>
        <w:t>Election Notice</w:t>
      </w:r>
      <w:r>
        <w:rPr>
          <w:rFonts w:ascii="Arial" w:cs="Arial" w:eastAsia="Arial" w:hAnsi="Arial"/>
          <w:sz w:val="17"/>
          <w:szCs w:val="17"/>
          <w:color w:val="auto"/>
        </w:rPr>
        <w:t>”) given no later than the twentieth day after the date on which the Offer Notice is, pursuant to Section 8.5, deemed to have been delivered to such Major Investor (such twentieth day, the “</w:t>
      </w:r>
      <w:r>
        <w:rPr>
          <w:rFonts w:ascii="Arial" w:cs="Arial" w:eastAsia="Arial" w:hAnsi="Arial"/>
          <w:sz w:val="17"/>
          <w:szCs w:val="17"/>
          <w:b w:val="1"/>
          <w:bCs w:val="1"/>
          <w:i w:val="1"/>
          <w:iCs w:val="1"/>
          <w:color w:val="auto"/>
        </w:rPr>
        <w:t>Initial Offer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Deadline</w:t>
      </w:r>
      <w:r>
        <w:rPr>
          <w:rFonts w:ascii="Arial" w:cs="Arial" w:eastAsia="Arial" w:hAnsi="Arial"/>
          <w:sz w:val="17"/>
          <w:szCs w:val="17"/>
          <w:color w:val="auto"/>
        </w:rPr>
        <w:t>”), may elect to purchase or acquire, at the price and on the general terms specified in the Offer Notice, up to that portion of the Offered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equals the proportion that the Common Stock issued and then held, or issuable (directly or indirectly) upon conversion and/or exercise, as applicable, of the Preferred Stock then held by such Major Investor bears to the total Common Stock then outstanding (assuming full conversion and/or exercise, as applicable, of all Preferred Stock). Each Election Notice shall specify the number of Offered Shares that such Major Investor is electing to purchase or acquire. Promptly after the Initial Offer Deadline, the Company shall give written notice to each Major Investor that has elected to purchase or acquire all of the Offered Shares available to such Major Investor (each, a</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349" w:name="page350"/>
    <w:bookmarkEnd w:id="34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i w:val="1"/>
          <w:iCs w:val="1"/>
          <w:color w:val="auto"/>
        </w:rPr>
        <w:t>Fully Exercising Investor</w:t>
      </w:r>
      <w:r>
        <w:rPr>
          <w:rFonts w:ascii="Arial" w:cs="Arial" w:eastAsia="Arial" w:hAnsi="Arial"/>
          <w:sz w:val="17"/>
          <w:szCs w:val="17"/>
          <w:color w:val="auto"/>
        </w:rPr>
        <w:t>”) of any other Major Investor’s failure to do likewise (the “</w:t>
      </w:r>
      <w:r>
        <w:rPr>
          <w:rFonts w:ascii="Arial" w:cs="Arial" w:eastAsia="Arial" w:hAnsi="Arial"/>
          <w:sz w:val="17"/>
          <w:szCs w:val="17"/>
          <w:b w:val="1"/>
          <w:bCs w:val="1"/>
          <w:i w:val="1"/>
          <w:iCs w:val="1"/>
          <w:color w:val="auto"/>
        </w:rPr>
        <w:t>Second Offer Notice</w:t>
      </w:r>
      <w:r>
        <w:rPr>
          <w:rFonts w:ascii="Arial" w:cs="Arial" w:eastAsia="Arial" w:hAnsi="Arial"/>
          <w:sz w:val="17"/>
          <w:szCs w:val="17"/>
          <w:color w:val="auto"/>
        </w:rPr>
        <w:t>”). Each Fully Exercising Investor may, by giving written notice to the Company (the “</w:t>
      </w:r>
      <w:r>
        <w:rPr>
          <w:rFonts w:ascii="Arial" w:cs="Arial" w:eastAsia="Arial" w:hAnsi="Arial"/>
          <w:sz w:val="17"/>
          <w:szCs w:val="17"/>
          <w:b w:val="1"/>
          <w:bCs w:val="1"/>
          <w:i w:val="1"/>
          <w:iCs w:val="1"/>
          <w:color w:val="auto"/>
        </w:rPr>
        <w:t>Second Election Notice</w:t>
      </w:r>
      <w:r>
        <w:rPr>
          <w:rFonts w:ascii="Arial" w:cs="Arial" w:eastAsia="Arial" w:hAnsi="Arial"/>
          <w:sz w:val="17"/>
          <w:szCs w:val="17"/>
          <w:color w:val="auto"/>
        </w:rPr>
        <w:t>”) during the ten-day period commencing on the date on which the Second Offer Notice is, pursuant to Section 8.5, deemed to have been delivered to such Fully Exercising Investor (such ten-day period, the “</w:t>
      </w:r>
      <w:r>
        <w:rPr>
          <w:rFonts w:ascii="Arial" w:cs="Arial" w:eastAsia="Arial" w:hAnsi="Arial"/>
          <w:sz w:val="17"/>
          <w:szCs w:val="17"/>
          <w:b w:val="1"/>
          <w:bCs w:val="1"/>
          <w:i w:val="1"/>
          <w:iCs w:val="1"/>
          <w:color w:val="auto"/>
        </w:rPr>
        <w:t>Second Offer Period</w:t>
      </w:r>
      <w:r>
        <w:rPr>
          <w:rFonts w:ascii="Arial" w:cs="Arial" w:eastAsia="Arial" w:hAnsi="Arial"/>
          <w:sz w:val="17"/>
          <w:szCs w:val="17"/>
          <w:color w:val="auto"/>
        </w:rPr>
        <w:t>”), elect to purchase or acquire, in addition to the number of Offered Shares such Fully Exercising Investor has already elected to purchase or acquire and at the same price and on the general terms specified in the Offer Notice, up to that portion of the Offered Shares for which Major Investors were entitled to subscribe but that were not subscribed for by the Major Investors by the Initial Offer Deadline (the “</w:t>
      </w:r>
      <w:r>
        <w:rPr>
          <w:rFonts w:ascii="Arial" w:cs="Arial" w:eastAsia="Arial" w:hAnsi="Arial"/>
          <w:sz w:val="17"/>
          <w:szCs w:val="17"/>
          <w:b w:val="1"/>
          <w:bCs w:val="1"/>
          <w:i w:val="1"/>
          <w:iCs w:val="1"/>
          <w:color w:val="auto"/>
        </w:rPr>
        <w:t>Unsubscribed Shares</w:t>
      </w:r>
      <w:r>
        <w:rPr>
          <w:rFonts w:ascii="Arial" w:cs="Arial" w:eastAsia="Arial" w:hAnsi="Arial"/>
          <w:sz w:val="17"/>
          <w:szCs w:val="17"/>
          <w:color w:val="auto"/>
        </w:rPr>
        <w:t>”) which equals the proportion that the Common Stock issued and then held, or issuable (directly or indirectly) upon conversion and/or exercise, as applicable, of the Preferred Stock then held, by such Fully Exercising Investor bears to the total Common Stock issued and then held, or issuable (directly or indirectly) upon conversion and/or exercise, as applicable, of the Preferred Stock then held by all of the Fully Exercising Investors who elect to purchase or acquire Unsubscribed Shares. Each Second Election Notice shall specify the number of Unsubscribed Shares that such Fully Exercising Investor is electing to purchase or acquire. The closing of any sale of New Securities pursuant to this Section 4.1(b) shall occur on or before the later of (i) 90 days after the last date on which the Offer Notice is, pursuant to Section 8.5, deemed to have been delivered to all Major Investors and (ii) the date of initial sale of New Securities pursuant to Section 4.1(c).</w:t>
      </w:r>
    </w:p>
    <w:p>
      <w:pPr>
        <w:spacing w:after="0" w:line="80" w:lineRule="exact"/>
        <w:rPr>
          <w:sz w:val="20"/>
          <w:szCs w:val="20"/>
          <w:color w:val="auto"/>
        </w:rPr>
      </w:pPr>
    </w:p>
    <w:p>
      <w:pPr>
        <w:ind w:right="40" w:firstLine="996"/>
        <w:spacing w:after="0" w:line="255" w:lineRule="auto"/>
        <w:tabs>
          <w:tab w:leader="none" w:pos="123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If all Offered Shares are not elected to be purchased or acquired as provided in Section 4.1(b), the Company may, during the 90-day period following the expiration of the Second Offer Period for all Fully Exercising Investors, offer and sell the remaining unsubscribed portion of such Offered Shares to any Person or Persons (the “</w:t>
      </w:r>
      <w:r>
        <w:rPr>
          <w:rFonts w:ascii="Arial" w:cs="Arial" w:eastAsia="Arial" w:hAnsi="Arial"/>
          <w:sz w:val="18"/>
          <w:szCs w:val="18"/>
          <w:b w:val="1"/>
          <w:bCs w:val="1"/>
          <w:i w:val="1"/>
          <w:iCs w:val="1"/>
          <w:color w:val="auto"/>
        </w:rPr>
        <w:t>Offerees</w:t>
      </w:r>
      <w:r>
        <w:rPr>
          <w:rFonts w:ascii="Arial" w:cs="Arial" w:eastAsia="Arial" w:hAnsi="Arial"/>
          <w:sz w:val="18"/>
          <w:szCs w:val="18"/>
          <w:color w:val="auto"/>
        </w:rPr>
        <w:t>”) at a price not less than, and upon terms not more favorable than, specified in the Offer Notice. If the Company does not enter into a written agreement with the Offerees for the sale of New Securities within such 90-day period, or if the sale of such New Securities pursuant to such agreement is not consummated within 30 days after the execution thereof, the Right of First Refusal shall be deemed to be revived and such New Securities shall not be offered or sold to any Person or Persons unless first reoffered to the Major Investors in accordance with this Section 4.1.</w:t>
      </w:r>
    </w:p>
    <w:p>
      <w:pPr>
        <w:spacing w:after="0" w:line="81" w:lineRule="exact"/>
        <w:rPr>
          <w:rFonts w:ascii="Arial" w:cs="Arial" w:eastAsia="Arial" w:hAnsi="Arial"/>
          <w:sz w:val="18"/>
          <w:szCs w:val="18"/>
          <w:color w:val="auto"/>
        </w:rPr>
      </w:pPr>
    </w:p>
    <w:p>
      <w:pPr>
        <w:ind w:right="20" w:firstLine="996"/>
        <w:spacing w:after="0" w:line="271" w:lineRule="auto"/>
        <w:tabs>
          <w:tab w:leader="none" w:pos="1247"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Right of First Refusal shall not be applicable to: (i) Exempted Securities (as defined in the Restated Charter); (ii) securities of the Company which are otherwise excluded from the Right of First Refusal by the affirmative vote or consent of the holders of a majority of all shares of Preferred Stock then outstanding; (iii) shares of Common Stock issued in the Company IPO, or (iv) the issuance of shares of Series B Preferred Stock to Additional Purchasers pursuant to Subsection 1.2(c) of the Purchase Agreement. In the event the Right of First Refusal under this Section 4 is waived with respect to an offering of Equity Securities without a Major Investor’s prior written consent and any party that participated in waiving such rights actually purchases New Securities in such offering, the Company shall grant to any such non-waiving Major Investor the right to purchase, in a subsequent closing of such issuance on substantially the same terms and conditions, the same percentage of its full pro rata share of such New Securities as the highest percentage of any such purchasing waiving party.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50" w:name="page351"/>
    <w:bookmarkEnd w:id="350"/>
    <w:p>
      <w:pPr>
        <w:ind w:right="20" w:firstLine="996"/>
        <w:spacing w:after="0" w:line="312" w:lineRule="auto"/>
        <w:tabs>
          <w:tab w:leader="none" w:pos="1237" w:val="left"/>
        </w:tabs>
        <w:numPr>
          <w:ilvl w:val="0"/>
          <w:numId w:val="2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provision hereof to the contrary, no Major Investor shall have any right to purchase or acquire any New Securities pursuant to this Section 4.1 if such Major Investor cannot demonstrate to the Company’s reasonable satisfaction that such Major Investor is, at the time of the proposed issuance of such New Securities, an “accredited investor” within the meaning of SEC Rule 501 of Regulation D, as then in effect.</w:t>
      </w:r>
    </w:p>
    <w:p>
      <w:pPr>
        <w:spacing w:after="0" w:line="39"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Assignment of Right of First Refusal</w:t>
      </w:r>
      <w:r>
        <w:rPr>
          <w:rFonts w:ascii="Arial" w:cs="Arial" w:eastAsia="Arial" w:hAnsi="Arial"/>
          <w:sz w:val="17"/>
          <w:szCs w:val="17"/>
          <w:color w:val="auto"/>
        </w:rPr>
        <w:t xml:space="preserve">. The Right of First Refusal may be assigned (but only with all related obligations) by any Major Investor to a transferee of Registrable Securities that (x) after such Transfer, holds at least 450,000 shares of Registrable Securities, (y) is an Affiliate of such Major Investor, or (z) is such Major Investor’s Immediate Family Member or trust for the benefit of such individual Major Investor (or one or more of his or her Immediate Family Members);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such Transfer of Registrable Securities is effected in accordance with Sections 2.12 and 8.14 and all applicable securities laws, (ii) before such Transfer of Registrable Securities, such Major Investor gives the Company written notice stating the name and address of such transferee and identifying the securities of the Company with respect to which the Right of First Refusal is intended to be assigned, (iii) such transferee of Registrable Securities agrees, in a written instrument delivered to the Company, to receive such assigned Right of First Refusal subject to all of the terms and conditions hereof and (iv) such transferee of Registrable Securities is not deemed by the Board, in its reasonable judgment, to be a competitor of the Company or a director, officer, employee or holder of more than 10% of a competitor of the Company; provided, however, none of Viking, Pfizer or any of their respective Affiliates shall be deemed to be a competitor of the Company for purposes of this Agreement.</w:t>
      </w:r>
    </w:p>
    <w:p>
      <w:pPr>
        <w:spacing w:after="0" w:line="75" w:lineRule="exact"/>
        <w:rPr>
          <w:sz w:val="20"/>
          <w:szCs w:val="20"/>
          <w:color w:val="auto"/>
        </w:rPr>
      </w:pPr>
    </w:p>
    <w:p>
      <w:pPr>
        <w:ind w:right="140" w:firstLine="441"/>
        <w:spacing w:after="0" w:line="288"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Termination of Right of First Refusal</w:t>
      </w:r>
      <w:r>
        <w:rPr>
          <w:rFonts w:ascii="Arial" w:cs="Arial" w:eastAsia="Arial" w:hAnsi="Arial"/>
          <w:sz w:val="16"/>
          <w:szCs w:val="16"/>
          <w:color w:val="auto"/>
        </w:rPr>
        <w:t>. The covenants set forth in Section 4.1 shall automatically terminate and be of no further force or effect upon the earliest to occur of: (i) immediately before the consummation of the Company IPO; (ii) when the Company first becomes subject to the periodic reporting requirements of Section 12(g) or Section 15(d) of the Exchange Act; (iii) the dissolution or winding up of the Company; and</w:t>
      </w:r>
    </w:p>
    <w:p>
      <w:pPr>
        <w:ind w:right="5580" w:firstLine="4"/>
        <w:spacing w:after="0" w:line="367" w:lineRule="auto"/>
        <w:tabs>
          <w:tab w:leader="none" w:pos="30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immediately before the consummation of a Deemed Liquidation Event. 5. </w:t>
      </w: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1" w:lineRule="exact"/>
        <w:rPr>
          <w:sz w:val="20"/>
          <w:szCs w:val="20"/>
          <w:color w:val="auto"/>
        </w:rPr>
      </w:pPr>
    </w:p>
    <w:p>
      <w:pPr>
        <w:jc w:val="both"/>
        <w:ind w:right="20" w:firstLine="441"/>
        <w:spacing w:after="0" w:line="31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Employee Agreements</w:t>
      </w:r>
      <w:r>
        <w:rPr>
          <w:rFonts w:ascii="Arial" w:cs="Arial" w:eastAsia="Arial" w:hAnsi="Arial"/>
          <w:sz w:val="16"/>
          <w:szCs w:val="16"/>
          <w:color w:val="auto"/>
        </w:rPr>
        <w:t>. The Company shall cause each individual now or hereafter employed by it or any of its subsidiaries (or engaged by the Company or any of its subsidiaries as a consultant or independent contractor) with access to the Company’s trade secrets and/or confidential information to enter into a confidential information and invention assignment agreement, substantially in the form made available to the Investors.</w:t>
      </w:r>
    </w:p>
    <w:p>
      <w:pPr>
        <w:spacing w:after="0" w:line="39"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Matters Requiring Preferred Director Approval</w:t>
      </w:r>
      <w:r>
        <w:rPr>
          <w:rFonts w:ascii="Arial" w:cs="Arial" w:eastAsia="Arial" w:hAnsi="Arial"/>
          <w:sz w:val="18"/>
          <w:szCs w:val="18"/>
          <w:color w:val="auto"/>
        </w:rPr>
        <w:t>. So long as there is at least one Preferred Director serving on the Board, the Company hereby covenants and agrees with each Investor that it shall not, without approval of the Board, which approval must include the affirmative vote of at least one Preferred Director:</w:t>
      </w:r>
    </w:p>
    <w:p>
      <w:pPr>
        <w:spacing w:after="0" w:line="73" w:lineRule="exact"/>
        <w:rPr>
          <w:sz w:val="20"/>
          <w:szCs w:val="20"/>
          <w:color w:val="auto"/>
        </w:rPr>
      </w:pPr>
    </w:p>
    <w:p>
      <w:pPr>
        <w:ind w:right="80" w:firstLine="996"/>
        <w:spacing w:after="0" w:line="277" w:lineRule="auto"/>
        <w:tabs>
          <w:tab w:leader="none" w:pos="123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make, or permit any of its subsidiaries to make, any loan or advance to, or own any stock or other securities of, any subsidiary or other corporation, partnership or other entity unless it is wholly owned by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351" w:name="page352"/>
    <w:bookmarkEnd w:id="351"/>
    <w:p>
      <w:pPr>
        <w:ind w:right="20" w:firstLine="996"/>
        <w:spacing w:after="0" w:line="342" w:lineRule="auto"/>
        <w:tabs>
          <w:tab w:leader="none" w:pos="1247" w:val="left"/>
        </w:tabs>
        <w:numPr>
          <w:ilvl w:val="0"/>
          <w:numId w:val="2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or permit any of its subsidiaries to make, any loan or advance to any person or entity, including any director or employee, except advances and similar expenditures in the ordinary course of business or under the terms of an employee stock or option plan approved by the Board;</w:t>
      </w:r>
    </w:p>
    <w:p>
      <w:pPr>
        <w:spacing w:after="0" w:line="15" w:lineRule="exact"/>
        <w:rPr>
          <w:rFonts w:ascii="Arial" w:cs="Arial" w:eastAsia="Arial" w:hAnsi="Arial"/>
          <w:sz w:val="16"/>
          <w:szCs w:val="16"/>
          <w:color w:val="auto"/>
        </w:rPr>
      </w:pPr>
    </w:p>
    <w:p>
      <w:pPr>
        <w:ind w:right="360" w:firstLine="996"/>
        <w:spacing w:after="0" w:line="277" w:lineRule="auto"/>
        <w:tabs>
          <w:tab w:leader="none" w:pos="123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guarantee (directly or indirectly), or permit any of its subsidiaries to guarantee (directly or indirectly), any indebtedness, except for trade accounts of the Company or any of its subsidiaries arising in the ordinary course of business;</w:t>
      </w:r>
    </w:p>
    <w:p>
      <w:pPr>
        <w:spacing w:after="0" w:line="62" w:lineRule="exact"/>
        <w:rPr>
          <w:rFonts w:ascii="Arial" w:cs="Arial" w:eastAsia="Arial" w:hAnsi="Arial"/>
          <w:sz w:val="18"/>
          <w:szCs w:val="18"/>
          <w:color w:val="auto"/>
        </w:rPr>
      </w:pPr>
    </w:p>
    <w:p>
      <w:pPr>
        <w:ind w:right="120" w:firstLine="996"/>
        <w:spacing w:after="0" w:line="279" w:lineRule="auto"/>
        <w:tabs>
          <w:tab w:leader="none" w:pos="1247" w:val="left"/>
        </w:tabs>
        <w:numPr>
          <w:ilvl w:val="0"/>
          <w:numId w:val="240"/>
        </w:numPr>
        <w:rPr>
          <w:rFonts w:ascii="Arial" w:cs="Arial" w:eastAsia="Arial" w:hAnsi="Arial"/>
          <w:sz w:val="17"/>
          <w:szCs w:val="17"/>
          <w:color w:val="auto"/>
        </w:rPr>
      </w:pPr>
      <w:r>
        <w:rPr>
          <w:rFonts w:ascii="Arial" w:cs="Arial" w:eastAsia="Arial" w:hAnsi="Arial"/>
          <w:sz w:val="17"/>
          <w:szCs w:val="17"/>
          <w:color w:val="auto"/>
        </w:rPr>
        <w:t>enter into, or be a party to, any transaction with any director, officer or employee of the Company or any “associate” (as defined in Rule 12b 2 promulgated under the Exchange Act) of any such person or entity, except for (x) transactions contemplated by the Transaction Agreements (as defined in the Series B Purchase Agreement) or (y) transactions made in the ordinary course of business and pursuant to reasonable requirements of the Company’s business and upon fair and reasonable terms that are approved by a majority of the Board;</w:t>
      </w:r>
    </w:p>
    <w:p>
      <w:pPr>
        <w:spacing w:after="0" w:line="63" w:lineRule="exact"/>
        <w:rPr>
          <w:rFonts w:ascii="Arial" w:cs="Arial" w:eastAsia="Arial" w:hAnsi="Arial"/>
          <w:sz w:val="17"/>
          <w:szCs w:val="17"/>
          <w:color w:val="auto"/>
        </w:rPr>
      </w:pPr>
    </w:p>
    <w:p>
      <w:pPr>
        <w:ind w:firstLine="996"/>
        <w:spacing w:after="0" w:line="308" w:lineRule="auto"/>
        <w:tabs>
          <w:tab w:leader="none" w:pos="1237" w:val="left"/>
        </w:tabs>
        <w:numPr>
          <w:ilvl w:val="0"/>
          <w:numId w:val="240"/>
        </w:numPr>
        <w:rPr>
          <w:rFonts w:ascii="Arial" w:cs="Arial" w:eastAsia="Arial" w:hAnsi="Arial"/>
          <w:sz w:val="17"/>
          <w:szCs w:val="17"/>
          <w:color w:val="auto"/>
        </w:rPr>
      </w:pPr>
      <w:r>
        <w:rPr>
          <w:rFonts w:ascii="Arial" w:cs="Arial" w:eastAsia="Arial" w:hAnsi="Arial"/>
          <w:sz w:val="17"/>
          <w:szCs w:val="17"/>
          <w:color w:val="auto"/>
        </w:rPr>
        <w:t>hire, terminate or change the compensation of the Company’s executive officers, including approving any option grants or stock awards to such executive officers, or paying bonuses in excess of 20% of base compensation (such approval not to be unreasonably withheld);</w:t>
      </w:r>
    </w:p>
    <w:p>
      <w:pPr>
        <w:spacing w:after="0" w:line="38" w:lineRule="exact"/>
        <w:rPr>
          <w:rFonts w:ascii="Arial" w:cs="Arial" w:eastAsia="Arial" w:hAnsi="Arial"/>
          <w:sz w:val="17"/>
          <w:szCs w:val="17"/>
          <w:color w:val="auto"/>
        </w:rPr>
      </w:pPr>
    </w:p>
    <w:p>
      <w:pPr>
        <w:ind w:left="1220" w:hanging="224"/>
        <w:spacing w:after="0"/>
        <w:tabs>
          <w:tab w:leader="none" w:pos="12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change the Company’s principal business, enter new lines of business or exit the Company’s current lines of business; or</w:t>
      </w:r>
    </w:p>
    <w:p>
      <w:pPr>
        <w:spacing w:after="0" w:line="117" w:lineRule="exact"/>
        <w:rPr>
          <w:rFonts w:ascii="Arial" w:cs="Arial" w:eastAsia="Arial" w:hAnsi="Arial"/>
          <w:sz w:val="18"/>
          <w:szCs w:val="18"/>
          <w:color w:val="auto"/>
        </w:rPr>
      </w:pPr>
    </w:p>
    <w:p>
      <w:pPr>
        <w:ind w:right="140" w:firstLine="996"/>
        <w:spacing w:after="0" w:line="264" w:lineRule="auto"/>
        <w:tabs>
          <w:tab w:leader="none" w:pos="124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sell, assign, license, pledge or encumber material technology or intellectual property, other than (i) licenses granted in the ordinary course of business, (ii) in connection with a Deemed Liquidation Event or (iii) in connection with equipment leasing transactions of less than $100,000 in the aggregate, in each case as approved by the Board.</w:t>
      </w:r>
    </w:p>
    <w:p>
      <w:pPr>
        <w:spacing w:after="0" w:line="73"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D&amp;O Insurance</w:t>
      </w:r>
      <w:r>
        <w:rPr>
          <w:rFonts w:ascii="Arial" w:cs="Arial" w:eastAsia="Arial" w:hAnsi="Arial"/>
          <w:sz w:val="18"/>
          <w:szCs w:val="18"/>
          <w:color w:val="auto"/>
        </w:rPr>
        <w:t xml:space="preserve">. The Company shall use its best efforts to maintain in full force and effect directors and officers insurance in the amount of at least three million dollars ($3,000,000) (or such greater amount as determined by the Board), as determined by the Board and covering such risks as are adequate and customary for its size and business, each with financially sound and reputable insurance companies or associations;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terminate or reduce such directors and officers insurance to less than three million dollars ($3,000,000) without the prior written consent of Pfizer.</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Termination</w:t>
      </w:r>
      <w:r>
        <w:rPr>
          <w:rFonts w:ascii="Arial" w:cs="Arial" w:eastAsia="Arial" w:hAnsi="Arial"/>
          <w:sz w:val="17"/>
          <w:szCs w:val="17"/>
          <w:color w:val="auto"/>
        </w:rPr>
        <w:t>. The covenants set forth in this Section 5 shall terminate and be of no further force or effect upon the earliest to occur of:</w:t>
      </w:r>
    </w:p>
    <w:p>
      <w:pPr>
        <w:spacing w:after="0" w:line="35" w:lineRule="exact"/>
        <w:rPr>
          <w:sz w:val="20"/>
          <w:szCs w:val="20"/>
          <w:color w:val="auto"/>
        </w:rPr>
      </w:pPr>
    </w:p>
    <w:p>
      <w:pPr>
        <w:ind w:right="420" w:firstLine="4"/>
        <w:spacing w:after="0" w:line="261" w:lineRule="auto"/>
        <w:tabs>
          <w:tab w:leader="none" w:pos="21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immediately before the consummation of the Company IPO; (ii) the dissolution or winding up of the Company; and (iii) immediately before the consummation of a Deemed Liquidation Event.</w:t>
      </w:r>
    </w:p>
    <w:p>
      <w:pPr>
        <w:spacing w:after="0" w:line="76" w:lineRule="exact"/>
        <w:rPr>
          <w:sz w:val="20"/>
          <w:szCs w:val="20"/>
          <w:color w:val="auto"/>
        </w:rPr>
      </w:pPr>
    </w:p>
    <w:p>
      <w:pPr>
        <w:ind w:left="180" w:hanging="176"/>
        <w:spacing w:after="0"/>
        <w:tabs>
          <w:tab w:leader="none" w:pos="18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Voting Provisions Regarding Board of Directors</w:t>
      </w:r>
      <w:r>
        <w:rPr>
          <w:rFonts w:ascii="Arial" w:cs="Arial" w:eastAsia="Arial" w:hAnsi="Arial"/>
          <w:sz w:val="18"/>
          <w:szCs w:val="18"/>
          <w:color w:val="auto"/>
        </w:rPr>
        <w:t>.</w:t>
      </w:r>
    </w:p>
    <w:p>
      <w:pPr>
        <w:spacing w:after="0" w:line="117"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Board Composition</w:t>
      </w:r>
      <w:r>
        <w:rPr>
          <w:rFonts w:ascii="Arial" w:cs="Arial" w:eastAsia="Arial" w:hAnsi="Arial"/>
          <w:sz w:val="18"/>
          <w:szCs w:val="18"/>
          <w:color w:val="auto"/>
        </w:rPr>
        <w:t>. Each Stockholder agrees to vote, or cause to be voted, all Voting Shares owned by such Stockholder, or over which such Stockholder has voting control, from time to time and at all times, in whatever manner as shall be necessary to ensure that, at each annual or special meeting of the Company’s stockholders at which an election of directors is held or pursuant to any written consent of the Company’s stockholders, the following individuals shall be elected to the Board:</w:t>
      </w:r>
    </w:p>
    <w:p>
      <w:pPr>
        <w:spacing w:after="0" w:line="79" w:lineRule="exact"/>
        <w:rPr>
          <w:sz w:val="20"/>
          <w:szCs w:val="20"/>
          <w:color w:val="auto"/>
        </w:rPr>
      </w:pPr>
    </w:p>
    <w:p>
      <w:pPr>
        <w:ind w:right="220" w:firstLine="996"/>
        <w:spacing w:after="0" w:line="264" w:lineRule="auto"/>
        <w:tabs>
          <w:tab w:leader="none" w:pos="123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one individual designated by Pfizer (the “</w:t>
      </w:r>
      <w:r>
        <w:rPr>
          <w:rFonts w:ascii="Arial" w:cs="Arial" w:eastAsia="Arial" w:hAnsi="Arial"/>
          <w:sz w:val="18"/>
          <w:szCs w:val="18"/>
          <w:b w:val="1"/>
          <w:bCs w:val="1"/>
          <w:i w:val="1"/>
          <w:iCs w:val="1"/>
          <w:color w:val="auto"/>
        </w:rPr>
        <w:t>Series A-1 Director</w:t>
      </w:r>
      <w:r>
        <w:rPr>
          <w:rFonts w:ascii="Arial" w:cs="Arial" w:eastAsia="Arial" w:hAnsi="Arial"/>
          <w:sz w:val="18"/>
          <w:szCs w:val="18"/>
          <w:color w:val="auto"/>
        </w:rPr>
        <w:t>”), which individual shall initially be Margi McLoughlin, for so long as Pfizer and its Affiliates continue to own beneficially 25% of the shares of Series A-1 Preferred Stock originally issued pursuant to the Series A-1 Purchase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352" w:name="page353"/>
    <w:bookmarkEnd w:id="352"/>
    <w:p>
      <w:pPr>
        <w:ind w:firstLine="996"/>
        <w:spacing w:after="0" w:line="264" w:lineRule="auto"/>
        <w:tabs>
          <w:tab w:leader="none" w:pos="1247" w:val="left"/>
        </w:tabs>
        <w:numPr>
          <w:ilvl w:val="0"/>
          <w:numId w:val="2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individual designated by the holders of a majority of the Series B Preferred Stock (the “</w:t>
      </w:r>
      <w:r>
        <w:rPr>
          <w:rFonts w:ascii="Arial" w:cs="Arial" w:eastAsia="Arial" w:hAnsi="Arial"/>
          <w:sz w:val="18"/>
          <w:szCs w:val="18"/>
          <w:b w:val="1"/>
          <w:bCs w:val="1"/>
          <w:i w:val="1"/>
          <w:iCs w:val="1"/>
          <w:color w:val="auto"/>
        </w:rPr>
        <w:t>Series B Director</w:t>
      </w:r>
      <w:r>
        <w:rPr>
          <w:rFonts w:ascii="Arial" w:cs="Arial" w:eastAsia="Arial" w:hAnsi="Arial"/>
          <w:sz w:val="18"/>
          <w:szCs w:val="18"/>
          <w:i w:val="1"/>
          <w:iCs w:val="1"/>
          <w:color w:val="auto"/>
        </w:rPr>
        <w:t>,</w:t>
      </w:r>
      <w:r>
        <w:rPr>
          <w:rFonts w:ascii="Arial" w:cs="Arial" w:eastAsia="Arial" w:hAnsi="Arial"/>
          <w:sz w:val="18"/>
          <w:szCs w:val="18"/>
          <w:color w:val="auto"/>
        </w:rPr>
        <w:t>” together with the Series A-1 Director, the “</w:t>
      </w:r>
      <w:r>
        <w:rPr>
          <w:rFonts w:ascii="Arial" w:cs="Arial" w:eastAsia="Arial" w:hAnsi="Arial"/>
          <w:sz w:val="18"/>
          <w:szCs w:val="18"/>
          <w:b w:val="1"/>
          <w:bCs w:val="1"/>
          <w:i w:val="1"/>
          <w:iCs w:val="1"/>
          <w:color w:val="auto"/>
        </w:rPr>
        <w:t>Preferred Directors</w:t>
      </w:r>
      <w:r>
        <w:rPr>
          <w:rFonts w:ascii="Arial" w:cs="Arial" w:eastAsia="Arial" w:hAnsi="Arial"/>
          <w:sz w:val="18"/>
          <w:szCs w:val="18"/>
          <w:color w:val="auto"/>
        </w:rPr>
        <w:t>”), which individual shall initially be Tony Yao, for so long as at least 916,380 shares of Series B Preferred Stock remain issued and outstanding;</w:t>
      </w:r>
    </w:p>
    <w:p>
      <w:pPr>
        <w:spacing w:after="0" w:line="73" w:lineRule="exact"/>
        <w:rPr>
          <w:rFonts w:ascii="Arial" w:cs="Arial" w:eastAsia="Arial" w:hAnsi="Arial"/>
          <w:sz w:val="18"/>
          <w:szCs w:val="18"/>
          <w:color w:val="auto"/>
        </w:rPr>
      </w:pPr>
    </w:p>
    <w:p>
      <w:pPr>
        <w:ind w:right="80" w:firstLine="996"/>
        <w:spacing w:after="0" w:line="302" w:lineRule="auto"/>
        <w:tabs>
          <w:tab w:leader="none" w:pos="1237"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two individuals designated by the holders of a majority of the outstanding shares of the Common Stock (other than (i) any Common Stock issued or issuable upon conversion of the Preferred Stock or (ii) any Common Stock issued as (or issuable upon the conversion or exercise of any warrant, right or other security that is issued as) a dividend or other distribution with respect to, or in exchange for or in replacement of, the shares referenced in clause (i) above) (the “</w:t>
      </w:r>
      <w:r>
        <w:rPr>
          <w:rFonts w:ascii="Arial" w:cs="Arial" w:eastAsia="Arial" w:hAnsi="Arial"/>
          <w:sz w:val="16"/>
          <w:szCs w:val="16"/>
          <w:b w:val="1"/>
          <w:bCs w:val="1"/>
          <w:i w:val="1"/>
          <w:iCs w:val="1"/>
          <w:color w:val="auto"/>
        </w:rPr>
        <w:t>Common Directors</w:t>
      </w:r>
      <w:r>
        <w:rPr>
          <w:rFonts w:ascii="Arial" w:cs="Arial" w:eastAsia="Arial" w:hAnsi="Arial"/>
          <w:sz w:val="16"/>
          <w:szCs w:val="16"/>
          <w:color w:val="auto"/>
        </w:rPr>
        <w:t>”), which individuals shall initially be David Kirn and David Schaffer; and</w:t>
      </w:r>
    </w:p>
    <w:p>
      <w:pPr>
        <w:spacing w:after="0" w:line="46" w:lineRule="exact"/>
        <w:rPr>
          <w:rFonts w:ascii="Arial" w:cs="Arial" w:eastAsia="Arial" w:hAnsi="Arial"/>
          <w:sz w:val="16"/>
          <w:szCs w:val="16"/>
          <w:color w:val="auto"/>
        </w:rPr>
      </w:pPr>
    </w:p>
    <w:p>
      <w:pPr>
        <w:ind w:left="1260" w:hanging="264"/>
        <w:spacing w:after="0"/>
        <w:tabs>
          <w:tab w:leader="none" w:pos="12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three individuals who are not otherwise Affiliates (as defined below) of the Company or of any Investor (the “</w:t>
      </w:r>
      <w:r>
        <w:rPr>
          <w:rFonts w:ascii="Arial" w:cs="Arial" w:eastAsia="Arial" w:hAnsi="Arial"/>
          <w:sz w:val="18"/>
          <w:szCs w:val="18"/>
          <w:b w:val="1"/>
          <w:bCs w:val="1"/>
          <w:i w:val="1"/>
          <w:iCs w:val="1"/>
          <w:color w:val="auto"/>
        </w:rPr>
        <w:t>Independent</w:t>
      </w:r>
    </w:p>
    <w:p>
      <w:pPr>
        <w:spacing w:after="0" w:line="2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i w:val="1"/>
          <w:iCs w:val="1"/>
          <w:color w:val="auto"/>
        </w:rPr>
        <w:t>Directors</w:t>
      </w:r>
      <w:r>
        <w:rPr>
          <w:rFonts w:ascii="Arial" w:cs="Arial" w:eastAsia="Arial" w:hAnsi="Arial"/>
          <w:sz w:val="17"/>
          <w:szCs w:val="17"/>
          <w:color w:val="auto"/>
        </w:rPr>
        <w:t>”), (i) the first of whom shall be mutually agreed upon by a majority of the other members of the Board, which approval shall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unreasonably withheld or delayed, which individual shall initially be Hoyoung Huh, (ii) the second of whom shall be proposed by the Company subject to the approval of a majority of the other members of the Board, which approval shall not be unreasonably withheld or delayed, which individual shall initially be Charles Theuer, and (iii) the third of whom shall be an individual that satisfies the independence, financial literacy and financial expertise requirements to serve as an audit committee chairperson pursuant to relevant SEC, New York Stock Exchange and Nasdaq laws and regulations, and mutually acceptable to a majority of the other members of the Board.</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To the extent that any of clauses (a) through (d) above shall not be applicable, any member of the Board who would otherwise have been designated in accordance with the terms thereof shall instead be elected by all of the Company’s stockholders entitled to vote thereon in accordance with, and pursuant to, the Restated Charter. The Company will fill vacancies on the Board as soon as practicable and in any event within twelve (12) months after the Initial Closing (as defined in the Series B Purchase Agreement). The parties acknowledge that additional seats on the Board shall be determined in connection with future financing and other strategic transactions involving the Company, and to satisfy other needs of the Company for independent directors, and as determined by the Board, may provide for rights to designate directors similar to the rights provided to Pfizer and the holders of a majority of the outstanding shares of Series B Preferred Stock under this Section 6.</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3" w:right="439" w:bottom="1440" w:gutter="0" w:footer="0" w:header="0"/>
        </w:sectPr>
      </w:pPr>
    </w:p>
    <w:bookmarkStart w:id="353" w:name="page354"/>
    <w:bookmarkEnd w:id="353"/>
    <w:p>
      <w:pPr>
        <w:ind w:right="180" w:firstLine="44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6.2 </w:t>
      </w:r>
      <w:r>
        <w:rPr>
          <w:rFonts w:ascii="Arial" w:cs="Arial" w:eastAsia="Arial" w:hAnsi="Arial"/>
          <w:sz w:val="16"/>
          <w:szCs w:val="16"/>
          <w:u w:val="single" w:color="auto"/>
          <w:color w:val="auto"/>
        </w:rPr>
        <w:t>Failure to Designate a Board Member</w:t>
      </w:r>
      <w:r>
        <w:rPr>
          <w:rFonts w:ascii="Arial" w:cs="Arial" w:eastAsia="Arial" w:hAnsi="Arial"/>
          <w:sz w:val="16"/>
          <w:szCs w:val="16"/>
          <w:color w:val="auto"/>
        </w:rPr>
        <w:t>. In the absence of any designation from the Persons or groups with the right to designate a director as specified in Section 6.1, the director previously designated by them and then serving shall be reelected if still eligible to serve as provided herein.</w:t>
      </w:r>
    </w:p>
    <w:p>
      <w:pPr>
        <w:spacing w:after="0" w:line="16" w:lineRule="exact"/>
        <w:rPr>
          <w:sz w:val="20"/>
          <w:szCs w:val="20"/>
          <w:color w:val="auto"/>
        </w:rPr>
      </w:pPr>
    </w:p>
    <w:p>
      <w:pPr>
        <w:ind w:right="300" w:firstLine="441"/>
        <w:spacing w:after="0" w:line="34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Removal of Board Members</w:t>
      </w:r>
      <w:r>
        <w:rPr>
          <w:rFonts w:ascii="Arial" w:cs="Arial" w:eastAsia="Arial" w:hAnsi="Arial"/>
          <w:sz w:val="16"/>
          <w:szCs w:val="16"/>
          <w:color w:val="auto"/>
        </w:rPr>
        <w:t>. Each Stockholder agrees to vote, or cause to be voted, all Voting Shares owned by such Stockholder, or over which such Stockholder has voting control, from time to time and at all times, in whatever manner as shall be necessary to ensure that:</w:t>
      </w:r>
    </w:p>
    <w:p>
      <w:pPr>
        <w:spacing w:after="0" w:line="16" w:lineRule="exact"/>
        <w:rPr>
          <w:sz w:val="20"/>
          <w:szCs w:val="20"/>
          <w:color w:val="auto"/>
        </w:rPr>
      </w:pPr>
    </w:p>
    <w:p>
      <w:pPr>
        <w:ind w:firstLine="996"/>
        <w:spacing w:after="0" w:line="312" w:lineRule="auto"/>
        <w:tabs>
          <w:tab w:leader="none" w:pos="1237" w:val="left"/>
        </w:tabs>
        <w:numPr>
          <w:ilvl w:val="0"/>
          <w:numId w:val="245"/>
        </w:numPr>
        <w:rPr>
          <w:rFonts w:ascii="Arial" w:cs="Arial" w:eastAsia="Arial" w:hAnsi="Arial"/>
          <w:sz w:val="16"/>
          <w:szCs w:val="16"/>
          <w:color w:val="auto"/>
        </w:rPr>
      </w:pPr>
      <w:r>
        <w:rPr>
          <w:rFonts w:ascii="Arial" w:cs="Arial" w:eastAsia="Arial" w:hAnsi="Arial"/>
          <w:sz w:val="16"/>
          <w:szCs w:val="16"/>
          <w:color w:val="auto"/>
        </w:rPr>
        <w:t>no director elected pursuant to Section 6.1 or Section 6.2 may be removed from office unless (i) such removal is directed or approved by the affirmative vote of the Person, or of the holders of a majority of the shares of stock, entitled under Section 6.1 to designate that director or (ii) the Person(s) originally entitled to designate or approve such director pursuant to Section 6.1 is no longer so entitled to designate or approve such director;</w:t>
      </w:r>
    </w:p>
    <w:p>
      <w:pPr>
        <w:spacing w:after="0" w:line="38" w:lineRule="exact"/>
        <w:rPr>
          <w:rFonts w:ascii="Arial" w:cs="Arial" w:eastAsia="Arial" w:hAnsi="Arial"/>
          <w:sz w:val="16"/>
          <w:szCs w:val="16"/>
          <w:color w:val="auto"/>
        </w:rPr>
      </w:pPr>
    </w:p>
    <w:p>
      <w:pPr>
        <w:ind w:right="240" w:firstLine="996"/>
        <w:spacing w:after="0" w:line="277" w:lineRule="auto"/>
        <w:tabs>
          <w:tab w:leader="none" w:pos="124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any vacancies created by the resignation, removal or death of a director elected pursuant to Section 6.1 or Section 6.2 shall be filled pursuant to the provisions of this Section 6; and</w:t>
      </w:r>
    </w:p>
    <w:p>
      <w:pPr>
        <w:spacing w:after="0" w:line="62" w:lineRule="exact"/>
        <w:rPr>
          <w:rFonts w:ascii="Arial" w:cs="Arial" w:eastAsia="Arial" w:hAnsi="Arial"/>
          <w:sz w:val="18"/>
          <w:szCs w:val="18"/>
          <w:color w:val="auto"/>
        </w:rPr>
      </w:pPr>
    </w:p>
    <w:p>
      <w:pPr>
        <w:ind w:right="460" w:firstLine="996"/>
        <w:spacing w:after="0" w:line="277" w:lineRule="auto"/>
        <w:tabs>
          <w:tab w:leader="none" w:pos="123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upon the written request of any party entitled to designate a director as provided in Section 6.1(a), Section 6.1(b) to remove such director, such director shall be removed.</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All Stockholders agree to execute any written consents required to perform their obligations as set forth in this Agreement, and the Company agrees, at the written request of any party entitled to designate directors, to call a special meeting of the Company’s stockholders for the purpose of electing directors.</w:t>
      </w:r>
    </w:p>
    <w:p>
      <w:pPr>
        <w:spacing w:after="0" w:line="73"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No Liability for Election of Recommended Directors</w:t>
      </w:r>
      <w:r>
        <w:rPr>
          <w:rFonts w:ascii="Arial" w:cs="Arial" w:eastAsia="Arial" w:hAnsi="Arial"/>
          <w:sz w:val="16"/>
          <w:szCs w:val="16"/>
          <w:color w:val="auto"/>
        </w:rPr>
        <w:t>. No Stockholder, nor any Affiliate of any Stockholder, shall have any liability as a result of designating an individual for election as a director for any act or omission by such designated individual in his or her capacity as a director of the Company, nor shall any Stockholder have any liability as a result of voting for any such designee in accordance with the provisions of this Agreement.</w:t>
      </w:r>
    </w:p>
    <w:p>
      <w:pPr>
        <w:spacing w:after="0" w:line="39"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No “Bad Actor” Designees</w:t>
      </w:r>
      <w:r>
        <w:rPr>
          <w:rFonts w:ascii="Arial" w:cs="Arial" w:eastAsia="Arial" w:hAnsi="Arial"/>
          <w:sz w:val="17"/>
          <w:szCs w:val="17"/>
          <w:color w:val="auto"/>
        </w:rPr>
        <w:t>. Each Person or group with the right to designate, or participate in the designation of, a director as specified in Section 6.1 (each, a “</w:t>
      </w:r>
      <w:r>
        <w:rPr>
          <w:rFonts w:ascii="Arial" w:cs="Arial" w:eastAsia="Arial" w:hAnsi="Arial"/>
          <w:sz w:val="17"/>
          <w:szCs w:val="17"/>
          <w:b w:val="1"/>
          <w:bCs w:val="1"/>
          <w:i w:val="1"/>
          <w:iCs w:val="1"/>
          <w:color w:val="auto"/>
        </w:rPr>
        <w:t>Designator</w:t>
      </w:r>
      <w:r>
        <w:rPr>
          <w:rFonts w:ascii="Arial" w:cs="Arial" w:eastAsia="Arial" w:hAnsi="Arial"/>
          <w:sz w:val="17"/>
          <w:szCs w:val="17"/>
          <w:color w:val="auto"/>
        </w:rPr>
        <w:t>”) hereby represents and warrants to the Company that, to such Designator’s knowledge, none of the “bad actor” disqualifying events described in Rule 506(d)(1)(i)-(viii) promulgated under the Securities Act (each, a “</w:t>
      </w:r>
      <w:r>
        <w:rPr>
          <w:rFonts w:ascii="Arial" w:cs="Arial" w:eastAsia="Arial" w:hAnsi="Arial"/>
          <w:sz w:val="17"/>
          <w:szCs w:val="17"/>
          <w:b w:val="1"/>
          <w:bCs w:val="1"/>
          <w:i w:val="1"/>
          <w:iCs w:val="1"/>
          <w:color w:val="auto"/>
        </w:rPr>
        <w:t>Disqualification Event</w:t>
      </w:r>
      <w:r>
        <w:rPr>
          <w:rFonts w:ascii="Arial" w:cs="Arial" w:eastAsia="Arial" w:hAnsi="Arial"/>
          <w:sz w:val="17"/>
          <w:szCs w:val="17"/>
          <w:color w:val="auto"/>
        </w:rPr>
        <w:t>”), is applicable to such Designator’s initial designee named in Section 6.1, except, if applicable, for a Disqualification Event as to which Rule 506(d)(2)(ii) or (iii) or (d)(3) is applicable. Any director designee to whom any Disqualification Event is applicable, except for a Disqualification Event as to which Rule 506(d)(2)(ii) or (iii) or (d)(3) is applicable, is hereinafter referred to as a “</w:t>
      </w:r>
      <w:r>
        <w:rPr>
          <w:rFonts w:ascii="Arial" w:cs="Arial" w:eastAsia="Arial" w:hAnsi="Arial"/>
          <w:sz w:val="17"/>
          <w:szCs w:val="17"/>
          <w:b w:val="1"/>
          <w:bCs w:val="1"/>
          <w:i w:val="1"/>
          <w:iCs w:val="1"/>
          <w:color w:val="auto"/>
        </w:rPr>
        <w:t>Disqualified Designee</w:t>
      </w:r>
      <w:r>
        <w:rPr>
          <w:rFonts w:ascii="Arial" w:cs="Arial" w:eastAsia="Arial" w:hAnsi="Arial"/>
          <w:sz w:val="17"/>
          <w:szCs w:val="17"/>
          <w:color w:val="auto"/>
        </w:rPr>
        <w:t>.” Each Designator hereby covenants and agrees (i) not to designate, or participate in the designation of, any director designee who, to such Designator’s knowledge, is a Disqualified Designee and (ii) that, in the event such Designator becomes aware that any individual previously designated by any such Designator is or has become a Disqualified Designee, such Designator shall, as promptly as practicable, take such actions as are necessary to remove such Disqualified Designee from the Board and designate a replacement designee who is not a Disqualified Designee.</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4" w:right="499" w:bottom="1440" w:gutter="0" w:footer="0" w:header="0"/>
        </w:sectPr>
      </w:pPr>
    </w:p>
    <w:bookmarkStart w:id="354" w:name="page355"/>
    <w:bookmarkEnd w:id="354"/>
    <w:p>
      <w:pPr>
        <w:ind w:left="440" w:right="7040" w:hanging="436"/>
        <w:spacing w:after="0" w:line="375" w:lineRule="auto"/>
        <w:tabs>
          <w:tab w:leader="none" w:pos="179"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Drag-Along Right; Vote to Increase Common Stock</w:t>
      </w:r>
      <w:r>
        <w:rPr>
          <w:rFonts w:ascii="Arial" w:cs="Arial" w:eastAsia="Arial" w:hAnsi="Arial"/>
          <w:sz w:val="18"/>
          <w:szCs w:val="18"/>
          <w:color w:val="auto"/>
        </w:rPr>
        <w:t xml:space="preserve">. 7.1 </w:t>
      </w:r>
      <w:r>
        <w:rPr>
          <w:rFonts w:ascii="Arial" w:cs="Arial" w:eastAsia="Arial" w:hAnsi="Arial"/>
          <w:sz w:val="18"/>
          <w:szCs w:val="18"/>
          <w:u w:val="single" w:color="auto"/>
          <w:color w:val="auto"/>
        </w:rPr>
        <w:t>Definitions</w:t>
      </w:r>
    </w:p>
    <w:p>
      <w:pPr>
        <w:spacing w:after="0" w:line="1" w:lineRule="exact"/>
        <w:rPr>
          <w:rFonts w:ascii="Arial" w:cs="Arial" w:eastAsia="Arial" w:hAnsi="Arial"/>
          <w:sz w:val="18"/>
          <w:szCs w:val="18"/>
          <w:color w:val="auto"/>
        </w:rPr>
      </w:pPr>
    </w:p>
    <w:p>
      <w:pPr>
        <w:ind w:left="1240" w:hanging="244"/>
        <w:spacing w:after="0"/>
        <w:tabs>
          <w:tab w:leader="none" w:pos="124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Sale of the Company</w:t>
      </w:r>
      <w:r>
        <w:rPr>
          <w:rFonts w:ascii="Arial" w:cs="Arial" w:eastAsia="Arial" w:hAnsi="Arial"/>
          <w:sz w:val="18"/>
          <w:szCs w:val="18"/>
          <w:color w:val="auto"/>
        </w:rPr>
        <w:t>” means either (i) a Stock Sale (as defined below) or (ii) a Deemed Liquidation Event.</w:t>
      </w:r>
    </w:p>
    <w:p>
      <w:pPr>
        <w:spacing w:after="0" w:line="117" w:lineRule="exact"/>
        <w:rPr>
          <w:rFonts w:ascii="Arial" w:cs="Arial" w:eastAsia="Arial" w:hAnsi="Arial"/>
          <w:sz w:val="18"/>
          <w:szCs w:val="18"/>
          <w:color w:val="auto"/>
        </w:rPr>
      </w:pPr>
    </w:p>
    <w:p>
      <w:pPr>
        <w:ind w:firstLine="996"/>
        <w:spacing w:after="0" w:line="273" w:lineRule="auto"/>
        <w:tabs>
          <w:tab w:leader="none" w:pos="1247" w:val="left"/>
        </w:tabs>
        <w:numPr>
          <w:ilvl w:val="1"/>
          <w:numId w:val="2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Sale</w:t>
      </w:r>
      <w:r>
        <w:rPr>
          <w:rFonts w:ascii="Arial" w:cs="Arial" w:eastAsia="Arial" w:hAnsi="Arial"/>
          <w:sz w:val="17"/>
          <w:szCs w:val="17"/>
          <w:color w:val="auto"/>
        </w:rPr>
        <w:t xml:space="preserve">” means a change in ownership of the Company, other than a Deemed Liquidation Event, that occurs when one Person, or more than one Person acting as a group, acquires ownership of stock of the Company, in a stock sale or exchange, that, together with the stock held by such Person or group, constitutes more than 50% of the total voting power of the stock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Stock Sale will not occur if any Person, or more than one Person acting as a group, owns more than 50% of the total voting power of the stock of the Company and acquires additional stock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change in the ownership of the stock of the Company as a result of a bona fide equity financing of the Company that is approved by the Board will not be considered a Stock Sale.</w:t>
      </w:r>
    </w:p>
    <w:p>
      <w:pPr>
        <w:spacing w:after="0" w:line="70" w:lineRule="exact"/>
        <w:rPr>
          <w:rFonts w:ascii="Arial" w:cs="Arial" w:eastAsia="Arial" w:hAnsi="Arial"/>
          <w:sz w:val="17"/>
          <w:szCs w:val="17"/>
          <w:color w:val="auto"/>
        </w:rPr>
      </w:pPr>
    </w:p>
    <w:p>
      <w:pPr>
        <w:ind w:right="220" w:firstLine="996"/>
        <w:spacing w:after="0" w:line="277" w:lineRule="auto"/>
        <w:tabs>
          <w:tab w:leader="none" w:pos="1237" w:val="left"/>
        </w:tabs>
        <w:numPr>
          <w:ilvl w:val="1"/>
          <w:numId w:val="2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Subject Shares</w:t>
      </w:r>
      <w:r>
        <w:rPr>
          <w:rFonts w:ascii="Arial" w:cs="Arial" w:eastAsia="Arial" w:hAnsi="Arial"/>
          <w:sz w:val="18"/>
          <w:szCs w:val="18"/>
          <w:color w:val="auto"/>
        </w:rPr>
        <w:t>” means all securities of the Company, including securities of the Company acquired upon exercise or conversion of any options, warrants or other convertible securities.</w:t>
      </w:r>
    </w:p>
    <w:p>
      <w:pPr>
        <w:spacing w:after="0" w:line="62"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Actions to be Taken</w:t>
      </w:r>
      <w:r>
        <w:rPr>
          <w:rFonts w:ascii="Arial" w:cs="Arial" w:eastAsia="Arial" w:hAnsi="Arial"/>
          <w:sz w:val="18"/>
          <w:szCs w:val="18"/>
          <w:color w:val="auto"/>
        </w:rPr>
        <w:t>. In the event that the holders of (i) a majority of the then outstanding shares of Common Stock and (ii) a majority of the then outstanding shares of Preferred Stock (voting together as a single class on an as converted to Common Stock basis) (the “</w:t>
      </w:r>
      <w:r>
        <w:rPr>
          <w:rFonts w:ascii="Arial" w:cs="Arial" w:eastAsia="Arial" w:hAnsi="Arial"/>
          <w:sz w:val="18"/>
          <w:szCs w:val="18"/>
          <w:b w:val="1"/>
          <w:bCs w:val="1"/>
          <w:i w:val="1"/>
          <w:iCs w:val="1"/>
          <w:color w:val="auto"/>
        </w:rPr>
        <w:t>Selling Stockholders</w:t>
      </w:r>
      <w:r>
        <w:rPr>
          <w:rFonts w:ascii="Arial" w:cs="Arial" w:eastAsia="Arial" w:hAnsi="Arial"/>
          <w:sz w:val="18"/>
          <w:szCs w:val="18"/>
          <w:color w:val="auto"/>
        </w:rPr>
        <w:t>”) approve a Sale of the Company, in writing, specifying that this Section 7 shall apply to such transaction, then the Company and each Stockholder hereby agrees:</w:t>
      </w:r>
    </w:p>
    <w:p>
      <w:pPr>
        <w:spacing w:after="0" w:line="79" w:lineRule="exact"/>
        <w:rPr>
          <w:sz w:val="20"/>
          <w:szCs w:val="20"/>
          <w:color w:val="auto"/>
        </w:rPr>
      </w:pPr>
    </w:p>
    <w:p>
      <w:pPr>
        <w:ind w:right="40" w:firstLine="996"/>
        <w:spacing w:after="0" w:line="257" w:lineRule="auto"/>
        <w:tabs>
          <w:tab w:leader="none" w:pos="123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if such transaction requires stockholder approval, with respect to all Voting Shares owned by such Stockholder, or over which such Stockholder has voting control, to vote (in person, by proxy or by written consent, as applicable) such Voting Shares in favor of such Sale of the Company (together with any related amendment to the Restated Charter required in order to implement such Sale of the Company) and in opposition to any and all other proposals that could reasonably be expected to delay or impair the ability of the Company or its stockholders to consummate such Sale of the Company;</w:t>
      </w:r>
    </w:p>
    <w:p>
      <w:pPr>
        <w:spacing w:after="0" w:line="80" w:lineRule="exact"/>
        <w:rPr>
          <w:rFonts w:ascii="Arial" w:cs="Arial" w:eastAsia="Arial" w:hAnsi="Arial"/>
          <w:sz w:val="18"/>
          <w:szCs w:val="18"/>
          <w:color w:val="auto"/>
        </w:rPr>
      </w:pPr>
    </w:p>
    <w:p>
      <w:pPr>
        <w:ind w:right="180" w:firstLine="996"/>
        <w:spacing w:after="0" w:line="297" w:lineRule="auto"/>
        <w:tabs>
          <w:tab w:leader="none" w:pos="1247"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to sell or exchange all Subject Shares that such Stockholder then beneficially holds pursuant to the terms and conditions of such Deemed Liquidation Event or, in the case of a Stock Sale, to sell or otherwise transfer to the acquiring Person all Subject Shares that such Stockholder then beneficially holds (or in the event that the Selling Stockholders are selling fewer than all of their Subject Shares, shares in the same proportion as the Selling Stockholders are selling to the acquiring Person) for the same per share consideration in accordance with the provisions of the Restated Charter, and on the same terms and conditions (except as otherwise permitted by Section 7.3), as the Selling Stockholders;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55" w:name="page356"/>
    <w:bookmarkEnd w:id="355"/>
    <w:p>
      <w:pPr>
        <w:ind w:left="10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to refrain from exercising any dissenters’ rights or rights of appraisal under applicable law (if any) with respect to such Sale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03" w:lineRule="exact"/>
        <w:rPr>
          <w:sz w:val="20"/>
          <w:szCs w:val="20"/>
          <w:color w:val="auto"/>
        </w:rPr>
      </w:pPr>
    </w:p>
    <w:p>
      <w:pPr>
        <w:ind w:right="480" w:firstLine="996"/>
        <w:spacing w:after="0" w:line="302" w:lineRule="auto"/>
        <w:tabs>
          <w:tab w:leader="none" w:pos="1247"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to execute and deliver all related documentation and take such other actions as may be reasonably requested, in writing, by the Company or the Selling Stockholders in support of such Sale of the Company, including executing and delivering instruments of conveyance and transfer, any purchase agreement, merger agreement, indemnity agreement, escrow agreement, consent, waiver, governmental filing and share certificates duly endorsed for transfer (free and clear of impermissible liens, claims and encumbrances), and any similar or related documents;</w:t>
      </w:r>
    </w:p>
    <w:p>
      <w:pPr>
        <w:spacing w:after="0" w:line="46" w:lineRule="exact"/>
        <w:rPr>
          <w:rFonts w:ascii="Arial" w:cs="Arial" w:eastAsia="Arial" w:hAnsi="Arial"/>
          <w:sz w:val="16"/>
          <w:szCs w:val="16"/>
          <w:color w:val="auto"/>
        </w:rPr>
      </w:pPr>
    </w:p>
    <w:p>
      <w:pPr>
        <w:ind w:right="100" w:firstLine="996"/>
        <w:spacing w:after="0" w:line="264" w:lineRule="auto"/>
        <w:tabs>
          <w:tab w:leader="none" w:pos="123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to refrain from entering into any agreement or understanding (including any proxy or voting trust) that would be inconsistent with, or violate, the provisions of this Section 7, unless specifically requested to do so, in writing, by the acquiring Person in connection with such Sale of the Company; and</w:t>
      </w:r>
    </w:p>
    <w:p>
      <w:pPr>
        <w:spacing w:after="0" w:line="73" w:lineRule="exact"/>
        <w:rPr>
          <w:rFonts w:ascii="Arial" w:cs="Arial" w:eastAsia="Arial" w:hAnsi="Arial"/>
          <w:sz w:val="18"/>
          <w:szCs w:val="18"/>
          <w:color w:val="auto"/>
        </w:rPr>
      </w:pPr>
    </w:p>
    <w:p>
      <w:pPr>
        <w:ind w:right="120" w:firstLine="996"/>
        <w:spacing w:after="0" w:line="253" w:lineRule="auto"/>
        <w:tabs>
          <w:tab w:leader="none" w:pos="121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the event that a stockholder representative (the “</w:t>
      </w:r>
      <w:r>
        <w:rPr>
          <w:rFonts w:ascii="Arial" w:cs="Arial" w:eastAsia="Arial" w:hAnsi="Arial"/>
          <w:sz w:val="18"/>
          <w:szCs w:val="18"/>
          <w:b w:val="1"/>
          <w:bCs w:val="1"/>
          <w:i w:val="1"/>
          <w:iCs w:val="1"/>
          <w:color w:val="auto"/>
        </w:rPr>
        <w:t>Stockholder Representative</w:t>
      </w:r>
      <w:r>
        <w:rPr>
          <w:rFonts w:ascii="Arial" w:cs="Arial" w:eastAsia="Arial" w:hAnsi="Arial"/>
          <w:sz w:val="18"/>
          <w:szCs w:val="18"/>
          <w:color w:val="auto"/>
        </w:rPr>
        <w:t>”) is appointed with respect to matters affecting the Company’s stockholders under the applicable definitive transaction agreements relating to such Sale of the Company, (i) to consent to (x) the appointment of such Stockholder Representative, (y) the establishment of any applicable escrow, expense or similar fund in connection with any indemnification or similar obligations, and (z) the payment of such Stockholder’s pro rata portion (from the applicable escrow or expense fund or otherwise) of any and all of such Stockholder Representative’s reasonable fees and expenses arising out of such Stockholder Representative’s services and duties as the representative of the Company’s stockholders in connection with such Sale of the Company, and (ii) not to assert any claim, or commence any suit, against the Stockholder Representative or any other stockholder of the Company with respect to any action or inaction by the Stockholder Representative in connection with his or her service as the Stockholder Representative, absent fraud, gross negligence or willful misconduct.</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provisions of this Section 7 shall (i) (x) with respect to Theresa Janke, supersede and replace the provisions of Section 12 of that certain Contribution Agreement made and entered into as of March 20, 2015 by and between the Company and Theresa Janke and (y) with respect to Melissa Kotterman, supersede and replace the provisions of Section 12 of that certain Contribution Agreement made and entered into as of March 20, 2015 by and between the Company and Melissa Kotterman and (ii) not be deemed to require any Stockholder to approve any amendment or waiver of any provision of the Restated Charter or otherwise approve a Sale of the Company that would not allocate the consideration in accordance with the Restated Charter.</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Exceptions</w:t>
      </w:r>
      <w:r>
        <w:rPr>
          <w:rFonts w:ascii="Arial" w:cs="Arial" w:eastAsia="Arial" w:hAnsi="Arial"/>
          <w:sz w:val="16"/>
          <w:szCs w:val="16"/>
          <w:color w:val="auto"/>
        </w:rPr>
        <w:t>. Notwithstanding the foregoing, a Stockholder’s obligations pursuant to Section 7.2 in connection with any proposed Sale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(the “</w:t>
      </w:r>
      <w:r>
        <w:rPr>
          <w:rFonts w:ascii="Arial" w:cs="Arial" w:eastAsia="Arial" w:hAnsi="Arial"/>
          <w:sz w:val="18"/>
          <w:szCs w:val="18"/>
          <w:b w:val="1"/>
          <w:bCs w:val="1"/>
          <w:i w:val="1"/>
          <w:iCs w:val="1"/>
          <w:color w:val="auto"/>
        </w:rPr>
        <w:t>Proposed Sale</w:t>
      </w:r>
      <w:r>
        <w:rPr>
          <w:rFonts w:ascii="Arial" w:cs="Arial" w:eastAsia="Arial" w:hAnsi="Arial"/>
          <w:sz w:val="18"/>
          <w:szCs w:val="18"/>
          <w:color w:val="auto"/>
        </w:rPr>
        <w:t>”) shall be subject to the following conditions:</w:t>
      </w:r>
    </w:p>
    <w:p>
      <w:pPr>
        <w:spacing w:after="0" w:line="103" w:lineRule="exact"/>
        <w:rPr>
          <w:sz w:val="20"/>
          <w:szCs w:val="20"/>
          <w:color w:val="auto"/>
        </w:rPr>
      </w:pPr>
    </w:p>
    <w:p>
      <w:pPr>
        <w:ind w:firstLine="996"/>
        <w:spacing w:after="0" w:line="264" w:lineRule="auto"/>
        <w:tabs>
          <w:tab w:leader="none" w:pos="123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any representations and warranties to be made by such Stockholder in connection with the Proposed Sale are limited to representations and warranties related to authority, ownership and the ability to convey title to the Stockholder’s Shares, including, but not limited to, representations and warranties that (i) the Stockholder holds all right, title and</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440" w:top="273" w:right="519" w:bottom="1440" w:gutter="0" w:footer="0" w:header="0"/>
        </w:sectPr>
      </w:pPr>
    </w:p>
    <w:bookmarkStart w:id="356" w:name="page357"/>
    <w:bookmarkEnd w:id="356"/>
    <w:p>
      <w:pPr>
        <w:ind w:right="2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in and to the Shares such Stockholder purports to hold, free and clear of all liens and encumbrances, (ii) the obligations of the Stockholder in connection with the transaction have been duly authorized, if applicable, (iii) the documents to be entered into by the Stockholder have been duly executed by the Stockholder and delivered to the acquirer and are enforceable against the Stockholder in accordance with their respective terms; and</w:t>
      </w:r>
    </w:p>
    <w:p>
      <w:pPr>
        <w:ind w:right="160" w:firstLine="4"/>
        <w:spacing w:after="0" w:line="255" w:lineRule="auto"/>
        <w:tabs>
          <w:tab w:leader="none" w:pos="30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neither the execution and delivery of documents to be entered into in connection with the Proposed Sale, nor the performance of the Stockholder’s obligations thereunder, will cause a breach or violation of the terms of any agreement, law or judgment, order or decree of any court or governmental agency;</w:t>
      </w:r>
    </w:p>
    <w:p>
      <w:pPr>
        <w:spacing w:after="0" w:line="82" w:lineRule="exact"/>
        <w:rPr>
          <w:rFonts w:ascii="Arial" w:cs="Arial" w:eastAsia="Arial" w:hAnsi="Arial"/>
          <w:sz w:val="18"/>
          <w:szCs w:val="18"/>
          <w:color w:val="auto"/>
        </w:rPr>
      </w:pPr>
    </w:p>
    <w:p>
      <w:pPr>
        <w:ind w:right="80" w:firstLine="996"/>
        <w:spacing w:after="0" w:line="259" w:lineRule="auto"/>
        <w:tabs>
          <w:tab w:leader="none" w:pos="1247"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Stockholder shall not be liable for the inaccuracy of any representation or warranty made by any other Person in connection with the Proposed Sale, other than the Company (except to the extent that funds may be paid out of an escrow established to cover breach of representations, warranties and covenants of the Company as well as breach by any stockholder of any of identical representations, warranties and covenants provided by all stockholders);</w:t>
      </w:r>
    </w:p>
    <w:p>
      <w:pPr>
        <w:spacing w:after="0" w:line="78" w:lineRule="exact"/>
        <w:rPr>
          <w:rFonts w:ascii="Arial" w:cs="Arial" w:eastAsia="Arial" w:hAnsi="Arial"/>
          <w:sz w:val="18"/>
          <w:szCs w:val="18"/>
          <w:color w:val="auto"/>
        </w:rPr>
      </w:pPr>
    </w:p>
    <w:p>
      <w:pPr>
        <w:ind w:firstLine="996"/>
        <w:spacing w:after="0" w:line="273" w:lineRule="auto"/>
        <w:tabs>
          <w:tab w:leader="none" w:pos="1237" w:val="left"/>
        </w:tabs>
        <w:numPr>
          <w:ilvl w:val="1"/>
          <w:numId w:val="250"/>
        </w:numPr>
        <w:rPr>
          <w:rFonts w:ascii="Arial" w:cs="Arial" w:eastAsia="Arial" w:hAnsi="Arial"/>
          <w:sz w:val="17"/>
          <w:szCs w:val="17"/>
          <w:color w:val="auto"/>
        </w:rPr>
      </w:pPr>
      <w:r>
        <w:rPr>
          <w:rFonts w:ascii="Arial" w:cs="Arial" w:eastAsia="Arial" w:hAnsi="Arial"/>
          <w:sz w:val="17"/>
          <w:szCs w:val="17"/>
          <w:color w:val="auto"/>
        </w:rPr>
        <w:t>the liability for indemnification, if any, of such Stockholder in the Proposed Sale, and for the inaccuracy of any representations and warranties made by the Company or its stockholders in connection with the Proposed Sale, shall be several and not joint with any other Person (except to the extent that funds may be paid out of an escrow established to cover breach of representations, warranties and covenants of the Company as well as breach by any stockholder of any identical representations, warranties and covenants provided by all stockholders) and, subject to any provisions of the Restated Charter relating to the allocation of the escrow, shall be pro rata in proportion to, and shall not exceed, the amount of consideration paid to such Stockholder in connection with the Proposed Sale.</w:t>
      </w:r>
    </w:p>
    <w:p>
      <w:pPr>
        <w:spacing w:after="0" w:line="70" w:lineRule="exact"/>
        <w:rPr>
          <w:rFonts w:ascii="Arial" w:cs="Arial" w:eastAsia="Arial" w:hAnsi="Arial"/>
          <w:sz w:val="17"/>
          <w:szCs w:val="17"/>
          <w:color w:val="auto"/>
        </w:rPr>
      </w:pPr>
    </w:p>
    <w:p>
      <w:pPr>
        <w:ind w:right="120" w:firstLine="996"/>
        <w:spacing w:after="0" w:line="255" w:lineRule="auto"/>
        <w:tabs>
          <w:tab w:leader="none" w:pos="1247" w:val="left"/>
        </w:tabs>
        <w:numPr>
          <w:ilvl w:val="1"/>
          <w:numId w:val="250"/>
        </w:numPr>
        <w:rPr>
          <w:rFonts w:ascii="Arial" w:cs="Arial" w:eastAsia="Arial" w:hAnsi="Arial"/>
          <w:sz w:val="18"/>
          <w:szCs w:val="18"/>
          <w:color w:val="auto"/>
        </w:rPr>
      </w:pPr>
      <w:r>
        <w:rPr>
          <w:rFonts w:ascii="Arial" w:cs="Arial" w:eastAsia="Arial" w:hAnsi="Arial"/>
          <w:sz w:val="18"/>
          <w:szCs w:val="18"/>
          <w:color w:val="auto"/>
        </w:rPr>
        <w:t>other than liability in respect of actions or omissions of, or representations and warranties made solely by and with respect to, such Stockholder, liability shall be limited to such Stockholder’s applicable share (determined based on the respective proceeds payable to each Stockholder in connection with such Proposed Sale in accordance with the provisions of the Restated Certificate) of a negotiated aggregate indemnification amount that applies equally to all Stockholders but that in no event exceeds the amount of consideration otherwise payable to such Stockholder in connection with such Proposed Sale, except with respect to claims related to fraud by such Stockholder, the liability for which need not be limited as to such Stockholder;</w:t>
      </w:r>
    </w:p>
    <w:p>
      <w:pPr>
        <w:spacing w:after="0" w:line="85" w:lineRule="exact"/>
        <w:rPr>
          <w:rFonts w:ascii="Arial" w:cs="Arial" w:eastAsia="Arial" w:hAnsi="Arial"/>
          <w:sz w:val="18"/>
          <w:szCs w:val="18"/>
          <w:color w:val="auto"/>
        </w:rPr>
      </w:pPr>
    </w:p>
    <w:p>
      <w:pPr>
        <w:ind w:right="40" w:firstLine="996"/>
        <w:spacing w:after="0" w:line="271" w:lineRule="auto"/>
        <w:tabs>
          <w:tab w:leader="none" w:pos="1237" w:val="left"/>
        </w:tabs>
        <w:numPr>
          <w:ilvl w:val="1"/>
          <w:numId w:val="250"/>
        </w:numPr>
        <w:rPr>
          <w:rFonts w:ascii="Arial" w:cs="Arial" w:eastAsia="Arial" w:hAnsi="Arial"/>
          <w:sz w:val="17"/>
          <w:szCs w:val="17"/>
          <w:color w:val="auto"/>
        </w:rPr>
      </w:pPr>
      <w:r>
        <w:rPr>
          <w:rFonts w:ascii="Arial" w:cs="Arial" w:eastAsia="Arial" w:hAnsi="Arial"/>
          <w:sz w:val="17"/>
          <w:szCs w:val="17"/>
          <w:color w:val="auto"/>
        </w:rPr>
        <w:t>as a result of the Proposed Sale, (i) each holder of each class or series of capital stock of the Company shall be entitled to receive the same form of consideration (and be subject to the same indemnity and escrow provisions) for their shares of such class or series as is received by other holders with respect to their shares of such same class or series of stock, (ii) each holder of a series of Preferred Stock of the Company shall receive the same amount of consideration per share of such series of Preferred Stock of the Company as is received by other holders with respect to their shares of such same series, (iii) each holder of Common Stock shall receive the same amount of consideration per share of Common Stock as is received by other holders with respect to their shares of Common Stock, and (iv) unless the holders of each series of Preferred Stock agree otherwise by legally sufficient amendment or waiver of the provisions of the Restated Charter then in effect, the aggregate consideration receivable by all holders of Common Stock and Preferred Stock of the Company shall be allocated among the holders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57" w:name="page358"/>
    <w:bookmarkEnd w:id="357"/>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Common Stock and Preferred Stock of the Company on the basis of the relative liquidation preferences to which the holders of each respective series of Preferred Stock of the Company and the holders of Common Stock are entitled in a Deemed Liquidation Event (assuming for this purpose that the Proposed Sale is a Deemed Liquidation Event) in accordance with the Restated Charter in effect immediately prior to the Proposed Sale;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the foregoing, if the consideration to be paid in exchange for the Subject Shares pursuant to the Proposed Sale includes any securities and due receipt thereof by such Stockholder would require, under applicable law, (x) the registration or qualification of such securities or of any Person as a broker, dealer or agent with respect to such securities or (y) the provision to such Stockholder of any information other than such information as a prudent issuer would generally furnish in an offering made solely to “accredited investors” as defined in Regulation D promulgated under the Securities Act, then the Company may cause to be paid to such Stockholder, in lieu of such securities, against surrender of the Subject Shares which would have otherwise been sold by such Stockholder, an amount in cash equal to the fair market value (as determined in good faith by the Company) of the securities that such Stockholder would otherwise receive as of the date of issuance of such securities in exchange for such Stockholder’s Subject Shares;</w:t>
      </w:r>
    </w:p>
    <w:p>
      <w:pPr>
        <w:spacing w:after="0" w:line="75" w:lineRule="exact"/>
        <w:rPr>
          <w:sz w:val="20"/>
          <w:szCs w:val="20"/>
          <w:color w:val="auto"/>
        </w:rPr>
      </w:pPr>
    </w:p>
    <w:p>
      <w:pPr>
        <w:ind w:firstLine="996"/>
        <w:spacing w:after="0" w:line="276" w:lineRule="auto"/>
        <w:tabs>
          <w:tab w:leader="none" w:pos="1217" w:val="left"/>
        </w:tabs>
        <w:numPr>
          <w:ilvl w:val="0"/>
          <w:numId w:val="251"/>
        </w:numPr>
        <w:rPr>
          <w:rFonts w:ascii="Arial" w:cs="Arial" w:eastAsia="Arial" w:hAnsi="Arial"/>
          <w:sz w:val="17"/>
          <w:szCs w:val="17"/>
          <w:color w:val="auto"/>
        </w:rPr>
      </w:pPr>
      <w:r>
        <w:rPr>
          <w:rFonts w:ascii="Arial" w:cs="Arial" w:eastAsia="Arial" w:hAnsi="Arial"/>
          <w:sz w:val="17"/>
          <w:szCs w:val="17"/>
          <w:color w:val="auto"/>
        </w:rPr>
        <w:t>subject to clause (e) above, requiring the same form of consideration to be available to the holders of any single class or series of capital stock, if any holders of any capital stock of the Company are given an option as to the form and amount of consideration to be received as a result of the Proposed Sale, all holders of such capital stock will be given the same option; provided, however, that nothing in this Section 7.3(f) shall entitle any holder to receive any form of consideration that such holder would be ineligible to receive as a result of such holder’s failure to satisfy any condition, requirement or limitation that is generally applicable to the Company’s stockholders;</w:t>
      </w:r>
    </w:p>
    <w:p>
      <w:pPr>
        <w:spacing w:after="0" w:line="64" w:lineRule="exact"/>
        <w:rPr>
          <w:rFonts w:ascii="Arial" w:cs="Arial" w:eastAsia="Arial" w:hAnsi="Arial"/>
          <w:sz w:val="17"/>
          <w:szCs w:val="17"/>
          <w:color w:val="auto"/>
        </w:rPr>
      </w:pPr>
    </w:p>
    <w:p>
      <w:pPr>
        <w:ind w:right="40" w:firstLine="996"/>
        <w:spacing w:after="0" w:line="264" w:lineRule="auto"/>
        <w:tabs>
          <w:tab w:leader="none" w:pos="124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No Stockholder or its affiliates shall be required to agree (unless such Stockholder is a Company officer or employee) to any restrictive covenant in connection with the Proposed Sale (including without limitation any covenant not to compete or covenant not to solicit customers, employees or suppliers of any party to the Proposed Sale);</w:t>
      </w:r>
    </w:p>
    <w:p>
      <w:pPr>
        <w:spacing w:after="0" w:line="73" w:lineRule="exact"/>
        <w:rPr>
          <w:rFonts w:ascii="Arial" w:cs="Arial" w:eastAsia="Arial" w:hAnsi="Arial"/>
          <w:sz w:val="18"/>
          <w:szCs w:val="18"/>
          <w:color w:val="auto"/>
        </w:rPr>
      </w:pPr>
    </w:p>
    <w:p>
      <w:pPr>
        <w:ind w:right="160" w:firstLine="996"/>
        <w:spacing w:after="0" w:line="286" w:lineRule="auto"/>
        <w:tabs>
          <w:tab w:leader="none" w:pos="1247" w:val="left"/>
        </w:tabs>
        <w:numPr>
          <w:ilvl w:val="0"/>
          <w:numId w:val="251"/>
        </w:numPr>
        <w:rPr>
          <w:rFonts w:ascii="Arial" w:cs="Arial" w:eastAsia="Arial" w:hAnsi="Arial"/>
          <w:sz w:val="17"/>
          <w:szCs w:val="17"/>
          <w:color w:val="auto"/>
        </w:rPr>
      </w:pPr>
      <w:r>
        <w:rPr>
          <w:rFonts w:ascii="Arial" w:cs="Arial" w:eastAsia="Arial" w:hAnsi="Arial"/>
          <w:sz w:val="17"/>
          <w:szCs w:val="17"/>
          <w:color w:val="auto"/>
        </w:rPr>
        <w:t>No Stockholder or its affiliates shall be required to amend, extend or terminate any commercial, contractual or other relationship with the Company, the acquirer or their respective affiliates, except that the Stockholder may be required to agree to terminate the investment-related documents between or among such Stockholder, the Company and/or other stockholders of the Company.</w:t>
      </w:r>
    </w:p>
    <w:p>
      <w:pPr>
        <w:spacing w:after="0" w:line="5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Restrictions on Sales of Control of the Company</w:t>
      </w:r>
      <w:r>
        <w:rPr>
          <w:rFonts w:ascii="Arial" w:cs="Arial" w:eastAsia="Arial" w:hAnsi="Arial"/>
          <w:sz w:val="17"/>
          <w:szCs w:val="17"/>
          <w:color w:val="auto"/>
        </w:rPr>
        <w:t>. No Stockholder shall be a party to any Stock Sale unless all holders of Preferred Stock are allowed to participate in such transaction and the consideration received pursuant to such transaction is allocated among the parties thereto in the manner specified in the Restated Certificate in effect immediately prior to the Stock Sale (as if such transaction were a Deemed Liquidation Event), unless (i) a majority of the then outstanding shares of Preferred Stock, voting together as a single class on an as-converted to Common Stock basis, and (ii) a majority of the then outstanding shares of Series B Preferred Stock, elect otherwise by written notice given to the Company at least ten (10) days prior to the effective date of any such transaction or series of related transactions.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358" w:name="page359"/>
    <w:bookmarkEnd w:id="358"/>
    <w:p>
      <w:pPr>
        <w:ind w:right="6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7.5 </w:t>
      </w:r>
      <w:r>
        <w:rPr>
          <w:rFonts w:ascii="Arial" w:cs="Arial" w:eastAsia="Arial" w:hAnsi="Arial"/>
          <w:sz w:val="18"/>
          <w:szCs w:val="18"/>
          <w:u w:val="single" w:color="auto"/>
          <w:color w:val="auto"/>
        </w:rPr>
        <w:t>Vote to Increase Authorized Common Stock</w:t>
      </w:r>
      <w:r>
        <w:rPr>
          <w:rFonts w:ascii="Arial" w:cs="Arial" w:eastAsia="Arial" w:hAnsi="Arial"/>
          <w:sz w:val="18"/>
          <w:szCs w:val="18"/>
          <w:color w:val="auto"/>
        </w:rPr>
        <w:t>. Each Stockholder agrees to vote, or cause to be voted, all Voting Shares owned by such Stockholder, or over which such Stockholder has voting control, from time to time and at all times, in whatever manner as shall be necessary to increase the number of authorized shares of Common Stock from time to time to ensure that there will be sufficient shares of Common Stock available for conversion of all shares of Preferred Stock outstanding at any given time.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117" w:lineRule="exact"/>
        <w:rPr>
          <w:sz w:val="20"/>
          <w:szCs w:val="20"/>
          <w:color w:val="auto"/>
        </w:rPr>
      </w:pPr>
    </w:p>
    <w:p>
      <w:pPr>
        <w:ind w:right="80" w:firstLine="996"/>
        <w:spacing w:after="0" w:line="286" w:lineRule="auto"/>
        <w:tabs>
          <w:tab w:leader="none" w:pos="1236" w:val="left"/>
        </w:tabs>
        <w:numPr>
          <w:ilvl w:val="1"/>
          <w:numId w:val="252"/>
        </w:numPr>
        <w:rPr>
          <w:rFonts w:ascii="Arial" w:cs="Arial" w:eastAsia="Arial" w:hAnsi="Arial"/>
          <w:sz w:val="16"/>
          <w:szCs w:val="16"/>
          <w:color w:val="auto"/>
        </w:rPr>
      </w:pPr>
      <w:r>
        <w:rPr>
          <w:rFonts w:ascii="Arial" w:cs="Arial" w:eastAsia="Arial" w:hAnsi="Arial"/>
          <w:sz w:val="16"/>
          <w:szCs w:val="16"/>
          <w:u w:val="single" w:color="auto"/>
          <w:color w:val="auto"/>
        </w:rPr>
        <w:t>Irrevocable Proxy and Power of Attorney</w:t>
      </w:r>
      <w:r>
        <w:rPr>
          <w:rFonts w:ascii="Arial" w:cs="Arial" w:eastAsia="Arial" w:hAnsi="Arial"/>
          <w:sz w:val="16"/>
          <w:szCs w:val="16"/>
          <w:color w:val="auto"/>
        </w:rPr>
        <w:t>. Each Stockholder hereby constitutes and appoints as such Stockholder’s proxy, and hereby grants a power of attorney to, the Company’s Chief Executive Officers with full power of substitution, to represent and to vote or act by written consent with respect to all securities of the Company that such Stockholder beneficially holds, either as of the date of this Agreement or at any time thereafter (collectively, the “</w:t>
      </w:r>
      <w:r>
        <w:rPr>
          <w:rFonts w:ascii="Arial" w:cs="Arial" w:eastAsia="Arial" w:hAnsi="Arial"/>
          <w:sz w:val="16"/>
          <w:szCs w:val="16"/>
          <w:b w:val="1"/>
          <w:bCs w:val="1"/>
          <w:i w:val="1"/>
          <w:iCs w:val="1"/>
          <w:color w:val="auto"/>
        </w:rPr>
        <w:t>Proxy Shares</w:t>
      </w:r>
      <w:r>
        <w:rPr>
          <w:rFonts w:ascii="Arial" w:cs="Arial" w:eastAsia="Arial" w:hAnsi="Arial"/>
          <w:sz w:val="16"/>
          <w:szCs w:val="16"/>
          <w:color w:val="auto"/>
        </w:rPr>
        <w:t>”), in accordance with Section 6 or this Section 7, if and only if such Stockholder or any transferee of any Proxy Shares</w:t>
      </w:r>
    </w:p>
    <w:p>
      <w:pPr>
        <w:spacing w:after="0" w:line="1" w:lineRule="exact"/>
        <w:rPr>
          <w:rFonts w:ascii="Arial" w:cs="Arial" w:eastAsia="Arial" w:hAnsi="Arial"/>
          <w:sz w:val="16"/>
          <w:szCs w:val="16"/>
          <w:color w:val="auto"/>
        </w:rPr>
      </w:pPr>
    </w:p>
    <w:p>
      <w:pPr>
        <w:ind w:firstLine="4"/>
        <w:spacing w:after="0" w:line="285" w:lineRule="auto"/>
        <w:tabs>
          <w:tab w:leader="none" w:pos="21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fails to vote all of the Proxy Shares in accordance with this Section 6 or Section 7, (ii) attempts to vote any of the Proxy Shares (whether in person, by proxy or by written consent) in a manner that is inconsistent with Section 6 or this Section 7, or (iii) fails to take any action necessary to effect the provisions of Section 6 or this Section 7. Each proxy and power of attorney granted pursuant to the immediately preceding sentence is given to secure the performance of each Stockholder’s duties under Section 6 and this Section 7, and each Stockholder shall take such further action and execute such other instruments as may be necessary to effectuate the intent of such Stockholder’s proxy. Each proxy and power of attorney is coupled with an interest, shall be irrevocable and shall be valid for so long as any of the Proxy Shares are outstanding until the covenants set forth in this Section 7 terminate or expire pursuant to Section 7.8. The authority vested in each proxy shall run with the Proxy Shares regardless of any change in legal ownership thereof. The power of attorney granted by each Stockholder herein is a durable power of attorney and shall survive such Stockholder’s bankruptcy, death or incapacity. Each Stockholder hereby revokes any and all previous proxies and powers of attorney with respect to the Proxy Shares. Each Stockholder and each subsequent holder of any Proxy Shares shall not hereafter, unless and until the covenants set forth in Section 6 and this Section 7 terminate or expire pursuant to Section 7.8, (x) purport to grant any other proxy or power of attorney with respect to any of the Proxy Shares, (b) deposit any of the Proxy Shares into a voting trust, or (z) enter into any agreement, arrangement or understanding with any Person (other than the Company), directly or indirectly, to vote, grant any proxy or give instructions with respect to the voting of any of the Proxy Shares, in each case, with respect to any of the matters set forth in Section 6 or this Section 7.</w:t>
      </w:r>
    </w:p>
    <w:p>
      <w:pPr>
        <w:spacing w:after="0" w:line="60" w:lineRule="exact"/>
        <w:rPr>
          <w:sz w:val="20"/>
          <w:szCs w:val="20"/>
          <w:color w:val="auto"/>
        </w:rPr>
      </w:pPr>
    </w:p>
    <w:p>
      <w:pPr>
        <w:ind w:right="140" w:firstLine="441"/>
        <w:spacing w:after="0" w:line="276"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Equitable Relief</w:t>
      </w:r>
      <w:r>
        <w:rPr>
          <w:rFonts w:ascii="Arial" w:cs="Arial" w:eastAsia="Arial" w:hAnsi="Arial"/>
          <w:sz w:val="17"/>
          <w:szCs w:val="17"/>
          <w:color w:val="auto"/>
        </w:rPr>
        <w:t>. Each party acknowledges and agrees that any breach or threatened breach of the covenants set forth in Section 6 or this Section 7 will cause irreparable injury and that money damages will not provide an adequate remedy. Accordingly, it is agreed that each party hereto shall be entitled to an injunction to prevent breaches of the covenants set forth in Section 6 or this Section 7 or other equitable relief (including specific performance in any action instituted in any court of the United States or any state having subject matter jurisdiction). The aforementioned equitable relief shall be in addition to, and not in lieu of, legal remedies, monetary damages or other available forms of relief.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359" w:name="page360"/>
    <w:bookmarkEnd w:id="359"/>
    <w:p>
      <w:pPr>
        <w:ind w:right="80" w:firstLine="441"/>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7.8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The covenants set forth in Section 6 and this Section 7 shall automatically terminate and be of no further force or effect upon the earliest to occur of: (i) immediately before the consummation of the Company IPO; (ii) the dissolution or winding up of the Company; (iii) the consummation of a Deemed Liquidation Event; and (iv) the consummation of a Sale of the Company and distribution of proceeds to, or escrow for the benefit of, the Company’s stockholders in accordance with the Restated Charter;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of this Section 7 will continue after the closing of any Sale of the Company to the extent necessary to enforce the provisions of this Section 7 with respect to such Sale of the Company.</w:t>
      </w:r>
    </w:p>
    <w:p>
      <w:pPr>
        <w:spacing w:after="0" w:line="50" w:lineRule="exact"/>
        <w:rPr>
          <w:sz w:val="20"/>
          <w:szCs w:val="20"/>
          <w:color w:val="auto"/>
        </w:rPr>
      </w:pPr>
    </w:p>
    <w:p>
      <w:pPr>
        <w:ind w:left="180" w:hanging="176"/>
        <w:spacing w:after="0"/>
        <w:tabs>
          <w:tab w:leader="none" w:pos="18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Except as otherwise provided herein, this Agreement, and any and all rights, duties and obligations hereunder, shall not be assigned, transferred, delegated or sublicensed by any Stockholder without the Company’s prior written consent, and any attempt by any Stockholder to assign, transfer, delegate or sublicense any right, duty or obligation hereunder without such prior written consent of the Company shall be void. Subject to the foregoing and except as otherwise provided herein, the provisions hereof shall inure to the benefit of, and be binding upon, the respective successors, permitted assigns, heirs, executors and administrators of the parties hereto. Nothing herein, express or implied, is intended to confer upon any party other than the parties hereto or their respective successors, permitted assigns, heirs, executors and administrators any rights, duties or obligations under or by reason of this Agreement, except as expressly provided herein.</w:t>
      </w:r>
    </w:p>
    <w:p>
      <w:pPr>
        <w:spacing w:after="0" w:line="70"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Governing Law; Venue; Jury Trial Waiver</w:t>
      </w:r>
      <w:r>
        <w:rPr>
          <w:rFonts w:ascii="Arial" w:cs="Arial" w:eastAsia="Arial" w:hAnsi="Arial"/>
          <w:sz w:val="17"/>
          <w:szCs w:val="17"/>
          <w:color w:val="auto"/>
        </w:rPr>
        <w:t>. This Agreement shall be governed by and construed in accordance with the internal laws of the State of Delaware without regard to conflict-of-law principles. Each party hereto hereby (i) irrevocably and unconditionally submits to the jurisdiction of the courts of the State of California located in Alameda County and of the United States of America for the Northern District of California for the purpose of any action, suit or proceeding based upon, arising out of or relating to this Agreement, (ii) agrees not to commence any action, suit or proceeding based upon, arising out of or relating to this Agreement except in the aforesaid courts, and (iii) irrevocably waives, and agrees not to assert, by way of motion, as a defense or otherwise, to the fullest extent permitted by law, in any such action, suit or proceeding, any claim that such party is not subject personally to the jurisdiction of the aforesaid courts, that such party’s property is exempt or immune from attachment or execution, that such action, suit or proceeding is brought in an inconvenient forum, that the venue of such action, suit or proceeding is improper or that this Agreement or the subject matter hereof may not be enforced in or by the aforesaid courts. EACH PARTY HERETO REPRESENTS AND WARRANTS THAT SUCH PARTY HAS REVIEWED THIS SECTION 8.2 WITH HIS/HER/ITS LEGAL COUNSEL AND THAT SUCH PARTY, FOLLOWING SUCH CONSULTATION WITH LEGAL COUNSEL, KNOWINGLY, VOLUNTARILY AND INTENTIONALLY WAIVES, TO THE FULLEST EXTENT PERMITTED BY LAW, ANY RIGHTS HE/SHE/IT MAY HAVE TO A TRIAL BY JURY IN RESPECT OF ANY ACTION, SUIT OR PROCEEDING BASED UPON, ARISING OUT OF OR RELATING TO THIS AGREEMENT. THIS WAIVER IS A MATERIAL INDUCEMENT FOR THE PARTIES HERETO ENTERING INTO THIS AGREEMENT. THE SCOPE OF THIS WAIVER IS INTENDED TO BE ALL-ENCOMPASSING OF ANY AND ALL DISPUTES THAT MAY BE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360" w:name="page361"/>
    <w:bookmarkEnd w:id="36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FILED IN ANY COURT AND THAT RELATE TO THE SUBJECT MATTER OF THIS TRANSACTION, INCLUDING CONTRACT CLAIMS, TORT CLAIMS (INCLUDING NEGLIGENCE), BREACH OF DUTY CLAIMS AND ALL OTHER COMMON LAW AND STATUTORY CLAIMS. THIS SECTION 8.2 HAS BEEN FULLY DISCUSSED BY EACH OF THE PARTIES HERETO, AND THE PROVISIONS OF THIS SECTION 8.2 WILL NOT BE SUBJECT TO ANY EXCEPTIONS.</w:t>
      </w:r>
    </w:p>
    <w:p>
      <w:pPr>
        <w:spacing w:after="0" w:line="79"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be deemed to be one and the same agreement. The exchange of copies hereof, including signature pages hereto, by facsimile, e-mail or other means of electronic transmission shall constitute effective execution and delivery hereof as to the parties and may be used in lieu of the original Agreement for all purposes. Signatures transmitted by facsimile, e-mail or other means of electronic transmission shall be deemed to be original signatures for all purposes.</w:t>
      </w:r>
    </w:p>
    <w:p>
      <w:pPr>
        <w:spacing w:after="0" w:line="80"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Interpretation</w:t>
      </w:r>
      <w:r>
        <w:rPr>
          <w:rFonts w:ascii="Arial" w:cs="Arial" w:eastAsia="Arial" w:hAnsi="Arial"/>
          <w:sz w:val="17"/>
          <w:szCs w:val="17"/>
          <w:color w:val="auto"/>
        </w:rPr>
        <w:t>. Capitalized terms shall have the meanings as defined herein, and the meaning of defined terms shall be equally applicable to both the singular and plural forms of the terms defined. For purposes of this Agreement, (i) the words “include,” “includes” and “including” shall be deemed to be followed by the words “without limitation,” (ii) the word “or” is not exclusive, (iii) the words “herein,” “hereof,” “hereby,” “hereto,” “hereunder” and words of similar import refer to this Agreement as a whole, and (iv) with respect to the determination of any period of time, “from” means “from and including” and “to” means “to but excluding.” Unless the context otherwise requires, references herein: (a) to a Section, a Schedule or an Exhibit mean a Section, a Schedule or an Exhibit of, or attached to, this Agreement; (b) to agreements, instruments and other documents shall be deemed to include all subsequent amendments, supplements and other modifications thereto; (c) to statutes or regulations are to be construed as including all statutory and regulatory provisions consolidating, amending or replacing the statute or regulation referred to; (d) to any Person includes such Person’s successors and assigns, but, if applicable, only if such successors and assigns are not prohibited by this Agreement; and (e) to any gender includes each other gender. The Exhibits attached hereto shall be construed with, and as an integral part of, this Agreement to the same extent as if they were set forth verbatim herein. The titles, captions and headings herein are for convenience of reference only and shall not affect the meaning or interpretation hereof. This Agreement shall be construed without regard to any presumption or rule requiring construction or interpretation against the party drafting an instrument or causing any instrument to be drafted.</w:t>
      </w:r>
    </w:p>
    <w:p>
      <w:pPr>
        <w:spacing w:after="0" w:line="80"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Except as may be otherwise provided herein, all notices, requests, consents, claims, demands, waivers and other communications required or permitted hereunder shall be in writing and shall be deemed given or delivered (i) when delivered personally, (ii) one business day after being deposited with an overnight courier service (costs prepaid), (iii) when sent by facsimile or e-mail if sent during the recipient’s normal business hours and on the next business day if sent after the recipient’s normal business hours, in each case with confirmation of transmission by the transmitting equipment, or (iv) when received or rejected by the addressee, if sent by certified or registered mail, return receipt requested, postage prepaid, in each case to the addresses, facsimile numbers and e-mail addresses and marked to the attention of the person (by name or title) designated on </w:t>
      </w:r>
      <w:r>
        <w:rPr>
          <w:rFonts w:ascii="Arial" w:cs="Arial" w:eastAsia="Arial" w:hAnsi="Arial"/>
          <w:sz w:val="16"/>
          <w:szCs w:val="16"/>
          <w:b w:val="1"/>
          <w:bCs w:val="1"/>
          <w:u w:val="single" w:color="auto"/>
          <w:color w:val="auto"/>
        </w:rPr>
        <w:t>Schedule 1</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Schedule 2</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(or to such address, facsimile number and e-mail address and marked to the attention of the person (by name or title)</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3" w:right="499" w:bottom="1440" w:gutter="0" w:footer="0" w:header="0"/>
        </w:sectPr>
      </w:pPr>
    </w:p>
    <w:bookmarkStart w:id="361" w:name="page362"/>
    <w:bookmarkEnd w:id="361"/>
    <w:p>
      <w:pPr>
        <w:ind w:right="100" w:firstLine="996"/>
        <w:spacing w:after="0" w:line="255" w:lineRule="auto"/>
        <w:tabs>
          <w:tab w:leader="none" w:pos="1237" w:val="left"/>
        </w:tabs>
        <w:numPr>
          <w:ilvl w:val="0"/>
          <w:numId w:val="2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indicated in the Company’s records, in the case of any other holder of capital stock of the Company, and (b) on the signature page(s) hereto, in the case of the Company) or to such other address, facsimile number, e-mail address or person as such party may designate by a notice delivered to the other parties hereto. In addition, all notices, requests, consents, claims, demands, waivers and other communications given or delivered to the Company shall include a mandatory copy (which shall not constitute notice) to Latham &amp; Watkins LLP, 140 Scott Drive, Menlo Park, CA 94025, Attn: Alan Mendelson and Ben Potter, Facsimile (650-463-2600), E-mail (or such other Person as the Company may designate by a notice delivered to the other parties hereto).</w:t>
      </w:r>
    </w:p>
    <w:p>
      <w:pPr>
        <w:spacing w:after="0" w:line="85"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Attorneys’ Fees</w:t>
      </w:r>
      <w:r>
        <w:rPr>
          <w:rFonts w:ascii="Arial" w:cs="Arial" w:eastAsia="Arial" w:hAnsi="Arial"/>
          <w:sz w:val="16"/>
          <w:szCs w:val="16"/>
          <w:color w:val="auto"/>
        </w:rPr>
        <w:t>. If any action, suit or proceeding is necessary to enforce or interpret the terms of this Agreement, the prevailing party shall be entitled to reasonable attorneys’ fees, costs and necessary disbursements in addition to any other relief to which such party may be entitled.</w:t>
      </w:r>
    </w:p>
    <w:p>
      <w:pPr>
        <w:spacing w:after="0" w:line="16"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Amendments and Waivers; Termination</w:t>
      </w:r>
      <w:r>
        <w:rPr>
          <w:rFonts w:ascii="Arial" w:cs="Arial" w:eastAsia="Arial" w:hAnsi="Arial"/>
          <w:sz w:val="16"/>
          <w:szCs w:val="16"/>
          <w:color w:val="auto"/>
        </w:rPr>
        <w:t>. In addition to automatic termination of specific rights and restrictions as provided in Section 2.14, Section 4.3, and Section 7.8, this Agreement may be amended, modified, terminated or supplemented and the observance of any provision hereof may be waived (either generally or in a particular instance, and either retroactively or prospectively) by a writing signed by (i) the Company, (ii) the holders of a majority of the Registrable Securities then outstanding (the “</w:t>
      </w:r>
      <w:r>
        <w:rPr>
          <w:rFonts w:ascii="Arial" w:cs="Arial" w:eastAsia="Arial" w:hAnsi="Arial"/>
          <w:sz w:val="16"/>
          <w:szCs w:val="16"/>
          <w:b w:val="1"/>
          <w:bCs w:val="1"/>
          <w:i w:val="1"/>
          <w:iCs w:val="1"/>
          <w:color w:val="auto"/>
        </w:rPr>
        <w:t>Requisite Investors</w:t>
      </w:r>
      <w:r>
        <w:rPr>
          <w:rFonts w:ascii="Arial" w:cs="Arial" w:eastAsia="Arial" w:hAnsi="Arial"/>
          <w:sz w:val="16"/>
          <w:szCs w:val="16"/>
          <w:color w:val="auto"/>
        </w:rPr>
        <w:t>”) and (iii) the Key Holders holding a majority of the shares of capital stock of the Company held by all of the Key Holders who are then providing services to the Company as directors, officers, employees or consultants (the “</w:t>
      </w:r>
      <w:r>
        <w:rPr>
          <w:rFonts w:ascii="Arial" w:cs="Arial" w:eastAsia="Arial" w:hAnsi="Arial"/>
          <w:sz w:val="16"/>
          <w:szCs w:val="16"/>
          <w:b w:val="1"/>
          <w:bCs w:val="1"/>
          <w:i w:val="1"/>
          <w:iCs w:val="1"/>
          <w:color w:val="auto"/>
        </w:rPr>
        <w:t>Requisite Key Holders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in its sole discretion, waive compliance with Section 2.12(c) (and the Company’s failure to object promptly in writing after receiving written notification of a proposed assignment allegedly in violation of</w:t>
      </w:r>
    </w:p>
    <w:p>
      <w:pPr>
        <w:spacing w:after="0" w:line="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Section 2.12(c) shall be deemed to be a waiver);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notwithstanding anything to the contrary in this Section 8.7, any provision hereof may be waived by a party, on such party’s own behalf, without the consent of any other party. Any amendment, modification, termination, supplement or waiver effected in accordance with this Section 8.7 shall be binding on all parties hereto and all of their respective successors, permitted assigns, heirs, executors and administrators whether or not such party, successor, permitted assignee, heir, executor or administrator entered into or approved such amendment, modification, termination, supplement or waiver. Each Key Holder and each Investor acknowledges that, by operation of this Section 8.7, the Requisite Key Holders and the Requisite Investors will have the right and power to diminish or eliminate all rights of such Key Holder or Investor, as applicable, hereunder. No waivers of, or exceptions to, any term, condition or provision hereof, in any one or more instances, shall be deemed to be, or construed as, a further or continuing waiver of, or exception to, any such term, condition or provision. Notwithstanding the foregoing:</w:t>
      </w:r>
    </w:p>
    <w:p>
      <w:pPr>
        <w:spacing w:after="0" w:line="86" w:lineRule="exact"/>
        <w:rPr>
          <w:sz w:val="20"/>
          <w:szCs w:val="20"/>
          <w:color w:val="auto"/>
        </w:rPr>
      </w:pPr>
    </w:p>
    <w:p>
      <w:pPr>
        <w:ind w:right="300" w:firstLine="996"/>
        <w:spacing w:after="0" w:line="313" w:lineRule="auto"/>
        <w:tabs>
          <w:tab w:leader="none" w:pos="1236" w:val="left"/>
        </w:tabs>
        <w:numPr>
          <w:ilvl w:val="0"/>
          <w:numId w:val="256"/>
        </w:numPr>
        <w:rPr>
          <w:rFonts w:ascii="Arial" w:cs="Arial" w:eastAsia="Arial" w:hAnsi="Arial"/>
          <w:sz w:val="17"/>
          <w:szCs w:val="17"/>
          <w:color w:val="auto"/>
        </w:rPr>
      </w:pPr>
      <w:r>
        <w:rPr>
          <w:rFonts w:ascii="Arial" w:cs="Arial" w:eastAsia="Arial" w:hAnsi="Arial"/>
          <w:sz w:val="17"/>
          <w:szCs w:val="17"/>
          <w:b w:val="1"/>
          <w:bCs w:val="1"/>
          <w:u w:val="single" w:color="auto"/>
          <w:color w:val="auto"/>
        </w:rPr>
        <w:t>Schedule 1</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2</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hereto may be amended by the Company from time to time in accordance with Section 8.13 to</w:t>
      </w:r>
      <w:r>
        <w:rPr>
          <w:rFonts w:ascii="Arial" w:cs="Arial" w:eastAsia="Arial" w:hAnsi="Arial"/>
          <w:sz w:val="17"/>
          <w:szCs w:val="17"/>
          <w:b w:val="1"/>
          <w:bCs w:val="1"/>
          <w:color w:val="auto"/>
        </w:rPr>
        <w:t xml:space="preserve"> </w:t>
      </w:r>
      <w:r>
        <w:rPr>
          <w:rFonts w:ascii="Arial" w:cs="Arial" w:eastAsia="Arial" w:hAnsi="Arial"/>
          <w:sz w:val="17"/>
          <w:szCs w:val="17"/>
          <w:color w:val="auto"/>
        </w:rPr>
        <w:t>add information regarding additional Investors or Key Holders, as applicable, without the consent of the other parties hereto;</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362" w:name="page363"/>
    <w:bookmarkEnd w:id="362"/>
    <w:p>
      <w:pPr>
        <w:ind w:right="480" w:firstLine="996"/>
        <w:spacing w:after="0" w:line="264" w:lineRule="auto"/>
        <w:tabs>
          <w:tab w:leader="none" w:pos="1247" w:val="left"/>
        </w:tabs>
        <w:numPr>
          <w:ilvl w:val="1"/>
          <w:numId w:val="2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consent of the Key Holders shall not be required for any amendment, modification, termination, supplement or waiver of any provision hereof if such amendment, modification, termination, supplement or waiver is not directly applicable to the rights of the Key Holders hereunder;</w:t>
      </w:r>
    </w:p>
    <w:p>
      <w:pPr>
        <w:spacing w:after="0" w:line="73" w:lineRule="exact"/>
        <w:rPr>
          <w:rFonts w:ascii="Arial" w:cs="Arial" w:eastAsia="Arial" w:hAnsi="Arial"/>
          <w:sz w:val="18"/>
          <w:szCs w:val="18"/>
          <w:color w:val="auto"/>
        </w:rPr>
      </w:pPr>
    </w:p>
    <w:p>
      <w:pPr>
        <w:ind w:firstLine="996"/>
        <w:spacing w:after="0" w:line="279" w:lineRule="auto"/>
        <w:tabs>
          <w:tab w:leader="none" w:pos="1237" w:val="left"/>
        </w:tabs>
        <w:numPr>
          <w:ilvl w:val="1"/>
          <w:numId w:val="257"/>
        </w:numPr>
        <w:rPr>
          <w:rFonts w:ascii="Arial" w:cs="Arial" w:eastAsia="Arial" w:hAnsi="Arial"/>
          <w:sz w:val="17"/>
          <w:szCs w:val="17"/>
          <w:color w:val="auto"/>
        </w:rPr>
      </w:pPr>
      <w:r>
        <w:rPr>
          <w:rFonts w:ascii="Arial" w:cs="Arial" w:eastAsia="Arial" w:hAnsi="Arial"/>
          <w:sz w:val="17"/>
          <w:szCs w:val="17"/>
          <w:color w:val="auto"/>
        </w:rPr>
        <w:t>Section 6.1(a), this Section 8.7(c) and Section 8.20 shall not be amended, modified, terminated, supplemented or waived (i) without the written consent of Pfizer, for so long as Pfizer and its Affiliates (as defined below) continue to own beneficially a majority of the shares of Series A-1 Preferred Stock originally issued pursuant to the Series A-1 Purchase Agreement, or (ii) in connection with a bona fide preferred stock equity financing pursuant to which this Agreement is amended and restated but such provisions are not otherwise substantially modified;]</w:t>
      </w:r>
    </w:p>
    <w:p>
      <w:pPr>
        <w:spacing w:after="0" w:line="63" w:lineRule="exact"/>
        <w:rPr>
          <w:rFonts w:ascii="Arial" w:cs="Arial" w:eastAsia="Arial" w:hAnsi="Arial"/>
          <w:sz w:val="17"/>
          <w:szCs w:val="17"/>
          <w:color w:val="auto"/>
        </w:rPr>
      </w:pPr>
    </w:p>
    <w:p>
      <w:pPr>
        <w:ind w:right="20" w:firstLine="996"/>
        <w:spacing w:after="0" w:line="264" w:lineRule="auto"/>
        <w:tabs>
          <w:tab w:leader="none" w:pos="1247" w:val="left"/>
        </w:tabs>
        <w:numPr>
          <w:ilvl w:val="1"/>
          <w:numId w:val="257"/>
        </w:numPr>
        <w:rPr>
          <w:rFonts w:ascii="Arial" w:cs="Arial" w:eastAsia="Arial" w:hAnsi="Arial"/>
          <w:sz w:val="18"/>
          <w:szCs w:val="18"/>
          <w:color w:val="auto"/>
        </w:rPr>
      </w:pPr>
      <w:r>
        <w:rPr>
          <w:rFonts w:ascii="Arial" w:cs="Arial" w:eastAsia="Arial" w:hAnsi="Arial"/>
          <w:sz w:val="18"/>
          <w:szCs w:val="18"/>
          <w:color w:val="auto"/>
        </w:rPr>
        <w:t>Section 6.1(b) and this Section 8.7(d) shall not be amended, modified, terminated, supplemented or waived without the written consent of the holders of a majority of the outstanding shares of Series B Preferred Stock, for so long as at least 916,380 shares of Series B Preferred Stock remain issued and outstanding;</w:t>
      </w:r>
    </w:p>
    <w:p>
      <w:pPr>
        <w:spacing w:after="0" w:line="73" w:lineRule="exact"/>
        <w:rPr>
          <w:rFonts w:ascii="Arial" w:cs="Arial" w:eastAsia="Arial" w:hAnsi="Arial"/>
          <w:sz w:val="18"/>
          <w:szCs w:val="18"/>
          <w:color w:val="auto"/>
        </w:rPr>
      </w:pPr>
    </w:p>
    <w:p>
      <w:pPr>
        <w:ind w:right="280" w:firstLine="996"/>
        <w:spacing w:after="0" w:line="291" w:lineRule="auto"/>
        <w:tabs>
          <w:tab w:leader="none" w:pos="1237" w:val="left"/>
        </w:tabs>
        <w:numPr>
          <w:ilvl w:val="1"/>
          <w:numId w:val="257"/>
        </w:numPr>
        <w:rPr>
          <w:rFonts w:ascii="Arial" w:cs="Arial" w:eastAsia="Arial" w:hAnsi="Arial"/>
          <w:sz w:val="16"/>
          <w:szCs w:val="16"/>
          <w:color w:val="auto"/>
        </w:rPr>
      </w:pPr>
      <w:r>
        <w:rPr>
          <w:rFonts w:ascii="Arial" w:cs="Arial" w:eastAsia="Arial" w:hAnsi="Arial"/>
          <w:sz w:val="16"/>
          <w:szCs w:val="16"/>
          <w:color w:val="auto"/>
        </w:rPr>
        <w:t>Section 6.1(c) shall not be amended, modified, terminated, supplemented or waived without the written consent of the holders of a majority of the outstanding shares of Common Stock (other than (i) any Common Stock issued or issuable upon conversion of the Preferred Stock or</w:t>
      </w:r>
    </w:p>
    <w:p>
      <w:pPr>
        <w:ind w:firstLine="4"/>
        <w:spacing w:after="0" w:line="261" w:lineRule="auto"/>
        <w:tabs>
          <w:tab w:leader="none" w:pos="26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Common Stock issued as (or issuable upon the conversion or exercise of any warrant, right or other security that is issued as) a dividend or other distribution with respect to, or in exchange for or in replacement of, the shares referenced in clause (i) above); and</w:t>
      </w:r>
    </w:p>
    <w:p>
      <w:pPr>
        <w:spacing w:after="0" w:line="75" w:lineRule="exact"/>
        <w:rPr>
          <w:rFonts w:ascii="Arial" w:cs="Arial" w:eastAsia="Arial" w:hAnsi="Arial"/>
          <w:sz w:val="18"/>
          <w:szCs w:val="18"/>
          <w:color w:val="auto"/>
        </w:rPr>
      </w:pPr>
    </w:p>
    <w:p>
      <w:pPr>
        <w:ind w:firstLine="996"/>
        <w:spacing w:after="0" w:line="255" w:lineRule="auto"/>
        <w:tabs>
          <w:tab w:leader="none" w:pos="1217"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xml:space="preserve">Any amendment, modification, termination or waiver of Subsection 7.3 that (i) materially increases the obligations of any Investor under this Agreement, or (ii) materially adversely affects the rights of any Investor, shall require the consent of such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circumstances shall this Subsection 8.7(f) be interpreted in such a manner to, except as otherwise provided for herein, require the consent of any Investor to (i) the termination of this Agreement in accordance with this Section 8.7, (ii) the termination of Section 7 in its entirety in accordance with Section 7.8 hereof or this Section 8.7, or (iii) any amendment or modification of Subsection 7.3 in connection with a bona fide equity financing pursuant to which this Agreement is amended and/or restated but such provisions are not amended or modified in a manner that is materially adverse to such Investor.</w:t>
      </w:r>
    </w:p>
    <w:p>
      <w:pPr>
        <w:spacing w:after="0" w:line="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contained herein be held as invalid, illegal or unenforceable, such holding shall not affect the validity of the remainder of this Agreement, the balance of which shall continue to be binding upon the parties with any such modification to become a part hereof and treated as though originally set forth herein.</w:t>
      </w:r>
    </w:p>
    <w:p>
      <w:pPr>
        <w:spacing w:after="0" w:line="73"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Except as otherwise provided herein, no delay or omission to exercise any right, power or remedy accruing to any party hereunder upon any breach or default of any other party hereunder shall impair any such right, power or remedy of such non- breaching or non-defaulting party nor shall it be construed to be a waiver of any such breach or default, or an acquiescence therein, or of (or in) any similar breach or default thereafter occurring; nor shall any waiver of any single breach or default be deemed a waiver of any other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363" w:name="page364"/>
    <w:bookmarkEnd w:id="36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breach or default theretofore or thereafter occurring. Subject to Section 8.5 and Section 8.7, any waiver, permit, consent or approval, of any kind or character on the part of any party, of any breach or default hereunder (or any waiver on the part of any party of any provisions or conditions hereof) must be in writing and shall be effective only to the extent specifically set forth in such writing. All remedies, either hereunder or by law or otherwise afforded to any party, shall be cumulative and not alternative.</w:t>
      </w:r>
    </w:p>
    <w:p>
      <w:pPr>
        <w:spacing w:after="0" w:line="79"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Schedule(s) and Exhibit(s) attached hereto) constitutes the full and entire understanding and agreement of the parties hereto with respect to the subject matter contained herein and supersedes any and all other communications, representations, agreements, understandings and letters of intent, whether written or oral, between or among any of the parties hereto with respect to the subject matter contained herein.</w:t>
      </w:r>
    </w:p>
    <w:p>
      <w:pPr>
        <w:spacing w:after="0" w:line="79"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agrees to cooperate fully with the other parties hereto and to execute and deliver, or cause to be executed and delivered, such further agreements, instruments and documents and to give such further written assurance and take such further acts as may be reasonably requested by any other party hereto to evidence and reflect the transactions contemplated by this Agreement and to carry into effect the intents and purposes of this Agreement.</w:t>
      </w:r>
    </w:p>
    <w:p>
      <w:pPr>
        <w:spacing w:after="0" w:line="79"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Adjustments for Stock Splits, Etc.</w:t>
      </w:r>
      <w:r>
        <w:rPr>
          <w:rFonts w:ascii="Arial" w:cs="Arial" w:eastAsia="Arial" w:hAnsi="Arial"/>
          <w:sz w:val="18"/>
          <w:szCs w:val="18"/>
          <w:color w:val="auto"/>
        </w:rPr>
        <w:t xml:space="preserve"> All references herein to numbers of shares shall automatically be proportionally adjusted to reflect any stock combination, stock split, stock dividend, recapitalization or other similar transaction affecting the capital stock of the Company occurring after the date of this Agreement.</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Additional Parties</w:t>
      </w:r>
      <w:r>
        <w:rPr>
          <w:rFonts w:ascii="Arial" w:cs="Arial" w:eastAsia="Arial" w:hAnsi="Arial"/>
          <w:sz w:val="18"/>
          <w:szCs w:val="18"/>
          <w:color w:val="auto"/>
        </w:rPr>
        <w:t>.</w:t>
      </w:r>
    </w:p>
    <w:p>
      <w:pPr>
        <w:spacing w:after="0" w:line="117" w:lineRule="exact"/>
        <w:rPr>
          <w:sz w:val="20"/>
          <w:szCs w:val="20"/>
          <w:color w:val="auto"/>
        </w:rPr>
      </w:pPr>
    </w:p>
    <w:p>
      <w:pPr>
        <w:ind w:right="160" w:firstLine="996"/>
        <w:spacing w:after="0" w:line="257" w:lineRule="auto"/>
        <w:tabs>
          <w:tab w:leader="none" w:pos="123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If the Company issues additional shares of Preferred Stock after the date hereof, the Company shall, as a condition to the issuance of such shares, require the purchaser of such shares to become a party to this Agreement by executing and delivering to the Company (i) the Adoption Agreement, in substantially the form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Adoption Agreement</w:t>
      </w:r>
      <w:r>
        <w:rPr>
          <w:rFonts w:ascii="Arial" w:cs="Arial" w:eastAsia="Arial" w:hAnsi="Arial"/>
          <w:sz w:val="18"/>
          <w:szCs w:val="18"/>
          <w:color w:val="auto"/>
        </w:rPr>
        <w:t>”), or (ii) a counterpart signature page hereto agreeing to be bound by, and subject to, the terms hereof as an Investor and Stockholder hereunder. In either event, each such Person shall thereafter be deemed an Investor and a Stockholder for all purposes hereunder.</w:t>
      </w:r>
    </w:p>
    <w:p>
      <w:pPr>
        <w:spacing w:after="0" w:line="80" w:lineRule="exact"/>
        <w:rPr>
          <w:rFonts w:ascii="Arial" w:cs="Arial" w:eastAsia="Arial" w:hAnsi="Arial"/>
          <w:sz w:val="18"/>
          <w:szCs w:val="18"/>
          <w:color w:val="auto"/>
        </w:rPr>
      </w:pPr>
    </w:p>
    <w:p>
      <w:pPr>
        <w:ind w:right="80" w:firstLine="996"/>
        <w:spacing w:after="0" w:line="257" w:lineRule="auto"/>
        <w:tabs>
          <w:tab w:leader="none" w:pos="124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If the Company issues additional shares of Common Stock after the date hereof representing 1% or more of the Company’s fully-diluted capitalization, the Company shall, as a condition to the issuance of such shares, require the purchaser or recipient of such shares to become a party to this Agreement by executing and delivering to the Company (i) the Adoption Agreement, or (ii) a counterpart signature page hereto agreeing to be bound by, and subject to, the terms hereof as a Key Holder and Stockholder hereunder. In either event, each such Person shall thereafter be deemed a Key Holder and a Stockholder for all purposes hereunder.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364" w:name="page365"/>
    <w:bookmarkEnd w:id="364"/>
    <w:p>
      <w:pPr>
        <w:ind w:firstLine="44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8.14 </w:t>
      </w:r>
      <w:r>
        <w:rPr>
          <w:rFonts w:ascii="Arial" w:cs="Arial" w:eastAsia="Arial" w:hAnsi="Arial"/>
          <w:sz w:val="17"/>
          <w:szCs w:val="17"/>
          <w:u w:val="single" w:color="auto"/>
          <w:color w:val="auto"/>
        </w:rPr>
        <w:t>Transfers</w:t>
      </w:r>
      <w:r>
        <w:rPr>
          <w:rFonts w:ascii="Arial" w:cs="Arial" w:eastAsia="Arial" w:hAnsi="Arial"/>
          <w:sz w:val="17"/>
          <w:szCs w:val="17"/>
          <w:color w:val="auto"/>
        </w:rPr>
        <w:t>. Each transferee or assignee of any shares of capital stock of the Company subject hereto shall continue to be bound by, and subject to, the terms and conditions hereof, and, as a condition precedent to any such transfer or assignment of shares, each such transferee or assignee shall agree in writing to be bound by, and subject to, all of the terms and conditions hereof by executing the Adoption Agreement and delivering it to the Company. Upon the execution of the Adoption Agreement (and delivery thereof to the Company) by any transferee or assignee of any shares of capital stock of the Company subject hereto, such transferee or assignee shall be deemed to be (i) a party hereto as if such transferee or assignee were the transferor or assignor and such transferee’s or assignee’s signature appeared on the signature pages of this Agreement and (ii) an Investor and a Stockholder, or a Key Holder and a Stockholder, as applicable. The Company shall not permit the transfer, on its books, of any shares of capital stock of the Company subject hereto or issue a new certificate representing any such shares unless and until such transferee or assignee shall have complied with the terms of this Section 8.14.</w:t>
      </w:r>
    </w:p>
    <w:p>
      <w:pPr>
        <w:spacing w:after="0" w:line="74"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8.15 </w:t>
      </w:r>
      <w:r>
        <w:rPr>
          <w:rFonts w:ascii="Arial" w:cs="Arial" w:eastAsia="Arial" w:hAnsi="Arial"/>
          <w:sz w:val="17"/>
          <w:szCs w:val="17"/>
          <w:u w:val="single" w:color="auto"/>
          <w:color w:val="auto"/>
        </w:rPr>
        <w:t>Aggregation of Stock</w:t>
      </w:r>
      <w:r>
        <w:rPr>
          <w:rFonts w:ascii="Arial" w:cs="Arial" w:eastAsia="Arial" w:hAnsi="Arial"/>
          <w:sz w:val="17"/>
          <w:szCs w:val="17"/>
          <w:color w:val="auto"/>
        </w:rPr>
        <w:t xml:space="preserve">. All shares of capital stock of the Company held or acquired by a Stockholder and/or its Affiliates shall be aggregated together for the purpose of determining the availability of any rights hereunder, and such Affiliated Persons may apportion such rights as among themselves in any manner they deem appropriate. For purposes of determining the number of shares of Registrable Securities held by a transferee, the holdings of a transferee that is (x) an Affiliate or stockholder of a Holder, (y) a Holder’s Immediate Family Member, or (z) a trust for the benefit of an individual Holder (or one or more of his or her Immediate Family Members) shall be aggregated together and with those of such transferring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all transferees who would not qualify individually for assignment of rights shall have a single attorney-in-fact for the purpose of exercising any rights, receiving notices or taking any action under this Agreement. Notwithstanding anything to the contrary, the shares held by JANUS HENDERSON GLOBAL LIFE SCIENCES FUND or JANUS HENDERSON CAPITAL FUNDS PLC on behalf of its series, JANUS HENDERSON GLOBAL LIFE SCIENCES FUND will be aggregated solely for the purpose of determining whether either JANUS HENDERSON GLOBAL LIFE SCIENCES FUND or JANUS HENDERSON CAPITAL FUNDS PLC on behalf of its series, JANUS HENDERSON GLOBAL LIFE SCIENCES FUND (or their respective transferees) is a “Major Investor” under this Agreement.</w:t>
      </w:r>
    </w:p>
    <w:p>
      <w:pPr>
        <w:spacing w:after="0" w:line="7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hereunder, including calculations of pro rata shares, shall be made by the Company and shall be binding upon the parties hereto absent fraud or manifest error. No fractional shares shall be Transferred hereunder.</w:t>
      </w:r>
    </w:p>
    <w:p>
      <w:pPr>
        <w:spacing w:after="0" w:line="62" w:lineRule="exact"/>
        <w:rPr>
          <w:sz w:val="20"/>
          <w:szCs w:val="20"/>
          <w:color w:val="auto"/>
        </w:rPr>
      </w:pPr>
    </w:p>
    <w:p>
      <w:pPr>
        <w:ind w:right="140" w:firstLine="441"/>
        <w:spacing w:after="0" w:line="286" w:lineRule="auto"/>
        <w:rPr>
          <w:sz w:val="20"/>
          <w:szCs w:val="20"/>
          <w:color w:val="auto"/>
        </w:rPr>
      </w:pPr>
      <w:r>
        <w:rPr>
          <w:rFonts w:ascii="Arial" w:cs="Arial" w:eastAsia="Arial" w:hAnsi="Arial"/>
          <w:sz w:val="17"/>
          <w:szCs w:val="17"/>
          <w:color w:val="auto"/>
        </w:rPr>
        <w:t xml:space="preserve">8.17 </w:t>
      </w:r>
      <w:r>
        <w:rPr>
          <w:rFonts w:ascii="Arial" w:cs="Arial" w:eastAsia="Arial" w:hAnsi="Arial"/>
          <w:sz w:val="17"/>
          <w:szCs w:val="17"/>
          <w:u w:val="single" w:color="auto"/>
          <w:color w:val="auto"/>
        </w:rPr>
        <w:t>Conflict</w:t>
      </w:r>
      <w:r>
        <w:rPr>
          <w:rFonts w:ascii="Arial" w:cs="Arial" w:eastAsia="Arial" w:hAnsi="Arial"/>
          <w:sz w:val="17"/>
          <w:szCs w:val="17"/>
          <w:color w:val="auto"/>
        </w:rPr>
        <w:t>. In the event of any conflict between this Agreement and the Restated Charter or the Company’s Bylaws, the terms of the Restated Charter or the Company’s Bylaws, as the case may be, shall control. In the event of any conflict between this Agreement (or any notice delivered hereunder) and the Company’s books and records, the Company’s books and records shall control absent fraud or error.</w:t>
      </w:r>
    </w:p>
    <w:p>
      <w:pPr>
        <w:spacing w:after="0" w:line="57"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 xml:space="preserve">8.18 </w:t>
      </w:r>
      <w:r>
        <w:rPr>
          <w:rFonts w:ascii="Arial" w:cs="Arial" w:eastAsia="Arial" w:hAnsi="Arial"/>
          <w:sz w:val="17"/>
          <w:szCs w:val="17"/>
          <w:u w:val="single" w:color="auto"/>
          <w:color w:val="auto"/>
        </w:rPr>
        <w:t>Spousal Consent</w:t>
      </w:r>
      <w:r>
        <w:rPr>
          <w:rFonts w:ascii="Arial" w:cs="Arial" w:eastAsia="Arial" w:hAnsi="Arial"/>
          <w:sz w:val="17"/>
          <w:szCs w:val="17"/>
          <w:color w:val="auto"/>
        </w:rPr>
        <w:t xml:space="preserve">. If any individual Stockholder is married on the date of this Agreement or the date such Stockholder becomes a party to this Agreement pursuant to Section 8.13 or Section 8.14, such Stockholder’s spouse shall, concurrently with the execution of this Agreement by such Stockholder, execute and deliver to the Company a spousal consent in substantially the form of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attached hereto (“</w:t>
      </w:r>
      <w:r>
        <w:rPr>
          <w:rFonts w:ascii="Arial" w:cs="Arial" w:eastAsia="Arial" w:hAnsi="Arial"/>
          <w:sz w:val="17"/>
          <w:szCs w:val="17"/>
          <w:b w:val="1"/>
          <w:bCs w:val="1"/>
          <w:i w:val="1"/>
          <w:iCs w:val="1"/>
          <w:color w:val="auto"/>
        </w:rPr>
        <w:t>Spousal Consent</w:t>
      </w:r>
      <w:r>
        <w:rPr>
          <w:rFonts w:ascii="Arial" w:cs="Arial" w:eastAsia="Arial" w:hAnsi="Arial"/>
          <w:sz w:val="17"/>
          <w:szCs w:val="17"/>
          <w:color w:val="auto"/>
        </w:rPr>
        <w:t>”). Notwithstanding the execution and delivery thereof, such Spousal Consent shall not be deemed to confer or convey to</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365" w:name="page366"/>
    <w:bookmarkEnd w:id="365"/>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Stockholder’s spouse any rights in such Stockholder’s shares of capital stock of the Company that do not otherwise exist by operation of law or the agreement of the parties. If any individual Stockholder marries (or remarries) after the date of this Agreement or the date such Stockholder becomes a party to this Agreement pursuant to Section 8.13 or Section 8.14, such Stockholder shall, within 30 days thereafter, obtain his or her new spouse’s acknowledgement of, and consent to, the existence and binding effect of all restrictions contained in this Agreement by causing such spouse to execute and deliver a Spousal Consent.</w:t>
      </w:r>
    </w:p>
    <w:p>
      <w:pPr>
        <w:spacing w:after="0" w:line="80"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 xml:space="preserve">8.19 </w:t>
      </w:r>
      <w:r>
        <w:rPr>
          <w:rFonts w:ascii="Arial" w:cs="Arial" w:eastAsia="Arial" w:hAnsi="Arial"/>
          <w:sz w:val="18"/>
          <w:szCs w:val="18"/>
          <w:u w:val="single" w:color="auto"/>
          <w:color w:val="auto"/>
        </w:rPr>
        <w:t>Prior Agreement Superseded</w:t>
      </w:r>
      <w:r>
        <w:rPr>
          <w:rFonts w:ascii="Arial" w:cs="Arial" w:eastAsia="Arial" w:hAnsi="Arial"/>
          <w:sz w:val="18"/>
          <w:szCs w:val="18"/>
          <w:color w:val="auto"/>
        </w:rPr>
        <w:t>. Pursuant to Section 8.7 of the Prior Agreement, the undersigned parties who are parties to the Prior Agreement hereby amend and restate the Prior Agreement to read in its entirety as set forth in this Agreement, such that the Prior Agreement shall be of no further force or effect and is hereby entirely replaced and superseded by this Agreement.</w:t>
      </w:r>
    </w:p>
    <w:p>
      <w:pPr>
        <w:spacing w:after="0" w:line="73"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color w:val="auto"/>
        </w:rPr>
        <w:t xml:space="preserve">8.20 </w:t>
      </w:r>
      <w:r>
        <w:rPr>
          <w:rFonts w:ascii="Arial" w:cs="Arial" w:eastAsia="Arial" w:hAnsi="Arial"/>
          <w:sz w:val="17"/>
          <w:szCs w:val="17"/>
          <w:u w:val="single" w:color="auto"/>
          <w:color w:val="auto"/>
        </w:rPr>
        <w:t>Other Business Activities of Investors</w:t>
      </w:r>
      <w:r>
        <w:rPr>
          <w:rFonts w:ascii="Arial" w:cs="Arial" w:eastAsia="Arial" w:hAnsi="Arial"/>
          <w:sz w:val="17"/>
          <w:szCs w:val="17"/>
          <w:color w:val="auto"/>
        </w:rPr>
        <w:t>. The Company acknowledges that the Investors, and each of their respective Affiliates are in the business of investing and therefore review the business plans and related proprietary information of many enterprises, including enterprises that may have products or services that compete directly or indirectly with those of the Company. Nothing in this Agreement or any other agreement related to the transactions contemplated by this Agreement (collectively, the “</w:t>
      </w:r>
      <w:r>
        <w:rPr>
          <w:rFonts w:ascii="Arial" w:cs="Arial" w:eastAsia="Arial" w:hAnsi="Arial"/>
          <w:sz w:val="17"/>
          <w:szCs w:val="17"/>
          <w:b w:val="1"/>
          <w:bCs w:val="1"/>
          <w:i w:val="1"/>
          <w:iCs w:val="1"/>
          <w:color w:val="auto"/>
        </w:rPr>
        <w:t>Transaction Agreements</w:t>
      </w:r>
      <w:r>
        <w:rPr>
          <w:rFonts w:ascii="Arial" w:cs="Arial" w:eastAsia="Arial" w:hAnsi="Arial"/>
          <w:sz w:val="17"/>
          <w:szCs w:val="17"/>
          <w:color w:val="auto"/>
        </w:rPr>
        <w:t>”) shall preclude or in any way restrict the Investors from investing or participating in any particular enterprise, whether or not such enterprise has products or services that compete with those of the Company. Further, the Company, each Investor and each Key Holder acknowledge and agree that (i) the Investors, and each of their respective Affiliates may presently have, or may engage in the future in, internal development programs, or may receive information from third parties that relates to, and may develop and commercialize products independently or in cooperation with such third parties, that are similar to or that are directly or indirectly competitive with, the Company’s development programs, products or services, and (ii) any employee of any Investor, or any of their respective Affiliates serving on the Board or as an observer thereon is serving in such capacity at the request, and for the benefit, of the Company. Accordingly, the Investors’, or any of their respective Affiliate’s designation of any individual to the Board or as an observer to the Board, the service of such individual on the Board or as an observer thereon on behalf of any Investor, or the exercise by any Investor or any of their respective Affiliates of any rights under this Agreement or any of the Transaction Agreements, shall not in any way preclude or restrict any Investor or their respective Affiliates from conducting any development program, commercializing any product or service or otherwise engaging in any enterprise, whether or not such development program, product, service or enterprise competes with those of the Company, so long as such activities do not result in a violation of applicable law, the confidentiality provisions of this Agreement, any other Transaction Agreement, or any other agreement between the Company, on the one hand, and such Investor or any of their respective Affiliates, on the other hand. Nothing herein or in any other Transaction Agreement shall be construed to impose on any Investor or any of their respective Affiliates or any their respective Board Designees or observers any restriction, duty or obligation other than as expressly set forth herein or therein.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3" w:right="439" w:bottom="1440" w:gutter="0" w:footer="0" w:header="0"/>
        </w:sectPr>
      </w:pPr>
    </w:p>
    <w:bookmarkStart w:id="366" w:name="page367"/>
    <w:bookmarkEnd w:id="366"/>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4D MOLECULAR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Kirn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5980 Horton Street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Suite 460</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Emeryville, CA 94608</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Attention: Chief Executive Officer</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880"/>
          </w:cols>
          <w:pgMar w:left="440" w:top="273" w:right="579" w:bottom="1440" w:gutter="0" w:footer="0" w:header="0"/>
        </w:sectPr>
      </w:pPr>
    </w:p>
    <w:bookmarkStart w:id="367" w:name="page368"/>
    <w:bookmarkEnd w:id="367"/>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VIKING GLOBAL OPPORTUNITIES ILLIQUID</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INVESTMENTS SUB-MASTER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Viking Global Opportunities GP LLC, its general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Mathew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Mathew Bloom</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880"/>
          </w:cols>
          <w:pgMar w:left="440" w:top="274" w:right="579" w:bottom="1440" w:gutter="0" w:footer="0" w:header="0"/>
        </w:sectPr>
      </w:pPr>
    </w:p>
    <w:bookmarkStart w:id="368" w:name="page369"/>
    <w:bookmarkEnd w:id="368"/>
    <w:p>
      <w:pPr>
        <w:ind w:right="1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C.P. PHARMACEUTICALS INTERNATIONAL C.V.</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Pfizer Manufacturing LLC</w:t>
      </w:r>
      <w:r>
        <w:rPr>
          <w:rFonts w:ascii="Arial" w:cs="Arial" w:eastAsia="Arial" w:hAnsi="Arial"/>
          <w:sz w:val="18"/>
          <w:szCs w:val="18"/>
          <w:color w:val="auto"/>
        </w:rPr>
        <w: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general partner for and on behalf of</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C.P. Pharmaceuticals International C.V.</w:t>
      </w:r>
    </w:p>
    <w:p>
      <w:pPr>
        <w:spacing w:after="0" w:line="224"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McMohan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Brian McMohan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Pfizer Production LLC</w:t>
      </w:r>
      <w:r>
        <w:rPr>
          <w:rFonts w:ascii="Arial" w:cs="Arial" w:eastAsia="Arial" w:hAnsi="Arial"/>
          <w:sz w:val="18"/>
          <w:szCs w:val="18"/>
          <w:color w:val="auto"/>
        </w:rPr>
        <w: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general partner for and on behalf of</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C.P. Pharmaceuticals International C.V.</w:t>
      </w:r>
    </w:p>
    <w:p>
      <w:pPr>
        <w:spacing w:after="0" w:line="224"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Colum Lane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Colum Lane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PFIZER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Dalton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Barbara Dalton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Vice President, Pfizer Venture</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1040"/>
          </w:cols>
          <w:pgMar w:left="440" w:top="274" w:right="419" w:bottom="1440" w:gutter="0" w:footer="0" w:header="0"/>
        </w:sectPr>
      </w:pPr>
    </w:p>
    <w:bookmarkStart w:id="369" w:name="page370"/>
    <w:bookmarkEnd w:id="369"/>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REPLEON,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Greg Betterton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Greg Betterton</w:t>
      </w:r>
    </w:p>
    <w:p>
      <w:pPr>
        <w:spacing w:after="0" w:line="23"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Title: Manager</w:t>
      </w:r>
    </w:p>
    <w:p>
      <w:pPr>
        <w:spacing w:after="0" w:line="143" w:lineRule="exact"/>
        <w:rPr>
          <w:sz w:val="20"/>
          <w:szCs w:val="20"/>
          <w:color w:val="auto"/>
        </w:rPr>
      </w:pPr>
    </w:p>
    <w:p>
      <w:pPr>
        <w:jc w:val="right"/>
        <w:ind w:righ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880"/>
          </w:cols>
          <w:pgMar w:left="440" w:top="274" w:right="579" w:bottom="1440" w:gutter="0" w:footer="0" w:header="0"/>
        </w:sectPr>
      </w:pPr>
    </w:p>
    <w:bookmarkStart w:id="370" w:name="page371"/>
    <w:bookmarkEnd w:id="370"/>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CHM VENTURE I,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GeneraBio,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Randy M. Wheelock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Randy M. Wheelock</w:t>
      </w:r>
    </w:p>
    <w:p>
      <w:pPr>
        <w:spacing w:after="0" w:line="23" w:lineRule="exact"/>
        <w:rPr>
          <w:sz w:val="20"/>
          <w:szCs w:val="20"/>
          <w:color w:val="auto"/>
        </w:rPr>
      </w:pPr>
    </w:p>
    <w:p>
      <w:pPr>
        <w:jc w:val="right"/>
        <w:ind w:right="3160"/>
        <w:spacing w:after="0"/>
        <w:rPr>
          <w:sz w:val="20"/>
          <w:szCs w:val="20"/>
          <w:color w:val="auto"/>
        </w:rPr>
      </w:pPr>
      <w:r>
        <w:rPr>
          <w:rFonts w:ascii="Arial" w:cs="Arial" w:eastAsia="Arial" w:hAnsi="Arial"/>
          <w:sz w:val="18"/>
          <w:szCs w:val="18"/>
          <w:color w:val="auto"/>
        </w:rPr>
        <w:t>Title: President</w:t>
      </w:r>
    </w:p>
    <w:p>
      <w:pPr>
        <w:spacing w:after="0" w:line="143" w:lineRule="exact"/>
        <w:rPr>
          <w:sz w:val="20"/>
          <w:szCs w:val="20"/>
          <w:color w:val="auto"/>
        </w:rPr>
      </w:pPr>
    </w:p>
    <w:p>
      <w:pPr>
        <w:jc w:val="right"/>
        <w:ind w:righ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880"/>
          </w:cols>
          <w:pgMar w:left="440" w:top="273" w:right="579" w:bottom="1440" w:gutter="0" w:footer="0" w:header="0"/>
        </w:sectPr>
      </w:pPr>
    </w:p>
    <w:bookmarkStart w:id="371" w:name="page372"/>
    <w:bookmarkEnd w:id="371"/>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MIRAEASSET-CELLTRION NEW GROWTH FUND I</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MiraeAsset Capital co., Ltd, its general partner</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KuBeom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KuBeom LEE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CEO of MiraeAsset Capital co., Ltd</w:t>
      </w:r>
    </w:p>
    <w:p>
      <w:pPr>
        <w:spacing w:after="0" w:line="14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940"/>
          </w:cols>
          <w:pgMar w:left="440" w:top="273" w:right="519" w:bottom="1440" w:gutter="0" w:footer="0" w:header="0"/>
        </w:sectPr>
      </w:pPr>
    </w:p>
    <w:bookmarkStart w:id="372" w:name="page373"/>
    <w:bookmarkEnd w:id="372"/>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MIRAEASSET CAPITAL CO., LTD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KuBeom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KuBeom LEE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CEO of MiraeAsset Capital co., Ltd</w:t>
      </w:r>
    </w:p>
    <w:p>
      <w:pPr>
        <w:spacing w:after="0" w:line="14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880"/>
          </w:cols>
          <w:pgMar w:left="440" w:top="274" w:right="579" w:bottom="1440" w:gutter="0" w:footer="0" w:header="0"/>
        </w:sectPr>
      </w:pPr>
    </w:p>
    <w:bookmarkStart w:id="373" w:name="page374"/>
    <w:bookmarkEnd w:id="373"/>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MIRAEASSET-NAVER NEW GROWTH FUND I</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MiraeAsset Capital co., Ltd, its general partner</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KuBeom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KuBeom LEE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CEO of MiraeAsset Capital co., Ltd</w:t>
      </w:r>
    </w:p>
    <w:p>
      <w:pPr>
        <w:spacing w:after="0" w:line="14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880"/>
          </w:cols>
          <w:pgMar w:left="440" w:top="274" w:right="579" w:bottom="1440" w:gutter="0" w:footer="0" w:header="0"/>
        </w:sectPr>
      </w:pPr>
    </w:p>
    <w:bookmarkStart w:id="374" w:name="page375"/>
    <w:bookmarkEnd w:id="374"/>
    <w:p>
      <w:pPr>
        <w:ind w:right="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MIRAE ASSET HI-TECH FRONTIER INVESTMENT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FUND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MiraeAsset Venture Investment, Co, Ltd, its general</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EungSuk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EungSuk KIM</w:t>
      </w:r>
    </w:p>
    <w:p>
      <w:pPr>
        <w:spacing w:after="0" w:line="23" w:lineRule="exact"/>
        <w:rPr>
          <w:sz w:val="20"/>
          <w:szCs w:val="20"/>
          <w:color w:val="auto"/>
        </w:rPr>
      </w:pPr>
    </w:p>
    <w:p>
      <w:pPr>
        <w:ind w:left="3280" w:right="280" w:firstLine="3343"/>
        <w:spacing w:after="0" w:line="433" w:lineRule="auto"/>
        <w:rPr>
          <w:sz w:val="20"/>
          <w:szCs w:val="20"/>
          <w:color w:val="auto"/>
        </w:rPr>
      </w:pPr>
      <w:r>
        <w:rPr>
          <w:rFonts w:ascii="Arial" w:cs="Arial" w:eastAsia="Arial" w:hAnsi="Arial"/>
          <w:sz w:val="18"/>
          <w:szCs w:val="18"/>
          <w:color w:val="auto"/>
        </w:rPr>
        <w:t>Title: CEO of MiraeAsset Venture Investment, Co, Ltd [</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940"/>
          </w:cols>
          <w:pgMar w:left="440" w:top="274" w:right="519" w:bottom="1440" w:gutter="0" w:footer="0" w:header="0"/>
        </w:sectPr>
      </w:pPr>
    </w:p>
    <w:bookmarkStart w:id="375" w:name="page376"/>
    <w:bookmarkEnd w:id="375"/>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MIRAE ASSET GOOD COMPANY SECONDARY</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FUND #18-1</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MiraeAsset Venture Investment, Co, Ltd, its general</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EungSuk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EungSuk KIM</w:t>
      </w:r>
    </w:p>
    <w:p>
      <w:pPr>
        <w:spacing w:after="0" w:line="23" w:lineRule="exact"/>
        <w:rPr>
          <w:sz w:val="20"/>
          <w:szCs w:val="20"/>
          <w:color w:val="auto"/>
        </w:rPr>
      </w:pPr>
    </w:p>
    <w:p>
      <w:pPr>
        <w:ind w:left="3280" w:right="220" w:firstLine="3343"/>
        <w:spacing w:after="0" w:line="433" w:lineRule="auto"/>
        <w:rPr>
          <w:sz w:val="20"/>
          <w:szCs w:val="20"/>
          <w:color w:val="auto"/>
        </w:rPr>
      </w:pPr>
      <w:r>
        <w:rPr>
          <w:rFonts w:ascii="Arial" w:cs="Arial" w:eastAsia="Arial" w:hAnsi="Arial"/>
          <w:sz w:val="18"/>
          <w:szCs w:val="18"/>
          <w:color w:val="auto"/>
        </w:rPr>
        <w:t>Title: CEO of MiraeAsset Venture Investment, Co, Ltd [</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880"/>
          </w:cols>
          <w:pgMar w:left="440" w:top="273" w:right="579" w:bottom="1440" w:gutter="0" w:footer="0" w:header="0"/>
        </w:sectPr>
      </w:pPr>
    </w:p>
    <w:bookmarkStart w:id="376" w:name="page377"/>
    <w:bookmarkEnd w:id="376"/>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MIRAEASSET VENTURE INVESTMENT, CO, LTD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EungSuk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EungSuk KIM</w:t>
      </w:r>
    </w:p>
    <w:p>
      <w:pPr>
        <w:spacing w:after="0" w:line="23" w:lineRule="exact"/>
        <w:rPr>
          <w:sz w:val="20"/>
          <w:szCs w:val="20"/>
          <w:color w:val="auto"/>
        </w:rPr>
      </w:pPr>
    </w:p>
    <w:p>
      <w:pPr>
        <w:ind w:left="3280" w:right="220" w:firstLine="3343"/>
        <w:spacing w:after="0" w:line="433" w:lineRule="auto"/>
        <w:rPr>
          <w:sz w:val="20"/>
          <w:szCs w:val="20"/>
          <w:color w:val="auto"/>
        </w:rPr>
      </w:pPr>
      <w:r>
        <w:rPr>
          <w:rFonts w:ascii="Arial" w:cs="Arial" w:eastAsia="Arial" w:hAnsi="Arial"/>
          <w:sz w:val="18"/>
          <w:szCs w:val="18"/>
          <w:color w:val="auto"/>
        </w:rPr>
        <w:t>Title: CEO of MiraeAsset Venture Investment, Co, Ltd [</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880"/>
          </w:cols>
          <w:pgMar w:left="440" w:top="274" w:right="579" w:bottom="1440" w:gutter="0" w:footer="0" w:header="0"/>
        </w:sectPr>
      </w:pPr>
    </w:p>
    <w:bookmarkStart w:id="377" w:name="page378"/>
    <w:bookmarkEnd w:id="377"/>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RIDGEBACK CAPITAL INVESTMENTS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Ridgeback Capital Management LP; its Investment</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Christopher A. Nonas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Christopher A. Nonas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Financial Officer</w:t>
      </w:r>
    </w:p>
    <w:p>
      <w:pPr>
        <w:spacing w:after="0" w:line="14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880"/>
          </w:cols>
          <w:pgMar w:left="440" w:top="273" w:right="579" w:bottom="1440" w:gutter="0" w:footer="0" w:header="0"/>
        </w:sectPr>
      </w:pPr>
    </w:p>
    <w:bookmarkStart w:id="378" w:name="page379"/>
    <w:bookmarkEnd w:id="378"/>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A.M. PAPPAS LIFE SCIENCE VENTURES 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AMP&amp;A Management V, LLC, its General Partner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Ford S. Worthy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Ford S. Worthy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Partner and CFO</w:t>
      </w:r>
    </w:p>
    <w:p>
      <w:pPr>
        <w:spacing w:after="0" w:line="14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880"/>
          </w:cols>
          <w:pgMar w:left="440" w:top="274" w:right="579" w:bottom="1440" w:gutter="0" w:footer="0" w:header="0"/>
        </w:sectPr>
      </w:pPr>
    </w:p>
    <w:bookmarkStart w:id="379" w:name="page380"/>
    <w:bookmarkEnd w:id="379"/>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PV V CEO FUND,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AMP&amp;A Management V, LLC, its General Partner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Ford S. Worthy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Ford S. Worthy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Partner and CFO</w:t>
      </w:r>
    </w:p>
    <w:p>
      <w:pPr>
        <w:spacing w:after="0" w:line="14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880"/>
          </w:cols>
          <w:pgMar w:left="440" w:top="274" w:right="579" w:bottom="1440" w:gutter="0" w:footer="0" w:header="0"/>
        </w:sectPr>
      </w:pPr>
    </w:p>
    <w:bookmarkStart w:id="380" w:name="page381"/>
    <w:bookmarkEnd w:id="380"/>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CHIESI VENTURES,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Chiesi Ventures, Inc., its General Partner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Pappas Capital, LLC, its Management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Ford S. Worthy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Ford S. Worthy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Partner and CFO</w:t>
      </w:r>
    </w:p>
    <w:p>
      <w:pPr>
        <w:spacing w:after="0" w:line="14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880"/>
          </w:cols>
          <w:pgMar w:left="440" w:top="273" w:right="579" w:bottom="1440" w:gutter="0" w:footer="0" w:header="0"/>
        </w:sectPr>
      </w:pPr>
    </w:p>
    <w:bookmarkStart w:id="381" w:name="page382"/>
    <w:bookmarkEnd w:id="381"/>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CUREDUCHENNE VENTURES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Debra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Debra Miller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CEO</w:t>
      </w:r>
    </w:p>
    <w:p>
      <w:pPr>
        <w:spacing w:after="0" w:line="14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880"/>
          </w:cols>
          <w:pgMar w:left="440" w:top="274" w:right="579" w:bottom="1440" w:gutter="0" w:footer="0" w:header="0"/>
        </w:sectPr>
      </w:pPr>
    </w:p>
    <w:bookmarkStart w:id="382" w:name="page383"/>
    <w:bookmarkEnd w:id="382"/>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BERKELEY CATALYST FUND 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BCF I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Berkeley Catalyst Fund Management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A. Smoliar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Laura A. Smoliar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Member</w:t>
      </w:r>
    </w:p>
    <w:p>
      <w:pPr>
        <w:spacing w:after="0" w:line="14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880"/>
          </w:cols>
          <w:pgMar w:left="440" w:top="273" w:right="579" w:bottom="1440" w:gutter="0" w:footer="0" w:header="0"/>
        </w:sectPr>
      </w:pPr>
    </w:p>
    <w:bookmarkStart w:id="383" w:name="page384"/>
    <w:bookmarkEnd w:id="383"/>
    <w:p>
      <w:pPr>
        <w:ind w:right="8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PERCEPTIVE LIFE SCIENCES MASTER FUND LTD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51 Astor Place, 10th Floor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New York, NY 10003</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Mannix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James H Mannix</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Operating Officer</w:t>
      </w:r>
    </w:p>
    <w:p>
      <w:pPr>
        <w:spacing w:after="0" w:line="14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960"/>
          </w:cols>
          <w:pgMar w:left="440" w:top="274" w:right="499" w:bottom="1440" w:gutter="0" w:footer="0" w:header="0"/>
        </w:sectPr>
      </w:pPr>
    </w:p>
    <w:bookmarkStart w:id="384" w:name="page385"/>
    <w:bookmarkEnd w:id="384"/>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JANUS HENDERSON GLOBAL LIFE SCIENCES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FUND</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Andrew Acker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Portfolio Manager and 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JANUS HENDERSON CAPITAL FUNDS PLC on</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behalf of its series,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JANUS GLOBAL LIFE SCIENCES FUND</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Andrew Acker</w:t>
      </w:r>
    </w:p>
    <w:p>
      <w:pPr>
        <w:spacing w:after="0" w:line="23" w:lineRule="exact"/>
        <w:rPr>
          <w:sz w:val="20"/>
          <w:szCs w:val="20"/>
          <w:color w:val="auto"/>
        </w:rPr>
      </w:pPr>
    </w:p>
    <w:p>
      <w:pPr>
        <w:ind w:left="3280" w:right="440" w:firstLine="3343"/>
        <w:spacing w:after="0" w:line="433" w:lineRule="auto"/>
        <w:rPr>
          <w:sz w:val="20"/>
          <w:szCs w:val="20"/>
          <w:color w:val="auto"/>
        </w:rPr>
      </w:pPr>
      <w:r>
        <w:rPr>
          <w:rFonts w:ascii="Arial" w:cs="Arial" w:eastAsia="Arial" w:hAnsi="Arial"/>
          <w:sz w:val="18"/>
          <w:szCs w:val="18"/>
          <w:color w:val="auto"/>
        </w:rPr>
        <w:t>Title: Portfolio Manager and Authorized Signatory [</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880"/>
          </w:cols>
          <w:pgMar w:left="440" w:top="274" w:right="579" w:bottom="1440" w:gutter="0" w:footer="0" w:header="0"/>
        </w:sectPr>
      </w:pPr>
    </w:p>
    <w:bookmarkStart w:id="385" w:name="page386"/>
    <w:bookmarkEnd w:id="385"/>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MERIDIAN SMALL CAP GROWTH FUND</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its Investment Adviser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ArrowMark Colorado Holdings,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Corkins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David Corkins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ARROWMARK LIFE SCIENCE FUND,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AMP Life Science GP,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Corkins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David Corkins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ARROWMARK FUNDAMENTAL</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OPPORTUNITY FUND,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ArrowMark Partners GP,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Corkins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David Corkins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LOOKFAR INVESTMENTS,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Corkins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David Corkins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CF ASCENT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Corkins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David Corkins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Member</w:t>
      </w:r>
    </w:p>
    <w:p>
      <w:pPr>
        <w:spacing w:after="0" w:line="14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880"/>
          </w:cols>
          <w:pgMar w:left="440" w:top="273" w:right="579" w:bottom="1440" w:gutter="0" w:footer="0" w:header="0"/>
        </w:sectPr>
      </w:pPr>
    </w:p>
    <w:bookmarkStart w:id="386" w:name="page387"/>
    <w:bookmarkEnd w:id="386"/>
    <w:p>
      <w:pPr>
        <w:ind w:right="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PURCHASER: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THB IRON ROSE LLC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its Investment Adviser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ArrowMark Colorado Holdings,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Corkins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David Corkins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IRON HORSE INVESTMENT, LLC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its Investment Adviser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ArrowMark Colorado Holdings,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Corkins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David Corkins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THB IRON ROSE LLC, LIFE SCIENCE PORTFOLIO</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its Investment Adviser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ArrowMark Colorado Holdings,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Corkins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David Corkins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Member</w:t>
      </w:r>
    </w:p>
    <w:p>
      <w:pPr>
        <w:spacing w:after="0" w:line="14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940"/>
          </w:cols>
          <w:pgMar w:left="440" w:top="274" w:right="519" w:bottom="1440" w:gutter="0" w:footer="0" w:header="0"/>
        </w:sectPr>
      </w:pPr>
    </w:p>
    <w:bookmarkStart w:id="387" w:name="page388"/>
    <w:bookmarkEnd w:id="387"/>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BIOTECHNOLOGY VALUE FUND,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14605</wp:posOffset>
            </wp:positionV>
            <wp:extent cx="259016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Mark Lampert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Title: President BVF Inc., General Partner of BVF Partners</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L.P., itself GP of Biotechnology Value Fund, L.P.</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BIOTECHNOLOGY VALUE FUND 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14605</wp:posOffset>
            </wp:positionV>
            <wp:extent cx="259016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Mark Lampert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Title: President BVF Inc., General Partner of BVF Partners</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L.P., itself GP of Biotechnology Value Fund II, L.P.</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BIOTECHNOLOGY VALUE TRADING FUND OS,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14605</wp:posOffset>
            </wp:positionV>
            <wp:extent cx="259016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Mark Lampert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Title: President BVF Inc., General Partner of BVF Partners</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L.P., itself sole member of BVF Partners OS Ltd., itself GP</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of Biotechnology Trading Fund OS, L.P.</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INVESTMENT 10,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14605</wp:posOffset>
            </wp:positionV>
            <wp:extent cx="259016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Mark Lampert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Title: President BVF Inc., General Partner of BVF Partners</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L.P., itself attorney-in-fact for Investment 10, L.L.C.</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MSI BVF SPV, L.L.C. c/o Magnitude Capital B</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14605</wp:posOffset>
            </wp:positionV>
            <wp:extent cx="259016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Mark Lampert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Title: President BVF Inc., itself General Partner of BVF</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Partners L.P., itself attorney-in-fact for MSI BVF SPV,</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L.L.C.</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880"/>
          </w:cols>
          <w:pgMar w:left="440" w:top="273" w:right="579" w:bottom="1440" w:gutter="0" w:footer="0" w:header="0"/>
        </w:sectPr>
      </w:pPr>
    </w:p>
    <w:bookmarkStart w:id="388" w:name="page389"/>
    <w:bookmarkEnd w:id="388"/>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ARROWMARK</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Tony Yao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Tony Yao</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880"/>
          </w:cols>
          <w:pgMar w:left="440" w:top="274" w:right="579" w:bottom="1440" w:gutter="0" w:footer="0" w:header="0"/>
        </w:sectPr>
      </w:pPr>
    </w:p>
    <w:bookmarkStart w:id="389" w:name="page390"/>
    <w:bookmarkEnd w:id="389"/>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KEY HOLDER: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Kirn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880"/>
          </w:cols>
          <w:pgMar w:left="440" w:top="274" w:right="579" w:bottom="1440" w:gutter="0" w:footer="0" w:header="0"/>
        </w:sectPr>
      </w:pPr>
    </w:p>
    <w:bookmarkStart w:id="390" w:name="page391"/>
    <w:bookmarkEnd w:id="390"/>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CONSENT OF SPOUSE</w:t>
      </w:r>
    </w:p>
    <w:p>
      <w:pPr>
        <w:spacing w:after="0" w:line="22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I, Kristin Ahlquist, spouse of David Kirn, acknowledge that I have read the Amended and Restated Investors’ Rights Agreement, dated as of August 27, 2018, to which this Consent is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Agreement</w:t>
      </w:r>
      <w:r>
        <w:rPr>
          <w:rFonts w:ascii="Arial" w:cs="Arial" w:eastAsia="Arial" w:hAnsi="Arial"/>
          <w:sz w:val="18"/>
          <w:szCs w:val="18"/>
          <w:color w:val="auto"/>
        </w:rPr>
        <w:t>”), and that I know the contents of the Agreement. I am aware that the Agreement contains provisions regarding the voting and transfer of shares of capital stock of the Company that my spouse may own, including any interest I might have therein.</w:t>
      </w:r>
    </w:p>
    <w:p>
      <w:pPr>
        <w:spacing w:after="0" w:line="187"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I hereby agree that my interest, if any, in any shares of capital stock of the Company subject to the Agreement shall be irrevocably bound by the Agreement and further understand and agree that any community property interest I may have in such shares of capital stock of the Company shall be similarly bound by the Agreement.</w:t>
      </w:r>
    </w:p>
    <w:p>
      <w:pPr>
        <w:spacing w:after="0" w:line="181" w:lineRule="exact"/>
        <w:rPr>
          <w:sz w:val="20"/>
          <w:szCs w:val="20"/>
          <w:color w:val="auto"/>
        </w:rPr>
      </w:pPr>
    </w:p>
    <w:p>
      <w:pPr>
        <w:ind w:right="700" w:firstLine="441"/>
        <w:spacing w:after="0" w:line="264" w:lineRule="auto"/>
        <w:rPr>
          <w:sz w:val="20"/>
          <w:szCs w:val="20"/>
          <w:color w:val="auto"/>
        </w:rPr>
      </w:pPr>
      <w:r>
        <w:rPr>
          <w:rFonts w:ascii="Arial" w:cs="Arial" w:eastAsia="Arial" w:hAnsi="Arial"/>
          <w:sz w:val="18"/>
          <w:szCs w:val="18"/>
          <w:color w:val="auto"/>
        </w:rPr>
        <w:t>I am aware that the legal, financial and related matters contained in the Agreement are complex and that I am free to seek independent professional guidance or counsel with respect to this Consent. I have either sought such guidance or counsel or determined after reviewing the Agreement carefully that I will waive such right.</w:t>
      </w:r>
    </w:p>
    <w:p>
      <w:pPr>
        <w:spacing w:after="0" w:line="208"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Dated: August 27, 2018</w:t>
      </w:r>
      <w:r>
        <w:rPr>
          <w:sz w:val="20"/>
          <w:szCs w:val="20"/>
          <w:color w:val="auto"/>
        </w:rPr>
        <w:tab/>
      </w:r>
      <w:r>
        <w:rPr>
          <w:rFonts w:ascii="Arial" w:cs="Arial" w:eastAsia="Arial" w:hAnsi="Arial"/>
          <w:sz w:val="17"/>
          <w:szCs w:val="17"/>
          <w:color w:val="auto"/>
        </w:rPr>
        <w:t>/s/ Kristin Ahlquist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31750</wp:posOffset>
            </wp:positionV>
            <wp:extent cx="351599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Kristin Ahlquist</w:t>
      </w:r>
    </w:p>
    <w:p>
      <w:pPr>
        <w:sectPr>
          <w:pgSz w:w="11900" w:h="16838" w:orient="portrait"/>
          <w:cols w:equalWidth="0" w:num="1">
            <w:col w:w="10940"/>
          </w:cols>
          <w:pgMar w:left="440" w:top="270" w:right="519" w:bottom="1440" w:gutter="0" w:footer="0" w:header="0"/>
        </w:sectPr>
      </w:pPr>
    </w:p>
    <w:bookmarkStart w:id="391" w:name="page392"/>
    <w:bookmarkEnd w:id="391"/>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KEY HOLDER: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Theresa Janke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Theresa Janke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880"/>
          </w:cols>
          <w:pgMar w:left="440" w:top="274" w:right="579" w:bottom="1440" w:gutter="0" w:footer="0" w:header="0"/>
        </w:sectPr>
      </w:pPr>
    </w:p>
    <w:bookmarkStart w:id="392" w:name="page393"/>
    <w:bookmarkEnd w:id="392"/>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CONSENT OF SPOUSE</w:t>
      </w:r>
    </w:p>
    <w:p>
      <w:pPr>
        <w:spacing w:after="0" w:line="22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I, Bradley Janke, spouse of Theresa Janke, acknowledge that I have read the Amended and Restated Investors’ Rights Agreement, dated as of August 27, 2018, to which this Consent is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Agreement</w:t>
      </w:r>
      <w:r>
        <w:rPr>
          <w:rFonts w:ascii="Arial" w:cs="Arial" w:eastAsia="Arial" w:hAnsi="Arial"/>
          <w:sz w:val="18"/>
          <w:szCs w:val="18"/>
          <w:color w:val="auto"/>
        </w:rPr>
        <w:t>”), and that I know the contents of the Agreement. I am aware that the Agreement contains provisions regarding the voting and transfer of shares of capital stock of the Company that my spouse may own, including any interest I might have therein.</w:t>
      </w:r>
    </w:p>
    <w:p>
      <w:pPr>
        <w:spacing w:after="0" w:line="187"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I hereby agree that my interest, if any, in any shares of capital stock of the Company subject to the Agreement shall be irrevocably bound by the Agreement and further understand and agree that any community property interest I may have in such shares of capital stock of the Company shall be similarly bound by the Agreement.</w:t>
      </w:r>
    </w:p>
    <w:p>
      <w:pPr>
        <w:spacing w:after="0" w:line="181" w:lineRule="exact"/>
        <w:rPr>
          <w:sz w:val="20"/>
          <w:szCs w:val="20"/>
          <w:color w:val="auto"/>
        </w:rPr>
      </w:pPr>
    </w:p>
    <w:p>
      <w:pPr>
        <w:ind w:right="700" w:firstLine="441"/>
        <w:spacing w:after="0" w:line="264" w:lineRule="auto"/>
        <w:rPr>
          <w:sz w:val="20"/>
          <w:szCs w:val="20"/>
          <w:color w:val="auto"/>
        </w:rPr>
      </w:pPr>
      <w:r>
        <w:rPr>
          <w:rFonts w:ascii="Arial" w:cs="Arial" w:eastAsia="Arial" w:hAnsi="Arial"/>
          <w:sz w:val="18"/>
          <w:szCs w:val="18"/>
          <w:color w:val="auto"/>
        </w:rPr>
        <w:t>I am aware that the legal, financial and related matters contained in the Agreement are complex and that I am free to seek independent professional guidance or counsel with respect to this Consent. I have either sought such guidance or counsel or determined after reviewing the Agreement carefully that I will waive such right.</w:t>
      </w:r>
    </w:p>
    <w:p>
      <w:pPr>
        <w:spacing w:after="0" w:line="208"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Dated: August 27, 2018</w:t>
      </w:r>
      <w:r>
        <w:rPr>
          <w:sz w:val="20"/>
          <w:szCs w:val="20"/>
          <w:color w:val="auto"/>
        </w:rPr>
        <w:tab/>
      </w:r>
      <w:r>
        <w:rPr>
          <w:rFonts w:ascii="Arial" w:cs="Arial" w:eastAsia="Arial" w:hAnsi="Arial"/>
          <w:sz w:val="16"/>
          <w:szCs w:val="16"/>
          <w:color w:val="auto"/>
        </w:rPr>
        <w:t>/s/ Bradley Janke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14605</wp:posOffset>
            </wp:positionV>
            <wp:extent cx="349885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3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Bradley Janke</w:t>
      </w:r>
    </w:p>
    <w:p>
      <w:pPr>
        <w:sectPr>
          <w:pgSz w:w="11900" w:h="16838" w:orient="portrait"/>
          <w:cols w:equalWidth="0" w:num="1">
            <w:col w:w="10940"/>
          </w:cols>
          <w:pgMar w:left="440" w:top="269" w:right="519" w:bottom="1440" w:gutter="0" w:footer="0" w:header="0"/>
        </w:sectPr>
      </w:pPr>
    </w:p>
    <w:bookmarkStart w:id="393" w:name="page394"/>
    <w:bookmarkEnd w:id="393"/>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KEY HOLDER: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Melissa Kotterman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Melissa Kotterman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880"/>
          </w:cols>
          <w:pgMar w:left="440" w:top="274" w:right="579" w:bottom="1440" w:gutter="0" w:footer="0" w:header="0"/>
        </w:sectPr>
      </w:pPr>
    </w:p>
    <w:bookmarkStart w:id="394" w:name="page395"/>
    <w:bookmarkEnd w:id="394"/>
    <w:p>
      <w:pPr>
        <w:jc w:val="center"/>
        <w:ind w:right="-2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CONSENT OF SPOUSE</w:t>
      </w:r>
    </w:p>
    <w:p>
      <w:pPr>
        <w:spacing w:after="0" w:line="229" w:lineRule="exact"/>
        <w:rPr>
          <w:sz w:val="20"/>
          <w:szCs w:val="20"/>
          <w:color w:val="auto"/>
        </w:rPr>
      </w:pPr>
    </w:p>
    <w:p>
      <w:pPr>
        <w:jc w:val="both"/>
        <w:ind w:right="100" w:firstLine="441"/>
        <w:spacing w:after="0" w:line="259" w:lineRule="auto"/>
        <w:rPr>
          <w:sz w:val="20"/>
          <w:szCs w:val="20"/>
          <w:color w:val="auto"/>
        </w:rPr>
      </w:pPr>
      <w:r>
        <w:rPr>
          <w:rFonts w:ascii="Arial" w:cs="Arial" w:eastAsia="Arial" w:hAnsi="Arial"/>
          <w:sz w:val="18"/>
          <w:szCs w:val="18"/>
          <w:color w:val="auto"/>
        </w:rPr>
        <w:t xml:space="preserve">I, William L Kotterman, spouse of Melissa Kotterman, acknowledge that I have read the Amended and Restated Investors’ Rights Agreement, dated as of August 27, 2018, to which this Consent is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Agreement</w:t>
      </w:r>
      <w:r>
        <w:rPr>
          <w:rFonts w:ascii="Arial" w:cs="Arial" w:eastAsia="Arial" w:hAnsi="Arial"/>
          <w:sz w:val="18"/>
          <w:szCs w:val="18"/>
          <w:color w:val="auto"/>
        </w:rPr>
        <w:t>”), and that I know the contents of the Agreement. I am aware that the Agreement contains provisions regarding the voting and transfer of shares of capital stock of the Company that my spouse may own, including any interest I might have therein.</w:t>
      </w:r>
    </w:p>
    <w:p>
      <w:pPr>
        <w:spacing w:after="0" w:line="18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 hereby agree that my interest, if any, in any shares of capital stock of the Company subject to the Agreement shall be irrevocably bound by the Agreement and further understand and agree that any community property interest I may have in such shares of capital stock of the Company shall be similarly bound by the Agreement.</w:t>
      </w:r>
    </w:p>
    <w:p>
      <w:pPr>
        <w:spacing w:after="0" w:line="181" w:lineRule="exact"/>
        <w:rPr>
          <w:sz w:val="20"/>
          <w:szCs w:val="20"/>
          <w:color w:val="auto"/>
        </w:rPr>
      </w:pPr>
    </w:p>
    <w:p>
      <w:pPr>
        <w:ind w:right="560" w:firstLine="441"/>
        <w:spacing w:after="0" w:line="264" w:lineRule="auto"/>
        <w:rPr>
          <w:sz w:val="20"/>
          <w:szCs w:val="20"/>
          <w:color w:val="auto"/>
        </w:rPr>
      </w:pPr>
      <w:r>
        <w:rPr>
          <w:rFonts w:ascii="Arial" w:cs="Arial" w:eastAsia="Arial" w:hAnsi="Arial"/>
          <w:sz w:val="18"/>
          <w:szCs w:val="18"/>
          <w:color w:val="auto"/>
        </w:rPr>
        <w:t>I am aware that the legal, financial and related matters contained in the Agreement are complex and that I am free to seek independent professional guidance or counsel with respect to this Consent. I have either sought such guidance or counsel or determined after reviewing the Agreement carefully that I will waive such right.</w:t>
      </w:r>
    </w:p>
    <w:p>
      <w:pPr>
        <w:spacing w:after="0" w:line="208"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Dated: August 27, 2018</w:t>
      </w:r>
      <w:r>
        <w:rPr>
          <w:sz w:val="20"/>
          <w:szCs w:val="20"/>
          <w:color w:val="auto"/>
        </w:rPr>
        <w:tab/>
      </w:r>
      <w:r>
        <w:rPr>
          <w:rFonts w:ascii="Arial" w:cs="Arial" w:eastAsia="Arial" w:hAnsi="Arial"/>
          <w:sz w:val="17"/>
          <w:szCs w:val="17"/>
          <w:color w:val="auto"/>
        </w:rPr>
        <w:t>/s/ William L Kotterman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14605</wp:posOffset>
            </wp:positionV>
            <wp:extent cx="355917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William L Kotterman</w:t>
      </w:r>
    </w:p>
    <w:p>
      <w:pPr>
        <w:sectPr>
          <w:pgSz w:w="11900" w:h="16838" w:orient="portrait"/>
          <w:cols w:equalWidth="0" w:num="1">
            <w:col w:w="10800"/>
          </w:cols>
          <w:pgMar w:left="440" w:top="270" w:right="659" w:bottom="1440" w:gutter="0" w:footer="0" w:header="0"/>
        </w:sectPr>
      </w:pPr>
    </w:p>
    <w:bookmarkStart w:id="395" w:name="page396"/>
    <w:bookmarkEnd w:id="395"/>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KEY HOLDER: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SCHAFFER-HINH FAMILY 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Schaffer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Linda Hinh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Linda Hinh</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Trustee</w:t>
      </w:r>
    </w:p>
    <w:p>
      <w:pPr>
        <w:spacing w:after="0" w:line="14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Investors’ Rights Agreement</w:t>
      </w:r>
      <w:r>
        <w:rPr>
          <w:rFonts w:ascii="Arial" w:cs="Arial" w:eastAsia="Arial" w:hAnsi="Arial"/>
          <w:sz w:val="18"/>
          <w:szCs w:val="18"/>
          <w:color w:val="auto"/>
        </w:rPr>
        <w:t>]</w:t>
      </w:r>
    </w:p>
    <w:p>
      <w:pPr>
        <w:sectPr>
          <w:pgSz w:w="11900" w:h="16838" w:orient="portrait"/>
          <w:cols w:equalWidth="0" w:num="1">
            <w:col w:w="10880"/>
          </w:cols>
          <w:pgMar w:left="440" w:top="274" w:right="579" w:bottom="1440" w:gutter="0" w:footer="0" w:header="0"/>
        </w:sectPr>
      </w:pPr>
    </w:p>
    <w:bookmarkStart w:id="396" w:name="page397"/>
    <w:bookmarkEnd w:id="396"/>
    <w:p>
      <w:pPr>
        <w:jc w:val="center"/>
        <w:ind w:right="-1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SCHEDULE OF INVESTORS</w:t>
      </w:r>
    </w:p>
    <w:p>
      <w:pPr>
        <w:spacing w:after="0" w:line="268" w:lineRule="exact"/>
        <w:rPr>
          <w:sz w:val="20"/>
          <w:szCs w:val="20"/>
          <w:color w:val="auto"/>
        </w:rPr>
      </w:pPr>
    </w:p>
    <w:p>
      <w:pPr>
        <w:ind w:left="360" w:right="3599" w:hanging="359"/>
        <w:spacing w:after="0" w:line="258" w:lineRule="auto"/>
        <w:rPr>
          <w:sz w:val="20"/>
          <w:szCs w:val="20"/>
          <w:color w:val="auto"/>
        </w:rPr>
      </w:pPr>
      <w:r>
        <w:rPr>
          <w:rFonts w:ascii="Arial" w:cs="Arial" w:eastAsia="Arial" w:hAnsi="Arial"/>
          <w:sz w:val="18"/>
          <w:szCs w:val="18"/>
          <w:color w:val="auto"/>
        </w:rPr>
        <w:t>VIKING GLOBAL OPPORTUNITIES ILLIQUID INVESTMENTS SUB-MASTER LP c/o Viking Global Investors LP</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55 Railroad Avenue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Greenwich, CT 06830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JANUS HENDERSON GLOBAL LIFE SCIENCES FUND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Janus Capital Management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151 Detroit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Denver, CO 80206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JANUS HENDERSON CAPITAL FUNDS PLC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Janus Capital Management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151 Detroit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Denver, CO 80206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L.P.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44 Montgomery Street 40th Floor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San Francisco, CA 94104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II, LP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44 Montgomery Street 40th Floor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San Francisco, CA 94104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TRADING FUND OS, L.P.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PO Box 309 Ugland House,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Grand Cayman, KY1- 1104, Cayman Islands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INVESTMENT 10,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Address: 900 N Michigan Ave, Suite 1100 Chicago, IL 60611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MSI BVF SPV, L.L.C. c/o Magnitude Capital</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200 Park Avenue, 56th Floor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NY 10166</w:t>
      </w:r>
    </w:p>
    <w:p>
      <w:pPr>
        <w:sectPr>
          <w:pgSz w:w="11900" w:h="16838" w:orient="portrait"/>
          <w:cols w:equalWidth="0" w:num="1">
            <w:col w:w="10019"/>
          </w:cols>
          <w:pgMar w:left="440" w:top="270" w:right="1440" w:bottom="1440" w:gutter="0" w:footer="0" w:header="0"/>
        </w:sectPr>
      </w:pPr>
    </w:p>
    <w:bookmarkStart w:id="397" w:name="page398"/>
    <w:bookmarkEnd w:id="3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MERIDIAN SMALL CAP GROWTH FUND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ArrowMark Colorado Holdings,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100 Fillmore Street, Suite 325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Denver, CO 80206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ARROWMARK LIFE SCIENCE FUND, LP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ArrowMark Colorado Holdings,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100 Fillmore Street, Suite 325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Denver, CO 80206</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ARROWMARK FUNDAMENTAL OPPORTUNITY FUND, L.P.</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ArrowMark Colorado Holdings,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100 Fillmore Street, Suite 325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Denver, CO 80206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LOOKFAR INVESTMENTS,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ArrowMark Colorado Holdings,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100 Fillmore Street, Suite 325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Denver, CO 80206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CF ASCENT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ArrowMark Colorado Holdings,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100 Fillmore Street, Suite 325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Denver, CO 80206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THB IRON ROSE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ArrowMark Colorado Holdings,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100 Fillmore Street, Suite 325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Denver, CO 80206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IRON HORSE INVESTMENTS,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ArrowMark Colorado Holdings,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100 Fillmore Street, Suite 325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Denver, CO 80206</w:t>
      </w:r>
    </w:p>
    <w:p>
      <w:pPr>
        <w:sectPr>
          <w:pgSz w:w="11900" w:h="16838" w:orient="portrait"/>
          <w:cols w:equalWidth="0" w:num="1">
            <w:col w:w="10019"/>
          </w:cols>
          <w:pgMar w:left="440" w:top="273" w:right="1440" w:bottom="1440" w:gutter="0" w:footer="0" w:header="0"/>
        </w:sectPr>
      </w:pPr>
    </w:p>
    <w:bookmarkStart w:id="398" w:name="page399"/>
    <w:bookmarkEnd w:id="39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THB IRON ROSE LLC, LIFE SCIENCE PORTFOLIO</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ArrowMark Colorado Holdings,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100 Fillmore Street, Suite 325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Denver, CO 80206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TONY YAO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ArrowMark Colorado Holdings,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100 Fillmore Street, Suite 325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Denver, CO 80206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A.M. PAPPAS LIFE SCIENCE VENTURES V, LP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Pappas Capital,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2520 Meridian Parkway, Suite 400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Durham, NC 27713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PV V CEO FUND, LP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Pappas Capital,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2520 Meridian Parkway, Suite 400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Durham, NC 27713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CHIESI VENTURES, LP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Pappas Capital,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2520 Meridian Parkway, Suite 400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Durham, NC 27713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PFIZER INC.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230 East Grand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San Francisco, CA 94080</w:t>
      </w:r>
    </w:p>
    <w:p>
      <w:pPr>
        <w:sectPr>
          <w:pgSz w:w="11900" w:h="16838" w:orient="portrait"/>
          <w:cols w:equalWidth="0" w:num="1">
            <w:col w:w="10019"/>
          </w:cols>
          <w:pgMar w:left="440" w:top="273" w:right="1440" w:bottom="1440" w:gutter="0" w:footer="0" w:header="0"/>
        </w:sectPr>
      </w:pPr>
    </w:p>
    <w:bookmarkStart w:id="399" w:name="page400"/>
    <w:bookmarkEnd w:id="399"/>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to: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Pfizer Inc.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235 E. 42nd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NY 10017</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PERCEPTIVE LIFE SCIENCES MASTER FUND LTD</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51 Astor Place 10th floor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NY 10003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RIDGEBACK CAPITAL INVESTMENTS LP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75 Ninth Avenue, 5th Floor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NY 10011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CUREDUCHENNE VENTURES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1400 Quail St. #110,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Newport Beach, CA 92660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BERKELEY CATALYST FUND I LP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19925 Stevens Creek Blvd., Suite 100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Cupertino, CA 95014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C.P. PHARMACEUTICALS INTERNATIONAL C.V.</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its General Partners,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Pfizer Manufacturing LLC and Pfizer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Production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United States of America</w:t>
      </w:r>
    </w:p>
    <w:p>
      <w:pPr>
        <w:sectPr>
          <w:pgSz w:w="11900" w:h="16838" w:orient="portrait"/>
          <w:cols w:equalWidth="0" w:num="1">
            <w:col w:w="10019"/>
          </w:cols>
          <w:pgMar w:left="440" w:top="274" w:right="1440" w:bottom="1440" w:gutter="0" w:footer="0" w:header="0"/>
        </w:sectPr>
      </w:pPr>
    </w:p>
    <w:bookmarkStart w:id="400" w:name="page401"/>
    <w:bookmarkEnd w:id="400"/>
    <w:p>
      <w:pPr>
        <w:ind w:left="3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to: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Pfizer Inc.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230 East Grand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San Francisco, CA 94080</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Pfizer Inc.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235 E. 42nd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NY 10017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CHM VENTURE I,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PO Box 5331</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Johnson City, TN 37602-5331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REPLEON,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735 E. Venice Avenue, Ste 200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Venice, FL 34285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MIRAEASSET-CELLTRION NEW GROWTH FUND 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2F, GlassTower Bldg, 534, Teheran-ro, Gangnam-gu, Seoul, 06181, Korea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MIRAEASSET CAPITAL CO., LTD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2F, GlassTower Bldg, 534, Teheran-ro, Gangnam-gu, Seoul, 06181, Korea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MIRAEASSET-NAVER NEW GROWTH FUND 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2F, GlassTower Bldg, 534, Teheran-ro, Gangnam-gu, Seoul, 06181, Korea</w:t>
      </w:r>
    </w:p>
    <w:p>
      <w:pPr>
        <w:sectPr>
          <w:pgSz w:w="11900" w:h="16838" w:orient="portrait"/>
          <w:cols w:equalWidth="0" w:num="1">
            <w:col w:w="10019"/>
          </w:cols>
          <w:pgMar w:left="440" w:top="274" w:right="1440" w:bottom="1440" w:gutter="0" w:footer="0" w:header="0"/>
        </w:sectPr>
      </w:pPr>
    </w:p>
    <w:bookmarkStart w:id="401" w:name="page402"/>
    <w:bookmarkEnd w:id="4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MIRAE ASSET HI-TECH FRONTIER INVESTMENT FUND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Mirae Asset Venture Tower</w:t>
      </w:r>
    </w:p>
    <w:p>
      <w:pPr>
        <w:spacing w:after="0" w:line="9" w:lineRule="exact"/>
        <w:rPr>
          <w:sz w:val="20"/>
          <w:szCs w:val="20"/>
          <w:color w:val="auto"/>
        </w:rPr>
      </w:pPr>
    </w:p>
    <w:p>
      <w:pPr>
        <w:ind w:left="360" w:right="3979"/>
        <w:spacing w:after="0" w:line="261" w:lineRule="auto"/>
        <w:rPr>
          <w:sz w:val="20"/>
          <w:szCs w:val="20"/>
          <w:color w:val="auto"/>
        </w:rPr>
      </w:pPr>
      <w:r>
        <w:rPr>
          <w:rFonts w:ascii="Arial" w:cs="Arial" w:eastAsia="Arial" w:hAnsi="Arial"/>
          <w:sz w:val="18"/>
          <w:szCs w:val="18"/>
          <w:color w:val="auto"/>
        </w:rPr>
        <w:t>B1F20, Pangyoyeok-ro 241 beongil, Bundang-gu, Seongnam-si, Gyeonggi-do, 13494, Republic of Korea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MIRAE ASSET GOOD COMPANY SECONDARY FUND #18-1</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Mirae Asset Venture Tower</w:t>
      </w:r>
    </w:p>
    <w:p>
      <w:pPr>
        <w:spacing w:after="0" w:line="9" w:lineRule="exact"/>
        <w:rPr>
          <w:sz w:val="20"/>
          <w:szCs w:val="20"/>
          <w:color w:val="auto"/>
        </w:rPr>
      </w:pPr>
    </w:p>
    <w:p>
      <w:pPr>
        <w:ind w:left="360" w:right="3979"/>
        <w:spacing w:after="0" w:line="261" w:lineRule="auto"/>
        <w:rPr>
          <w:sz w:val="20"/>
          <w:szCs w:val="20"/>
          <w:color w:val="auto"/>
        </w:rPr>
      </w:pPr>
      <w:r>
        <w:rPr>
          <w:rFonts w:ascii="Arial" w:cs="Arial" w:eastAsia="Arial" w:hAnsi="Arial"/>
          <w:sz w:val="18"/>
          <w:szCs w:val="18"/>
          <w:color w:val="auto"/>
        </w:rPr>
        <w:t>B1F20, Pangyoyeok-ro 241 beongil, Bundang-gu, Seongnam-si, Gyeonggi-do, 13494, Republic of Korea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MIRAEASSET VENTURE INVESTMENT, CO, LTD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Mirae Asset Venture Tower</w:t>
      </w:r>
    </w:p>
    <w:p>
      <w:pPr>
        <w:spacing w:after="0" w:line="9" w:lineRule="exact"/>
        <w:rPr>
          <w:sz w:val="20"/>
          <w:szCs w:val="20"/>
          <w:color w:val="auto"/>
        </w:rPr>
      </w:pPr>
    </w:p>
    <w:p>
      <w:pPr>
        <w:ind w:left="360" w:right="3979"/>
        <w:spacing w:after="0" w:line="261" w:lineRule="auto"/>
        <w:rPr>
          <w:sz w:val="20"/>
          <w:szCs w:val="20"/>
          <w:color w:val="auto"/>
        </w:rPr>
      </w:pPr>
      <w:r>
        <w:rPr>
          <w:rFonts w:ascii="Arial" w:cs="Arial" w:eastAsia="Arial" w:hAnsi="Arial"/>
          <w:sz w:val="18"/>
          <w:szCs w:val="18"/>
          <w:color w:val="auto"/>
        </w:rPr>
        <w:t>B1F20, Pangyoyeok-ro 241 beongil, Bundang-gu, Seongnam-si, Gyeonggi-do, 13494, Republic of Korea</w:t>
      </w:r>
    </w:p>
    <w:p>
      <w:pPr>
        <w:sectPr>
          <w:pgSz w:w="11900" w:h="16838" w:orient="portrait"/>
          <w:cols w:equalWidth="0" w:num="1">
            <w:col w:w="10019"/>
          </w:cols>
          <w:pgMar w:left="440" w:top="274" w:right="1440" w:bottom="1440" w:gutter="0" w:footer="0" w:header="0"/>
        </w:sectPr>
      </w:pPr>
    </w:p>
    <w:bookmarkStart w:id="402" w:name="page403"/>
    <w:bookmarkEnd w:id="402"/>
    <w:p>
      <w:pPr>
        <w:jc w:val="center"/>
        <w:ind w:right="-1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25" w:lineRule="exact"/>
        <w:rPr>
          <w:sz w:val="20"/>
          <w:szCs w:val="20"/>
          <w:color w:val="auto"/>
        </w:rPr>
      </w:pPr>
    </w:p>
    <w:p>
      <w:pPr>
        <w:jc w:val="right"/>
        <w:ind w:right="3839"/>
        <w:spacing w:after="0"/>
        <w:rPr>
          <w:sz w:val="20"/>
          <w:szCs w:val="20"/>
          <w:color w:val="auto"/>
        </w:rPr>
      </w:pPr>
      <w:r>
        <w:rPr>
          <w:rFonts w:ascii="Arial" w:cs="Arial" w:eastAsia="Arial" w:hAnsi="Arial"/>
          <w:sz w:val="18"/>
          <w:szCs w:val="18"/>
          <w:b w:val="1"/>
          <w:bCs w:val="1"/>
          <w:color w:val="auto"/>
        </w:rPr>
        <w:t>KEY 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Kirn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Schaffer-Hinh Family Trust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Theresa Janke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Melissa Kotterman</w:t>
      </w:r>
    </w:p>
    <w:p>
      <w:pPr>
        <w:sectPr>
          <w:pgSz w:w="11900" w:h="16838" w:orient="portrait"/>
          <w:cols w:equalWidth="0" w:num="1">
            <w:col w:w="10019"/>
          </w:cols>
          <w:pgMar w:left="440" w:top="269" w:right="1440" w:bottom="1440" w:gutter="0" w:footer="0" w:header="0"/>
        </w:sectPr>
      </w:pPr>
    </w:p>
    <w:bookmarkStart w:id="403" w:name="page404"/>
    <w:bookmarkEnd w:id="403"/>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ADOPTION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Adoption Agreement (“</w:t>
      </w:r>
      <w:r>
        <w:rPr>
          <w:rFonts w:ascii="Arial" w:cs="Arial" w:eastAsia="Arial" w:hAnsi="Arial"/>
          <w:sz w:val="16"/>
          <w:szCs w:val="16"/>
          <w:b w:val="1"/>
          <w:bCs w:val="1"/>
          <w:color w:val="auto"/>
        </w:rPr>
        <w:t>Adoption Agreement</w:t>
      </w:r>
      <w:r>
        <w:rPr>
          <w:rFonts w:ascii="Arial" w:cs="Arial" w:eastAsia="Arial" w:hAnsi="Arial"/>
          <w:sz w:val="16"/>
          <w:szCs w:val="16"/>
          <w:color w:val="auto"/>
        </w:rPr>
        <w:t>”) is executed on ___________________, 20__, by the undersigned (the “</w:t>
      </w:r>
      <w:r>
        <w:rPr>
          <w:rFonts w:ascii="Arial" w:cs="Arial" w:eastAsia="Arial" w:hAnsi="Arial"/>
          <w:sz w:val="16"/>
          <w:szCs w:val="16"/>
          <w:b w:val="1"/>
          <w:bCs w:val="1"/>
          <w:color w:val="auto"/>
        </w:rPr>
        <w:t>Holder</w:t>
      </w:r>
      <w:r>
        <w:rPr>
          <w:rFonts w:ascii="Arial" w:cs="Arial" w:eastAsia="Arial" w:hAnsi="Arial"/>
          <w:sz w:val="16"/>
          <w:szCs w:val="16"/>
          <w:color w:val="auto"/>
        </w:rPr>
        <w:t>”) pursuant to</w:t>
      </w:r>
    </w:p>
    <w:p>
      <w:pPr>
        <w:spacing w:after="0" w:line="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terms of that certain Amended and Restated Investors’ Rights Agreement dated as of August 27, 2018 (the “</w:t>
      </w:r>
      <w:r>
        <w:rPr>
          <w:rFonts w:ascii="Arial" w:cs="Arial" w:eastAsia="Arial" w:hAnsi="Arial"/>
          <w:sz w:val="18"/>
          <w:szCs w:val="18"/>
          <w:b w:val="1"/>
          <w:bCs w:val="1"/>
          <w:color w:val="auto"/>
        </w:rPr>
        <w:t>Agreement</w:t>
      </w:r>
      <w:r>
        <w:rPr>
          <w:rFonts w:ascii="Arial" w:cs="Arial" w:eastAsia="Arial" w:hAnsi="Arial"/>
          <w:sz w:val="18"/>
          <w:szCs w:val="18"/>
          <w:color w:val="auto"/>
        </w:rPr>
        <w:t>”), by and among the Company and certain of its Stockholders, as such Agreement may be amended or amended and restated hereafter. Capitalized terms used but not defined in this Adoption Agreement shall have the respective meanings ascribed to such terms in the Agreement. By the execution of this Adoption Agreement, the Holder agrees as follows.</w:t>
      </w:r>
    </w:p>
    <w:p>
      <w:pPr>
        <w:spacing w:after="0" w:line="78"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Acknowledgement</w:t>
      </w:r>
      <w:r>
        <w:rPr>
          <w:rFonts w:ascii="Arial" w:cs="Arial" w:eastAsia="Arial" w:hAnsi="Arial"/>
          <w:sz w:val="18"/>
          <w:szCs w:val="18"/>
          <w:color w:val="auto"/>
        </w:rPr>
        <w:t>. Holder acknowledges that Holder is acquiring certain shares of the capital stock of the Company (the “</w:t>
      </w:r>
      <w:r>
        <w:rPr>
          <w:rFonts w:ascii="Arial" w:cs="Arial" w:eastAsia="Arial" w:hAnsi="Arial"/>
          <w:sz w:val="18"/>
          <w:szCs w:val="18"/>
          <w:b w:val="1"/>
          <w:bCs w:val="1"/>
          <w:color w:val="auto"/>
        </w:rPr>
        <w:t>Stock</w:t>
      </w:r>
      <w:r>
        <w:rPr>
          <w:rFonts w:ascii="Arial" w:cs="Arial" w:eastAsia="Arial" w:hAnsi="Arial"/>
          <w:sz w:val="18"/>
          <w:szCs w:val="18"/>
          <w:color w:val="auto"/>
        </w:rPr>
        <w:t>”), for one of the following reasons (Check the correct box):</w:t>
      </w:r>
    </w:p>
    <w:p>
      <w:pPr>
        <w:spacing w:after="0" w:line="71" w:lineRule="exact"/>
        <w:rPr>
          <w:sz w:val="20"/>
          <w:szCs w:val="20"/>
          <w:color w:val="auto"/>
        </w:rPr>
      </w:pPr>
    </w:p>
    <w:p>
      <w:pPr>
        <w:ind w:left="980" w:right="280" w:hanging="544"/>
        <w:spacing w:after="0" w:line="277" w:lineRule="auto"/>
        <w:tabs>
          <w:tab w:leader="none" w:pos="980" w:val="left"/>
        </w:tabs>
        <w:numPr>
          <w:ilvl w:val="0"/>
          <w:numId w:val="260"/>
        </w:numPr>
        <w:rPr>
          <w:rFonts w:ascii="MS PGothic" w:cs="MS PGothic" w:eastAsia="MS PGothic" w:hAnsi="MS PGothic"/>
          <w:sz w:val="18"/>
          <w:szCs w:val="18"/>
          <w:color w:val="auto"/>
        </w:rPr>
      </w:pPr>
      <w:r>
        <w:rPr>
          <w:rFonts w:ascii="Arial" w:cs="Arial" w:eastAsia="Arial" w:hAnsi="Arial"/>
          <w:sz w:val="18"/>
          <w:szCs w:val="18"/>
          <w:color w:val="auto"/>
        </w:rPr>
        <w:t>As a transferee of Shares from a party in such party’s capacity as an “Investor” bound by the Agreement, and after such transfer, Holder shall be considered an “Investor” and a “Stockholder” for all purposes of the Agreement.</w:t>
      </w:r>
    </w:p>
    <w:p>
      <w:pPr>
        <w:spacing w:after="0" w:line="75" w:lineRule="exact"/>
        <w:rPr>
          <w:rFonts w:ascii="MS PGothic" w:cs="MS PGothic" w:eastAsia="MS PGothic" w:hAnsi="MS PGothic"/>
          <w:sz w:val="18"/>
          <w:szCs w:val="18"/>
          <w:color w:val="auto"/>
        </w:rPr>
      </w:pPr>
    </w:p>
    <w:p>
      <w:pPr>
        <w:ind w:left="980" w:right="120" w:hanging="544"/>
        <w:spacing w:after="0" w:line="277" w:lineRule="auto"/>
        <w:tabs>
          <w:tab w:leader="none" w:pos="980" w:val="left"/>
        </w:tabs>
        <w:numPr>
          <w:ilvl w:val="0"/>
          <w:numId w:val="260"/>
        </w:numPr>
        <w:rPr>
          <w:rFonts w:ascii="MS PGothic" w:cs="MS PGothic" w:eastAsia="MS PGothic" w:hAnsi="MS PGothic"/>
          <w:sz w:val="18"/>
          <w:szCs w:val="18"/>
          <w:color w:val="auto"/>
        </w:rPr>
      </w:pPr>
      <w:r>
        <w:rPr>
          <w:rFonts w:ascii="Arial" w:cs="Arial" w:eastAsia="Arial" w:hAnsi="Arial"/>
          <w:sz w:val="18"/>
          <w:szCs w:val="18"/>
          <w:color w:val="auto"/>
        </w:rPr>
        <w:t>As a transferee of Shares from a party in such party’s capacity as a “Key Holder” bound by the Agreement, and after such transfer, Holder shall be considered a “Key Holder” and a “Stockholder” for all purposes of the Agreement.</w:t>
      </w:r>
    </w:p>
    <w:p>
      <w:pPr>
        <w:spacing w:after="0" w:line="75" w:lineRule="exact"/>
        <w:rPr>
          <w:rFonts w:ascii="MS PGothic" w:cs="MS PGothic" w:eastAsia="MS PGothic" w:hAnsi="MS PGothic"/>
          <w:sz w:val="18"/>
          <w:szCs w:val="18"/>
          <w:color w:val="auto"/>
        </w:rPr>
      </w:pPr>
    </w:p>
    <w:p>
      <w:pPr>
        <w:ind w:left="980" w:right="1060" w:hanging="544"/>
        <w:spacing w:after="0" w:line="277" w:lineRule="auto"/>
        <w:tabs>
          <w:tab w:leader="none" w:pos="980" w:val="left"/>
        </w:tabs>
        <w:numPr>
          <w:ilvl w:val="0"/>
          <w:numId w:val="260"/>
        </w:numPr>
        <w:rPr>
          <w:rFonts w:ascii="MS PGothic" w:cs="MS PGothic" w:eastAsia="MS PGothic" w:hAnsi="MS PGothic"/>
          <w:sz w:val="18"/>
          <w:szCs w:val="18"/>
          <w:color w:val="auto"/>
        </w:rPr>
      </w:pPr>
      <w:r>
        <w:rPr>
          <w:rFonts w:ascii="Arial" w:cs="Arial" w:eastAsia="Arial" w:hAnsi="Arial"/>
          <w:sz w:val="18"/>
          <w:szCs w:val="18"/>
          <w:color w:val="auto"/>
        </w:rPr>
        <w:t xml:space="preserve">As a new Investor in accordance with </w:t>
      </w:r>
      <w:r>
        <w:rPr>
          <w:rFonts w:ascii="Arial" w:cs="Arial" w:eastAsia="Arial" w:hAnsi="Arial"/>
          <w:sz w:val="18"/>
          <w:szCs w:val="18"/>
          <w:u w:val="single" w:color="auto"/>
          <w:color w:val="auto"/>
        </w:rPr>
        <w:t>Subsection 8.13(a)</w:t>
      </w:r>
      <w:r>
        <w:rPr>
          <w:rFonts w:ascii="Arial" w:cs="Arial" w:eastAsia="Arial" w:hAnsi="Arial"/>
          <w:sz w:val="18"/>
          <w:szCs w:val="18"/>
          <w:color w:val="auto"/>
        </w:rPr>
        <w:t xml:space="preserve"> of the Agreement, in which case Holder will be an “Investor” and a “Stockholder” for all purposes of the Agreement.</w:t>
      </w:r>
    </w:p>
    <w:p>
      <w:pPr>
        <w:spacing w:after="0" w:line="75" w:lineRule="exact"/>
        <w:rPr>
          <w:rFonts w:ascii="MS PGothic" w:cs="MS PGothic" w:eastAsia="MS PGothic" w:hAnsi="MS PGothic"/>
          <w:sz w:val="18"/>
          <w:szCs w:val="18"/>
          <w:color w:val="auto"/>
        </w:rPr>
      </w:pPr>
    </w:p>
    <w:p>
      <w:pPr>
        <w:ind w:left="980" w:right="680" w:hanging="544"/>
        <w:spacing w:after="0" w:line="277" w:lineRule="auto"/>
        <w:tabs>
          <w:tab w:leader="none" w:pos="980" w:val="left"/>
        </w:tabs>
        <w:numPr>
          <w:ilvl w:val="0"/>
          <w:numId w:val="260"/>
        </w:numPr>
        <w:rPr>
          <w:rFonts w:ascii="MS PGothic" w:cs="MS PGothic" w:eastAsia="MS PGothic" w:hAnsi="MS PGothic"/>
          <w:sz w:val="18"/>
          <w:szCs w:val="18"/>
          <w:color w:val="auto"/>
        </w:rPr>
      </w:pPr>
      <w:r>
        <w:rPr>
          <w:rFonts w:ascii="Arial" w:cs="Arial" w:eastAsia="Arial" w:hAnsi="Arial"/>
          <w:sz w:val="18"/>
          <w:szCs w:val="18"/>
          <w:color w:val="auto"/>
        </w:rPr>
        <w:t xml:space="preserve">In accordance with </w:t>
      </w:r>
      <w:r>
        <w:rPr>
          <w:rFonts w:ascii="Arial" w:cs="Arial" w:eastAsia="Arial" w:hAnsi="Arial"/>
          <w:sz w:val="18"/>
          <w:szCs w:val="18"/>
          <w:u w:val="single" w:color="auto"/>
          <w:color w:val="auto"/>
        </w:rPr>
        <w:t>Subsection 8.13(b)</w:t>
      </w:r>
      <w:r>
        <w:rPr>
          <w:rFonts w:ascii="Arial" w:cs="Arial" w:eastAsia="Arial" w:hAnsi="Arial"/>
          <w:sz w:val="18"/>
          <w:szCs w:val="18"/>
          <w:color w:val="auto"/>
        </w:rPr>
        <w:t xml:space="preserve"> of the Agreement, as a new party who is not a new Investor, in which case Holder will be a “Stockholder” for all purposes of the Agreement.</w:t>
      </w:r>
    </w:p>
    <w:p>
      <w:pPr>
        <w:spacing w:after="0" w:line="170"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Agreement</w:t>
      </w:r>
      <w:r>
        <w:rPr>
          <w:rFonts w:ascii="Arial" w:cs="Arial" w:eastAsia="Arial" w:hAnsi="Arial"/>
          <w:sz w:val="18"/>
          <w:szCs w:val="18"/>
          <w:color w:val="auto"/>
        </w:rPr>
        <w:t>. Holder hereby (a) agrees that the Stock, and any other shares of capital stock or securities required by the Agreement to be bound thereby, shall be bound by and subject to the terms of the Agreement and (b) adopts the Agreement with the same force and effect as if Holder were originally a party thereto.</w:t>
      </w:r>
    </w:p>
    <w:p>
      <w:pPr>
        <w:spacing w:after="0" w:line="18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Notice</w:t>
      </w:r>
      <w:r>
        <w:rPr>
          <w:rFonts w:ascii="Arial" w:cs="Arial" w:eastAsia="Arial" w:hAnsi="Arial"/>
          <w:sz w:val="18"/>
          <w:szCs w:val="18"/>
          <w:color w:val="auto"/>
        </w:rPr>
        <w:t>. Any notice required or permitted by the Agreement shall be given to Holder at the address or facsimile number listed below Holder’s signature hereto.</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HOLDER:</w:t>
            </w:r>
          </w:p>
        </w:tc>
        <w:tc>
          <w:tcPr>
            <w:tcW w:w="4080" w:type="dxa"/>
            <w:vAlign w:val="bottom"/>
            <w:tcBorders>
              <w:bottom w:val="single" w:sz="8" w:color="auto"/>
            </w:tcBorders>
          </w:tcPr>
          <w:p>
            <w:pPr>
              <w:spacing w:after="0"/>
              <w:rPr>
                <w:sz w:val="20"/>
                <w:szCs w:val="20"/>
                <w:color w:val="auto"/>
              </w:rPr>
            </w:pPr>
          </w:p>
        </w:tc>
        <w:tc>
          <w:tcPr>
            <w:tcW w:w="5280" w:type="dxa"/>
            <w:vAlign w:val="bottom"/>
            <w:gridSpan w:val="2"/>
          </w:tcPr>
          <w:p>
            <w:pPr>
              <w:ind w:left="660"/>
              <w:spacing w:after="0"/>
              <w:rPr>
                <w:sz w:val="20"/>
                <w:szCs w:val="20"/>
                <w:color w:val="auto"/>
              </w:rPr>
            </w:pPr>
            <w:r>
              <w:rPr>
                <w:rFonts w:ascii="Arial" w:cs="Arial" w:eastAsia="Arial" w:hAnsi="Arial"/>
                <w:sz w:val="18"/>
                <w:szCs w:val="18"/>
                <w:color w:val="auto"/>
              </w:rPr>
              <w:t>ACCEPTED AND AGREED:</w:t>
            </w:r>
          </w:p>
        </w:tc>
      </w:tr>
      <w:tr>
        <w:trPr>
          <w:trHeight w:val="439"/>
        </w:trPr>
        <w:tc>
          <w:tcPr>
            <w:tcW w:w="1680" w:type="dxa"/>
            <w:vAlign w:val="bottom"/>
            <w:gridSpan w:val="2"/>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spacing w:after="0"/>
              <w:rPr>
                <w:sz w:val="24"/>
                <w:szCs w:val="24"/>
                <w:color w:val="auto"/>
              </w:rPr>
            </w:pPr>
          </w:p>
        </w:tc>
        <w:tc>
          <w:tcPr>
            <w:tcW w:w="5280" w:type="dxa"/>
            <w:vAlign w:val="bottom"/>
            <w:gridSpan w:val="2"/>
          </w:tcPr>
          <w:p>
            <w:pPr>
              <w:ind w:left="660"/>
              <w:spacing w:after="0"/>
              <w:rPr>
                <w:sz w:val="20"/>
                <w:szCs w:val="20"/>
                <w:color w:val="auto"/>
              </w:rPr>
            </w:pPr>
            <w:r>
              <w:rPr>
                <w:rFonts w:ascii="Arial" w:cs="Arial" w:eastAsia="Arial" w:hAnsi="Arial"/>
                <w:sz w:val="18"/>
                <w:szCs w:val="18"/>
                <w:b w:val="1"/>
                <w:bCs w:val="1"/>
                <w:color w:val="auto"/>
              </w:rPr>
              <w:t>4D MOLECULAR THERAPEUTICS, INC.</w:t>
            </w:r>
          </w:p>
        </w:tc>
      </w:tr>
      <w:tr>
        <w:trPr>
          <w:trHeight w:val="224"/>
        </w:trPr>
        <w:tc>
          <w:tcPr>
            <w:tcW w:w="5760" w:type="dxa"/>
            <w:vAlign w:val="bottom"/>
            <w:gridSpan w:val="3"/>
          </w:tcPr>
          <w:p>
            <w:pPr>
              <w:spacing w:after="0"/>
              <w:rPr>
                <w:sz w:val="20"/>
                <w:szCs w:val="20"/>
                <w:color w:val="auto"/>
              </w:rPr>
            </w:pPr>
            <w:r>
              <w:rPr>
                <w:rFonts w:ascii="Arial" w:cs="Arial" w:eastAsia="Arial" w:hAnsi="Arial"/>
                <w:sz w:val="18"/>
                <w:szCs w:val="18"/>
                <w:color w:val="auto"/>
              </w:rPr>
              <w:t>Name and Title of Signatory</w:t>
            </w:r>
          </w:p>
        </w:tc>
        <w:tc>
          <w:tcPr>
            <w:tcW w:w="1200" w:type="dxa"/>
            <w:vAlign w:val="bottom"/>
          </w:tcPr>
          <w:p>
            <w:pPr>
              <w:spacing w:after="0"/>
              <w:rPr>
                <w:sz w:val="19"/>
                <w:szCs w:val="19"/>
                <w:color w:val="auto"/>
              </w:rPr>
            </w:pPr>
          </w:p>
        </w:tc>
        <w:tc>
          <w:tcPr>
            <w:tcW w:w="4080" w:type="dxa"/>
            <w:vAlign w:val="bottom"/>
          </w:tcPr>
          <w:p>
            <w:pPr>
              <w:spacing w:after="0"/>
              <w:rPr>
                <w:sz w:val="19"/>
                <w:szCs w:val="19"/>
                <w:color w:val="auto"/>
              </w:rPr>
            </w:pPr>
          </w:p>
        </w:tc>
      </w:tr>
      <w:tr>
        <w:trPr>
          <w:trHeight w:val="431"/>
        </w:trPr>
        <w:tc>
          <w:tcPr>
            <w:tcW w:w="168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4080" w:type="dxa"/>
            <w:vAlign w:val="bottom"/>
            <w:tcBorders>
              <w:bottom w:val="single" w:sz="8" w:color="auto"/>
            </w:tcBorders>
          </w:tcPr>
          <w:p>
            <w:pPr>
              <w:spacing w:after="0"/>
              <w:rPr>
                <w:sz w:val="24"/>
                <w:szCs w:val="24"/>
                <w:color w:val="auto"/>
              </w:rPr>
            </w:pPr>
          </w:p>
        </w:tc>
        <w:tc>
          <w:tcPr>
            <w:tcW w:w="1200" w:type="dxa"/>
            <w:vAlign w:val="bottom"/>
          </w:tcPr>
          <w:p>
            <w:pPr>
              <w:ind w:left="66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200" w:type="dxa"/>
            <w:vAlign w:val="bottom"/>
          </w:tcPr>
          <w:p>
            <w:pPr>
              <w:ind w:left="660"/>
              <w:spacing w:after="0"/>
              <w:rPr>
                <w:sz w:val="20"/>
                <w:szCs w:val="20"/>
                <w:color w:val="auto"/>
              </w:rPr>
            </w:pPr>
            <w:r>
              <w:rPr>
                <w:rFonts w:ascii="Arial" w:cs="Arial" w:eastAsia="Arial" w:hAnsi="Arial"/>
                <w:sz w:val="18"/>
                <w:szCs w:val="18"/>
                <w:color w:val="auto"/>
              </w:rPr>
              <w:t>Title:</w:t>
            </w:r>
          </w:p>
        </w:tc>
        <w:tc>
          <w:tcPr>
            <w:tcW w:w="4080" w:type="dxa"/>
            <w:vAlign w:val="bottom"/>
            <w:tcBorders>
              <w:bottom w:val="single" w:sz="8" w:color="auto"/>
            </w:tcBorders>
          </w:tcPr>
          <w:p>
            <w:pPr>
              <w:spacing w:after="0"/>
              <w:rPr>
                <w:sz w:val="24"/>
                <w:szCs w:val="24"/>
                <w:color w:val="auto"/>
              </w:rPr>
            </w:pPr>
          </w:p>
        </w:tc>
      </w:tr>
      <w:tr>
        <w:trPr>
          <w:trHeight w:val="439"/>
        </w:trPr>
        <w:tc>
          <w:tcPr>
            <w:tcW w:w="1680" w:type="dxa"/>
            <w:vAlign w:val="bottom"/>
            <w:gridSpan w:val="2"/>
          </w:tcPr>
          <w:p>
            <w:pPr>
              <w:spacing w:after="0"/>
              <w:rPr>
                <w:sz w:val="20"/>
                <w:szCs w:val="20"/>
                <w:color w:val="auto"/>
              </w:rPr>
            </w:pPr>
            <w:r>
              <w:rPr>
                <w:rFonts w:ascii="Arial" w:cs="Arial" w:eastAsia="Arial" w:hAnsi="Arial"/>
                <w:sz w:val="18"/>
                <w:szCs w:val="18"/>
                <w:color w:val="auto"/>
              </w:rPr>
              <w:t>Facsimile Number:</w:t>
            </w:r>
          </w:p>
        </w:tc>
        <w:tc>
          <w:tcPr>
            <w:tcW w:w="408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4080" w:type="dxa"/>
            <w:vAlign w:val="bottom"/>
          </w:tcPr>
          <w:p>
            <w:pPr>
              <w:spacing w:after="0"/>
              <w:rPr>
                <w:sz w:val="24"/>
                <w:szCs w:val="24"/>
                <w:color w:val="auto"/>
              </w:rPr>
            </w:pPr>
          </w:p>
        </w:tc>
      </w:tr>
    </w:tbl>
    <w:p>
      <w:pPr>
        <w:sectPr>
          <w:pgSz w:w="11900" w:h="16838" w:orient="portrait"/>
          <w:cols w:equalWidth="0" w:num="1">
            <w:col w:w="11040"/>
          </w:cols>
          <w:pgMar w:left="440" w:top="269" w:right="419" w:bottom="1440" w:gutter="0" w:footer="0" w:header="0"/>
        </w:sectPr>
      </w:pPr>
    </w:p>
    <w:bookmarkStart w:id="404" w:name="page405"/>
    <w:bookmarkEnd w:id="404"/>
    <w:p>
      <w:pPr>
        <w:jc w:val="center"/>
        <w:ind w:right="-1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CONSENT OF SPOUSE</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 [____________________], spouse of [______________], acknowledge that I have read the Amended and Restated Investors’ Rights</w:t>
      </w:r>
    </w:p>
    <w:p>
      <w:pPr>
        <w:spacing w:after="0" w:line="4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 xml:space="preserve">Agreement, dated as of August 27, 2018, to which this Consent is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Agreement</w:t>
      </w:r>
      <w:r>
        <w:rPr>
          <w:rFonts w:ascii="Arial" w:cs="Arial" w:eastAsia="Arial" w:hAnsi="Arial"/>
          <w:sz w:val="18"/>
          <w:szCs w:val="18"/>
          <w:color w:val="auto"/>
        </w:rPr>
        <w:t>”), and that I know the contents of the Agreement. I am aware that the Agreement contains provisions regarding the voting and transfer of shares of capital stock of the Company that my spouse may own, including any interest I might have therein.</w:t>
      </w:r>
    </w:p>
    <w:p>
      <w:pPr>
        <w:spacing w:after="0" w:line="190"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I hereby agree that my interest, if any, in any shares of capital stock of the Company subject to the Agreement shall be irrevocably bound by the Agreement and further understand and agree that any community property interest I may have in such shares of capital stock of the Company shall be similarly bound by the Agreement.</w:t>
      </w:r>
    </w:p>
    <w:p>
      <w:pPr>
        <w:spacing w:after="0" w:line="181" w:lineRule="exact"/>
        <w:rPr>
          <w:sz w:val="20"/>
          <w:szCs w:val="20"/>
          <w:color w:val="auto"/>
        </w:rPr>
      </w:pPr>
    </w:p>
    <w:p>
      <w:pPr>
        <w:ind w:right="200" w:firstLine="992"/>
        <w:spacing w:after="0" w:line="264" w:lineRule="auto"/>
        <w:rPr>
          <w:sz w:val="20"/>
          <w:szCs w:val="20"/>
          <w:color w:val="auto"/>
        </w:rPr>
      </w:pPr>
      <w:r>
        <w:rPr>
          <w:rFonts w:ascii="Arial" w:cs="Arial" w:eastAsia="Arial" w:hAnsi="Arial"/>
          <w:sz w:val="18"/>
          <w:szCs w:val="18"/>
          <w:color w:val="auto"/>
        </w:rPr>
        <w:t>I am aware that the legal, financial and related matters contained in the Agreement are complex and that I am free to seek independent professional guidance or counsel with respect to this Consent. I have either sought such guidance or counsel or determined after reviewing the Agreement carefully that I will waive such right.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21564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wp:posOffset>
            </wp:positionH>
            <wp:positionV relativeFrom="paragraph">
              <wp:posOffset>-10160</wp:posOffset>
            </wp:positionV>
            <wp:extent cx="174307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Key Holder’s Spouse</w:t>
      </w:r>
      <w:r>
        <w:rPr>
          <w:rFonts w:ascii="Arial" w:cs="Arial" w:eastAsia="Arial" w:hAnsi="Arial"/>
          <w:sz w:val="18"/>
          <w:szCs w:val="18"/>
          <w:color w:val="auto"/>
        </w:rPr>
        <w:t>]</w:t>
      </w:r>
    </w:p>
    <w:p>
      <w:pPr>
        <w:sectPr>
          <w:pgSz w:w="11900" w:h="16838" w:orient="portrait"/>
          <w:cols w:equalWidth="0" w:num="1">
            <w:col w:w="10860"/>
          </w:cols>
          <w:pgMar w:left="440" w:top="270" w:right="599" w:bottom="1440" w:gutter="0" w:footer="0" w:header="0"/>
        </w:sectPr>
      </w:pPr>
    </w:p>
    <w:bookmarkStart w:id="405" w:name="page406"/>
    <w:bookmarkEnd w:id="405"/>
    <w:p>
      <w:pPr>
        <w:jc w:val="right"/>
        <w:spacing w:after="0"/>
        <w:rPr>
          <w:sz w:val="20"/>
          <w:szCs w:val="20"/>
          <w:color w:val="auto"/>
        </w:rPr>
      </w:pPr>
      <w:r>
        <w:rPr>
          <w:rFonts w:ascii="Arial" w:cs="Arial" w:eastAsia="Arial" w:hAnsi="Arial"/>
          <w:sz w:val="18"/>
          <w:szCs w:val="18"/>
          <w:b w:val="1"/>
          <w:bCs w:val="1"/>
          <w:color w:val="auto"/>
        </w:rPr>
        <w:t>Exhibit 10.1(a)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4D MOLECULAR THERAPEUTICS,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EQUITY INCENTIVE PLAN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Adopted by Board and Stockholders on March 20, 2015, as amended on March 10, 2016 and August 27, 2018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Termination Date: March 20, 2025</w:t>
      </w:r>
    </w:p>
    <w:p>
      <w:pPr>
        <w:spacing w:after="0" w:line="207" w:lineRule="exact"/>
        <w:rPr>
          <w:sz w:val="20"/>
          <w:szCs w:val="20"/>
          <w:color w:val="auto"/>
        </w:rPr>
      </w:pPr>
    </w:p>
    <w:p>
      <w:pPr>
        <w:ind w:left="620" w:hanging="176"/>
        <w:spacing w:after="0"/>
        <w:tabs>
          <w:tab w:leader="none" w:pos="620" w:val="left"/>
        </w:tabs>
        <w:numPr>
          <w:ilvl w:val="0"/>
          <w:numId w:val="261"/>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Purposes of the Plan</w:t>
      </w:r>
      <w:r>
        <w:rPr>
          <w:rFonts w:ascii="Arial" w:cs="Arial" w:eastAsia="Arial" w:hAnsi="Arial"/>
          <w:sz w:val="18"/>
          <w:szCs w:val="18"/>
          <w:color w:val="auto"/>
        </w:rPr>
        <w:t>. The purposes of the Plan are:</w:t>
      </w:r>
    </w:p>
    <w:p>
      <w:pPr>
        <w:spacing w:after="0" w:line="134" w:lineRule="exact"/>
        <w:rPr>
          <w:rFonts w:ascii="Arial" w:cs="Arial" w:eastAsia="Arial" w:hAnsi="Arial"/>
          <w:sz w:val="18"/>
          <w:szCs w:val="18"/>
          <w:color w:val="auto"/>
        </w:rPr>
      </w:pPr>
    </w:p>
    <w:p>
      <w:pPr>
        <w:ind w:left="1420" w:hanging="322"/>
        <w:spacing w:after="0"/>
        <w:tabs>
          <w:tab w:leader="none" w:pos="142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to provide incentives that align the interests of Employees, Directors and Consultants with those of the Company’s stockholders; and</w:t>
      </w:r>
    </w:p>
    <w:p>
      <w:pPr>
        <w:spacing w:after="0" w:line="153" w:lineRule="exact"/>
        <w:rPr>
          <w:rFonts w:ascii="Arial" w:cs="Arial" w:eastAsia="Arial" w:hAnsi="Arial"/>
          <w:sz w:val="16"/>
          <w:szCs w:val="16"/>
          <w:color w:val="auto"/>
        </w:rPr>
      </w:pPr>
    </w:p>
    <w:p>
      <w:pPr>
        <w:ind w:left="1420" w:hanging="322"/>
        <w:spacing w:after="0"/>
        <w:tabs>
          <w:tab w:leader="none" w:pos="142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25" w:lineRule="exact"/>
        <w:rPr>
          <w:sz w:val="20"/>
          <w:szCs w:val="20"/>
          <w:color w:val="auto"/>
        </w:rPr>
      </w:pPr>
    </w:p>
    <w:p>
      <w:pPr>
        <w:ind w:right="460" w:firstLine="992"/>
        <w:spacing w:after="0" w:line="277" w:lineRule="auto"/>
        <w:rPr>
          <w:sz w:val="20"/>
          <w:szCs w:val="20"/>
          <w:color w:val="auto"/>
        </w:rPr>
      </w:pPr>
      <w:r>
        <w:rPr>
          <w:rFonts w:ascii="Arial" w:cs="Arial" w:eastAsia="Arial" w:hAnsi="Arial"/>
          <w:sz w:val="18"/>
          <w:szCs w:val="18"/>
          <w:color w:val="auto"/>
        </w:rPr>
        <w:t>The Plan permits the grant of Incentive Stock Options, Nonstatutory Stock Options, Stock Appreciation Rights, Restricted Stock and Restricted Stock Units.</w:t>
      </w:r>
    </w:p>
    <w:p>
      <w:pPr>
        <w:spacing w:after="0" w:line="166" w:lineRule="exact"/>
        <w:rPr>
          <w:sz w:val="20"/>
          <w:szCs w:val="20"/>
          <w:color w:val="auto"/>
        </w:rPr>
      </w:pPr>
    </w:p>
    <w:p>
      <w:pPr>
        <w:ind w:left="620" w:hanging="176"/>
        <w:spacing w:after="0"/>
        <w:tabs>
          <w:tab w:leader="none" w:pos="620" w:val="left"/>
        </w:tabs>
        <w:numPr>
          <w:ilvl w:val="0"/>
          <w:numId w:val="262"/>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herein, the following definitions will apply:</w:t>
      </w:r>
    </w:p>
    <w:p>
      <w:pPr>
        <w:spacing w:after="0" w:line="121" w:lineRule="exact"/>
        <w:rPr>
          <w:rFonts w:ascii="Arial" w:cs="Arial" w:eastAsia="Arial" w:hAnsi="Arial"/>
          <w:sz w:val="18"/>
          <w:szCs w:val="18"/>
          <w:color w:val="auto"/>
        </w:rPr>
      </w:pPr>
    </w:p>
    <w:p>
      <w:pPr>
        <w:ind w:right="80" w:firstLine="996"/>
        <w:spacing w:after="0" w:line="286" w:lineRule="auto"/>
        <w:tabs>
          <w:tab w:leader="none" w:pos="1237" w:val="left"/>
        </w:tabs>
        <w:numPr>
          <w:ilvl w:val="1"/>
          <w:numId w:val="2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Administrator</w:t>
      </w:r>
      <w:r>
        <w:rPr>
          <w:rFonts w:ascii="Arial" w:cs="Arial" w:eastAsia="Arial" w:hAnsi="Arial"/>
          <w:sz w:val="17"/>
          <w:szCs w:val="17"/>
          <w:color w:val="auto"/>
        </w:rPr>
        <w:t xml:space="preserve">” means the Committee;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t>
      </w:r>
      <w:r>
        <w:rPr>
          <w:rFonts w:ascii="Arial" w:cs="Arial" w:eastAsia="Arial" w:hAnsi="Arial"/>
          <w:sz w:val="17"/>
          <w:szCs w:val="17"/>
          <w:b w:val="1"/>
          <w:bCs w:val="1"/>
          <w:i w:val="1"/>
          <w:iCs w:val="1"/>
          <w:color w:val="auto"/>
        </w:rPr>
        <w:t>Administrator</w:t>
      </w:r>
      <w:r>
        <w:rPr>
          <w:rFonts w:ascii="Arial" w:cs="Arial" w:eastAsia="Arial" w:hAnsi="Arial"/>
          <w:sz w:val="17"/>
          <w:szCs w:val="17"/>
          <w:color w:val="auto"/>
        </w:rPr>
        <w:t xml:space="preserve">” means the Board if (i) no Committee is appointed by the Board or (ii) the Board terminates the Committee’s responsibilities hereunder and revests in the Board the administration of the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w:t>
      </w:r>
      <w:r>
        <w:rPr>
          <w:rFonts w:ascii="Arial" w:cs="Arial" w:eastAsia="Arial" w:hAnsi="Arial"/>
          <w:sz w:val="17"/>
          <w:szCs w:val="17"/>
          <w:b w:val="1"/>
          <w:bCs w:val="1"/>
          <w:i w:val="1"/>
          <w:iCs w:val="1"/>
          <w:color w:val="auto"/>
        </w:rPr>
        <w:t>Administrator</w:t>
      </w:r>
      <w:r>
        <w:rPr>
          <w:rFonts w:ascii="Arial" w:cs="Arial" w:eastAsia="Arial" w:hAnsi="Arial"/>
          <w:sz w:val="17"/>
          <w:szCs w:val="17"/>
          <w:color w:val="auto"/>
        </w:rPr>
        <w:t>” may be comprised of different Committees with respect to different groups of Service Providers.</w:t>
      </w:r>
    </w:p>
    <w:p>
      <w:pPr>
        <w:spacing w:after="0" w:line="57" w:lineRule="exact"/>
        <w:rPr>
          <w:rFonts w:ascii="Arial" w:cs="Arial" w:eastAsia="Arial" w:hAnsi="Arial"/>
          <w:sz w:val="17"/>
          <w:szCs w:val="17"/>
          <w:color w:val="auto"/>
        </w:rPr>
      </w:pPr>
    </w:p>
    <w:p>
      <w:pPr>
        <w:ind w:left="1260" w:hanging="264"/>
        <w:spacing w:after="0"/>
        <w:tabs>
          <w:tab w:leader="none" w:pos="12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parent corporation (or other entity) of the Company, a majority-owned subsidiary of the Company or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majority-owned subsidiary of the Company’s parent corporation (or other entity).</w:t>
      </w:r>
    </w:p>
    <w:p>
      <w:pPr>
        <w:spacing w:after="0" w:line="103" w:lineRule="exact"/>
        <w:rPr>
          <w:sz w:val="20"/>
          <w:szCs w:val="20"/>
          <w:color w:val="auto"/>
        </w:rPr>
      </w:pPr>
    </w:p>
    <w:p>
      <w:pPr>
        <w:jc w:val="both"/>
        <w:ind w:right="160" w:firstLine="996"/>
        <w:spacing w:after="0" w:line="264" w:lineRule="auto"/>
        <w:tabs>
          <w:tab w:leader="none" w:pos="123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Laws</w:t>
      </w:r>
      <w:r>
        <w:rPr>
          <w:rFonts w:ascii="Arial" w:cs="Arial" w:eastAsia="Arial" w:hAnsi="Arial"/>
          <w:sz w:val="18"/>
          <w:szCs w:val="18"/>
          <w:color w:val="auto"/>
        </w:rPr>
        <w:t>” means the requirements related to or implicated by the administration of the Plan under U.S. state corporate laws, U.S. federal and state securities laws, the Code, state and local tax laws, any stock exchange or quotation system on which the Common Stock is listed or quoted and the applicable laws of any foreign country or jurisdiction where Awards are granted.</w:t>
      </w:r>
    </w:p>
    <w:p>
      <w:pPr>
        <w:spacing w:after="0" w:line="73" w:lineRule="exact"/>
        <w:rPr>
          <w:rFonts w:ascii="Arial" w:cs="Arial" w:eastAsia="Arial" w:hAnsi="Arial"/>
          <w:sz w:val="18"/>
          <w:szCs w:val="18"/>
          <w:color w:val="auto"/>
        </w:rPr>
      </w:pPr>
    </w:p>
    <w:p>
      <w:pPr>
        <w:ind w:right="780" w:firstLine="996"/>
        <w:spacing w:after="0" w:line="277" w:lineRule="auto"/>
        <w:tabs>
          <w:tab w:leader="none" w:pos="124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right granted under the Plan, including an Incentive Stock Option, a Nonstatutory Stock Option, a Stock Appreciation Right, Restricted Stock or a Restricted Stock Unit.</w:t>
      </w:r>
    </w:p>
    <w:p>
      <w:pPr>
        <w:spacing w:after="0" w:line="62" w:lineRule="exact"/>
        <w:rPr>
          <w:rFonts w:ascii="Arial" w:cs="Arial" w:eastAsia="Arial" w:hAnsi="Arial"/>
          <w:sz w:val="18"/>
          <w:szCs w:val="18"/>
          <w:color w:val="auto"/>
        </w:rPr>
      </w:pPr>
    </w:p>
    <w:p>
      <w:pPr>
        <w:ind w:right="320" w:firstLine="996"/>
        <w:spacing w:after="0" w:line="308" w:lineRule="auto"/>
        <w:tabs>
          <w:tab w:leader="none" w:pos="1237" w:val="left"/>
        </w:tabs>
        <w:numPr>
          <w:ilvl w:val="0"/>
          <w:numId w:val="2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means a written or electronic agreement, contract, certificate or other instrument or document setting forth the terms and conditions applicable to an Award. Each Award Agreement will be subject to the terms and conditions of the Plan.</w:t>
      </w:r>
    </w:p>
    <w:p>
      <w:pPr>
        <w:spacing w:after="0" w:line="38" w:lineRule="exact"/>
        <w:rPr>
          <w:rFonts w:ascii="Arial" w:cs="Arial" w:eastAsia="Arial" w:hAnsi="Arial"/>
          <w:sz w:val="17"/>
          <w:szCs w:val="17"/>
          <w:color w:val="auto"/>
        </w:rPr>
      </w:pPr>
    </w:p>
    <w:p>
      <w:pPr>
        <w:ind w:left="1220" w:hanging="224"/>
        <w:spacing w:after="0"/>
        <w:tabs>
          <w:tab w:leader="none" w:pos="12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ectPr>
          <w:pgSz w:w="11900" w:h="16838" w:orient="portrait"/>
          <w:cols w:equalWidth="0" w:num="1">
            <w:col w:w="11020"/>
          </w:cols>
          <w:pgMar w:left="440" w:top="121" w:right="439" w:bottom="1440" w:gutter="0" w:footer="0" w:header="0"/>
        </w:sectPr>
      </w:pPr>
    </w:p>
    <w:bookmarkStart w:id="406" w:name="page407"/>
    <w:bookmarkEnd w:id="406"/>
    <w:p>
      <w:pPr>
        <w:ind w:left="1260" w:hanging="264"/>
        <w:spacing w:after="0"/>
        <w:tabs>
          <w:tab w:leader="none" w:pos="1260" w:val="left"/>
        </w:tabs>
        <w:numPr>
          <w:ilvl w:val="1"/>
          <w:numId w:val="2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means the Company’s Certificate of Incorporation, as may be amended from time to time.</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the occurrence of either of the following events:</w:t>
      </w:r>
    </w:p>
    <w:p>
      <w:pPr>
        <w:spacing w:after="0" w:line="117" w:lineRule="exact"/>
        <w:rPr>
          <w:rFonts w:ascii="Arial" w:cs="Arial" w:eastAsia="Arial" w:hAnsi="Arial"/>
          <w:sz w:val="18"/>
          <w:szCs w:val="18"/>
          <w:color w:val="auto"/>
        </w:rPr>
      </w:pPr>
    </w:p>
    <w:p>
      <w:pPr>
        <w:ind w:firstLine="1436"/>
        <w:spacing w:after="0" w:line="285" w:lineRule="auto"/>
        <w:tabs>
          <w:tab w:leader="none" w:pos="1648" w:val="left"/>
        </w:tabs>
        <w:numPr>
          <w:ilvl w:val="2"/>
          <w:numId w:val="264"/>
        </w:numPr>
        <w:rPr>
          <w:rFonts w:ascii="Arial" w:cs="Arial" w:eastAsia="Arial" w:hAnsi="Arial"/>
          <w:sz w:val="16"/>
          <w:szCs w:val="16"/>
          <w:color w:val="auto"/>
        </w:rPr>
      </w:pPr>
      <w:r>
        <w:rPr>
          <w:rFonts w:ascii="Arial" w:cs="Arial" w:eastAsia="Arial" w:hAnsi="Arial"/>
          <w:sz w:val="16"/>
          <w:szCs w:val="16"/>
          <w:color w:val="auto"/>
        </w:rPr>
        <w:t>a merger or consolidation in which the Company is a constituent party (or a subsidiary of the Company is a constituent party and the Company issues shares of its capital stock pursuant to such merger or consolidation), except any such merger or consolidation (A) effected exclusively for the purpose of changing the Company’s domicile or (B) involving the Company (or a subsidiary of the Company) in which the shares of capital stock of the Company outstanding immediately prior to such merger or consolidation continue to represent, or are converted into or exchanged for shares of capital stock that represent, immediately following such merger or consolidation, at least a majority, by voting power, of the capital stock of</w:t>
      </w:r>
    </w:p>
    <w:p>
      <w:pPr>
        <w:spacing w:after="0" w:line="2" w:lineRule="exact"/>
        <w:rPr>
          <w:rFonts w:ascii="Arial" w:cs="Arial" w:eastAsia="Arial" w:hAnsi="Arial"/>
          <w:sz w:val="16"/>
          <w:szCs w:val="16"/>
          <w:color w:val="auto"/>
        </w:rPr>
      </w:pPr>
    </w:p>
    <w:p>
      <w:pPr>
        <w:ind w:right="940" w:firstLine="4"/>
        <w:spacing w:after="0" w:line="290" w:lineRule="auto"/>
        <w:tabs>
          <w:tab w:leader="none" w:pos="255" w:val="left"/>
        </w:tabs>
        <w:numPr>
          <w:ilvl w:val="0"/>
          <w:numId w:val="265"/>
        </w:numPr>
        <w:rPr>
          <w:rFonts w:ascii="Arial" w:cs="Arial" w:eastAsia="Arial" w:hAnsi="Arial"/>
          <w:sz w:val="17"/>
          <w:szCs w:val="17"/>
          <w:color w:val="auto"/>
        </w:rPr>
      </w:pPr>
      <w:r>
        <w:rPr>
          <w:rFonts w:ascii="Arial" w:cs="Arial" w:eastAsia="Arial" w:hAnsi="Arial"/>
          <w:sz w:val="17"/>
          <w:szCs w:val="17"/>
          <w:color w:val="auto"/>
        </w:rPr>
        <w:t>the surviving or resulting corporation or (y) if the surviving or resulting corporation is a wholly owned subsidiary of another corporation immediately following such merger or consolidation, the parent corporation of such surviving or resulting corporation; or</w:t>
      </w:r>
    </w:p>
    <w:p>
      <w:pPr>
        <w:spacing w:after="0" w:line="53" w:lineRule="exact"/>
        <w:rPr>
          <w:rFonts w:ascii="Arial" w:cs="Arial" w:eastAsia="Arial" w:hAnsi="Arial"/>
          <w:sz w:val="17"/>
          <w:szCs w:val="17"/>
          <w:color w:val="auto"/>
        </w:rPr>
      </w:pPr>
    </w:p>
    <w:p>
      <w:pPr>
        <w:ind w:right="80" w:firstLine="1436"/>
        <w:spacing w:after="0" w:line="257" w:lineRule="auto"/>
        <w:tabs>
          <w:tab w:leader="none" w:pos="1698" w:val="left"/>
        </w:tabs>
        <w:numPr>
          <w:ilvl w:val="2"/>
          <w:numId w:val="265"/>
        </w:numPr>
        <w:rPr>
          <w:rFonts w:ascii="Arial" w:cs="Arial" w:eastAsia="Arial" w:hAnsi="Arial"/>
          <w:sz w:val="18"/>
          <w:szCs w:val="18"/>
          <w:color w:val="auto"/>
        </w:rPr>
      </w:pPr>
      <w:r>
        <w:rPr>
          <w:rFonts w:ascii="Arial" w:cs="Arial" w:eastAsia="Arial" w:hAnsi="Arial"/>
          <w:sz w:val="18"/>
          <w:szCs w:val="18"/>
          <w:color w:val="auto"/>
        </w:rPr>
        <w:t>the sale, lease, transfer, exclusive license or other disposition, in a single transaction or series of related transactions, by the Company (or any subsidiary of the Company) of all or substantially all of the assets of the Company and its subsidiaries taken as a whole or the sale or disposition (whether by merger or otherwise) of one or more subsidiaries of the Company if substantially all of the assets of the Company and its subsidiaries taken as a whole are held by such subsidiary or subsidiaries, except where such sale, lease, transfer, exclusive license or other disposition is to a wholly owned subsidiary of the Company;</w:t>
      </w:r>
    </w:p>
    <w:p>
      <w:pPr>
        <w:spacing w:after="0" w:line="80" w:lineRule="exact"/>
        <w:rPr>
          <w:sz w:val="20"/>
          <w:szCs w:val="20"/>
          <w:color w:val="auto"/>
        </w:rPr>
      </w:pPr>
    </w:p>
    <w:p>
      <w:pPr>
        <w:ind w:right="80" w:firstLine="1433"/>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transaction or series of transactions principally for bona fide equity financing purposes in which cash is received by the Company or indebtedness of the Company is cancelled or converted (or a combination thereof) will not be deemed to be a Change in Control.</w:t>
      </w:r>
    </w:p>
    <w:p>
      <w:pPr>
        <w:spacing w:after="0" w:line="73" w:lineRule="exact"/>
        <w:rPr>
          <w:sz w:val="20"/>
          <w:szCs w:val="20"/>
          <w:color w:val="auto"/>
        </w:rPr>
      </w:pPr>
    </w:p>
    <w:p>
      <w:pPr>
        <w:ind w:right="40" w:firstLine="996"/>
        <w:spacing w:after="0" w:line="277" w:lineRule="auto"/>
        <w:tabs>
          <w:tab w:leader="none" w:pos="120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it may be amended from time to time. Any reference to a section of the Code will be deemed to include a reference to any regulations and Internal Revenue Service guidance promulgated thereunder.</w:t>
      </w:r>
    </w:p>
    <w:p>
      <w:pPr>
        <w:spacing w:after="0" w:line="62" w:lineRule="exact"/>
        <w:rPr>
          <w:rFonts w:ascii="Arial" w:cs="Arial" w:eastAsia="Arial" w:hAnsi="Arial"/>
          <w:sz w:val="18"/>
          <w:szCs w:val="18"/>
          <w:color w:val="auto"/>
        </w:rPr>
      </w:pPr>
    </w:p>
    <w:p>
      <w:pPr>
        <w:ind w:right="140" w:firstLine="996"/>
        <w:spacing w:after="0" w:line="277" w:lineRule="auto"/>
        <w:tabs>
          <w:tab w:leader="none" w:pos="120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other committee of one or more Directors appointed by the Board to administer the Plan in accordance with Section 4.</w:t>
      </w:r>
    </w:p>
    <w:p>
      <w:pPr>
        <w:spacing w:after="0" w:line="62" w:lineRule="exact"/>
        <w:rPr>
          <w:rFonts w:ascii="Arial" w:cs="Arial" w:eastAsia="Arial" w:hAnsi="Arial"/>
          <w:sz w:val="18"/>
          <w:szCs w:val="18"/>
          <w:color w:val="auto"/>
        </w:rPr>
      </w:pPr>
    </w:p>
    <w:p>
      <w:pPr>
        <w:ind w:left="1260" w:hanging="264"/>
        <w:spacing w:after="0"/>
        <w:tabs>
          <w:tab w:leader="none" w:pos="12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par value $0.0001 per share, of the Company.</w:t>
      </w:r>
    </w:p>
    <w:p>
      <w:pPr>
        <w:spacing w:after="0" w:line="117" w:lineRule="exact"/>
        <w:rPr>
          <w:rFonts w:ascii="Arial" w:cs="Arial" w:eastAsia="Arial" w:hAnsi="Arial"/>
          <w:sz w:val="18"/>
          <w:szCs w:val="18"/>
          <w:color w:val="auto"/>
        </w:rPr>
      </w:pPr>
    </w:p>
    <w:p>
      <w:pPr>
        <w:ind w:left="1220" w:hanging="224"/>
        <w:spacing w:after="0"/>
        <w:tabs>
          <w:tab w:leader="none" w:pos="12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4D Molecular Therapeutics, Inc., a Delaware corporation, and any successor thereto.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407" w:name="page408"/>
    <w:bookmarkEnd w:id="407"/>
    <w:p>
      <w:pPr>
        <w:ind w:left="-4" w:right="120" w:firstLine="996"/>
        <w:spacing w:after="0" w:line="257" w:lineRule="auto"/>
        <w:tabs>
          <w:tab w:leader="none" w:pos="1293" w:val="left"/>
        </w:tabs>
        <w:numPr>
          <w:ilvl w:val="1"/>
          <w:numId w:val="2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xml:space="preserve">” means any Person (i) engaged by the Company or any Affiliate to render consulting or advisory services to such entity and who is compensated for such services or (ii) serving as a member of the board of directors of any Affiliate and who is compensated for such services;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will not include Directors who are not compensated by the Company for their services as Directors, and the payment of a director’s fee by the Company for services as a Director will not cause a Director to be considered a “Consultant” for purposes of the Plan.</w:t>
      </w:r>
    </w:p>
    <w:p>
      <w:pPr>
        <w:spacing w:after="0" w:line="80" w:lineRule="exact"/>
        <w:rPr>
          <w:rFonts w:ascii="Arial" w:cs="Arial" w:eastAsia="Arial" w:hAnsi="Arial"/>
          <w:sz w:val="18"/>
          <w:szCs w:val="18"/>
          <w:color w:val="auto"/>
        </w:rPr>
      </w:pPr>
    </w:p>
    <w:p>
      <w:pPr>
        <w:ind w:left="1256" w:hanging="264"/>
        <w:spacing w:after="0"/>
        <w:tabs>
          <w:tab w:leader="none" w:pos="1256" w:val="left"/>
        </w:tabs>
        <w:numPr>
          <w:ilvl w:val="1"/>
          <w:numId w:val="2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color w:val="auto"/>
        </w:rPr>
      </w:pPr>
    </w:p>
    <w:p>
      <w:pPr>
        <w:ind w:left="-4" w:right="120" w:firstLine="996"/>
        <w:spacing w:after="0" w:line="312" w:lineRule="auto"/>
        <w:tabs>
          <w:tab w:leader="none" w:pos="1243" w:val="left"/>
        </w:tabs>
        <w:numPr>
          <w:ilvl w:val="1"/>
          <w:numId w:val="2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xml:space="preserve">” has the meaning ascribed to that term under Section 22(e)(3) of the Code;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Awards other than Incentive Stock Options or Awards subject to Section 409A of the Code, the Administrator, in its sole discretion, may determine whether a Disability exists in accordance with uniform and non-discriminatory standards adopted by the Administrator from time to time.</w:t>
      </w:r>
    </w:p>
    <w:p>
      <w:pPr>
        <w:spacing w:after="0" w:line="38" w:lineRule="exact"/>
        <w:rPr>
          <w:rFonts w:ascii="Arial" w:cs="Arial" w:eastAsia="Arial" w:hAnsi="Arial"/>
          <w:sz w:val="16"/>
          <w:szCs w:val="16"/>
          <w:color w:val="auto"/>
        </w:rPr>
      </w:pPr>
    </w:p>
    <w:p>
      <w:pPr>
        <w:ind w:left="-4" w:right="40" w:firstLine="996"/>
        <w:spacing w:after="0" w:line="257" w:lineRule="auto"/>
        <w:tabs>
          <w:tab w:leader="none" w:pos="1243" w:val="left"/>
        </w:tabs>
        <w:numPr>
          <w:ilvl w:val="1"/>
          <w:numId w:val="2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xml:space="preserve">” means any individual, including an officer or director, employed by the Company or any 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determining eligibility to receive Incentive Stock Options,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 employee of the Company or a parent or subsidiary corporation within the meaning of Section 424 of the Code. Neither service as a Director nor payment of a director’s fee by the Company for such service or for service as a member of the board of directors of any Affiliate will be sufficient to constitute “</w:t>
      </w:r>
      <w:r>
        <w:rPr>
          <w:rFonts w:ascii="Arial" w:cs="Arial" w:eastAsia="Arial" w:hAnsi="Arial"/>
          <w:sz w:val="18"/>
          <w:szCs w:val="18"/>
          <w:b w:val="1"/>
          <w:bCs w:val="1"/>
          <w:i w:val="1"/>
          <w:iCs w:val="1"/>
          <w:color w:val="auto"/>
        </w:rPr>
        <w:t>employment</w:t>
      </w:r>
      <w:r>
        <w:rPr>
          <w:rFonts w:ascii="Arial" w:cs="Arial" w:eastAsia="Arial" w:hAnsi="Arial"/>
          <w:sz w:val="18"/>
          <w:szCs w:val="18"/>
          <w:color w:val="auto"/>
        </w:rPr>
        <w:t>” by the Company or any Affiliate.</w:t>
      </w:r>
    </w:p>
    <w:p>
      <w:pPr>
        <w:spacing w:after="0" w:line="80" w:lineRule="exact"/>
        <w:rPr>
          <w:rFonts w:ascii="Arial" w:cs="Arial" w:eastAsia="Arial" w:hAnsi="Arial"/>
          <w:sz w:val="18"/>
          <w:szCs w:val="18"/>
          <w:color w:val="auto"/>
        </w:rPr>
      </w:pPr>
    </w:p>
    <w:p>
      <w:pPr>
        <w:ind w:left="1256" w:hanging="264"/>
        <w:spacing w:after="0"/>
        <w:tabs>
          <w:tab w:leader="none" w:pos="1256" w:val="left"/>
        </w:tabs>
        <w:numPr>
          <w:ilvl w:val="1"/>
          <w:numId w:val="2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117" w:lineRule="exact"/>
        <w:rPr>
          <w:rFonts w:ascii="Arial" w:cs="Arial" w:eastAsia="Arial" w:hAnsi="Arial"/>
          <w:sz w:val="18"/>
          <w:szCs w:val="18"/>
          <w:color w:val="auto"/>
        </w:rPr>
      </w:pPr>
    </w:p>
    <w:p>
      <w:pPr>
        <w:ind w:left="-4" w:firstLine="996"/>
        <w:spacing w:after="0" w:line="291" w:lineRule="auto"/>
        <w:tabs>
          <w:tab w:leader="none" w:pos="1213" w:val="left"/>
        </w:tabs>
        <w:numPr>
          <w:ilvl w:val="1"/>
          <w:numId w:val="2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Program</w:t>
      </w:r>
      <w:r>
        <w:rPr>
          <w:rFonts w:ascii="Arial" w:cs="Arial" w:eastAsia="Arial" w:hAnsi="Arial"/>
          <w:sz w:val="16"/>
          <w:szCs w:val="16"/>
          <w:color w:val="auto"/>
        </w:rPr>
        <w:t>” means a program under which (i) outstanding Awards are surrendered or cancelled in exchange for cash, Awards of the same type (which may have higher or lower purchase, exercise or base prices and different terms) or Awards of a different type, and/or</w:t>
      </w:r>
    </w:p>
    <w:p>
      <w:pPr>
        <w:ind w:left="-4" w:right="160" w:firstLine="4"/>
        <w:spacing w:after="0" w:line="261" w:lineRule="auto"/>
        <w:tabs>
          <w:tab w:leader="none" w:pos="26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Participants would have the opportunity to transfer any outstanding Awards to a financial institution or other Person selected by the Administrator, and/or (iii) the purchase, exercise or base price of an outstanding Award is reduced or increased.</w:t>
      </w:r>
    </w:p>
    <w:p>
      <w:pPr>
        <w:spacing w:after="0" w:line="75" w:lineRule="exact"/>
        <w:rPr>
          <w:rFonts w:ascii="Arial" w:cs="Arial" w:eastAsia="Arial" w:hAnsi="Arial"/>
          <w:sz w:val="18"/>
          <w:szCs w:val="18"/>
          <w:color w:val="auto"/>
        </w:rPr>
      </w:pPr>
    </w:p>
    <w:p>
      <w:pPr>
        <w:ind w:left="-4" w:right="40" w:firstLine="996"/>
        <w:spacing w:after="0" w:line="264" w:lineRule="auto"/>
        <w:tabs>
          <w:tab w:leader="none" w:pos="1223" w:val="left"/>
        </w:tabs>
        <w:numPr>
          <w:ilvl w:val="1"/>
          <w:numId w:val="2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in good faith by the Administrator and in a manner consistent with Section 260.140.50 of Title 10 of the California Code of Regulations and, with respect to Nonstatutory Stock Options and Stock Appreciation Rights, in compliance with Section 409A of the Code.</w:t>
      </w:r>
    </w:p>
    <w:p>
      <w:pPr>
        <w:spacing w:after="0" w:line="73" w:lineRule="exact"/>
        <w:rPr>
          <w:rFonts w:ascii="Arial" w:cs="Arial" w:eastAsia="Arial" w:hAnsi="Arial"/>
          <w:sz w:val="18"/>
          <w:szCs w:val="18"/>
          <w:color w:val="auto"/>
        </w:rPr>
      </w:pPr>
    </w:p>
    <w:p>
      <w:pPr>
        <w:ind w:left="-4" w:right="360" w:firstLine="996"/>
        <w:spacing w:after="0" w:line="277" w:lineRule="auto"/>
        <w:tabs>
          <w:tab w:leader="none" w:pos="1203" w:val="left"/>
        </w:tabs>
        <w:numPr>
          <w:ilvl w:val="1"/>
          <w:numId w:val="2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 stock option granted pursuant to the Plan that by its terms qualifies and is otherwise intended to qualify as an incentive stock option within the meaning of Section 422 of the Code.</w:t>
      </w:r>
    </w:p>
    <w:p>
      <w:pPr>
        <w:spacing w:after="0" w:line="62" w:lineRule="exact"/>
        <w:rPr>
          <w:rFonts w:ascii="Arial" w:cs="Arial" w:eastAsia="Arial" w:hAnsi="Arial"/>
          <w:sz w:val="18"/>
          <w:szCs w:val="18"/>
          <w:color w:val="auto"/>
        </w:rPr>
      </w:pPr>
    </w:p>
    <w:p>
      <w:pPr>
        <w:ind w:left="-4" w:right="80" w:firstLine="996"/>
        <w:spacing w:after="0" w:line="277" w:lineRule="auto"/>
        <w:tabs>
          <w:tab w:leader="none" w:pos="1243" w:val="left"/>
        </w:tabs>
        <w:numPr>
          <w:ilvl w:val="1"/>
          <w:numId w:val="2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 stock option granted pursuant to the Plan that by its terms does not qualify or is not intended to qualify as an Incentive Stock Option.</w:t>
      </w:r>
    </w:p>
    <w:p>
      <w:pPr>
        <w:spacing w:after="0" w:line="62" w:lineRule="exact"/>
        <w:rPr>
          <w:rFonts w:ascii="Arial" w:cs="Arial" w:eastAsia="Arial" w:hAnsi="Arial"/>
          <w:sz w:val="18"/>
          <w:szCs w:val="18"/>
          <w:color w:val="auto"/>
        </w:rPr>
      </w:pPr>
    </w:p>
    <w:p>
      <w:pPr>
        <w:ind w:left="1256" w:hanging="264"/>
        <w:spacing w:after="0"/>
        <w:tabs>
          <w:tab w:leader="none" w:pos="1256" w:val="left"/>
        </w:tabs>
        <w:numPr>
          <w:ilvl w:val="1"/>
          <w:numId w:val="2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Incentive Stock Option or a Nonstatutory Stock Option.</w:t>
      </w:r>
    </w:p>
    <w:p>
      <w:pPr>
        <w:spacing w:after="0" w:line="117" w:lineRule="exact"/>
        <w:rPr>
          <w:rFonts w:ascii="Arial" w:cs="Arial" w:eastAsia="Arial" w:hAnsi="Arial"/>
          <w:sz w:val="18"/>
          <w:szCs w:val="18"/>
          <w:color w:val="auto"/>
        </w:rPr>
      </w:pPr>
    </w:p>
    <w:p>
      <w:pPr>
        <w:ind w:left="-4" w:right="340" w:firstLine="996"/>
        <w:spacing w:after="0" w:line="277" w:lineRule="auto"/>
        <w:tabs>
          <w:tab w:leader="none" w:pos="1283" w:val="left"/>
        </w:tabs>
        <w:numPr>
          <w:ilvl w:val="1"/>
          <w:numId w:val="2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person to whom an Award is granted pursuant to the Plan or, if applicable, such other person who holds an outstanding Award.</w:t>
      </w:r>
    </w:p>
    <w:p>
      <w:pPr>
        <w:spacing w:after="0" w:line="103"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76"/>
          </w:cols>
          <w:pgMar w:left="444" w:top="273" w:right="479" w:bottom="1440" w:gutter="0" w:footer="0" w:header="0"/>
        </w:sectPr>
      </w:pPr>
    </w:p>
    <w:bookmarkStart w:id="408" w:name="page409"/>
    <w:bookmarkEnd w:id="408"/>
    <w:p>
      <w:pPr>
        <w:ind w:right="200" w:firstLine="996"/>
        <w:spacing w:after="0" w:line="264" w:lineRule="auto"/>
        <w:tabs>
          <w:tab w:leader="none" w:pos="1247" w:val="left"/>
        </w:tabs>
        <w:numPr>
          <w:ilvl w:val="0"/>
          <w:numId w:val="2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Period of Restriction</w:t>
      </w:r>
      <w:r>
        <w:rPr>
          <w:rFonts w:ascii="Arial" w:cs="Arial" w:eastAsia="Arial" w:hAnsi="Arial"/>
          <w:sz w:val="18"/>
          <w:szCs w:val="18"/>
          <w:color w:val="auto"/>
        </w:rPr>
        <w:t>” means the period during which the transfer of Restricted Stock is subject to restrictions and, therefore, the Restricted Stock is subject to a substantial risk of forfeiture. Such restrictions may be based on the passage of time, the achievement of target levels of performance or the occurrence of other events as determined by the Administrator.</w:t>
      </w:r>
    </w:p>
    <w:p>
      <w:pPr>
        <w:spacing w:after="0" w:line="73" w:lineRule="exact"/>
        <w:rPr>
          <w:rFonts w:ascii="Arial" w:cs="Arial" w:eastAsia="Arial" w:hAnsi="Arial"/>
          <w:sz w:val="18"/>
          <w:szCs w:val="18"/>
          <w:color w:val="auto"/>
        </w:rPr>
      </w:pPr>
    </w:p>
    <w:p>
      <w:pPr>
        <w:ind w:firstLine="996"/>
        <w:spacing w:after="0" w:line="277" w:lineRule="auto"/>
        <w:tabs>
          <w:tab w:leader="none" w:pos="124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firm, corporation, association, partnership, limited liability company, trust, joint venture, governmental entity or other entity.</w:t>
      </w:r>
    </w:p>
    <w:p>
      <w:pPr>
        <w:spacing w:after="0" w:line="62" w:lineRule="exact"/>
        <w:rPr>
          <w:rFonts w:ascii="Arial" w:cs="Arial" w:eastAsia="Arial" w:hAnsi="Arial"/>
          <w:sz w:val="18"/>
          <w:szCs w:val="18"/>
          <w:color w:val="auto"/>
        </w:rPr>
      </w:pPr>
    </w:p>
    <w:p>
      <w:pPr>
        <w:ind w:left="1240" w:hanging="244"/>
        <w:spacing w:after="0"/>
        <w:tabs>
          <w:tab w:leader="none" w:pos="12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2015 Equity Incentive Plan, as amended from time to time in accordance herewith.</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(aa) “</w:t>
      </w:r>
      <w:r>
        <w:rPr>
          <w:rFonts w:ascii="Arial" w:cs="Arial" w:eastAsia="Arial" w:hAnsi="Arial"/>
          <w:sz w:val="16"/>
          <w:szCs w:val="16"/>
          <w:b w:val="1"/>
          <w:bCs w:val="1"/>
          <w:i w:val="1"/>
          <w:iCs w:val="1"/>
          <w:color w:val="auto"/>
        </w:rPr>
        <w:t>Restricted Stock</w:t>
      </w:r>
      <w:r>
        <w:rPr>
          <w:rFonts w:ascii="Arial" w:cs="Arial" w:eastAsia="Arial" w:hAnsi="Arial"/>
          <w:sz w:val="16"/>
          <w:szCs w:val="16"/>
          <w:color w:val="auto"/>
        </w:rPr>
        <w:t>” means Shares issued pursuant to an Award granted under Section 8 or issued pursuant to the early exercise of 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w:t>
      </w:r>
    </w:p>
    <w:p>
      <w:pPr>
        <w:spacing w:after="0" w:line="103" w:lineRule="exact"/>
        <w:rPr>
          <w:sz w:val="20"/>
          <w:szCs w:val="20"/>
          <w:color w:val="auto"/>
        </w:rPr>
      </w:pPr>
    </w:p>
    <w:p>
      <w:pPr>
        <w:ind w:right="100" w:firstLine="996"/>
        <w:spacing w:after="0" w:line="264" w:lineRule="auto"/>
        <w:tabs>
          <w:tab w:leader="none" w:pos="1337" w:val="left"/>
        </w:tabs>
        <w:numPr>
          <w:ilvl w:val="1"/>
          <w:numId w:val="2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 bookkeeping entry representing an amount equal to the Fair Market Value of one Share granted under Section 9 and payable in cash, in Shares or in a combination thereof, as specified in the applicable Award Agreement. Each Restricted Stock Unit represents an unfunded and unsecured obligation of the Company.</w:t>
      </w:r>
    </w:p>
    <w:p>
      <w:pPr>
        <w:spacing w:after="0" w:line="73" w:lineRule="exact"/>
        <w:rPr>
          <w:rFonts w:ascii="Arial" w:cs="Arial" w:eastAsia="Arial" w:hAnsi="Arial"/>
          <w:sz w:val="18"/>
          <w:szCs w:val="18"/>
          <w:color w:val="auto"/>
        </w:rPr>
      </w:pPr>
    </w:p>
    <w:p>
      <w:pPr>
        <w:ind w:left="1320" w:hanging="324"/>
        <w:spacing w:after="0"/>
        <w:tabs>
          <w:tab w:leader="none" w:pos="132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Securities Act of 1933, as amended.</w:t>
      </w:r>
    </w:p>
    <w:p>
      <w:pPr>
        <w:spacing w:after="0" w:line="117" w:lineRule="exact"/>
        <w:rPr>
          <w:rFonts w:ascii="Arial" w:cs="Arial" w:eastAsia="Arial" w:hAnsi="Arial"/>
          <w:sz w:val="18"/>
          <w:szCs w:val="18"/>
          <w:color w:val="auto"/>
        </w:rPr>
      </w:pPr>
    </w:p>
    <w:p>
      <w:pPr>
        <w:ind w:left="1340" w:hanging="344"/>
        <w:spacing w:after="0"/>
        <w:tabs>
          <w:tab w:leader="none" w:pos="134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 Provider</w:t>
      </w:r>
      <w:r>
        <w:rPr>
          <w:rFonts w:ascii="Arial" w:cs="Arial" w:eastAsia="Arial" w:hAnsi="Arial"/>
          <w:sz w:val="18"/>
          <w:szCs w:val="18"/>
          <w:color w:val="auto"/>
        </w:rPr>
        <w:t>” means an Employee, Director or Consultant.</w:t>
      </w:r>
    </w:p>
    <w:p>
      <w:pPr>
        <w:spacing w:after="0" w:line="117" w:lineRule="exact"/>
        <w:rPr>
          <w:rFonts w:ascii="Arial" w:cs="Arial" w:eastAsia="Arial" w:hAnsi="Arial"/>
          <w:sz w:val="18"/>
          <w:szCs w:val="18"/>
          <w:color w:val="auto"/>
        </w:rPr>
      </w:pPr>
    </w:p>
    <w:p>
      <w:pPr>
        <w:ind w:left="1320" w:hanging="324"/>
        <w:spacing w:after="0"/>
        <w:tabs>
          <w:tab w:leader="none" w:pos="132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means a share of the Common Stock, as adjusted in accordance with Section 13.</w:t>
      </w:r>
    </w:p>
    <w:p>
      <w:pPr>
        <w:spacing w:after="0" w:line="117" w:lineRule="exact"/>
        <w:rPr>
          <w:rFonts w:ascii="Arial" w:cs="Arial" w:eastAsia="Arial" w:hAnsi="Arial"/>
          <w:sz w:val="18"/>
          <w:szCs w:val="18"/>
          <w:color w:val="auto"/>
        </w:rPr>
      </w:pPr>
    </w:p>
    <w:p>
      <w:pPr>
        <w:ind w:right="20" w:firstLine="996"/>
        <w:spacing w:after="0" w:line="291" w:lineRule="auto"/>
        <w:tabs>
          <w:tab w:leader="none" w:pos="1273" w:val="left"/>
        </w:tabs>
        <w:numPr>
          <w:ilvl w:val="1"/>
          <w:numId w:val="2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means the right pursuant to an Award granted under Section 7 to receive, upon exercise, payment from the Company (in cash, in Shares or in a combination thereof, as specified in the applicable Award Agreement) in an amount determined by multiplying</w:t>
      </w:r>
    </w:p>
    <w:p>
      <w:pPr>
        <w:ind w:right="40" w:firstLine="4"/>
        <w:spacing w:after="0" w:line="261" w:lineRule="auto"/>
        <w:tabs>
          <w:tab w:leader="none" w:pos="21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base price by (ii) the number of Shares with respect to which the Stock Appreciation Right is exercised.</w:t>
      </w:r>
    </w:p>
    <w:p>
      <w:pPr>
        <w:spacing w:after="0" w:line="75" w:lineRule="exact"/>
        <w:rPr>
          <w:rFonts w:ascii="Arial" w:cs="Arial" w:eastAsia="Arial" w:hAnsi="Arial"/>
          <w:sz w:val="18"/>
          <w:szCs w:val="18"/>
          <w:color w:val="auto"/>
        </w:rPr>
      </w:pPr>
    </w:p>
    <w:p>
      <w:pPr>
        <w:ind w:firstLine="996"/>
        <w:spacing w:after="0" w:line="273" w:lineRule="auto"/>
        <w:tabs>
          <w:tab w:leader="none" w:pos="1337" w:val="left"/>
        </w:tabs>
        <w:numPr>
          <w:ilvl w:val="1"/>
          <w:numId w:val="2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Sale</w:t>
      </w:r>
      <w:r>
        <w:rPr>
          <w:rFonts w:ascii="Arial" w:cs="Arial" w:eastAsia="Arial" w:hAnsi="Arial"/>
          <w:sz w:val="17"/>
          <w:szCs w:val="17"/>
          <w:color w:val="auto"/>
        </w:rPr>
        <w:t xml:space="preserve">” means a change in ownership of the Company, other than a Change in Control, that occurs when one Person, or more than one Person acting as a group, acquires ownership of stock of the Company, in a stock sale or exchange, that, together with the stock held by such Person or group, constitutes more than 50% of the total voting power of the stock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Stock Sale will not occur if any Person, or more than one Person acting as a group, owns more than 50% of the total voting power of the stock of the Company and acquires additional stock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change in the ownership of the stock of the Company as a result of a private financing of the Company that is approved by the Board will not be considered a Stock Sale.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3" w:right="439" w:bottom="1440" w:gutter="0" w:footer="0" w:header="0"/>
        </w:sectPr>
      </w:pPr>
    </w:p>
    <w:bookmarkStart w:id="409" w:name="page410"/>
    <w:bookmarkEnd w:id="409"/>
    <w:p>
      <w:pPr>
        <w:ind w:left="580" w:hanging="176"/>
        <w:spacing w:after="0"/>
        <w:tabs>
          <w:tab w:leader="none" w:pos="580" w:val="left"/>
        </w:tabs>
        <w:numPr>
          <w:ilvl w:val="0"/>
          <w:numId w:val="27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Subject to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right="20" w:firstLine="996"/>
        <w:spacing w:after="0" w:line="261" w:lineRule="auto"/>
        <w:tabs>
          <w:tab w:leader="none" w:pos="1196" w:val="left"/>
        </w:tabs>
        <w:numPr>
          <w:ilvl w:val="1"/>
          <w:numId w:val="272"/>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 Reserve; Source of Shares</w:t>
      </w:r>
      <w:r>
        <w:rPr>
          <w:rFonts w:ascii="Arial" w:cs="Arial" w:eastAsia="Arial" w:hAnsi="Arial"/>
          <w:sz w:val="18"/>
          <w:szCs w:val="18"/>
          <w:color w:val="auto"/>
        </w:rPr>
        <w:t>. Subject to adjustment as provided in Section 13, the maximum aggregate number of Shares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for all Awards is Two Million Six Hundred Ninety-Four Thousand Five Hundred Twenty-Eight (2,694,528) Shares. During the term of the Awards, the Company shall at all times reserve and keep available such number of Shares as will be sufficient to satisfy such Awards. The Shares may be authorized but unissued Shares, reacquired Shares or a combination thereof.</w:t>
      </w:r>
    </w:p>
    <w:p>
      <w:pPr>
        <w:spacing w:after="0" w:line="71" w:lineRule="exact"/>
        <w:rPr>
          <w:rFonts w:ascii="Arial" w:cs="Arial" w:eastAsia="Arial" w:hAnsi="Arial"/>
          <w:sz w:val="18"/>
          <w:szCs w:val="18"/>
          <w:color w:val="auto"/>
        </w:rPr>
      </w:pPr>
    </w:p>
    <w:p>
      <w:pPr>
        <w:ind w:left="-40" w:firstLine="996"/>
        <w:spacing w:after="0" w:line="270" w:lineRule="auto"/>
        <w:tabs>
          <w:tab w:leader="none" w:pos="1207" w:val="left"/>
        </w:tabs>
        <w:numPr>
          <w:ilvl w:val="1"/>
          <w:numId w:val="272"/>
        </w:numPr>
        <w:rPr>
          <w:rFonts w:ascii="Arial" w:cs="Arial" w:eastAsia="Arial" w:hAnsi="Arial"/>
          <w:sz w:val="17"/>
          <w:szCs w:val="17"/>
          <w:color w:val="auto"/>
        </w:rPr>
      </w:pPr>
      <w:r>
        <w:rPr>
          <w:rFonts w:ascii="Arial" w:cs="Arial" w:eastAsia="Arial" w:hAnsi="Arial"/>
          <w:sz w:val="17"/>
          <w:szCs w:val="17"/>
          <w:b w:val="1"/>
          <w:bCs w:val="1"/>
          <w:u w:val="single" w:color="auto"/>
          <w:color w:val="auto"/>
        </w:rPr>
        <w:t>Reversion of Shares to the Share Reserve</w:t>
      </w:r>
      <w:r>
        <w:rPr>
          <w:rFonts w:ascii="Arial" w:cs="Arial" w:eastAsia="Arial" w:hAnsi="Arial"/>
          <w:sz w:val="17"/>
          <w:szCs w:val="17"/>
          <w:color w:val="auto"/>
        </w:rPr>
        <w:t>. If Shares subject to an outstanding Award are not issued or delivered or are returned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by reason of (i) the expiration, termination, cancellation or forfeiture of such Award, (ii) the settlement of such Award in cash, or (iii) the delivery or withholding of Shares to pay all or a portion of the exercise price of an Award, if any, or to satisfy all or a portion of the tax withholding obligations relating to an Award, then such Shares will revert to and again become available for issuance under the Plan. If the exercise price of any Award is satisfied by tendering Shares held by the Participant, then the number of such tendered Shares will revert to and again become available for issuance under the Plan. With respect to Stock Appreciation Rights, only Shares actually issued pursuant to a Stock Appreciation Right will cease to be available under the Plan; all remaining Shares under Stock Appreciation Rights will remain available for future grant or sale under the Plan. Shares that have actually been issued under any Award will not be returned to the Plan and will not again become available for Awards;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Shares issued pursuant to Awards of Restricted Stock or Restricted Stock Units are repurchased by, or forfeited to, the Company due to the failure to vest, such Shares will become available for future grant under the Plan.</w:t>
      </w:r>
    </w:p>
    <w:p>
      <w:pPr>
        <w:spacing w:after="0" w:line="69" w:lineRule="exact"/>
        <w:rPr>
          <w:rFonts w:ascii="Arial" w:cs="Arial" w:eastAsia="Arial" w:hAnsi="Arial"/>
          <w:sz w:val="17"/>
          <w:szCs w:val="17"/>
          <w:color w:val="auto"/>
        </w:rPr>
      </w:pPr>
    </w:p>
    <w:p>
      <w:pPr>
        <w:ind w:left="-40" w:right="40" w:firstLine="996"/>
        <w:spacing w:after="0" w:line="261" w:lineRule="auto"/>
        <w:tabs>
          <w:tab w:leader="none" w:pos="1196" w:val="left"/>
        </w:tabs>
        <w:numPr>
          <w:ilvl w:val="1"/>
          <w:numId w:val="272"/>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Limits</w:t>
      </w:r>
      <w:r>
        <w:rPr>
          <w:rFonts w:ascii="Arial" w:cs="Arial" w:eastAsia="Arial" w:hAnsi="Arial"/>
          <w:sz w:val="18"/>
          <w:szCs w:val="18"/>
          <w:color w:val="auto"/>
        </w:rPr>
        <w:t>. Subject to adjustment as provided in Section 13, the maximum aggregate number of Shares that may be issued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Incentive Stock Options will equal the aggregate Share number stated in Section 3(a) plus, to the extent allowable under Section 422 of the Code, any Shares that become available for issuance under the Plan pursuant to Section 3(b) by reason of the expiration, termination, cancellation or forfeiture of an Award.</w:t>
      </w:r>
    </w:p>
    <w:p>
      <w:pPr>
        <w:spacing w:after="0" w:line="180" w:lineRule="exact"/>
        <w:rPr>
          <w:rFonts w:ascii="Arial" w:cs="Arial" w:eastAsia="Arial" w:hAnsi="Arial"/>
          <w:sz w:val="18"/>
          <w:szCs w:val="18"/>
          <w:color w:val="auto"/>
        </w:rPr>
      </w:pPr>
    </w:p>
    <w:p>
      <w:pPr>
        <w:ind w:left="580" w:hanging="176"/>
        <w:spacing w:after="0"/>
        <w:tabs>
          <w:tab w:leader="none" w:pos="580" w:val="left"/>
        </w:tabs>
        <w:numPr>
          <w:ilvl w:val="0"/>
          <w:numId w:val="272"/>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 of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firstLine="996"/>
        <w:spacing w:after="0" w:line="255" w:lineRule="auto"/>
        <w:tabs>
          <w:tab w:leader="none" w:pos="1196" w:val="left"/>
        </w:tabs>
        <w:numPr>
          <w:ilvl w:val="1"/>
          <w:numId w:val="272"/>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Procedure</w:t>
      </w:r>
      <w:r>
        <w:rPr>
          <w:rFonts w:ascii="Arial" w:cs="Arial" w:eastAsia="Arial" w:hAnsi="Arial"/>
          <w:sz w:val="18"/>
          <w:szCs w:val="18"/>
          <w:color w:val="auto"/>
        </w:rPr>
        <w:t>. The Plan shall be administered by the Administrator. The Board may terminate the Committee’s responsibilities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and revest in the Board the administration of the Plan. The members of the Committee will be appointed by, and serve at the pleasure of, the Board. From time to time, the Board may increase or decrease the size of the Committee and add additional members to, remove members (with or without cause) from, appoint new members in substitution therefor and fill vacancies, however caused, in the Committee. The Committee will act pursuant to a vote (or written consent) of the majority of its members or, if the Committee is comprised of only two members, the unanimous vote (or written consent) of its members, whether present or not. Minutes will be kept of all of meetings of the Committee, and copies thereof will be provided to the Board.</w:t>
      </w:r>
    </w:p>
    <w:p>
      <w:pPr>
        <w:spacing w:after="0" w:line="81" w:lineRule="exact"/>
        <w:rPr>
          <w:rFonts w:ascii="Arial" w:cs="Arial" w:eastAsia="Arial" w:hAnsi="Arial"/>
          <w:sz w:val="18"/>
          <w:szCs w:val="18"/>
          <w:color w:val="auto"/>
        </w:rPr>
      </w:pPr>
    </w:p>
    <w:p>
      <w:pPr>
        <w:ind w:left="-40" w:right="140" w:firstLine="996"/>
        <w:spacing w:after="0" w:line="282" w:lineRule="auto"/>
        <w:tabs>
          <w:tab w:leader="none" w:pos="1207" w:val="left"/>
        </w:tabs>
        <w:numPr>
          <w:ilvl w:val="1"/>
          <w:numId w:val="272"/>
        </w:numPr>
        <w:rPr>
          <w:rFonts w:ascii="Arial" w:cs="Arial" w:eastAsia="Arial" w:hAnsi="Arial"/>
          <w:sz w:val="18"/>
          <w:szCs w:val="18"/>
          <w:color w:val="auto"/>
        </w:rPr>
      </w:pPr>
      <w:r>
        <w:rPr>
          <w:rFonts w:ascii="Arial" w:cs="Arial" w:eastAsia="Arial" w:hAnsi="Arial"/>
          <w:sz w:val="18"/>
          <w:szCs w:val="18"/>
          <w:b w:val="1"/>
          <w:bCs w:val="1"/>
          <w:u w:val="single" w:color="auto"/>
          <w:color w:val="auto"/>
        </w:rPr>
        <w:t>Powers of the Administrator</w:t>
      </w:r>
      <w:r>
        <w:rPr>
          <w:rFonts w:ascii="Arial" w:cs="Arial" w:eastAsia="Arial" w:hAnsi="Arial"/>
          <w:sz w:val="18"/>
          <w:szCs w:val="18"/>
          <w:color w:val="auto"/>
        </w:rPr>
        <w:t>. Subject to the provisions of the Plan and Applicable Laws and, if applicable, specific duties delegated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to the relevant Committee, the Administrator will have the authority:</w:t>
      </w:r>
    </w:p>
    <w:p>
      <w:pPr>
        <w:spacing w:after="0" w:line="57" w:lineRule="exact"/>
        <w:rPr>
          <w:rFonts w:ascii="Arial" w:cs="Arial" w:eastAsia="Arial" w:hAnsi="Arial"/>
          <w:sz w:val="18"/>
          <w:szCs w:val="18"/>
          <w:color w:val="auto"/>
        </w:rPr>
      </w:pPr>
    </w:p>
    <w:p>
      <w:pPr>
        <w:ind w:left="1620" w:hanging="224"/>
        <w:spacing w:after="0"/>
        <w:tabs>
          <w:tab w:leader="none" w:pos="1620" w:val="left"/>
        </w:tabs>
        <w:numPr>
          <w:ilvl w:val="2"/>
          <w:numId w:val="272"/>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80" w:top="270" w:right="459" w:bottom="1440" w:gutter="0" w:footer="0" w:header="0"/>
        </w:sectPr>
      </w:pPr>
    </w:p>
    <w:bookmarkStart w:id="410" w:name="page411"/>
    <w:bookmarkEnd w:id="410"/>
    <w:p>
      <w:pPr>
        <w:ind w:left="1700" w:hanging="264"/>
        <w:spacing w:after="0"/>
        <w:tabs>
          <w:tab w:leader="none" w:pos="17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select the Service Providers to whom Awards will be granted and the type of Award that will be granted;</w:t>
      </w:r>
    </w:p>
    <w:p>
      <w:pPr>
        <w:spacing w:after="0" w:line="117" w:lineRule="exact"/>
        <w:rPr>
          <w:rFonts w:ascii="Arial" w:cs="Arial" w:eastAsia="Arial" w:hAnsi="Arial"/>
          <w:sz w:val="18"/>
          <w:szCs w:val="18"/>
          <w:color w:val="auto"/>
        </w:rPr>
      </w:pPr>
    </w:p>
    <w:p>
      <w:pPr>
        <w:ind w:left="1760" w:hanging="324"/>
        <w:spacing w:after="0"/>
        <w:tabs>
          <w:tab w:leader="none" w:pos="176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to determine when Awards are to be granted, the applicable grant date and the number of Shares to be covered by each Award;</w:t>
      </w:r>
    </w:p>
    <w:p>
      <w:pPr>
        <w:spacing w:after="0" w:line="140" w:lineRule="exact"/>
        <w:rPr>
          <w:rFonts w:ascii="Arial" w:cs="Arial" w:eastAsia="Arial" w:hAnsi="Arial"/>
          <w:sz w:val="16"/>
          <w:szCs w:val="16"/>
          <w:color w:val="auto"/>
        </w:rPr>
      </w:pPr>
    </w:p>
    <w:p>
      <w:pPr>
        <w:ind w:left="1740" w:hanging="304"/>
        <w:spacing w:after="0"/>
        <w:tabs>
          <w:tab w:leader="none" w:pos="17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117" w:lineRule="exact"/>
        <w:rPr>
          <w:rFonts w:ascii="Arial" w:cs="Arial" w:eastAsia="Arial" w:hAnsi="Arial"/>
          <w:sz w:val="18"/>
          <w:szCs w:val="18"/>
          <w:color w:val="auto"/>
        </w:rPr>
      </w:pPr>
    </w:p>
    <w:p>
      <w:pPr>
        <w:ind w:right="100" w:firstLine="1436"/>
        <w:spacing w:after="0" w:line="259" w:lineRule="auto"/>
        <w:tabs>
          <w:tab w:leader="none" w:pos="168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 determine the terms and conditions of any Award, including the purchase, exercise or base price, the time or times when Awards may be exercised (which may be based on performance criteria), any forfeiture events, any vesting acceleration or waiver of forfeiture restrictions, and any restriction or limitation regarding any Award or the Shares relating thereto, based in each case on such factors as the Administrator determines;</w:t>
      </w:r>
    </w:p>
    <w:p>
      <w:pPr>
        <w:spacing w:after="0" w:line="78" w:lineRule="exact"/>
        <w:rPr>
          <w:rFonts w:ascii="Arial" w:cs="Arial" w:eastAsia="Arial" w:hAnsi="Arial"/>
          <w:sz w:val="18"/>
          <w:szCs w:val="18"/>
          <w:color w:val="auto"/>
        </w:rPr>
      </w:pPr>
    </w:p>
    <w:p>
      <w:pPr>
        <w:ind w:left="1740" w:hanging="304"/>
        <w:spacing w:after="0"/>
        <w:tabs>
          <w:tab w:leader="none" w:pos="17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 institute and determine the terms and conditions of any Exchange Program;</w:t>
      </w:r>
    </w:p>
    <w:p>
      <w:pPr>
        <w:spacing w:after="0" w:line="117" w:lineRule="exact"/>
        <w:rPr>
          <w:rFonts w:ascii="Arial" w:cs="Arial" w:eastAsia="Arial" w:hAnsi="Arial"/>
          <w:sz w:val="18"/>
          <w:szCs w:val="18"/>
          <w:color w:val="auto"/>
        </w:rPr>
      </w:pPr>
    </w:p>
    <w:p>
      <w:pPr>
        <w:ind w:left="1800" w:hanging="364"/>
        <w:spacing w:after="0"/>
        <w:tabs>
          <w:tab w:leader="none" w:pos="18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w:t>
      </w:r>
    </w:p>
    <w:p>
      <w:pPr>
        <w:spacing w:after="0" w:line="117" w:lineRule="exact"/>
        <w:rPr>
          <w:rFonts w:ascii="Arial" w:cs="Arial" w:eastAsia="Arial" w:hAnsi="Arial"/>
          <w:sz w:val="18"/>
          <w:szCs w:val="18"/>
          <w:color w:val="auto"/>
        </w:rPr>
      </w:pPr>
    </w:p>
    <w:p>
      <w:pPr>
        <w:ind w:right="120" w:firstLine="1436"/>
        <w:spacing w:after="0" w:line="264" w:lineRule="auto"/>
        <w:tabs>
          <w:tab w:leader="none" w:pos="183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 establish sub-plans under the Plan, containing such limitations and other terms and conditions as the Administrator determines are necessary or desirable, for the purpose of satisfying blue sky, securities, tax or other laws of various jurisdictions in which the Company intends to grant Awards or qualifying for favorable tax treatment under applicable foreign laws;</w:t>
      </w:r>
    </w:p>
    <w:p>
      <w:pPr>
        <w:spacing w:after="0" w:line="73" w:lineRule="exact"/>
        <w:rPr>
          <w:rFonts w:ascii="Arial" w:cs="Arial" w:eastAsia="Arial" w:hAnsi="Arial"/>
          <w:sz w:val="18"/>
          <w:szCs w:val="18"/>
          <w:color w:val="auto"/>
        </w:rPr>
      </w:pPr>
    </w:p>
    <w:p>
      <w:pPr>
        <w:ind w:left="1740" w:hanging="304"/>
        <w:spacing w:after="0"/>
        <w:tabs>
          <w:tab w:leader="none" w:pos="174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to prescribe, amend and rescind rules and regulations relating to the Plan, including rules and regulations relating to sub-plans;</w:t>
      </w:r>
    </w:p>
    <w:p>
      <w:pPr>
        <w:spacing w:after="0" w:line="140" w:lineRule="exact"/>
        <w:rPr>
          <w:rFonts w:ascii="Arial" w:cs="Arial" w:eastAsia="Arial" w:hAnsi="Arial"/>
          <w:sz w:val="16"/>
          <w:szCs w:val="16"/>
          <w:color w:val="auto"/>
        </w:rPr>
      </w:pPr>
    </w:p>
    <w:p>
      <w:pPr>
        <w:ind w:right="380" w:firstLine="1436"/>
        <w:spacing w:after="0" w:line="277" w:lineRule="auto"/>
        <w:tabs>
          <w:tab w:leader="none" w:pos="168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 correct any defect, omission or inconsistency in the Plan or any Award Agreement, in a manner and to the extent it deems necessary or advisable to make the Plan fully effective;</w:t>
      </w:r>
    </w:p>
    <w:p>
      <w:pPr>
        <w:spacing w:after="0" w:line="62" w:lineRule="exact"/>
        <w:rPr>
          <w:rFonts w:ascii="Arial" w:cs="Arial" w:eastAsia="Arial" w:hAnsi="Arial"/>
          <w:sz w:val="18"/>
          <w:szCs w:val="18"/>
          <w:color w:val="auto"/>
        </w:rPr>
      </w:pPr>
    </w:p>
    <w:p>
      <w:pPr>
        <w:jc w:val="both"/>
        <w:ind w:right="280" w:firstLine="1436"/>
        <w:spacing w:after="0" w:line="264" w:lineRule="auto"/>
        <w:tabs>
          <w:tab w:leader="none" w:pos="173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 amend any outstanding Award, including the discretionary authority to accelerate the time at which an Award may first be exercised or the time during which an Award or any part thereof will vest in accordance with the Plan or to extend the post-termination exercisability period of Awards (subject to Section 409A of the Code) and to extend the maximum term of an Option;</w:t>
      </w:r>
    </w:p>
    <w:p>
      <w:pPr>
        <w:spacing w:after="0" w:line="73" w:lineRule="exact"/>
        <w:rPr>
          <w:rFonts w:ascii="Arial" w:cs="Arial" w:eastAsia="Arial" w:hAnsi="Arial"/>
          <w:sz w:val="18"/>
          <w:szCs w:val="18"/>
          <w:color w:val="auto"/>
        </w:rPr>
      </w:pPr>
    </w:p>
    <w:p>
      <w:pPr>
        <w:ind w:left="1800" w:hanging="364"/>
        <w:spacing w:after="0"/>
        <w:tabs>
          <w:tab w:leader="none" w:pos="18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 allow Participants to satisfy tax withholding obligations in a manner prescribed by Section 14;</w:t>
      </w:r>
    </w:p>
    <w:p>
      <w:pPr>
        <w:spacing w:after="0" w:line="117" w:lineRule="exact"/>
        <w:rPr>
          <w:rFonts w:ascii="Arial" w:cs="Arial" w:eastAsia="Arial" w:hAnsi="Arial"/>
          <w:sz w:val="18"/>
          <w:szCs w:val="18"/>
          <w:color w:val="auto"/>
        </w:rPr>
      </w:pPr>
    </w:p>
    <w:p>
      <w:pPr>
        <w:ind w:left="1840" w:hanging="404"/>
        <w:spacing w:after="0"/>
        <w:tabs>
          <w:tab w:leader="none" w:pos="184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to authorize any individual to execute, on behalf of the Company, any instrument required to carry out the purposes of the Plan;</w:t>
      </w:r>
    </w:p>
    <w:p>
      <w:pPr>
        <w:spacing w:after="0" w:line="140" w:lineRule="exact"/>
        <w:rPr>
          <w:rFonts w:ascii="Arial" w:cs="Arial" w:eastAsia="Arial" w:hAnsi="Arial"/>
          <w:sz w:val="16"/>
          <w:szCs w:val="16"/>
          <w:color w:val="auto"/>
        </w:rPr>
      </w:pPr>
    </w:p>
    <w:p>
      <w:pPr>
        <w:ind w:right="120" w:firstLine="1436"/>
        <w:spacing w:after="0" w:line="277" w:lineRule="auto"/>
        <w:tabs>
          <w:tab w:leader="none" w:pos="182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otherwise would be due to such Participant under an Award (subject to Section 409A of the Code);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411" w:name="page412"/>
    <w:bookmarkEnd w:id="411"/>
    <w:p>
      <w:pPr>
        <w:ind w:left="1780" w:hanging="344"/>
        <w:spacing w:after="0"/>
        <w:tabs>
          <w:tab w:leader="none" w:pos="1780" w:val="left"/>
        </w:tabs>
        <w:numPr>
          <w:ilvl w:val="2"/>
          <w:numId w:val="2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make all other determinations deemed necessary or advisable for administering the Plan.</w:t>
      </w:r>
    </w:p>
    <w:p>
      <w:pPr>
        <w:spacing w:after="0" w:line="113" w:lineRule="exact"/>
        <w:rPr>
          <w:rFonts w:ascii="Arial" w:cs="Arial" w:eastAsia="Arial" w:hAnsi="Arial"/>
          <w:sz w:val="18"/>
          <w:szCs w:val="18"/>
          <w:color w:val="auto"/>
        </w:rPr>
      </w:pPr>
    </w:p>
    <w:p>
      <w:pPr>
        <w:ind w:right="120" w:firstLine="996"/>
        <w:spacing w:after="0" w:line="282" w:lineRule="auto"/>
        <w:tabs>
          <w:tab w:leader="none" w:pos="1236" w:val="left"/>
        </w:tabs>
        <w:numPr>
          <w:ilvl w:val="1"/>
          <w:numId w:val="275"/>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Administrator’s Decision</w:t>
      </w:r>
      <w:r>
        <w:rPr>
          <w:rFonts w:ascii="Arial" w:cs="Arial" w:eastAsia="Arial" w:hAnsi="Arial"/>
          <w:sz w:val="18"/>
          <w:szCs w:val="18"/>
          <w:color w:val="auto"/>
        </w:rPr>
        <w:t>. Subject to Section 4(a), the Administrator’s decisions, determinations and interpretations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final, binding and conclusive on all Persons.</w:t>
      </w:r>
    </w:p>
    <w:p>
      <w:pPr>
        <w:spacing w:after="0" w:line="161" w:lineRule="exact"/>
        <w:rPr>
          <w:rFonts w:ascii="Arial" w:cs="Arial" w:eastAsia="Arial" w:hAnsi="Arial"/>
          <w:sz w:val="18"/>
          <w:szCs w:val="18"/>
          <w:color w:val="auto"/>
        </w:rPr>
      </w:pPr>
    </w:p>
    <w:p>
      <w:pPr>
        <w:ind w:right="360" w:firstLine="444"/>
        <w:spacing w:after="0" w:line="282" w:lineRule="auto"/>
        <w:tabs>
          <w:tab w:leader="none" w:pos="621" w:val="left"/>
        </w:tabs>
        <w:numPr>
          <w:ilvl w:val="0"/>
          <w:numId w:val="276"/>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 Nonstatutory Stock Options, Stock Appreciation Rights, Restricted Stock and Restricted Stock Units may be granted to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Providers. Incentive Stock Options may be granted only to Employees.</w:t>
      </w:r>
    </w:p>
    <w:p>
      <w:pPr>
        <w:spacing w:after="0" w:line="161" w:lineRule="exact"/>
        <w:rPr>
          <w:rFonts w:ascii="Arial" w:cs="Arial" w:eastAsia="Arial" w:hAnsi="Arial"/>
          <w:sz w:val="18"/>
          <w:szCs w:val="18"/>
          <w:color w:val="auto"/>
        </w:rPr>
      </w:pPr>
    </w:p>
    <w:p>
      <w:pPr>
        <w:ind w:left="620" w:hanging="176"/>
        <w:spacing w:after="0"/>
        <w:tabs>
          <w:tab w:leader="none" w:pos="620" w:val="left"/>
        </w:tabs>
        <w:numPr>
          <w:ilvl w:val="0"/>
          <w:numId w:val="276"/>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40" w:firstLine="996"/>
        <w:spacing w:after="0" w:line="282" w:lineRule="auto"/>
        <w:tabs>
          <w:tab w:leader="none" w:pos="1236" w:val="left"/>
        </w:tabs>
        <w:numPr>
          <w:ilvl w:val="1"/>
          <w:numId w:val="276"/>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Options</w:t>
      </w:r>
      <w:r>
        <w:rPr>
          <w:rFonts w:ascii="Arial" w:cs="Arial" w:eastAsia="Arial" w:hAnsi="Arial"/>
          <w:sz w:val="18"/>
          <w:szCs w:val="18"/>
          <w:color w:val="auto"/>
        </w:rPr>
        <w:t>. Subject to the terms and conditions of the Plan, the Administrator, at any time and from time to time, may grant</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in such amounts as the Administrator, in its sole discretion, will determine.</w:t>
      </w:r>
    </w:p>
    <w:p>
      <w:pPr>
        <w:spacing w:after="0" w:line="53" w:lineRule="exact"/>
        <w:rPr>
          <w:rFonts w:ascii="Arial" w:cs="Arial" w:eastAsia="Arial" w:hAnsi="Arial"/>
          <w:sz w:val="18"/>
          <w:szCs w:val="18"/>
          <w:color w:val="auto"/>
        </w:rPr>
      </w:pPr>
    </w:p>
    <w:p>
      <w:pPr>
        <w:jc w:val="both"/>
        <w:ind w:right="100" w:firstLine="996"/>
        <w:spacing w:after="0" w:line="266" w:lineRule="auto"/>
        <w:tabs>
          <w:tab w:leader="none" w:pos="1247" w:val="left"/>
        </w:tabs>
        <w:numPr>
          <w:ilvl w:val="1"/>
          <w:numId w:val="276"/>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Agreement</w:t>
      </w:r>
      <w:r>
        <w:rPr>
          <w:rFonts w:ascii="Arial" w:cs="Arial" w:eastAsia="Arial" w:hAnsi="Arial"/>
          <w:sz w:val="18"/>
          <w:szCs w:val="18"/>
          <w:color w:val="auto"/>
        </w:rPr>
        <w:t>. Each Award of an Option will be evidenced by an Award Agreement that will specify the exercise price,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Option, the number of Shares subject to the Option, the exercise restrictions, if any, applicable to the Option, and such other terms and conditions as the Administrator, in its sole discretion, will determine.</w:t>
      </w:r>
    </w:p>
    <w:p>
      <w:pPr>
        <w:spacing w:after="0" w:line="68" w:lineRule="exact"/>
        <w:rPr>
          <w:rFonts w:ascii="Arial" w:cs="Arial" w:eastAsia="Arial" w:hAnsi="Arial"/>
          <w:sz w:val="18"/>
          <w:szCs w:val="18"/>
          <w:color w:val="auto"/>
        </w:rPr>
      </w:pPr>
    </w:p>
    <w:p>
      <w:pPr>
        <w:ind w:right="20" w:firstLine="996"/>
        <w:spacing w:after="0" w:line="256" w:lineRule="auto"/>
        <w:tabs>
          <w:tab w:leader="none" w:pos="1236" w:val="left"/>
        </w:tabs>
        <w:numPr>
          <w:ilvl w:val="1"/>
          <w:numId w:val="276"/>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Limitations</w:t>
      </w:r>
      <w:r>
        <w:rPr>
          <w:rFonts w:ascii="Arial" w:cs="Arial" w:eastAsia="Arial" w:hAnsi="Arial"/>
          <w:sz w:val="18"/>
          <w:szCs w:val="18"/>
          <w:color w:val="auto"/>
        </w:rPr>
        <w:t>. Each Option will be designated in the applicable Award Agreement as either an Incentive Stock Option or a Nonstatutory</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Notwithstanding such designation, however, to the extent that the aggregate Fair Market Value (determined at the time of grant) of the Shares with respect to which Incentive Stock Options are exercisable for the first time by any Participant during any calendar year (under all plans of the Company and any Affiliate) exceeds $100,000, such Options or portions thereof that exceed such limit (according to the order in which they were granted) will be treated as Nonstatutory Stock Options. For purposes of this Section 6(c), calculations will be performed in accordance with Section 422 of the Code.</w:t>
      </w:r>
    </w:p>
    <w:p>
      <w:pPr>
        <w:spacing w:after="0" w:line="79" w:lineRule="exact"/>
        <w:rPr>
          <w:rFonts w:ascii="Arial" w:cs="Arial" w:eastAsia="Arial" w:hAnsi="Arial"/>
          <w:sz w:val="18"/>
          <w:szCs w:val="18"/>
          <w:color w:val="auto"/>
        </w:rPr>
      </w:pPr>
    </w:p>
    <w:p>
      <w:pPr>
        <w:ind w:firstLine="996"/>
        <w:spacing w:after="0" w:line="277" w:lineRule="auto"/>
        <w:tabs>
          <w:tab w:leader="none" w:pos="1247" w:val="left"/>
        </w:tabs>
        <w:numPr>
          <w:ilvl w:val="1"/>
          <w:numId w:val="276"/>
        </w:numPr>
        <w:rPr>
          <w:rFonts w:ascii="Arial" w:cs="Arial" w:eastAsia="Arial" w:hAnsi="Arial"/>
          <w:sz w:val="17"/>
          <w:szCs w:val="17"/>
          <w:color w:val="auto"/>
        </w:rPr>
      </w:pPr>
      <w:r>
        <w:rPr>
          <w:rFonts w:ascii="Arial" w:cs="Arial" w:eastAsia="Arial" w:hAnsi="Arial"/>
          <w:sz w:val="17"/>
          <w:szCs w:val="17"/>
          <w:b w:val="1"/>
          <w:bCs w:val="1"/>
          <w:u w:val="single" w:color="auto"/>
          <w:color w:val="auto"/>
        </w:rPr>
        <w:t>Term of Option</w:t>
      </w:r>
      <w:r>
        <w:rPr>
          <w:rFonts w:ascii="Arial" w:cs="Arial" w:eastAsia="Arial" w:hAnsi="Arial"/>
          <w:sz w:val="17"/>
          <w:szCs w:val="17"/>
          <w:color w:val="auto"/>
        </w:rPr>
        <w:t>. The term of each Option will be stated in the applicable Award Agreement;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 more than ten years from the date of grant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the case of an Incentive Stock Option granted to an Employee who, at the time the Incentive Stock Option is granted, owns (or, pursuant to Section 424(d) of the Code, is deemed to own) stock representing more than 10% of the total combined voting power of all classes of stock of the Company or any Affiliate, the term of the Incentive Stock Option will be five years from the date of grant thereof or such shorter term as may be provided in the applicable Award Agreement.</w:t>
      </w:r>
    </w:p>
    <w:p>
      <w:pPr>
        <w:spacing w:after="0" w:line="60" w:lineRule="exact"/>
        <w:rPr>
          <w:rFonts w:ascii="Arial" w:cs="Arial" w:eastAsia="Arial" w:hAnsi="Arial"/>
          <w:sz w:val="17"/>
          <w:szCs w:val="17"/>
          <w:color w:val="auto"/>
        </w:rPr>
      </w:pPr>
    </w:p>
    <w:p>
      <w:pPr>
        <w:ind w:left="1240" w:hanging="244"/>
        <w:spacing w:after="0"/>
        <w:tabs>
          <w:tab w:leader="none" w:pos="1240" w:val="left"/>
        </w:tabs>
        <w:numPr>
          <w:ilvl w:val="1"/>
          <w:numId w:val="276"/>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Price and Consideration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1436"/>
        <w:spacing w:after="0" w:line="277" w:lineRule="auto"/>
        <w:tabs>
          <w:tab w:leader="none" w:pos="1647" w:val="left"/>
        </w:tabs>
        <w:numPr>
          <w:ilvl w:val="2"/>
          <w:numId w:val="276"/>
        </w:numPr>
        <w:rPr>
          <w:rFonts w:ascii="Arial" w:cs="Arial" w:eastAsia="Arial" w:hAnsi="Arial"/>
          <w:sz w:val="17"/>
          <w:szCs w:val="17"/>
          <w:color w:val="auto"/>
        </w:rPr>
      </w:pPr>
      <w:r>
        <w:rPr>
          <w:rFonts w:ascii="Arial" w:cs="Arial" w:eastAsia="Arial" w:hAnsi="Arial"/>
          <w:sz w:val="17"/>
          <w:szCs w:val="17"/>
          <w:b w:val="1"/>
          <w:bCs w:val="1"/>
          <w:u w:val="single" w:color="auto"/>
          <w:color w:val="auto"/>
        </w:rPr>
        <w:t>Exercise Price</w:t>
      </w:r>
      <w:r>
        <w:rPr>
          <w:rFonts w:ascii="Arial" w:cs="Arial" w:eastAsia="Arial" w:hAnsi="Arial"/>
          <w:sz w:val="17"/>
          <w:szCs w:val="17"/>
          <w:color w:val="auto"/>
        </w:rPr>
        <w:t>. The per Share exercise price for the Shares to be issued pursuant to the exercise of an Option will be determined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Administrator, but will be no less than 100% of the Fair Market Value per Share on the date of grant. In addition, in the case of an Incentive Stock Option granted to an Employee who, at the time the Incentive Stock Option is granted, owns (or, pursuant to Section 424(d) of the Code, is deemed to own) stock representing more than 10% of the total combined voting power of all classes of stock of the Company or any Affiliate, the per Share exercise price will be no less than 110% of the Fair Market Value per Share on the date of grant.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412" w:name="page413"/>
    <w:bookmarkEnd w:id="412"/>
    <w:p>
      <w:pPr>
        <w:ind w:firstLine="1436"/>
        <w:spacing w:after="0" w:line="266" w:lineRule="auto"/>
        <w:tabs>
          <w:tab w:leader="none" w:pos="1698" w:val="left"/>
        </w:tabs>
        <w:numPr>
          <w:ilvl w:val="2"/>
          <w:numId w:val="27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Waiting Period and Exercise Dates</w:t>
      </w:r>
      <w:r>
        <w:rPr>
          <w:rFonts w:ascii="Arial" w:cs="Arial" w:eastAsia="Arial" w:hAnsi="Arial"/>
          <w:sz w:val="18"/>
          <w:szCs w:val="18"/>
          <w:color w:val="auto"/>
        </w:rPr>
        <w:t>. The period during which an Option may be exercised will be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Administrator at the time such Option is granted;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Option may be exercised after the expiration of its term. The Administrator may, in its sole discretion, determine any other conditions that must be satisfied before an Option may be exercised.</w:t>
      </w:r>
    </w:p>
    <w:p>
      <w:pPr>
        <w:spacing w:after="0" w:line="68" w:lineRule="exact"/>
        <w:rPr>
          <w:rFonts w:ascii="Arial" w:cs="Arial" w:eastAsia="Arial" w:hAnsi="Arial"/>
          <w:sz w:val="18"/>
          <w:szCs w:val="18"/>
          <w:color w:val="auto"/>
        </w:rPr>
      </w:pPr>
    </w:p>
    <w:p>
      <w:pPr>
        <w:ind w:right="40" w:firstLine="1436"/>
        <w:spacing w:after="0" w:line="289" w:lineRule="auto"/>
        <w:tabs>
          <w:tab w:leader="none" w:pos="1748" w:val="left"/>
        </w:tabs>
        <w:numPr>
          <w:ilvl w:val="2"/>
          <w:numId w:val="277"/>
        </w:numPr>
        <w:rPr>
          <w:rFonts w:ascii="Arial" w:cs="Arial" w:eastAsia="Arial" w:hAnsi="Arial"/>
          <w:sz w:val="16"/>
          <w:szCs w:val="16"/>
          <w:color w:val="auto"/>
        </w:rPr>
      </w:pPr>
      <w:r>
        <w:rPr>
          <w:rFonts w:ascii="Arial" w:cs="Arial" w:eastAsia="Arial" w:hAnsi="Arial"/>
          <w:sz w:val="16"/>
          <w:szCs w:val="16"/>
          <w:b w:val="1"/>
          <w:bCs w:val="1"/>
          <w:u w:val="single" w:color="auto"/>
          <w:color w:val="auto"/>
        </w:rPr>
        <w:t>Form of Consideration</w:t>
      </w:r>
      <w:r>
        <w:rPr>
          <w:rFonts w:ascii="Arial" w:cs="Arial" w:eastAsia="Arial" w:hAnsi="Arial"/>
          <w:sz w:val="16"/>
          <w:szCs w:val="16"/>
          <w:color w:val="auto"/>
        </w:rPr>
        <w:t>. The Administrator will determine the acceptable form of consideration for exercising an Option,</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method of payment. In the case of an Incentive Stock Option, the Administrator will determine the acceptable form of consideration at the time of grant. To the extent permitted by Applicable Laws, such consideration, in the Administrator’s sole discretion, may consist entirely of: (1) cash;</w:t>
      </w:r>
    </w:p>
    <w:p>
      <w:pPr>
        <w:spacing w:after="0" w:line="1" w:lineRule="exact"/>
        <w:rPr>
          <w:rFonts w:ascii="Arial" w:cs="Arial" w:eastAsia="Arial" w:hAnsi="Arial"/>
          <w:sz w:val="16"/>
          <w:szCs w:val="16"/>
          <w:color w:val="auto"/>
        </w:rPr>
      </w:pPr>
    </w:p>
    <w:p>
      <w:pPr>
        <w:ind w:firstLine="4"/>
        <w:spacing w:after="0" w:line="288" w:lineRule="auto"/>
        <w:tabs>
          <w:tab w:leader="none" w:pos="255" w:val="left"/>
        </w:tabs>
        <w:numPr>
          <w:ilvl w:val="0"/>
          <w:numId w:val="278"/>
        </w:numPr>
        <w:rPr>
          <w:rFonts w:ascii="Arial" w:cs="Arial" w:eastAsia="Arial" w:hAnsi="Arial"/>
          <w:sz w:val="16"/>
          <w:szCs w:val="16"/>
          <w:color w:val="auto"/>
        </w:rPr>
      </w:pPr>
      <w:r>
        <w:rPr>
          <w:rFonts w:ascii="Arial" w:cs="Arial" w:eastAsia="Arial" w:hAnsi="Arial"/>
          <w:sz w:val="16"/>
          <w:szCs w:val="16"/>
          <w:color w:val="auto"/>
        </w:rPr>
        <w:t>check; (3) promissory note; (4) other Shares owned by the Participant free and clear of any liens, claims, encumbrances or security interests,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(5) consideration received by the Company under a cashless exercise program (whether through a broker or otherwise) implemented by the Company in connection with the Plan; (6) a net exercise; (7) such other consideration and method of payment for the issuance of Shares; or (8) any combination of the foregoing methods of payment. In making its determination as to the type of consideration to accept, the Administrator will consider if acceptance of such consideration may be reasonably expected to benefit the Company.</w:t>
      </w:r>
    </w:p>
    <w:p>
      <w:pPr>
        <w:spacing w:after="0" w:line="56" w:lineRule="exact"/>
        <w:rPr>
          <w:rFonts w:ascii="Arial" w:cs="Arial" w:eastAsia="Arial" w:hAnsi="Arial"/>
          <w:sz w:val="16"/>
          <w:szCs w:val="16"/>
          <w:color w:val="auto"/>
        </w:rPr>
      </w:pPr>
    </w:p>
    <w:p>
      <w:pPr>
        <w:ind w:left="1220" w:hanging="224"/>
        <w:spacing w:after="0"/>
        <w:tabs>
          <w:tab w:leader="none" w:pos="1220" w:val="left"/>
        </w:tabs>
        <w:numPr>
          <w:ilvl w:val="1"/>
          <w:numId w:val="278"/>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40" w:firstLine="1436"/>
        <w:spacing w:after="0" w:line="282" w:lineRule="auto"/>
        <w:tabs>
          <w:tab w:leader="none" w:pos="1647" w:val="left"/>
        </w:tabs>
        <w:numPr>
          <w:ilvl w:val="2"/>
          <w:numId w:val="278"/>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Procedure for Exercise</w:t>
      </w:r>
      <w:r>
        <w:rPr>
          <w:rFonts w:ascii="Arial" w:cs="Arial" w:eastAsia="Arial" w:hAnsi="Arial"/>
          <w:sz w:val="18"/>
          <w:szCs w:val="18"/>
          <w:color w:val="auto"/>
        </w:rPr>
        <w:t>. Any Option will be exercisable according to the terms of the Plan and at such times and under such</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determined by the Administrator and set forth in the applicable Award Agreement.</w:t>
      </w:r>
    </w:p>
    <w:p>
      <w:pPr>
        <w:spacing w:after="0" w:line="166" w:lineRule="exact"/>
        <w:rPr>
          <w:sz w:val="20"/>
          <w:szCs w:val="20"/>
          <w:color w:val="auto"/>
        </w:rPr>
      </w:pPr>
    </w:p>
    <w:p>
      <w:pPr>
        <w:ind w:right="180" w:firstLine="1433"/>
        <w:spacing w:after="0" w:line="273" w:lineRule="auto"/>
        <w:rPr>
          <w:sz w:val="20"/>
          <w:szCs w:val="20"/>
          <w:color w:val="auto"/>
        </w:rPr>
      </w:pPr>
      <w:r>
        <w:rPr>
          <w:rFonts w:ascii="Arial" w:cs="Arial" w:eastAsia="Arial" w:hAnsi="Arial"/>
          <w:sz w:val="17"/>
          <w:szCs w:val="17"/>
          <w:color w:val="auto"/>
        </w:rPr>
        <w:t>An Option will be deemed exercised when the Company receives: (1) a notice of exercise (in such form as the Administrator may specify from time to time) from the person entitled to exercise the Option; and (2) full payment for the Shares with respect to which the Option is exercised (together with applicable tax withholding). Full payment will consist of any consideration and method of payment authorized by the Administrator and permitted by the applicable Award Agreement and the Plan. Shares issued upon exercise of an Option will be issued in the name of the Participant or, if requested by the Participant, in the name of the Participant and his or her spouse. The Company will issue (or cause to be issued) such Shares as soon as practicable after the Option is exercised.</w:t>
      </w:r>
    </w:p>
    <w:p>
      <w:pPr>
        <w:spacing w:after="0" w:line="178" w:lineRule="exact"/>
        <w:rPr>
          <w:sz w:val="20"/>
          <w:szCs w:val="20"/>
          <w:color w:val="auto"/>
        </w:rPr>
      </w:pPr>
    </w:p>
    <w:p>
      <w:pPr>
        <w:ind w:right="200" w:firstLine="1433"/>
        <w:spacing w:after="0" w:line="277"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69" w:right="479" w:bottom="1440" w:gutter="0" w:footer="0" w:header="0"/>
        </w:sectPr>
      </w:pPr>
    </w:p>
    <w:bookmarkStart w:id="413" w:name="page414"/>
    <w:bookmarkEnd w:id="413"/>
    <w:p>
      <w:pPr>
        <w:ind w:left="-20" w:firstLine="1436"/>
        <w:spacing w:after="0" w:line="273" w:lineRule="auto"/>
        <w:tabs>
          <w:tab w:leader="none" w:pos="1678" w:val="left"/>
        </w:tabs>
        <w:numPr>
          <w:ilvl w:val="2"/>
          <w:numId w:val="279"/>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Relationship as a Service Provider</w:t>
      </w:r>
      <w:r>
        <w:rPr>
          <w:rFonts w:ascii="Arial" w:cs="Arial" w:eastAsia="Arial" w:hAnsi="Arial"/>
          <w:sz w:val="17"/>
          <w:szCs w:val="17"/>
          <w:color w:val="auto"/>
        </w:rPr>
        <w:t>. If a Participant ceases to be a Service Provider, other than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Participant’s termination as the result of his or her death or Disability, the Participant may exercise his or her Option, to the extent it is vested on the date of termination, within 30 days following termination or such longer period of time as is specified in the applicable Award Agreement (but in no event later than the expiration of the term of such Option as set forth in the applicable Award Agreement). If, after such termination, the Participant does not exercise his or her Option within the time specified in the preceding sentence, the Option will terminate and the Shares covered by such Option will revert to the Plan. Unless otherwise provided by the Administrator, if on the date of termination the Participant is not vested as to his or her entire Option, the Shares covered by the unvested portion of the Option will revert to the Plan.</w:t>
      </w:r>
    </w:p>
    <w:p>
      <w:pPr>
        <w:spacing w:after="0" w:line="64" w:lineRule="exact"/>
        <w:rPr>
          <w:rFonts w:ascii="Arial" w:cs="Arial" w:eastAsia="Arial" w:hAnsi="Arial"/>
          <w:sz w:val="17"/>
          <w:szCs w:val="17"/>
          <w:color w:val="auto"/>
        </w:rPr>
      </w:pPr>
    </w:p>
    <w:p>
      <w:pPr>
        <w:ind w:left="-20" w:right="20" w:firstLine="1436"/>
        <w:spacing w:after="0" w:line="295" w:lineRule="auto"/>
        <w:tabs>
          <w:tab w:leader="none" w:pos="1728" w:val="left"/>
        </w:tabs>
        <w:numPr>
          <w:ilvl w:val="2"/>
          <w:numId w:val="279"/>
        </w:numPr>
        <w:rPr>
          <w:rFonts w:ascii="Arial" w:cs="Arial" w:eastAsia="Arial" w:hAnsi="Arial"/>
          <w:sz w:val="16"/>
          <w:szCs w:val="16"/>
          <w:color w:val="auto"/>
        </w:rPr>
      </w:pPr>
      <w:r>
        <w:rPr>
          <w:rFonts w:ascii="Arial" w:cs="Arial" w:eastAsia="Arial" w:hAnsi="Arial"/>
          <w:sz w:val="16"/>
          <w:szCs w:val="16"/>
          <w:b w:val="1"/>
          <w:bCs w:val="1"/>
          <w:u w:val="single" w:color="auto"/>
          <w:color w:val="auto"/>
        </w:rPr>
        <w:t>Disability of Participant</w:t>
      </w:r>
      <w:r>
        <w:rPr>
          <w:rFonts w:ascii="Arial" w:cs="Arial" w:eastAsia="Arial" w:hAnsi="Arial"/>
          <w:sz w:val="16"/>
          <w:szCs w:val="16"/>
          <w:color w:val="auto"/>
        </w:rPr>
        <w:t>. If a Participant ceases to be a Service Provider as a result of his or her Disability, the Participant may</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his or her Option, to the extent it is vested on the date of termination, within six months following termination or such longer period of time as is specified in the applicable Award Agreement (but in no event later than the expiration of the term of such Option as set forth in the applicable Award Agreement). If, after such termination, the Participant does not exercise his or her Option within the time specified in the preceding sentence, the Option will terminate and the Shares covered by such Option will revert to the Plan. Unless otherwise provided by the Administrator, if on the date of termination the Participant is not vested as to his or her entire Option, the Shares covered by the unvested portion of the Option will revert to the Plan.</w:t>
      </w:r>
    </w:p>
    <w:p>
      <w:pPr>
        <w:spacing w:after="0" w:line="47" w:lineRule="exact"/>
        <w:rPr>
          <w:rFonts w:ascii="Arial" w:cs="Arial" w:eastAsia="Arial" w:hAnsi="Arial"/>
          <w:sz w:val="16"/>
          <w:szCs w:val="16"/>
          <w:color w:val="auto"/>
        </w:rPr>
      </w:pPr>
    </w:p>
    <w:p>
      <w:pPr>
        <w:ind w:left="-20" w:firstLine="1436"/>
        <w:spacing w:after="0" w:line="290" w:lineRule="auto"/>
        <w:tabs>
          <w:tab w:leader="none" w:pos="1717" w:val="left"/>
        </w:tabs>
        <w:numPr>
          <w:ilvl w:val="2"/>
          <w:numId w:val="279"/>
        </w:numPr>
        <w:rPr>
          <w:rFonts w:ascii="Arial" w:cs="Arial" w:eastAsia="Arial" w:hAnsi="Arial"/>
          <w:sz w:val="16"/>
          <w:szCs w:val="16"/>
          <w:color w:val="auto"/>
        </w:rPr>
      </w:pPr>
      <w:r>
        <w:rPr>
          <w:rFonts w:ascii="Arial" w:cs="Arial" w:eastAsia="Arial" w:hAnsi="Arial"/>
          <w:sz w:val="16"/>
          <w:szCs w:val="16"/>
          <w:b w:val="1"/>
          <w:bCs w:val="1"/>
          <w:u w:val="single" w:color="auto"/>
          <w:color w:val="auto"/>
        </w:rPr>
        <w:t>Death of Participant</w:t>
      </w:r>
      <w:r>
        <w:rPr>
          <w:rFonts w:ascii="Arial" w:cs="Arial" w:eastAsia="Arial" w:hAnsi="Arial"/>
          <w:sz w:val="16"/>
          <w:szCs w:val="16"/>
          <w:color w:val="auto"/>
        </w:rPr>
        <w:t>. If a Participant dies while he or she is a Service Provider, the Participant’s designated beneficiary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such beneficiary has been designated, in a form acceptable to the Administrator, prior to the Participant’s death) may exercise the Participant’s Option, to the extent it is vested on the date of death, within six months following the Participant’s death or such longer period of time as is specified in the applicable Award Agreement (but in no event later than the expiration of the term of such Option as set forth in the applicable Award Agreement). If no such beneficiary was designated by the Participant prior to his or her death, then the Participant’s Option may be exercised by the personal representative of the Participant’s estate or by the person(s) to whom the Option is transferred pursuant to the Participant’s will or in accordance with the laws of descent and distribution. If, after death, the Participant’s Option is not so exercised within the time specified in this Section 6(f)(iv), the Option will terminate and the Shares covered by such Option will revert to the Plan. Unless otherwise provided by the Administrator, if at the time of death the Participant is not vested as to his or her entire Option, the Shares covered by the unvested portion of the Option will revert to the Plan.</w:t>
      </w:r>
    </w:p>
    <w:p>
      <w:pPr>
        <w:spacing w:after="0" w:line="159" w:lineRule="exact"/>
        <w:rPr>
          <w:rFonts w:ascii="Arial" w:cs="Arial" w:eastAsia="Arial" w:hAnsi="Arial"/>
          <w:sz w:val="16"/>
          <w:szCs w:val="16"/>
          <w:color w:val="auto"/>
        </w:rPr>
      </w:pPr>
    </w:p>
    <w:p>
      <w:pPr>
        <w:ind w:left="600" w:hanging="176"/>
        <w:spacing w:after="0"/>
        <w:tabs>
          <w:tab w:leader="none" w:pos="600" w:val="left"/>
        </w:tabs>
        <w:numPr>
          <w:ilvl w:val="0"/>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Appreciation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80" w:firstLine="996"/>
        <w:spacing w:after="0" w:line="282" w:lineRule="auto"/>
        <w:tabs>
          <w:tab w:leader="none" w:pos="1216" w:val="left"/>
        </w:tabs>
        <w:numPr>
          <w:ilvl w:val="1"/>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Stock Appreciation Rights</w:t>
      </w:r>
      <w:r>
        <w:rPr>
          <w:rFonts w:ascii="Arial" w:cs="Arial" w:eastAsia="Arial" w:hAnsi="Arial"/>
          <w:sz w:val="18"/>
          <w:szCs w:val="18"/>
          <w:color w:val="auto"/>
        </w:rPr>
        <w:t>. Subject to the terms and conditions of the Plan, the Administrator, at any time and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may grant Stock Appreciation Rights in such amounts as the Administrator, in its sole discretion, will determine.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69" w:right="459" w:bottom="1440" w:gutter="0" w:footer="0" w:header="0"/>
        </w:sectPr>
      </w:pPr>
    </w:p>
    <w:bookmarkStart w:id="414" w:name="page415"/>
    <w:bookmarkEnd w:id="414"/>
    <w:p>
      <w:pPr>
        <w:jc w:val="both"/>
        <w:ind w:firstLine="996"/>
        <w:spacing w:after="0" w:line="261" w:lineRule="auto"/>
        <w:tabs>
          <w:tab w:leader="none" w:pos="1247" w:val="left"/>
        </w:tabs>
        <w:numPr>
          <w:ilvl w:val="0"/>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Appreciation Rights Agreement</w:t>
      </w:r>
      <w:r>
        <w:rPr>
          <w:rFonts w:ascii="Arial" w:cs="Arial" w:eastAsia="Arial" w:hAnsi="Arial"/>
          <w:sz w:val="18"/>
          <w:szCs w:val="18"/>
          <w:color w:val="auto"/>
        </w:rPr>
        <w:t>. Each Award of a Stock Appreciation Right will be evidenced by an Award Agreement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will specify the base price, the term of the Stock Appreciation Right, the number of Shares subject to the Award, the conditions of exercise (including vesting criteria), whether the Award is settled in cash, in Shares or in a combination thereof, and such other terms and conditions as the Administrator, in its sole discretion, will determine.</w:t>
      </w:r>
    </w:p>
    <w:p>
      <w:pPr>
        <w:spacing w:after="0" w:line="71" w:lineRule="exact"/>
        <w:rPr>
          <w:rFonts w:ascii="Arial" w:cs="Arial" w:eastAsia="Arial" w:hAnsi="Arial"/>
          <w:sz w:val="18"/>
          <w:szCs w:val="18"/>
          <w:color w:val="auto"/>
        </w:rPr>
      </w:pPr>
    </w:p>
    <w:p>
      <w:pPr>
        <w:ind w:right="40" w:firstLine="996"/>
        <w:spacing w:after="0" w:line="266" w:lineRule="auto"/>
        <w:tabs>
          <w:tab w:leader="none" w:pos="1236" w:val="left"/>
        </w:tabs>
        <w:numPr>
          <w:ilvl w:val="0"/>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and Exercise of Stock Appreciation Rights</w:t>
      </w:r>
      <w:r>
        <w:rPr>
          <w:rFonts w:ascii="Arial" w:cs="Arial" w:eastAsia="Arial" w:hAnsi="Arial"/>
          <w:sz w:val="18"/>
          <w:szCs w:val="18"/>
          <w:color w:val="auto"/>
        </w:rPr>
        <w:t>. The term of each Stock Appreciation Right will be stated in the applicable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Notwithstanding the foregoing, the rules of Section 6(d) relating to the maximum term of an Option and Section 6(f) relating to the exercise of Options also will apply to Stock Appreciation Rights.</w:t>
      </w:r>
    </w:p>
    <w:p>
      <w:pPr>
        <w:spacing w:after="0" w:line="68" w:lineRule="exact"/>
        <w:rPr>
          <w:rFonts w:ascii="Arial" w:cs="Arial" w:eastAsia="Arial" w:hAnsi="Arial"/>
          <w:sz w:val="18"/>
          <w:szCs w:val="18"/>
          <w:color w:val="auto"/>
        </w:rPr>
      </w:pPr>
    </w:p>
    <w:p>
      <w:pPr>
        <w:jc w:val="both"/>
        <w:ind w:right="200" w:firstLine="996"/>
        <w:spacing w:after="0" w:line="266" w:lineRule="auto"/>
        <w:tabs>
          <w:tab w:leader="none" w:pos="1247" w:val="left"/>
        </w:tabs>
        <w:numPr>
          <w:ilvl w:val="0"/>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Price</w:t>
      </w:r>
      <w:r>
        <w:rPr>
          <w:rFonts w:ascii="Arial" w:cs="Arial" w:eastAsia="Arial" w:hAnsi="Arial"/>
          <w:sz w:val="18"/>
          <w:szCs w:val="18"/>
          <w:color w:val="auto"/>
        </w:rPr>
        <w:t>. The per Share base price for the Shares that will determine the amount of the payment to be received upon exercise of a</w:t>
      </w:r>
      <w:r>
        <w:rPr>
          <w:rFonts w:ascii="Arial" w:cs="Arial" w:eastAsia="Arial" w:hAnsi="Arial"/>
          <w:sz w:val="18"/>
          <w:szCs w:val="18"/>
          <w:b w:val="1"/>
          <w:bCs w:val="1"/>
          <w:color w:val="auto"/>
        </w:rPr>
        <w:t xml:space="preserve"> </w:t>
      </w:r>
      <w:r>
        <w:rPr>
          <w:rFonts w:ascii="Arial" w:cs="Arial" w:eastAsia="Arial" w:hAnsi="Arial"/>
          <w:sz w:val="18"/>
          <w:szCs w:val="18"/>
          <w:color w:val="auto"/>
        </w:rPr>
        <w:t>Stock Appreciation Right as set forth in Section 7(e) will be determined by the Administrator at the time of grant of the Stock Appreciation Right, but will be no less than 100% of the Fair Market Value per Share on the date of grant.</w:t>
      </w:r>
    </w:p>
    <w:p>
      <w:pPr>
        <w:spacing w:after="0" w:line="68" w:lineRule="exact"/>
        <w:rPr>
          <w:rFonts w:ascii="Arial" w:cs="Arial" w:eastAsia="Arial" w:hAnsi="Arial"/>
          <w:sz w:val="18"/>
          <w:szCs w:val="18"/>
          <w:color w:val="auto"/>
        </w:rPr>
      </w:pPr>
    </w:p>
    <w:p>
      <w:pPr>
        <w:ind w:right="140" w:firstLine="996"/>
        <w:spacing w:after="0" w:line="347" w:lineRule="auto"/>
        <w:tabs>
          <w:tab w:leader="none" w:pos="1236" w:val="left"/>
        </w:tabs>
        <w:numPr>
          <w:ilvl w:val="0"/>
          <w:numId w:val="281"/>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 of Stock Appreciation Right Amount</w:t>
      </w:r>
      <w:r>
        <w:rPr>
          <w:rFonts w:ascii="Arial" w:cs="Arial" w:eastAsia="Arial" w:hAnsi="Arial"/>
          <w:sz w:val="16"/>
          <w:szCs w:val="16"/>
          <w:color w:val="auto"/>
        </w:rPr>
        <w:t>. Upon a Participant’s exercise of a Stock Appreciation Right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Award Agreement, the Participant will be entitled to receive payment from the Company in an amount determined by multiplying:</w:t>
      </w:r>
    </w:p>
    <w:p>
      <w:pPr>
        <w:spacing w:after="0" w:line="12" w:lineRule="exact"/>
        <w:rPr>
          <w:rFonts w:ascii="Arial" w:cs="Arial" w:eastAsia="Arial" w:hAnsi="Arial"/>
          <w:sz w:val="16"/>
          <w:szCs w:val="16"/>
          <w:color w:val="auto"/>
        </w:rPr>
      </w:pPr>
    </w:p>
    <w:p>
      <w:pPr>
        <w:ind w:right="180" w:firstLine="1436"/>
        <w:spacing w:after="0" w:line="277" w:lineRule="auto"/>
        <w:tabs>
          <w:tab w:leader="none" w:pos="1648"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per Share base price determined by the Administrator in accordance with Section 7(d); by</w:t>
      </w:r>
    </w:p>
    <w:p>
      <w:pPr>
        <w:spacing w:after="0" w:line="62" w:lineRule="exact"/>
        <w:rPr>
          <w:rFonts w:ascii="Arial" w:cs="Arial" w:eastAsia="Arial" w:hAnsi="Arial"/>
          <w:sz w:val="18"/>
          <w:szCs w:val="18"/>
          <w:color w:val="auto"/>
        </w:rPr>
      </w:pPr>
    </w:p>
    <w:p>
      <w:pPr>
        <w:ind w:left="1700" w:hanging="264"/>
        <w:spacing w:after="0"/>
        <w:tabs>
          <w:tab w:leader="none" w:pos="170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number of vested Shares with respect to which the Stock Appreciation Right is exercised.</w:t>
      </w:r>
    </w:p>
    <w:p>
      <w:pPr>
        <w:spacing w:after="0" w:line="225" w:lineRule="exact"/>
        <w:rPr>
          <w:sz w:val="20"/>
          <w:szCs w:val="20"/>
          <w:color w:val="auto"/>
        </w:rPr>
      </w:pPr>
    </w:p>
    <w:p>
      <w:pPr>
        <w:ind w:right="160" w:firstLine="992"/>
        <w:spacing w:after="0" w:line="277" w:lineRule="auto"/>
        <w:rPr>
          <w:sz w:val="20"/>
          <w:szCs w:val="20"/>
          <w:color w:val="auto"/>
        </w:rPr>
      </w:pPr>
      <w:r>
        <w:rPr>
          <w:rFonts w:ascii="Arial" w:cs="Arial" w:eastAsia="Arial" w:hAnsi="Arial"/>
          <w:sz w:val="18"/>
          <w:szCs w:val="18"/>
          <w:color w:val="auto"/>
        </w:rPr>
        <w:t>The payment upon exercise of a Stock Appreciation Right may, in the Administrator’s sole discretion, be in cash, in Shares of equivalent value or in some combination thereof, as set forth in the applicable Award Agreement.</w:t>
      </w:r>
    </w:p>
    <w:p>
      <w:pPr>
        <w:spacing w:after="0" w:line="166" w:lineRule="exact"/>
        <w:rPr>
          <w:sz w:val="20"/>
          <w:szCs w:val="20"/>
          <w:color w:val="auto"/>
        </w:rPr>
      </w:pPr>
    </w:p>
    <w:p>
      <w:pPr>
        <w:ind w:left="620" w:hanging="176"/>
        <w:spacing w:after="0"/>
        <w:tabs>
          <w:tab w:leader="none" w:pos="620" w:val="left"/>
        </w:tabs>
        <w:numPr>
          <w:ilvl w:val="0"/>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996"/>
        <w:spacing w:after="0" w:line="282" w:lineRule="auto"/>
        <w:tabs>
          <w:tab w:leader="none" w:pos="1236" w:val="left"/>
        </w:tabs>
        <w:numPr>
          <w:ilvl w:val="1"/>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Restricted Stock</w:t>
      </w:r>
      <w:r>
        <w:rPr>
          <w:rFonts w:ascii="Arial" w:cs="Arial" w:eastAsia="Arial" w:hAnsi="Arial"/>
          <w:sz w:val="18"/>
          <w:szCs w:val="18"/>
          <w:color w:val="auto"/>
        </w:rPr>
        <w:t>. Subject to the terms and conditions of the Plan, the Administrator, at any time and from time to time, may</w:t>
      </w:r>
      <w:r>
        <w:rPr>
          <w:rFonts w:ascii="Arial" w:cs="Arial" w:eastAsia="Arial" w:hAnsi="Arial"/>
          <w:sz w:val="18"/>
          <w:szCs w:val="18"/>
          <w:b w:val="1"/>
          <w:bCs w:val="1"/>
          <w:color w:val="auto"/>
        </w:rPr>
        <w:t xml:space="preserve"> </w:t>
      </w:r>
      <w:r>
        <w:rPr>
          <w:rFonts w:ascii="Arial" w:cs="Arial" w:eastAsia="Arial" w:hAnsi="Arial"/>
          <w:sz w:val="18"/>
          <w:szCs w:val="18"/>
          <w:color w:val="auto"/>
        </w:rPr>
        <w:t>grant Restricted Stock in such amounts as the Administrator, in its sole discretion, will determine.</w:t>
      </w:r>
    </w:p>
    <w:p>
      <w:pPr>
        <w:spacing w:after="0" w:line="53" w:lineRule="exact"/>
        <w:rPr>
          <w:rFonts w:ascii="Arial" w:cs="Arial" w:eastAsia="Arial" w:hAnsi="Arial"/>
          <w:sz w:val="18"/>
          <w:szCs w:val="18"/>
          <w:color w:val="auto"/>
        </w:rPr>
      </w:pPr>
    </w:p>
    <w:p>
      <w:pPr>
        <w:jc w:val="both"/>
        <w:ind w:right="40" w:firstLine="996"/>
        <w:spacing w:after="0" w:line="261" w:lineRule="auto"/>
        <w:tabs>
          <w:tab w:leader="none" w:pos="1247" w:val="left"/>
        </w:tabs>
        <w:numPr>
          <w:ilvl w:val="1"/>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 Agreement</w:t>
      </w:r>
      <w:r>
        <w:rPr>
          <w:rFonts w:ascii="Arial" w:cs="Arial" w:eastAsia="Arial" w:hAnsi="Arial"/>
          <w:sz w:val="18"/>
          <w:szCs w:val="18"/>
          <w:color w:val="auto"/>
        </w:rPr>
        <w:t>. Each Award of Restricted Stock will be evidenced by an Award Agreement that will specify the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Restriction, the number of Shares granted, and such other terms and conditions as the Administrator, in its sole discretion, will determine. Unless the Administrator determines otherwise, as set forth in the applicable Award Agreement, the Company will hold Restricted Stock, as escrow agent, until the restrictions on such Shares have lapsed.</w:t>
      </w:r>
    </w:p>
    <w:p>
      <w:pPr>
        <w:spacing w:after="0" w:line="71" w:lineRule="exact"/>
        <w:rPr>
          <w:rFonts w:ascii="Arial" w:cs="Arial" w:eastAsia="Arial" w:hAnsi="Arial"/>
          <w:sz w:val="18"/>
          <w:szCs w:val="18"/>
          <w:color w:val="auto"/>
        </w:rPr>
      </w:pPr>
    </w:p>
    <w:p>
      <w:pPr>
        <w:ind w:right="340" w:firstLine="996"/>
        <w:spacing w:after="0" w:line="314" w:lineRule="auto"/>
        <w:tabs>
          <w:tab w:leader="none" w:pos="1236" w:val="left"/>
        </w:tabs>
        <w:numPr>
          <w:ilvl w:val="1"/>
          <w:numId w:val="282"/>
        </w:numPr>
        <w:rPr>
          <w:rFonts w:ascii="Arial" w:cs="Arial" w:eastAsia="Arial" w:hAnsi="Arial"/>
          <w:sz w:val="16"/>
          <w:szCs w:val="16"/>
          <w:color w:val="auto"/>
        </w:rPr>
      </w:pPr>
      <w:r>
        <w:rPr>
          <w:rFonts w:ascii="Arial" w:cs="Arial" w:eastAsia="Arial" w:hAnsi="Arial"/>
          <w:sz w:val="16"/>
          <w:szCs w:val="16"/>
          <w:b w:val="1"/>
          <w:bCs w:val="1"/>
          <w:u w:val="single" w:color="auto"/>
          <w:color w:val="auto"/>
        </w:rPr>
        <w:t>Removal of Restrictions</w:t>
      </w:r>
      <w:r>
        <w:rPr>
          <w:rFonts w:ascii="Arial" w:cs="Arial" w:eastAsia="Arial" w:hAnsi="Arial"/>
          <w:sz w:val="16"/>
          <w:szCs w:val="16"/>
          <w:color w:val="auto"/>
        </w:rPr>
        <w:t>. Except as otherwise provided in this Section 8, Shares covered by each grant of Restricted Stock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released from escrow as soon as practicable after the last day of the applicable Period of Restriction or at such other time as the Administrator may determine. The Administrator, in its sole discretion, may accelerate the time at which any restrictions will lapse or be removed.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415" w:name="page416"/>
    <w:bookmarkEnd w:id="415"/>
    <w:p>
      <w:pPr>
        <w:ind w:left="-40" w:right="260" w:firstLine="996"/>
        <w:spacing w:after="0" w:line="282" w:lineRule="auto"/>
        <w:tabs>
          <w:tab w:leader="none" w:pos="1207" w:val="left"/>
        </w:tabs>
        <w:numPr>
          <w:ilvl w:val="1"/>
          <w:numId w:val="28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Return of Restricted Stock to Company</w:t>
      </w:r>
      <w:r>
        <w:rPr>
          <w:rFonts w:ascii="Arial" w:cs="Arial" w:eastAsia="Arial" w:hAnsi="Arial"/>
          <w:sz w:val="18"/>
          <w:szCs w:val="18"/>
          <w:color w:val="auto"/>
        </w:rPr>
        <w:t>. On the date set forth in the applicable Award Agreement, the Restricted Stock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have not lapsed will revert to the Company and will again become available for grant under the Plan.</w:t>
      </w:r>
    </w:p>
    <w:p>
      <w:pPr>
        <w:spacing w:after="0" w:line="161" w:lineRule="exact"/>
        <w:rPr>
          <w:rFonts w:ascii="Arial" w:cs="Arial" w:eastAsia="Arial" w:hAnsi="Arial"/>
          <w:sz w:val="18"/>
          <w:szCs w:val="18"/>
          <w:color w:val="auto"/>
        </w:rPr>
      </w:pPr>
    </w:p>
    <w:p>
      <w:pPr>
        <w:ind w:left="580" w:hanging="176"/>
        <w:spacing w:after="0"/>
        <w:tabs>
          <w:tab w:leader="none" w:pos="580" w:val="left"/>
        </w:tabs>
        <w:numPr>
          <w:ilvl w:val="0"/>
          <w:numId w:val="284"/>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firstLine="996"/>
        <w:spacing w:after="0" w:line="289" w:lineRule="auto"/>
        <w:tabs>
          <w:tab w:leader="none" w:pos="1196" w:val="left"/>
        </w:tabs>
        <w:numPr>
          <w:ilvl w:val="1"/>
          <w:numId w:val="284"/>
        </w:numPr>
        <w:rPr>
          <w:rFonts w:ascii="Arial" w:cs="Arial" w:eastAsia="Arial" w:hAnsi="Arial"/>
          <w:sz w:val="17"/>
          <w:szCs w:val="17"/>
          <w:color w:val="auto"/>
        </w:rPr>
      </w:pPr>
      <w:r>
        <w:rPr>
          <w:rFonts w:ascii="Arial" w:cs="Arial" w:eastAsia="Arial" w:hAnsi="Arial"/>
          <w:sz w:val="17"/>
          <w:szCs w:val="17"/>
          <w:b w:val="1"/>
          <w:bCs w:val="1"/>
          <w:u w:val="single" w:color="auto"/>
          <w:color w:val="auto"/>
        </w:rPr>
        <w:t>Grant of Restricted Stock Units</w:t>
      </w:r>
      <w:r>
        <w:rPr>
          <w:rFonts w:ascii="Arial" w:cs="Arial" w:eastAsia="Arial" w:hAnsi="Arial"/>
          <w:sz w:val="17"/>
          <w:szCs w:val="17"/>
          <w:color w:val="auto"/>
        </w:rPr>
        <w:t>. Subject to the terms and conditions of the Plan, the Administrator, at any time and 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may grant Restricted Stock Units in such amounts as the Administrator, in its sole discretion, will determine. No Shares will be issued at the time a Restricted Stock Unit is granted, and the Company will not be required to set aside a fund for the payment of any such Award.</w:t>
      </w:r>
    </w:p>
    <w:p>
      <w:pPr>
        <w:spacing w:after="0" w:line="50" w:lineRule="exact"/>
        <w:rPr>
          <w:rFonts w:ascii="Arial" w:cs="Arial" w:eastAsia="Arial" w:hAnsi="Arial"/>
          <w:sz w:val="17"/>
          <w:szCs w:val="17"/>
          <w:color w:val="auto"/>
        </w:rPr>
      </w:pPr>
    </w:p>
    <w:p>
      <w:pPr>
        <w:ind w:left="-40" w:firstLine="996"/>
        <w:spacing w:after="0" w:line="266" w:lineRule="auto"/>
        <w:tabs>
          <w:tab w:leader="none" w:pos="1207" w:val="left"/>
        </w:tabs>
        <w:numPr>
          <w:ilvl w:val="1"/>
          <w:numId w:val="284"/>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 Unit Agreement</w:t>
      </w:r>
      <w:r>
        <w:rPr>
          <w:rFonts w:ascii="Arial" w:cs="Arial" w:eastAsia="Arial" w:hAnsi="Arial"/>
          <w:sz w:val="18"/>
          <w:szCs w:val="18"/>
          <w:color w:val="auto"/>
        </w:rPr>
        <w:t>. Each Award of a Restricted Stock Unit will be evidenced by an Award Agreement that will specify</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Shares subject to the Award, the vesting criteria, whether the Award is settled in cash, in Shares or in a combination thereof, and such other terms and conditions as the Administrator, in its sole discretion, will determine.</w:t>
      </w:r>
    </w:p>
    <w:p>
      <w:pPr>
        <w:spacing w:after="0" w:line="68" w:lineRule="exact"/>
        <w:rPr>
          <w:rFonts w:ascii="Arial" w:cs="Arial" w:eastAsia="Arial" w:hAnsi="Arial"/>
          <w:sz w:val="18"/>
          <w:szCs w:val="18"/>
          <w:color w:val="auto"/>
        </w:rPr>
      </w:pPr>
    </w:p>
    <w:p>
      <w:pPr>
        <w:ind w:left="-40" w:right="60" w:firstLine="996"/>
        <w:spacing w:after="0" w:line="261" w:lineRule="auto"/>
        <w:tabs>
          <w:tab w:leader="none" w:pos="1196" w:val="left"/>
        </w:tabs>
        <w:numPr>
          <w:ilvl w:val="1"/>
          <w:numId w:val="284"/>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Criteria</w:t>
      </w:r>
      <w:r>
        <w:rPr>
          <w:rFonts w:ascii="Arial" w:cs="Arial" w:eastAsia="Arial" w:hAnsi="Arial"/>
          <w:sz w:val="18"/>
          <w:szCs w:val="18"/>
          <w:color w:val="auto"/>
        </w:rPr>
        <w:t>. The Administrator, in its sole discretion, will set vesting criteria which, depending on the extent to which the criteria</w:t>
      </w:r>
      <w:r>
        <w:rPr>
          <w:rFonts w:ascii="Arial" w:cs="Arial" w:eastAsia="Arial" w:hAnsi="Arial"/>
          <w:sz w:val="18"/>
          <w:szCs w:val="18"/>
          <w:b w:val="1"/>
          <w:bCs w:val="1"/>
          <w:color w:val="auto"/>
        </w:rPr>
        <w:t xml:space="preserve"> </w:t>
      </w:r>
      <w:r>
        <w:rPr>
          <w:rFonts w:ascii="Arial" w:cs="Arial" w:eastAsia="Arial" w:hAnsi="Arial"/>
          <w:sz w:val="18"/>
          <w:szCs w:val="18"/>
          <w:color w:val="auto"/>
        </w:rPr>
        <w:t>are met, will determine the number of Restricted Stock Units that will be paid out to the Participant. The Administrator, in its sole discretion, may set vesting criteria based upon the achievement of Company-wide, business unit or individual goals (including continued employment or service), or any other basis determined by the Administrator.</w:t>
      </w:r>
    </w:p>
    <w:p>
      <w:pPr>
        <w:spacing w:after="0" w:line="71" w:lineRule="exact"/>
        <w:rPr>
          <w:rFonts w:ascii="Arial" w:cs="Arial" w:eastAsia="Arial" w:hAnsi="Arial"/>
          <w:sz w:val="18"/>
          <w:szCs w:val="18"/>
          <w:color w:val="auto"/>
        </w:rPr>
      </w:pPr>
    </w:p>
    <w:p>
      <w:pPr>
        <w:ind w:left="-40" w:right="200" w:firstLine="996"/>
        <w:spacing w:after="0" w:line="266" w:lineRule="auto"/>
        <w:tabs>
          <w:tab w:leader="none" w:pos="1207" w:val="left"/>
        </w:tabs>
        <w:numPr>
          <w:ilvl w:val="1"/>
          <w:numId w:val="284"/>
        </w:numPr>
        <w:rPr>
          <w:rFonts w:ascii="Arial" w:cs="Arial" w:eastAsia="Arial" w:hAnsi="Arial"/>
          <w:sz w:val="18"/>
          <w:szCs w:val="18"/>
          <w:color w:val="auto"/>
        </w:rPr>
      </w:pPr>
      <w:r>
        <w:rPr>
          <w:rFonts w:ascii="Arial" w:cs="Arial" w:eastAsia="Arial" w:hAnsi="Arial"/>
          <w:sz w:val="18"/>
          <w:szCs w:val="18"/>
          <w:b w:val="1"/>
          <w:bCs w:val="1"/>
          <w:u w:val="single" w:color="auto"/>
          <w:color w:val="auto"/>
        </w:rPr>
        <w:t>Earning Restricted Stock Units</w:t>
      </w:r>
      <w:r>
        <w:rPr>
          <w:rFonts w:ascii="Arial" w:cs="Arial" w:eastAsia="Arial" w:hAnsi="Arial"/>
          <w:sz w:val="18"/>
          <w:szCs w:val="18"/>
          <w:color w:val="auto"/>
        </w:rPr>
        <w:t>. Upon meeting the applicable vesting criteria, the Participant will be entitled to receive a payout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Administrator. Notwithstanding the foregoing, at any time after the grant of a Restricted Stock Unit, the Administrator, in its sole discretion, may reduce or waive any vesting criteria that must be met to receive a payout.</w:t>
      </w:r>
    </w:p>
    <w:p>
      <w:pPr>
        <w:spacing w:after="0" w:line="68" w:lineRule="exact"/>
        <w:rPr>
          <w:rFonts w:ascii="Arial" w:cs="Arial" w:eastAsia="Arial" w:hAnsi="Arial"/>
          <w:sz w:val="18"/>
          <w:szCs w:val="18"/>
          <w:color w:val="auto"/>
        </w:rPr>
      </w:pPr>
    </w:p>
    <w:p>
      <w:pPr>
        <w:ind w:left="-40" w:right="140" w:firstLine="996"/>
        <w:spacing w:after="0" w:line="258" w:lineRule="auto"/>
        <w:tabs>
          <w:tab w:leader="none" w:pos="1196" w:val="left"/>
        </w:tabs>
        <w:numPr>
          <w:ilvl w:val="1"/>
          <w:numId w:val="284"/>
        </w:numPr>
        <w:rPr>
          <w:rFonts w:ascii="Arial" w:cs="Arial" w:eastAsia="Arial" w:hAnsi="Arial"/>
          <w:sz w:val="18"/>
          <w:szCs w:val="18"/>
          <w:color w:val="auto"/>
        </w:rPr>
      </w:pPr>
      <w:r>
        <w:rPr>
          <w:rFonts w:ascii="Arial" w:cs="Arial" w:eastAsia="Arial" w:hAnsi="Arial"/>
          <w:sz w:val="18"/>
          <w:szCs w:val="18"/>
          <w:b w:val="1"/>
          <w:bCs w:val="1"/>
          <w:u w:val="single" w:color="auto"/>
          <w:color w:val="auto"/>
        </w:rPr>
        <w:t>Timing and Form of Payment</w:t>
      </w:r>
      <w:r>
        <w:rPr>
          <w:rFonts w:ascii="Arial" w:cs="Arial" w:eastAsia="Arial" w:hAnsi="Arial"/>
          <w:sz w:val="18"/>
          <w:szCs w:val="18"/>
          <w:color w:val="auto"/>
        </w:rPr>
        <w:t>. Payment of earned Restricted Stock Units will be made at the time, and in the form,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Award Agreement, but in no event later than the 15</w:t>
      </w:r>
      <w:r>
        <w:rPr>
          <w:rFonts w:ascii="Arial" w:cs="Arial" w:eastAsia="Arial" w:hAnsi="Arial"/>
          <w:sz w:val="15"/>
          <w:szCs w:val="15"/>
          <w:color w:val="auto"/>
        </w:rPr>
        <w:t>th</w:t>
      </w:r>
      <w:r>
        <w:rPr>
          <w:rFonts w:ascii="Arial" w:cs="Arial" w:eastAsia="Arial" w:hAnsi="Arial"/>
          <w:sz w:val="18"/>
          <w:szCs w:val="18"/>
          <w:color w:val="auto"/>
        </w:rPr>
        <w:t xml:space="preserve"> day of the third month following the end of the calendar year in which such Restricted Stock Units became vested, except to the extent payment is deferred under an arrangement approved by the Administrator, in accordance with Section 409A of the Code. Settlement of earned Restricted Stock Units may, in the Administrator’s sole discretion, be in cash, in Shares or in some combination thereof.</w:t>
      </w:r>
    </w:p>
    <w:p>
      <w:pPr>
        <w:spacing w:after="0" w:line="75" w:lineRule="exact"/>
        <w:rPr>
          <w:rFonts w:ascii="Arial" w:cs="Arial" w:eastAsia="Arial" w:hAnsi="Arial"/>
          <w:sz w:val="18"/>
          <w:szCs w:val="18"/>
          <w:color w:val="auto"/>
        </w:rPr>
      </w:pPr>
    </w:p>
    <w:p>
      <w:pPr>
        <w:ind w:left="-40" w:right="380" w:firstLine="996"/>
        <w:spacing w:after="0" w:line="282" w:lineRule="auto"/>
        <w:tabs>
          <w:tab w:leader="none" w:pos="1177" w:val="left"/>
        </w:tabs>
        <w:numPr>
          <w:ilvl w:val="1"/>
          <w:numId w:val="284"/>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Restricted Stock Units to Company</w:t>
      </w:r>
      <w:r>
        <w:rPr>
          <w:rFonts w:ascii="Arial" w:cs="Arial" w:eastAsia="Arial" w:hAnsi="Arial"/>
          <w:sz w:val="18"/>
          <w:szCs w:val="18"/>
          <w:color w:val="auto"/>
        </w:rPr>
        <w:t>. On the date set forth in the applicable Award Agreement, all unearned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will revert to the Company and will again become available for grant under the Plan.</w:t>
      </w:r>
    </w:p>
    <w:p>
      <w:pPr>
        <w:spacing w:after="0" w:line="161" w:lineRule="exact"/>
        <w:rPr>
          <w:rFonts w:ascii="Arial" w:cs="Arial" w:eastAsia="Arial" w:hAnsi="Arial"/>
          <w:sz w:val="18"/>
          <w:szCs w:val="18"/>
          <w:color w:val="auto"/>
        </w:rPr>
      </w:pPr>
    </w:p>
    <w:p>
      <w:pPr>
        <w:ind w:left="-40" w:right="180" w:firstLine="444"/>
        <w:spacing w:after="0" w:line="261" w:lineRule="auto"/>
        <w:tabs>
          <w:tab w:leader="none" w:pos="671" w:val="left"/>
        </w:tabs>
        <w:numPr>
          <w:ilvl w:val="0"/>
          <w:numId w:val="284"/>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Section 409A of the Code</w:t>
      </w:r>
      <w:r>
        <w:rPr>
          <w:rFonts w:ascii="Arial" w:cs="Arial" w:eastAsia="Arial" w:hAnsi="Arial"/>
          <w:sz w:val="18"/>
          <w:szCs w:val="18"/>
          <w:color w:val="auto"/>
        </w:rPr>
        <w:t>. Awards will be designed and operated in such a manner that they are either exempt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of, or comply with, the requirements of Section 409A of the Code. The Plan and each Award Agreement are intended to meet the requirements of Section 409A of the Code and will be construed and interpreted in accordance with such intent, except as otherwise determined in the Administrator’s sole discretion.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80" w:top="270" w:right="459" w:bottom="1440" w:gutter="0" w:footer="0" w:header="0"/>
        </w:sectPr>
      </w:pPr>
    </w:p>
    <w:bookmarkStart w:id="416" w:name="page417"/>
    <w:bookmarkEnd w:id="416"/>
    <w:p>
      <w:pPr>
        <w:ind w:right="240" w:firstLine="444"/>
        <w:spacing w:after="0" w:line="293" w:lineRule="auto"/>
        <w:tabs>
          <w:tab w:leader="none" w:pos="704" w:val="left"/>
        </w:tabs>
        <w:numPr>
          <w:ilvl w:val="1"/>
          <w:numId w:val="285"/>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Leaves of Absence/Transfer Between Locations</w:t>
      </w:r>
      <w:r>
        <w:rPr>
          <w:rFonts w:ascii="Arial" w:cs="Arial" w:eastAsia="Arial" w:hAnsi="Arial"/>
          <w:sz w:val="16"/>
          <w:szCs w:val="16"/>
          <w:color w:val="auto"/>
        </w:rPr>
        <w:t>. Unless the Administrator provides otherwise, vesting of a Participant’s Awards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suspended during his or her unpaid leave of absence from the Company or any Affiliate. A Participant will not cease to be an Employee in the case of</w:t>
      </w:r>
    </w:p>
    <w:p>
      <w:pPr>
        <w:spacing w:after="0" w:line="1" w:lineRule="exact"/>
        <w:rPr>
          <w:rFonts w:ascii="Arial" w:cs="Arial" w:eastAsia="Arial" w:hAnsi="Arial"/>
          <w:sz w:val="16"/>
          <w:szCs w:val="16"/>
          <w:color w:val="auto"/>
        </w:rPr>
      </w:pPr>
    </w:p>
    <w:p>
      <w:pPr>
        <w:ind w:right="80" w:firstLine="4"/>
        <w:spacing w:after="0" w:line="253" w:lineRule="auto"/>
        <w:tabs>
          <w:tab w:leader="none" w:pos="21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leave of absence approved by the Company or (ii) transfers between locations of the Company or between the Company and any Affiliate. For purposes of Incentive Stock Options, no such leave of absence may exceed three months, unless reemployment upon expiration of such leave is guaranteed by statute or contract. If reemployment upon expiration of a leave of absence approved by the Company is not so guaranteed, then six months following the 1</w:t>
      </w:r>
      <w:r>
        <w:rPr>
          <w:rFonts w:ascii="Arial" w:cs="Arial" w:eastAsia="Arial" w:hAnsi="Arial"/>
          <w:sz w:val="15"/>
          <w:szCs w:val="15"/>
          <w:color w:val="auto"/>
        </w:rPr>
        <w:t>st</w:t>
      </w:r>
      <w:r>
        <w:rPr>
          <w:rFonts w:ascii="Arial" w:cs="Arial" w:eastAsia="Arial" w:hAnsi="Arial"/>
          <w:sz w:val="18"/>
          <w:szCs w:val="18"/>
          <w:color w:val="auto"/>
        </w:rPr>
        <w:t xml:space="preserve"> day of such leave, any Incentive Stock Option held by the Participant will cease to be treated as an Incentive Stock Option and will be treated for tax purposes as a Nonstatutory Stock Option.</w:t>
      </w:r>
    </w:p>
    <w:p>
      <w:pPr>
        <w:spacing w:after="0" w:line="187" w:lineRule="exact"/>
        <w:rPr>
          <w:rFonts w:ascii="Arial" w:cs="Arial" w:eastAsia="Arial" w:hAnsi="Arial"/>
          <w:sz w:val="18"/>
          <w:szCs w:val="18"/>
          <w:color w:val="auto"/>
        </w:rPr>
      </w:pPr>
    </w:p>
    <w:p>
      <w:pPr>
        <w:ind w:firstLine="444"/>
        <w:spacing w:after="0" w:line="270" w:lineRule="auto"/>
        <w:tabs>
          <w:tab w:leader="none" w:pos="711" w:val="left"/>
        </w:tabs>
        <w:numPr>
          <w:ilvl w:val="1"/>
          <w:numId w:val="286"/>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Limited Transferability of Awards</w:t>
      </w:r>
      <w:r>
        <w:rPr>
          <w:rFonts w:ascii="Arial" w:cs="Arial" w:eastAsia="Arial" w:hAnsi="Arial"/>
          <w:sz w:val="17"/>
          <w:szCs w:val="17"/>
          <w:color w:val="auto"/>
        </w:rPr>
        <w:t>. Unless determined otherwise by the Administrator, (i) Awards (and, in the case of Options, the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such Options prior to exercise) may not be sold, pledged, assigned, hypothecated or otherwise transferred in any manner, including by entering into any short position, any “</w:t>
      </w:r>
      <w:r>
        <w:rPr>
          <w:rFonts w:ascii="Arial" w:cs="Arial" w:eastAsia="Arial" w:hAnsi="Arial"/>
          <w:sz w:val="17"/>
          <w:szCs w:val="17"/>
          <w:b w:val="1"/>
          <w:bCs w:val="1"/>
          <w:i w:val="1"/>
          <w:iCs w:val="1"/>
          <w:color w:val="auto"/>
        </w:rPr>
        <w:t>put equivalent position</w:t>
      </w:r>
      <w:r>
        <w:rPr>
          <w:rFonts w:ascii="Arial" w:cs="Arial" w:eastAsia="Arial" w:hAnsi="Arial"/>
          <w:sz w:val="17"/>
          <w:szCs w:val="17"/>
          <w:color w:val="auto"/>
        </w:rPr>
        <w:t>” or any “</w:t>
      </w:r>
      <w:r>
        <w:rPr>
          <w:rFonts w:ascii="Arial" w:cs="Arial" w:eastAsia="Arial" w:hAnsi="Arial"/>
          <w:sz w:val="17"/>
          <w:szCs w:val="17"/>
          <w:b w:val="1"/>
          <w:bCs w:val="1"/>
          <w:i w:val="1"/>
          <w:iCs w:val="1"/>
          <w:color w:val="auto"/>
        </w:rPr>
        <w:t>call equivalent position</w:t>
      </w:r>
      <w:r>
        <w:rPr>
          <w:rFonts w:ascii="Arial" w:cs="Arial" w:eastAsia="Arial" w:hAnsi="Arial"/>
          <w:sz w:val="17"/>
          <w:szCs w:val="17"/>
          <w:color w:val="auto"/>
        </w:rPr>
        <w:t>” (as defined in Rule 16a-1(h) and Rule 16a-1(b), respectively, of the Exchange Act), whether by operation of law or otherwise, other than by will or by the laws of descent and distribution, and may be exercised, during the lifetime of the Participant, only by the Participant and (ii) Restricted Stock may not be sold, pledged, assigned, hypothecated or otherwise transferred in any manner until the end of the applicable Period of Restriction. If the Administrator makes an Award transferable, such Award may only be transferred (1) by will, (2) by the laws of descent and distribution, (3) to a revocable trust, or (4) as permitted by Rule 701 of the Securities Act. The terms of the Plan will be binding upon the executors, administrators, heirs, successors and assigns of the Participants. Notwithstanding the foregoing, the Administrator, in its sole discretion, may determine to permit transfers to the Company or in connection with a Change in Control, a Stock Sale or other acquisition transaction involving the Company.</w:t>
      </w:r>
    </w:p>
    <w:p>
      <w:pPr>
        <w:spacing w:after="0" w:line="177" w:lineRule="exact"/>
        <w:rPr>
          <w:rFonts w:ascii="Arial" w:cs="Arial" w:eastAsia="Arial" w:hAnsi="Arial"/>
          <w:sz w:val="17"/>
          <w:szCs w:val="17"/>
          <w:color w:val="auto"/>
        </w:rPr>
      </w:pPr>
    </w:p>
    <w:p>
      <w:pPr>
        <w:ind w:left="720" w:hanging="276"/>
        <w:spacing w:after="0"/>
        <w:tabs>
          <w:tab w:leader="none" w:pos="720" w:val="left"/>
        </w:tabs>
        <w:numPr>
          <w:ilvl w:val="1"/>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 Dissolution or Liquidation; Merger, Change in Control or Stock Sale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996"/>
        <w:spacing w:after="0" w:line="284" w:lineRule="auto"/>
        <w:tabs>
          <w:tab w:leader="none" w:pos="1236" w:val="left"/>
        </w:tabs>
        <w:numPr>
          <w:ilvl w:val="2"/>
          <w:numId w:val="286"/>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Adjustments</w:t>
      </w:r>
      <w:r>
        <w:rPr>
          <w:rFonts w:ascii="Arial" w:cs="Arial" w:eastAsia="Arial" w:hAnsi="Arial"/>
          <w:sz w:val="16"/>
          <w:szCs w:val="16"/>
          <w:color w:val="auto"/>
        </w:rPr>
        <w:t>. In the event of any dividend or other distribution (whether in the form of cash, Shares, other securities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property), recapitalization, reincorporation, stock split, reverse stock split, reorganization, merger, consolidation, split-up, spin-off, combination, reclassification, repurchase or exchange of Shares or other securities of the Company, or other change in the corporate structure of the Company affecting the Shares, the Administrator, in order to prevent diminution or enlargement of the benefits or potential benefits intended to be made available under the Plan, will appropriately adjust the number and class of Shares available under the Plan and the number, class and price of Shares subject to each outstanding Award;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Administrator will make such adjustments to an Award required by Section 25102(o) of the California Corporations Code to the extent the Company is relying upon the exemption afforded thereby with respect to the Award and (ii) in the case of outstanding Awards consisting of Options and Stock Appreciation Rights, the Administrator will make such adjustments in accordance with</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409A of the Code.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417" w:name="page418"/>
    <w:bookmarkEnd w:id="417"/>
    <w:p>
      <w:pPr>
        <w:ind w:right="40" w:firstLine="996"/>
        <w:spacing w:after="0" w:line="314" w:lineRule="auto"/>
        <w:tabs>
          <w:tab w:leader="none" w:pos="1247" w:val="left"/>
        </w:tabs>
        <w:numPr>
          <w:ilvl w:val="0"/>
          <w:numId w:val="287"/>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Dissolution or Liquidation</w:t>
      </w:r>
      <w:r>
        <w:rPr>
          <w:rFonts w:ascii="Arial" w:cs="Arial" w:eastAsia="Arial" w:hAnsi="Arial"/>
          <w:sz w:val="16"/>
          <w:szCs w:val="16"/>
          <w:color w:val="auto"/>
        </w:rPr>
        <w:t>. In the event of the proposed dissolution or liquidation of the Company, the Administrator will notify each</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as soon as practicable prior to the effective date of such proposed transaction. To the extent it has not been previously exercised, the Administrator may cause an Award to terminate immediately prior to the consummation of such proposed dissolution or liquidation of the Company.</w:t>
      </w:r>
    </w:p>
    <w:p>
      <w:pPr>
        <w:spacing w:after="0" w:line="34" w:lineRule="exact"/>
        <w:rPr>
          <w:rFonts w:ascii="Arial" w:cs="Arial" w:eastAsia="Arial" w:hAnsi="Arial"/>
          <w:sz w:val="16"/>
          <w:szCs w:val="16"/>
          <w:color w:val="auto"/>
        </w:rPr>
      </w:pPr>
    </w:p>
    <w:p>
      <w:pPr>
        <w:ind w:firstLine="996"/>
        <w:spacing w:after="0" w:line="258" w:lineRule="auto"/>
        <w:tabs>
          <w:tab w:leader="none" w:pos="1236"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Merger, Change in Control or Stock Sale</w:t>
      </w:r>
      <w:r>
        <w:rPr>
          <w:rFonts w:ascii="Arial" w:cs="Arial" w:eastAsia="Arial" w:hAnsi="Arial"/>
          <w:sz w:val="18"/>
          <w:szCs w:val="18"/>
          <w:color w:val="auto"/>
        </w:rPr>
        <w:t>. In the event of a merger involving the Company, a Change in Control or a Stock Sale, each</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Award will be treated as the Administrator (as constituted prior to such merger, Change in Control or Stock Sale) may determine without the Participant’s consent, subject to such Participant’s Award Agreement. Without limiting the generality of the foregoing sentence, in the event of a merger involving the Company, a Change in Control or a Stock Sale, the Administrator may, in its sole discretion but subject to such Participant’s Award Agreement, provide that:</w:t>
      </w:r>
    </w:p>
    <w:p>
      <w:pPr>
        <w:spacing w:after="0" w:line="79" w:lineRule="exact"/>
        <w:rPr>
          <w:rFonts w:ascii="Arial" w:cs="Arial" w:eastAsia="Arial" w:hAnsi="Arial"/>
          <w:sz w:val="18"/>
          <w:szCs w:val="18"/>
          <w:color w:val="auto"/>
        </w:rPr>
      </w:pPr>
    </w:p>
    <w:p>
      <w:pPr>
        <w:ind w:right="360" w:firstLine="1436"/>
        <w:spacing w:after="0" w:line="277" w:lineRule="auto"/>
        <w:tabs>
          <w:tab w:leader="none" w:pos="1648"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Awards will be assumed, or substantially equivalent Awards will be substituted, by the acquiring or succeeding entity (or any affiliate thereof) with appropriate adjustments as to the number and kind of shares and prices;</w:t>
      </w:r>
    </w:p>
    <w:p>
      <w:pPr>
        <w:spacing w:after="0" w:line="62" w:lineRule="exact"/>
        <w:rPr>
          <w:rFonts w:ascii="Arial" w:cs="Arial" w:eastAsia="Arial" w:hAnsi="Arial"/>
          <w:sz w:val="18"/>
          <w:szCs w:val="18"/>
          <w:color w:val="auto"/>
        </w:rPr>
      </w:pPr>
    </w:p>
    <w:p>
      <w:pPr>
        <w:ind w:right="40" w:firstLine="1436"/>
        <w:spacing w:after="0" w:line="255" w:lineRule="auto"/>
        <w:tabs>
          <w:tab w:leader="none" w:pos="1698"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all outstanding Awards, in whole or in part, will be surrendered to the Company by the holder thereof and immediately cancelled by the Company, with the holder thereof receiving (A) an amount of cash, if any, equal to the amount that would have been attained upon the exercise of such Award or realization of the Participant’s rights as of the date of the occurrence of such merger, Change in Control or Stock Sale (and, for the avoidance of doubt, if as of the date of the occurrence of such merger, Change in Control or Stock Sale the Administrator determines in good faith that no amount would have been attained upon the exercise of such Award or realization of the Participant’s rights, then such Award may be terminated by the Company without payment), (B) such other rights or property selected by the Administrator in its sole discretion, or (C) a combination of (A) and (B);</w:t>
      </w:r>
    </w:p>
    <w:p>
      <w:pPr>
        <w:spacing w:after="0" w:line="81" w:lineRule="exact"/>
        <w:rPr>
          <w:rFonts w:ascii="Arial" w:cs="Arial" w:eastAsia="Arial" w:hAnsi="Arial"/>
          <w:sz w:val="18"/>
          <w:szCs w:val="18"/>
          <w:color w:val="auto"/>
        </w:rPr>
      </w:pPr>
    </w:p>
    <w:p>
      <w:pPr>
        <w:ind w:right="20" w:firstLine="1436"/>
        <w:spacing w:after="0" w:line="279" w:lineRule="auto"/>
        <w:tabs>
          <w:tab w:leader="none" w:pos="1748" w:val="left"/>
        </w:tabs>
        <w:numPr>
          <w:ilvl w:val="1"/>
          <w:numId w:val="287"/>
        </w:numPr>
        <w:rPr>
          <w:rFonts w:ascii="Arial" w:cs="Arial" w:eastAsia="Arial" w:hAnsi="Arial"/>
          <w:sz w:val="17"/>
          <w:szCs w:val="17"/>
          <w:color w:val="auto"/>
        </w:rPr>
      </w:pPr>
      <w:r>
        <w:rPr>
          <w:rFonts w:ascii="Arial" w:cs="Arial" w:eastAsia="Arial" w:hAnsi="Arial"/>
          <w:sz w:val="17"/>
          <w:szCs w:val="17"/>
          <w:color w:val="auto"/>
        </w:rPr>
        <w:t>all outstanding Options and Stock Appreciation Rights will immediately vest and become exercisable, in whole or in part, all restrictions on Restricted Stock and Restricted Stock Units will lapse, and, with respect to Awards subject to performance-based vesting, all performance goals or other vesting criteria will be deemed achieved at 100% of target level (or such other level specified by the Administrator) and all other terms and conditions met, in whole or in part, prior to or upon consummation of such merger, Change in Control or Stock Sale; and/or</w:t>
      </w:r>
    </w:p>
    <w:p>
      <w:pPr>
        <w:spacing w:after="0" w:line="63" w:lineRule="exact"/>
        <w:rPr>
          <w:rFonts w:ascii="Arial" w:cs="Arial" w:eastAsia="Arial" w:hAnsi="Arial"/>
          <w:sz w:val="17"/>
          <w:szCs w:val="17"/>
          <w:color w:val="auto"/>
        </w:rPr>
      </w:pPr>
    </w:p>
    <w:p>
      <w:pPr>
        <w:ind w:left="1740" w:hanging="304"/>
        <w:spacing w:after="0"/>
        <w:tabs>
          <w:tab w:leader="none" w:pos="174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ind w:right="80" w:firstLine="992"/>
        <w:spacing w:after="0" w:line="277" w:lineRule="auto"/>
        <w:rPr>
          <w:sz w:val="20"/>
          <w:szCs w:val="20"/>
          <w:color w:val="auto"/>
        </w:rPr>
      </w:pPr>
      <w:r>
        <w:rPr>
          <w:rFonts w:ascii="Arial" w:cs="Arial" w:eastAsia="Arial" w:hAnsi="Arial"/>
          <w:sz w:val="18"/>
          <w:szCs w:val="18"/>
          <w:color w:val="auto"/>
        </w:rPr>
        <w:t>In taking any of the actions permitted under this Section 13(c), the Administrator will not be obligated to treat all Awards, all Awards held by a Participant, or all Awards of the same type, similarly.</w:t>
      </w:r>
    </w:p>
    <w:p>
      <w:pPr>
        <w:spacing w:after="0" w:line="170" w:lineRule="exact"/>
        <w:rPr>
          <w:sz w:val="20"/>
          <w:szCs w:val="20"/>
          <w:color w:val="auto"/>
        </w:rPr>
      </w:pPr>
    </w:p>
    <w:p>
      <w:pPr>
        <w:ind w:right="140" w:firstLine="992"/>
        <w:spacing w:after="0" w:line="279" w:lineRule="auto"/>
        <w:rPr>
          <w:sz w:val="20"/>
          <w:szCs w:val="20"/>
          <w:color w:val="auto"/>
        </w:rPr>
      </w:pPr>
      <w:r>
        <w:rPr>
          <w:rFonts w:ascii="Arial" w:cs="Arial" w:eastAsia="Arial" w:hAnsi="Arial"/>
          <w:sz w:val="17"/>
          <w:szCs w:val="17"/>
          <w:color w:val="auto"/>
        </w:rPr>
        <w:t>Notwithstanding anything in this Section 13(c) to the contrary, if a payment under an Award Agreement is subject to Section 409A of the Code and if the Change in Control or Stock Sale does not constitute a “change in control event” as defined in Section 409A of the Code, then any payment of an amount that is otherwise accelerated under this Section 13(c) will be delayed until the earliest time that such payment would be permissible under Section 409A of the Code without triggering any penalties applicable under Section 409A of the Code.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69" w:right="439" w:bottom="1440" w:gutter="0" w:footer="0" w:header="0"/>
        </w:sectPr>
      </w:pPr>
    </w:p>
    <w:bookmarkStart w:id="418" w:name="page419"/>
    <w:bookmarkEnd w:id="418"/>
    <w:p>
      <w:pPr>
        <w:ind w:left="720" w:hanging="276"/>
        <w:spacing w:after="0"/>
        <w:tabs>
          <w:tab w:leader="none" w:pos="720" w:val="left"/>
        </w:tabs>
        <w:numPr>
          <w:ilvl w:val="0"/>
          <w:numId w:val="28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Withholding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80" w:firstLine="996"/>
        <w:spacing w:after="0" w:line="314" w:lineRule="auto"/>
        <w:tabs>
          <w:tab w:leader="none" w:pos="1236" w:val="left"/>
        </w:tabs>
        <w:numPr>
          <w:ilvl w:val="1"/>
          <w:numId w:val="288"/>
        </w:numPr>
        <w:rPr>
          <w:rFonts w:ascii="Arial" w:cs="Arial" w:eastAsia="Arial" w:hAnsi="Arial"/>
          <w:sz w:val="16"/>
          <w:szCs w:val="16"/>
          <w:color w:val="auto"/>
        </w:rPr>
      </w:pPr>
      <w:r>
        <w:rPr>
          <w:rFonts w:ascii="Arial" w:cs="Arial" w:eastAsia="Arial" w:hAnsi="Arial"/>
          <w:sz w:val="16"/>
          <w:szCs w:val="16"/>
          <w:b w:val="1"/>
          <w:bCs w:val="1"/>
          <w:u w:val="single" w:color="auto"/>
          <w:color w:val="auto"/>
        </w:rPr>
        <w:t>Withholding Requirements</w:t>
      </w:r>
      <w:r>
        <w:rPr>
          <w:rFonts w:ascii="Arial" w:cs="Arial" w:eastAsia="Arial" w:hAnsi="Arial"/>
          <w:sz w:val="16"/>
          <w:szCs w:val="16"/>
          <w:color w:val="auto"/>
        </w:rPr>
        <w:t>. Prior to the delivery of any Shares or cash pursuant to an Award (or exercise thereof), the Company will</w:t>
      </w:r>
      <w:r>
        <w:rPr>
          <w:rFonts w:ascii="Arial" w:cs="Arial" w:eastAsia="Arial" w:hAnsi="Arial"/>
          <w:sz w:val="16"/>
          <w:szCs w:val="16"/>
          <w:b w:val="1"/>
          <w:bCs w:val="1"/>
          <w:color w:val="auto"/>
        </w:rPr>
        <w:t xml:space="preserve"> </w:t>
      </w:r>
      <w:r>
        <w:rPr>
          <w:rFonts w:ascii="Arial" w:cs="Arial" w:eastAsia="Arial" w:hAnsi="Arial"/>
          <w:sz w:val="16"/>
          <w:szCs w:val="16"/>
          <w:color w:val="auto"/>
        </w:rPr>
        <w:t>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34" w:lineRule="exact"/>
        <w:rPr>
          <w:rFonts w:ascii="Arial" w:cs="Arial" w:eastAsia="Arial" w:hAnsi="Arial"/>
          <w:sz w:val="16"/>
          <w:szCs w:val="16"/>
          <w:color w:val="auto"/>
        </w:rPr>
      </w:pPr>
    </w:p>
    <w:p>
      <w:pPr>
        <w:ind w:firstLine="996"/>
        <w:spacing w:after="0" w:line="254" w:lineRule="auto"/>
        <w:tabs>
          <w:tab w:leader="none" w:pos="1247" w:val="left"/>
        </w:tabs>
        <w:numPr>
          <w:ilvl w:val="1"/>
          <w:numId w:val="288"/>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Arrangements</w:t>
      </w:r>
      <w:r>
        <w:rPr>
          <w:rFonts w:ascii="Arial" w:cs="Arial" w:eastAsia="Arial" w:hAnsi="Arial"/>
          <w:sz w:val="18"/>
          <w:szCs w:val="18"/>
          <w:color w:val="auto"/>
        </w:rPr>
        <w:t>. The Administrator, in its sole discretion and pursuant to such procedures as it may specify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may permit a Participant to satisfy the tax withholding obligations described in Section 14(a), in whole or in part, by (without limitation) (i) paying cash, (ii) electing to have the Company withhold otherwise deliverable Shares having a Fair Market Value equal to the minimum statutory amount required to be withheld, (iii) delivering to the Company previously owned and unencumbered Shares having a Fair Market Value equal to the minimum statutory amount required to be withheld, provided the delivery of such Shares will not result in any adverse accounting consequences to the Company, as determined by the Administrator in its sole discretion, or (iv) selling a sufficient number of otherwise deliverable Shares through such means as the Administrator may determine in its sole discretion (whether through a broker or otherwise) equal to the minimum statutory amount required to be withheld. The Fair Market Value of the Shares to be withheld or delivered will be determined as of the date that the taxes are required to be withheld. Any fraction of a Share that would be required to satisfy such an obligation will be disregarded, and the remaining amount due will be paid in cash by the Participant.</w:t>
      </w:r>
    </w:p>
    <w:p>
      <w:pPr>
        <w:spacing w:after="0" w:line="186" w:lineRule="exact"/>
        <w:rPr>
          <w:rFonts w:ascii="Arial" w:cs="Arial" w:eastAsia="Arial" w:hAnsi="Arial"/>
          <w:sz w:val="18"/>
          <w:szCs w:val="18"/>
          <w:color w:val="auto"/>
        </w:rPr>
      </w:pPr>
    </w:p>
    <w:p>
      <w:pPr>
        <w:ind w:right="40" w:firstLine="444"/>
        <w:spacing w:after="0" w:line="261" w:lineRule="auto"/>
        <w:tabs>
          <w:tab w:leader="none" w:pos="711" w:val="left"/>
        </w:tabs>
        <w:numPr>
          <w:ilvl w:val="0"/>
          <w:numId w:val="288"/>
        </w:numPr>
        <w:rPr>
          <w:rFonts w:ascii="Arial" w:cs="Arial" w:eastAsia="Arial" w:hAnsi="Arial"/>
          <w:sz w:val="18"/>
          <w:szCs w:val="18"/>
          <w:color w:val="auto"/>
        </w:rPr>
      </w:pPr>
      <w:r>
        <w:rPr>
          <w:rFonts w:ascii="Arial" w:cs="Arial" w:eastAsia="Arial" w:hAnsi="Arial"/>
          <w:sz w:val="18"/>
          <w:szCs w:val="18"/>
          <w:b w:val="1"/>
          <w:bCs w:val="1"/>
          <w:u w:val="single" w:color="auto"/>
          <w:color w:val="auto"/>
        </w:rPr>
        <w:t>No Effect on Employment or Service</w:t>
      </w:r>
      <w:r>
        <w:rPr>
          <w:rFonts w:ascii="Arial" w:cs="Arial" w:eastAsia="Arial" w:hAnsi="Arial"/>
          <w:sz w:val="18"/>
          <w:szCs w:val="18"/>
          <w:color w:val="auto"/>
        </w:rPr>
        <w:t>. Nothing in the Plan or any instrument executed, or Award granted, pursuant to the Plan,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will confer upon any Participant any right with respect to continuing his or her relationship as a Service Provider, nor will they interfere in any way with the Participant’s or the Company’s right to terminate such relationship at any time, with or without cause or notice, to the extent permitted by Applicable Laws.</w:t>
      </w:r>
    </w:p>
    <w:p>
      <w:pPr>
        <w:spacing w:after="0" w:line="180" w:lineRule="exact"/>
        <w:rPr>
          <w:rFonts w:ascii="Arial" w:cs="Arial" w:eastAsia="Arial" w:hAnsi="Arial"/>
          <w:sz w:val="18"/>
          <w:szCs w:val="18"/>
          <w:color w:val="auto"/>
        </w:rPr>
      </w:pPr>
    </w:p>
    <w:p>
      <w:pPr>
        <w:ind w:right="80" w:firstLine="444"/>
        <w:spacing w:after="0" w:line="266" w:lineRule="auto"/>
        <w:tabs>
          <w:tab w:leader="none" w:pos="711" w:val="left"/>
        </w:tabs>
        <w:numPr>
          <w:ilvl w:val="0"/>
          <w:numId w:val="288"/>
        </w:numPr>
        <w:rPr>
          <w:rFonts w:ascii="Arial" w:cs="Arial" w:eastAsia="Arial" w:hAnsi="Arial"/>
          <w:sz w:val="18"/>
          <w:szCs w:val="18"/>
          <w:color w:val="auto"/>
        </w:rPr>
      </w:pPr>
      <w:r>
        <w:rPr>
          <w:rFonts w:ascii="Arial" w:cs="Arial" w:eastAsia="Arial" w:hAnsi="Arial"/>
          <w:sz w:val="18"/>
          <w:szCs w:val="18"/>
          <w:b w:val="1"/>
          <w:bCs w:val="1"/>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w:t>
      </w:r>
      <w:r>
        <w:rPr>
          <w:rFonts w:ascii="Arial" w:cs="Arial" w:eastAsia="Arial" w:hAnsi="Arial"/>
          <w:sz w:val="18"/>
          <w:szCs w:val="18"/>
          <w:b w:val="1"/>
          <w:bCs w:val="1"/>
          <w:color w:val="auto"/>
        </w:rPr>
        <w:t xml:space="preserve"> </w:t>
      </w:r>
      <w:r>
        <w:rPr>
          <w:rFonts w:ascii="Arial" w:cs="Arial" w:eastAsia="Arial" w:hAnsi="Arial"/>
          <w:sz w:val="18"/>
          <w:szCs w:val="18"/>
          <w:color w:val="auto"/>
        </w:rPr>
        <w:t>such Award, or such other later date as is determined by the Administrator. Notice of the determination will be provided to the Participant within a reasonable time after the date of his or her grant.</w:t>
      </w:r>
    </w:p>
    <w:p>
      <w:pPr>
        <w:spacing w:after="0" w:line="176" w:lineRule="exact"/>
        <w:rPr>
          <w:rFonts w:ascii="Arial" w:cs="Arial" w:eastAsia="Arial" w:hAnsi="Arial"/>
          <w:sz w:val="18"/>
          <w:szCs w:val="18"/>
          <w:color w:val="auto"/>
        </w:rPr>
      </w:pPr>
    </w:p>
    <w:p>
      <w:pPr>
        <w:ind w:left="720" w:hanging="276"/>
        <w:spacing w:after="0"/>
        <w:tabs>
          <w:tab w:leader="none" w:pos="720" w:val="left"/>
        </w:tabs>
        <w:numPr>
          <w:ilvl w:val="0"/>
          <w:numId w:val="288"/>
        </w:numPr>
        <w:rPr>
          <w:rFonts w:ascii="Arial" w:cs="Arial" w:eastAsia="Arial" w:hAnsi="Arial"/>
          <w:sz w:val="17"/>
          <w:szCs w:val="17"/>
          <w:color w:val="auto"/>
        </w:rPr>
      </w:pPr>
      <w:r>
        <w:rPr>
          <w:rFonts w:ascii="Arial" w:cs="Arial" w:eastAsia="Arial" w:hAnsi="Arial"/>
          <w:sz w:val="17"/>
          <w:szCs w:val="17"/>
          <w:b w:val="1"/>
          <w:bCs w:val="1"/>
          <w:u w:val="single" w:color="auto"/>
          <w:color w:val="auto"/>
        </w:rPr>
        <w:t>Term of Plan</w:t>
      </w:r>
      <w:r>
        <w:rPr>
          <w:rFonts w:ascii="Arial" w:cs="Arial" w:eastAsia="Arial" w:hAnsi="Arial"/>
          <w:sz w:val="17"/>
          <w:szCs w:val="17"/>
          <w:color w:val="auto"/>
        </w:rPr>
        <w:t>. Subject to Section 21, the Plan will become effective upon its adoption by the Board. Unless sooner terminated under</w:t>
      </w:r>
    </w:p>
    <w:p>
      <w:pPr>
        <w:spacing w:after="0" w:line="39"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Section 18, the Plan will continue in effect for a term of ten years from the date the Plan is adopted or the date the Plan is approved by the Company’s stockholders, whichever is earlier. No Awards may be granted under the Plan while the Plan is suspended or after it is terminated.</w:t>
      </w:r>
    </w:p>
    <w:p>
      <w:pPr>
        <w:spacing w:after="0" w:line="158" w:lineRule="exact"/>
        <w:rPr>
          <w:sz w:val="20"/>
          <w:szCs w:val="20"/>
          <w:color w:val="auto"/>
        </w:rPr>
      </w:pPr>
    </w:p>
    <w:p>
      <w:pPr>
        <w:ind w:left="720" w:hanging="276"/>
        <w:spacing w:after="0"/>
        <w:tabs>
          <w:tab w:leader="none" w:pos="720" w:val="left"/>
        </w:tabs>
        <w:numPr>
          <w:ilvl w:val="0"/>
          <w:numId w:val="289"/>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and Termination of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360" w:right="460" w:hanging="4364"/>
        <w:spacing w:after="0" w:line="454" w:lineRule="auto"/>
        <w:tabs>
          <w:tab w:leader="none" w:pos="1236" w:val="left"/>
        </w:tabs>
        <w:numPr>
          <w:ilvl w:val="1"/>
          <w:numId w:val="289"/>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color w:val="auto"/>
        </w:rPr>
        <w:t>. Subject to Section 18(b), the Board may at any time amend, alter, suspend or terminate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419" w:name="page420"/>
    <w:bookmarkEnd w:id="419"/>
    <w:p>
      <w:pPr>
        <w:ind w:left="-4" w:right="120" w:firstLine="996"/>
        <w:spacing w:after="0" w:line="282" w:lineRule="auto"/>
        <w:tabs>
          <w:tab w:leader="none" w:pos="1243" w:val="left"/>
        </w:tabs>
        <w:numPr>
          <w:ilvl w:val="2"/>
          <w:numId w:val="29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 Approval</w:t>
      </w:r>
      <w:r>
        <w:rPr>
          <w:rFonts w:ascii="Arial" w:cs="Arial" w:eastAsia="Arial" w:hAnsi="Arial"/>
          <w:sz w:val="18"/>
          <w:szCs w:val="18"/>
          <w:color w:val="auto"/>
        </w:rPr>
        <w:t>. The Company will obtain stockholder approval of any Plan amendment to the extent necessary and desirable</w:t>
      </w:r>
      <w:r>
        <w:rPr>
          <w:rFonts w:ascii="Arial" w:cs="Arial" w:eastAsia="Arial" w:hAnsi="Arial"/>
          <w:sz w:val="18"/>
          <w:szCs w:val="18"/>
          <w:b w:val="1"/>
          <w:bCs w:val="1"/>
          <w:color w:val="auto"/>
        </w:rPr>
        <w:t xml:space="preserve"> </w:t>
      </w:r>
      <w:r>
        <w:rPr>
          <w:rFonts w:ascii="Arial" w:cs="Arial" w:eastAsia="Arial" w:hAnsi="Arial"/>
          <w:sz w:val="18"/>
          <w:szCs w:val="18"/>
          <w:color w:val="auto"/>
        </w:rPr>
        <w:t>to comply with Applicable Laws.</w:t>
      </w:r>
    </w:p>
    <w:p>
      <w:pPr>
        <w:spacing w:after="0" w:line="53" w:lineRule="exact"/>
        <w:rPr>
          <w:rFonts w:ascii="Arial" w:cs="Arial" w:eastAsia="Arial" w:hAnsi="Arial"/>
          <w:sz w:val="18"/>
          <w:szCs w:val="18"/>
          <w:color w:val="auto"/>
        </w:rPr>
      </w:pPr>
    </w:p>
    <w:p>
      <w:pPr>
        <w:ind w:left="-4" w:firstLine="996"/>
        <w:spacing w:after="0" w:line="261" w:lineRule="auto"/>
        <w:tabs>
          <w:tab w:leader="none" w:pos="1233" w:val="left"/>
        </w:tabs>
        <w:numPr>
          <w:ilvl w:val="2"/>
          <w:numId w:val="290"/>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Amendment or Termination</w:t>
      </w:r>
      <w:r>
        <w:rPr>
          <w:rFonts w:ascii="Arial" w:cs="Arial" w:eastAsia="Arial" w:hAnsi="Arial"/>
          <w:sz w:val="18"/>
          <w:szCs w:val="18"/>
          <w:color w:val="auto"/>
        </w:rPr>
        <w:t>. Unless the Participant and the Administrator mutually agree otherwise in a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the Participant and the Company, no amendment, alteration, suspension or termination of the Plan will impair the Participant’s rights under his or her Award. Termination of the Plan will not affect the Administrator’s ability to exercise the powers granted to it hereunder with respect to Awards granted prior to the date of such termination.</w:t>
      </w:r>
    </w:p>
    <w:p>
      <w:pPr>
        <w:spacing w:after="0" w:line="180" w:lineRule="exact"/>
        <w:rPr>
          <w:rFonts w:ascii="Arial" w:cs="Arial" w:eastAsia="Arial" w:hAnsi="Arial"/>
          <w:sz w:val="18"/>
          <w:szCs w:val="18"/>
          <w:color w:val="auto"/>
        </w:rPr>
      </w:pPr>
    </w:p>
    <w:p>
      <w:pPr>
        <w:ind w:left="716" w:hanging="276"/>
        <w:spacing w:after="0"/>
        <w:tabs>
          <w:tab w:leader="none" w:pos="716" w:val="left"/>
        </w:tabs>
        <w:numPr>
          <w:ilvl w:val="1"/>
          <w:numId w:val="291"/>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Upon Issuance of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996"/>
        <w:spacing w:after="0" w:line="266" w:lineRule="auto"/>
        <w:tabs>
          <w:tab w:leader="none" w:pos="1233" w:val="left"/>
        </w:tabs>
        <w:numPr>
          <w:ilvl w:val="2"/>
          <w:numId w:val="291"/>
        </w:numPr>
        <w:rPr>
          <w:rFonts w:ascii="Arial" w:cs="Arial" w:eastAsia="Arial" w:hAnsi="Arial"/>
          <w:sz w:val="18"/>
          <w:szCs w:val="18"/>
          <w:color w:val="auto"/>
        </w:rPr>
      </w:pPr>
      <w:r>
        <w:rPr>
          <w:rFonts w:ascii="Arial" w:cs="Arial" w:eastAsia="Arial" w:hAnsi="Arial"/>
          <w:sz w:val="18"/>
          <w:szCs w:val="18"/>
          <w:b w:val="1"/>
          <w:bCs w:val="1"/>
          <w:u w:val="single" w:color="auto"/>
          <w:color w:val="auto"/>
        </w:rPr>
        <w:t>Legal Compliance</w:t>
      </w:r>
      <w:r>
        <w:rPr>
          <w:rFonts w:ascii="Arial" w:cs="Arial" w:eastAsia="Arial" w:hAnsi="Arial"/>
          <w:sz w:val="18"/>
          <w:szCs w:val="18"/>
          <w:color w:val="auto"/>
        </w:rPr>
        <w:t>. Shares will not be issued pursuant to the exercise of an Award unless the exercise of such Award and the issuance</w:t>
      </w:r>
      <w:r>
        <w:rPr>
          <w:rFonts w:ascii="Arial" w:cs="Arial" w:eastAsia="Arial" w:hAnsi="Arial"/>
          <w:sz w:val="18"/>
          <w:szCs w:val="18"/>
          <w:b w:val="1"/>
          <w:bCs w:val="1"/>
          <w:color w:val="auto"/>
        </w:rPr>
        <w:t xml:space="preserve"> </w:t>
      </w:r>
      <w:r>
        <w:rPr>
          <w:rFonts w:ascii="Arial" w:cs="Arial" w:eastAsia="Arial" w:hAnsi="Arial"/>
          <w:sz w:val="18"/>
          <w:szCs w:val="18"/>
          <w:color w:val="auto"/>
        </w:rPr>
        <w:t>and delivery of such Shares will comply with Applicable Laws and will be further subject to the approval of the Company’s counsel with respect to such compliance.</w:t>
      </w:r>
    </w:p>
    <w:p>
      <w:pPr>
        <w:spacing w:after="0" w:line="68" w:lineRule="exact"/>
        <w:rPr>
          <w:rFonts w:ascii="Arial" w:cs="Arial" w:eastAsia="Arial" w:hAnsi="Arial"/>
          <w:sz w:val="18"/>
          <w:szCs w:val="18"/>
          <w:color w:val="auto"/>
        </w:rPr>
      </w:pPr>
    </w:p>
    <w:p>
      <w:pPr>
        <w:ind w:left="-4" w:right="40" w:firstLine="996"/>
        <w:spacing w:after="0" w:line="289" w:lineRule="auto"/>
        <w:tabs>
          <w:tab w:leader="none" w:pos="1243" w:val="left"/>
        </w:tabs>
        <w:numPr>
          <w:ilvl w:val="2"/>
          <w:numId w:val="291"/>
        </w:numPr>
        <w:rPr>
          <w:rFonts w:ascii="Arial" w:cs="Arial" w:eastAsia="Arial" w:hAnsi="Arial"/>
          <w:sz w:val="17"/>
          <w:szCs w:val="17"/>
          <w:color w:val="auto"/>
        </w:rPr>
      </w:pPr>
      <w:r>
        <w:rPr>
          <w:rFonts w:ascii="Arial" w:cs="Arial" w:eastAsia="Arial" w:hAnsi="Arial"/>
          <w:sz w:val="17"/>
          <w:szCs w:val="17"/>
          <w:b w:val="1"/>
          <w:bCs w:val="1"/>
          <w:u w:val="single" w:color="auto"/>
          <w:color w:val="auto"/>
        </w:rPr>
        <w:t>Investment Representations</w:t>
      </w:r>
      <w:r>
        <w:rPr>
          <w:rFonts w:ascii="Arial" w:cs="Arial" w:eastAsia="Arial" w:hAnsi="Arial"/>
          <w:sz w:val="17"/>
          <w:szCs w:val="17"/>
          <w:color w:val="auto"/>
        </w:rPr>
        <w:t>. As a condition to the exercise of an Award, the Company may require the person exercising such Award</w:t>
      </w:r>
      <w:r>
        <w:rPr>
          <w:rFonts w:ascii="Arial" w:cs="Arial" w:eastAsia="Arial" w:hAnsi="Arial"/>
          <w:sz w:val="17"/>
          <w:szCs w:val="17"/>
          <w:b w:val="1"/>
          <w:bCs w:val="1"/>
          <w:color w:val="auto"/>
        </w:rPr>
        <w:t xml:space="preserve"> </w:t>
      </w:r>
      <w:r>
        <w:rPr>
          <w:rFonts w:ascii="Arial" w:cs="Arial" w:eastAsia="Arial" w:hAnsi="Arial"/>
          <w:sz w:val="17"/>
          <w:szCs w:val="17"/>
          <w:color w:val="auto"/>
        </w:rPr>
        <w:t>to represent and warrant at the time of any such exercise that the Shares are being purchased only for investment and without any present intention to sell or distribute such Shares if, in the opinion of the Company’s counsel, such a representation is required.</w:t>
      </w:r>
    </w:p>
    <w:p>
      <w:pPr>
        <w:spacing w:after="0" w:line="158" w:lineRule="exact"/>
        <w:rPr>
          <w:rFonts w:ascii="Arial" w:cs="Arial" w:eastAsia="Arial" w:hAnsi="Arial"/>
          <w:sz w:val="17"/>
          <w:szCs w:val="17"/>
          <w:color w:val="auto"/>
        </w:rPr>
      </w:pPr>
    </w:p>
    <w:p>
      <w:pPr>
        <w:ind w:left="-4" w:right="40" w:firstLine="444"/>
        <w:spacing w:after="0" w:line="281" w:lineRule="auto"/>
        <w:tabs>
          <w:tab w:leader="none" w:pos="707" w:val="left"/>
        </w:tabs>
        <w:numPr>
          <w:ilvl w:val="1"/>
          <w:numId w:val="291"/>
        </w:numPr>
        <w:rPr>
          <w:rFonts w:ascii="Arial" w:cs="Arial" w:eastAsia="Arial" w:hAnsi="Arial"/>
          <w:sz w:val="17"/>
          <w:szCs w:val="17"/>
          <w:color w:val="auto"/>
        </w:rPr>
      </w:pPr>
      <w:r>
        <w:rPr>
          <w:rFonts w:ascii="Arial" w:cs="Arial" w:eastAsia="Arial" w:hAnsi="Arial"/>
          <w:sz w:val="17"/>
          <w:szCs w:val="17"/>
          <w:b w:val="1"/>
          <w:bCs w:val="1"/>
          <w:u w:val="single" w:color="auto"/>
          <w:color w:val="auto"/>
        </w:rPr>
        <w:t>Inability to Obtain Authority</w:t>
      </w:r>
      <w:r>
        <w:rPr>
          <w:rFonts w:ascii="Arial" w:cs="Arial" w:eastAsia="Arial" w:hAnsi="Arial"/>
          <w:sz w:val="17"/>
          <w:szCs w:val="17"/>
          <w:color w:val="auto"/>
        </w:rPr>
        <w:t>. The Company’s inability to obtain, after reasonable efforts, authority from any regulatory body having</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which authority is deemed by the Company’s counsel to be necessary for the lawful issuance and sale of any Shares hereunder, will relieve the Company of any liability for failure to issue or sell such Shares as to which such requisite authority has not been obtained. The Company will not be required to register under the Securities Act the Plan, any Award or any Share issued or issuable pursuant to any Award.</w:t>
      </w:r>
    </w:p>
    <w:p>
      <w:pPr>
        <w:spacing w:after="0" w:line="164" w:lineRule="exact"/>
        <w:rPr>
          <w:rFonts w:ascii="Arial" w:cs="Arial" w:eastAsia="Arial" w:hAnsi="Arial"/>
          <w:sz w:val="17"/>
          <w:szCs w:val="17"/>
          <w:color w:val="auto"/>
        </w:rPr>
      </w:pPr>
    </w:p>
    <w:p>
      <w:pPr>
        <w:ind w:left="716" w:hanging="276"/>
        <w:spacing w:after="0"/>
        <w:tabs>
          <w:tab w:leader="none" w:pos="716" w:val="left"/>
        </w:tabs>
        <w:numPr>
          <w:ilvl w:val="1"/>
          <w:numId w:val="291"/>
        </w:numPr>
        <w:rPr>
          <w:rFonts w:ascii="Arial" w:cs="Arial" w:eastAsia="Arial" w:hAnsi="Arial"/>
          <w:sz w:val="17"/>
          <w:szCs w:val="17"/>
          <w:color w:val="auto"/>
        </w:rPr>
      </w:pPr>
      <w:r>
        <w:rPr>
          <w:rFonts w:ascii="Arial" w:cs="Arial" w:eastAsia="Arial" w:hAnsi="Arial"/>
          <w:sz w:val="17"/>
          <w:szCs w:val="17"/>
          <w:b w:val="1"/>
          <w:bCs w:val="1"/>
          <w:u w:val="single" w:color="auto"/>
          <w:color w:val="auto"/>
        </w:rPr>
        <w:t>Stockholder Approval of Plan</w:t>
      </w:r>
      <w:r>
        <w:rPr>
          <w:rFonts w:ascii="Arial" w:cs="Arial" w:eastAsia="Arial" w:hAnsi="Arial"/>
          <w:sz w:val="17"/>
          <w:szCs w:val="17"/>
          <w:color w:val="auto"/>
        </w:rPr>
        <w:t>. The Plan must be approved by a majority of the outstanding securities entitled to vote by the later of</w:t>
      </w:r>
    </w:p>
    <w:p>
      <w:pPr>
        <w:spacing w:after="0" w:line="38" w:lineRule="exact"/>
        <w:rPr>
          <w:rFonts w:ascii="Arial" w:cs="Arial" w:eastAsia="Arial" w:hAnsi="Arial"/>
          <w:sz w:val="17"/>
          <w:szCs w:val="17"/>
          <w:color w:val="auto"/>
        </w:rPr>
      </w:pPr>
    </w:p>
    <w:p>
      <w:pPr>
        <w:ind w:left="-4" w:right="260" w:firstLine="4"/>
        <w:spacing w:after="0" w:line="255" w:lineRule="auto"/>
        <w:tabs>
          <w:tab w:leader="none" w:pos="21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within 12 months before or after the date the Plan is adopted by the Board or (ii) prior to or within 12 months of the granting of any Option or issuance of any Share under the Plan in the State of California. Such stockholder approval will be obtained in the manner, and to the degree, required under Applicable Laws.</w:t>
      </w:r>
    </w:p>
    <w:p>
      <w:pPr>
        <w:spacing w:after="0" w:line="186" w:lineRule="exact"/>
        <w:rPr>
          <w:rFonts w:ascii="Arial" w:cs="Arial" w:eastAsia="Arial" w:hAnsi="Arial"/>
          <w:sz w:val="18"/>
          <w:szCs w:val="18"/>
          <w:color w:val="auto"/>
        </w:rPr>
      </w:pPr>
    </w:p>
    <w:p>
      <w:pPr>
        <w:ind w:left="716" w:hanging="276"/>
        <w:spacing w:after="0"/>
        <w:tabs>
          <w:tab w:leader="none" w:pos="716" w:val="left"/>
        </w:tabs>
        <w:numPr>
          <w:ilvl w:val="1"/>
          <w:numId w:val="292"/>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80" w:firstLine="996"/>
        <w:spacing w:after="0" w:line="256" w:lineRule="auto"/>
        <w:tabs>
          <w:tab w:leader="none" w:pos="1233" w:val="left"/>
        </w:tabs>
        <w:numPr>
          <w:ilvl w:val="2"/>
          <w:numId w:val="292"/>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Stockholder Rights; Voting Rights</w:t>
      </w:r>
      <w:r>
        <w:rPr>
          <w:rFonts w:ascii="Arial" w:cs="Arial" w:eastAsia="Arial" w:hAnsi="Arial"/>
          <w:sz w:val="18"/>
          <w:szCs w:val="18"/>
          <w:color w:val="auto"/>
        </w:rPr>
        <w:t>. Except as otherwise provided in the Plan or the applicable Award Agreement, no Participant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be the holder of, or to have any of the rights of a holder with respect to, any Shares subject to his or her Award unless and until the Shares underlying the Award are actually issued (as evidenced by the appropriate entry on the books of the Company or of a duly authorized transfer agent of the Company) notwithstanding the exercise of the Award. During the Period of Restriction, Participants holding Restricted Stock may exercise full voting rights with respect to such Shares, unless the Administrator, in its sole discretion, determines otherwise. A Participant will have no voting rights with respect to any Restricted Stock Units.</w:t>
      </w:r>
    </w:p>
    <w:p>
      <w:pPr>
        <w:spacing w:after="0" w:line="12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96"/>
          </w:cols>
          <w:pgMar w:left="444" w:top="270" w:right="459" w:bottom="1440" w:gutter="0" w:footer="0" w:header="0"/>
        </w:sectPr>
      </w:pPr>
    </w:p>
    <w:bookmarkStart w:id="420" w:name="page421"/>
    <w:bookmarkEnd w:id="420"/>
    <w:p>
      <w:pPr>
        <w:ind w:left="-100" w:right="140" w:firstLine="996"/>
        <w:spacing w:after="0" w:line="274" w:lineRule="auto"/>
        <w:tabs>
          <w:tab w:leader="none" w:pos="1147" w:val="left"/>
        </w:tabs>
        <w:numPr>
          <w:ilvl w:val="0"/>
          <w:numId w:val="293"/>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Dividends and Other Distributions</w:t>
      </w:r>
      <w:r>
        <w:rPr>
          <w:rFonts w:ascii="Arial" w:cs="Arial" w:eastAsia="Arial" w:hAnsi="Arial"/>
          <w:sz w:val="17"/>
          <w:szCs w:val="17"/>
          <w:color w:val="auto"/>
        </w:rPr>
        <w:t>. Unless and until the Shares underlying an Award are actually issued (as evidenced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entry on the books of the Company or of a duly authorized transfer agent of the Company), no right to receive dividends or other distributions will exist with respect to the Shares underlying such Award, notwithstanding the exercise of the Award. During the Period of Restriction, Participants holding Restricted Stock will be entitled to receive all dividends and other distributions paid with respect to such Shares, unless the Administrator, in its sole discretion, determines otherwise. If any such dividends or distributions are paid in Shares, such Shares will be subject to the same restrictions on transferability and forfeitability as the Restricted Stock with respect to which they were paid.</w:t>
      </w:r>
    </w:p>
    <w:p>
      <w:pPr>
        <w:spacing w:after="0" w:line="65" w:lineRule="exact"/>
        <w:rPr>
          <w:rFonts w:ascii="Arial" w:cs="Arial" w:eastAsia="Arial" w:hAnsi="Arial"/>
          <w:sz w:val="17"/>
          <w:szCs w:val="17"/>
          <w:color w:val="auto"/>
        </w:rPr>
      </w:pPr>
    </w:p>
    <w:p>
      <w:pPr>
        <w:jc w:val="both"/>
        <w:ind w:left="-100" w:right="20" w:firstLine="996"/>
        <w:spacing w:after="0" w:line="289" w:lineRule="auto"/>
        <w:tabs>
          <w:tab w:leader="none" w:pos="1136" w:val="left"/>
        </w:tabs>
        <w:numPr>
          <w:ilvl w:val="0"/>
          <w:numId w:val="293"/>
        </w:numPr>
        <w:rPr>
          <w:rFonts w:ascii="Arial" w:cs="Arial" w:eastAsia="Arial" w:hAnsi="Arial"/>
          <w:sz w:val="17"/>
          <w:szCs w:val="17"/>
          <w:color w:val="auto"/>
        </w:rPr>
      </w:pPr>
      <w:r>
        <w:rPr>
          <w:rFonts w:ascii="Arial" w:cs="Arial" w:eastAsia="Arial" w:hAnsi="Arial"/>
          <w:sz w:val="17"/>
          <w:szCs w:val="17"/>
          <w:b w:val="1"/>
          <w:bCs w:val="1"/>
          <w:u w:val="single" w:color="auto"/>
          <w:color w:val="auto"/>
        </w:rPr>
        <w:t>No Fractional Shares</w:t>
      </w:r>
      <w:r>
        <w:rPr>
          <w:rFonts w:ascii="Arial" w:cs="Arial" w:eastAsia="Arial" w:hAnsi="Arial"/>
          <w:sz w:val="17"/>
          <w:szCs w:val="17"/>
          <w:color w:val="auto"/>
        </w:rPr>
        <w:t>. No fractional Shares will be issued or delivered pursuant to the Plan. Except as otherwise provided in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or applicable Award Agreement, the Administrator will determine whether cash, additional Awards or other securities or property will be issued or paid in lieu of fractional Shares or whether any fractional Shares should be rounded, forfeited or otherwise eliminated.</w:t>
      </w:r>
    </w:p>
    <w:p>
      <w:pPr>
        <w:spacing w:after="0" w:line="50" w:lineRule="exact"/>
        <w:rPr>
          <w:rFonts w:ascii="Arial" w:cs="Arial" w:eastAsia="Arial" w:hAnsi="Arial"/>
          <w:sz w:val="17"/>
          <w:szCs w:val="17"/>
          <w:color w:val="auto"/>
        </w:rPr>
      </w:pPr>
    </w:p>
    <w:p>
      <w:pPr>
        <w:ind w:left="-100" w:right="40" w:firstLine="996"/>
        <w:spacing w:after="0" w:line="266" w:lineRule="auto"/>
        <w:tabs>
          <w:tab w:leader="none" w:pos="1147" w:val="left"/>
        </w:tabs>
        <w:numPr>
          <w:ilvl w:val="0"/>
          <w:numId w:val="293"/>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the Plan is held to be invalid, illegal or unenforceable, in whole or in part, such provision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modified to the extent, but only to the extent, of such invalidity, illegality or unenforceability, and the remaining provisions will not be affected thereby.</w:t>
      </w:r>
    </w:p>
    <w:p>
      <w:pPr>
        <w:spacing w:after="0" w:line="68" w:lineRule="exact"/>
        <w:rPr>
          <w:rFonts w:ascii="Arial" w:cs="Arial" w:eastAsia="Arial" w:hAnsi="Arial"/>
          <w:sz w:val="18"/>
          <w:szCs w:val="18"/>
          <w:color w:val="auto"/>
        </w:rPr>
      </w:pPr>
    </w:p>
    <w:p>
      <w:pPr>
        <w:ind w:left="-100" w:firstLine="996"/>
        <w:spacing w:after="0" w:line="282" w:lineRule="auto"/>
        <w:tabs>
          <w:tab w:leader="none" w:pos="1136" w:val="left"/>
        </w:tabs>
        <w:numPr>
          <w:ilvl w:val="0"/>
          <w:numId w:val="293"/>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contained herein are for purposes of convenience only and are not intended to define or limit the 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provisions hereof.</w:t>
      </w:r>
    </w:p>
    <w:p>
      <w:pPr>
        <w:spacing w:after="0" w:line="53" w:lineRule="exact"/>
        <w:rPr>
          <w:rFonts w:ascii="Arial" w:cs="Arial" w:eastAsia="Arial" w:hAnsi="Arial"/>
          <w:sz w:val="18"/>
          <w:szCs w:val="18"/>
          <w:color w:val="auto"/>
        </w:rPr>
      </w:pPr>
    </w:p>
    <w:p>
      <w:pPr>
        <w:ind w:left="-100" w:right="100" w:firstLine="996"/>
        <w:spacing w:after="0" w:line="261" w:lineRule="auto"/>
        <w:tabs>
          <w:tab w:leader="none" w:pos="1117" w:val="left"/>
        </w:tabs>
        <w:numPr>
          <w:ilvl w:val="0"/>
          <w:numId w:val="293"/>
        </w:numPr>
        <w:rPr>
          <w:rFonts w:ascii="Arial" w:cs="Arial" w:eastAsia="Arial" w:hAnsi="Arial"/>
          <w:sz w:val="18"/>
          <w:szCs w:val="18"/>
          <w:color w:val="auto"/>
        </w:rPr>
      </w:pPr>
      <w:r>
        <w:rPr>
          <w:rFonts w:ascii="Arial" w:cs="Arial" w:eastAsia="Arial" w:hAnsi="Arial"/>
          <w:sz w:val="18"/>
          <w:szCs w:val="18"/>
          <w:b w:val="1"/>
          <w:bCs w:val="1"/>
          <w:u w:val="single" w:color="auto"/>
          <w:color w:val="auto"/>
        </w:rPr>
        <w:t>Non-Uniform Treatment</w:t>
      </w:r>
      <w:r>
        <w:rPr>
          <w:rFonts w:ascii="Arial" w:cs="Arial" w:eastAsia="Arial" w:hAnsi="Arial"/>
          <w:sz w:val="18"/>
          <w:szCs w:val="18"/>
          <w:color w:val="auto"/>
        </w:rPr>
        <w:t>. The Administrator’s determinations under the Plan need not be uniform and may be made by it selectively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among persons who are eligible to receive, or actually receive, Awards. Without limiting the generality of the foregoing, the Administrator will be entitled to make non-uniform and selective determinations, amendments and adjustments and to enter into non-uniform and selective Award Agreements.</w:t>
      </w:r>
    </w:p>
    <w:p>
      <w:pPr>
        <w:spacing w:after="0" w:line="71" w:lineRule="exact"/>
        <w:rPr>
          <w:rFonts w:ascii="Arial" w:cs="Arial" w:eastAsia="Arial" w:hAnsi="Arial"/>
          <w:sz w:val="18"/>
          <w:szCs w:val="18"/>
          <w:color w:val="auto"/>
        </w:rPr>
      </w:pPr>
    </w:p>
    <w:p>
      <w:pPr>
        <w:ind w:left="-100" w:right="80" w:firstLine="996"/>
        <w:spacing w:after="0" w:line="282" w:lineRule="auto"/>
        <w:tabs>
          <w:tab w:leader="none" w:pos="1147" w:val="left"/>
        </w:tabs>
        <w:numPr>
          <w:ilvl w:val="0"/>
          <w:numId w:val="293"/>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laws of the State of California will govern all questions concerning the construction, validity and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without regard to such state’s conflict of law rules.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40"/>
          </w:cols>
          <w:pgMar w:left="540" w:top="269" w:right="519" w:bottom="1440" w:gutter="0" w:footer="0" w:header="0"/>
        </w:sectPr>
      </w:pPr>
    </w:p>
    <w:bookmarkStart w:id="421" w:name="page422"/>
    <w:bookmarkEnd w:id="421"/>
    <w:p>
      <w:pPr>
        <w:jc w:val="right"/>
        <w:spacing w:after="0"/>
        <w:rPr>
          <w:sz w:val="20"/>
          <w:szCs w:val="20"/>
          <w:color w:val="auto"/>
        </w:rPr>
      </w:pPr>
      <w:r>
        <w:rPr>
          <w:rFonts w:ascii="Arial" w:cs="Arial" w:eastAsia="Arial" w:hAnsi="Arial"/>
          <w:sz w:val="18"/>
          <w:szCs w:val="18"/>
          <w:b w:val="1"/>
          <w:bCs w:val="1"/>
          <w:color w:val="auto"/>
        </w:rPr>
        <w:t>Exhibit 10.1(b)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4D MOLECULAR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29"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This Stock Option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 «Date_of_Grant» by and between 4D Molecular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«Participant»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Unless otherwise defined herein, capitalized terms used herein shall have the same defined meanings as set forth in the 4D Molecular Therapeutics, Inc. 2015 Equity Incentive Plan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331" w:lineRule="exact"/>
        <w:rPr>
          <w:sz w:val="20"/>
          <w:szCs w:val="20"/>
          <w:color w:val="auto"/>
        </w:rPr>
      </w:pPr>
    </w:p>
    <w:p>
      <w:pPr>
        <w:ind w:left="440" w:hanging="436"/>
        <w:spacing w:after="0"/>
        <w:tabs>
          <w:tab w:leader="none" w:pos="44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STOCK OPTION GRANT</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6"/>
          <w:szCs w:val="16"/>
          <w:color w:val="auto"/>
        </w:rPr>
        <w:t>Participant has been granted an option to purchase Common Stock, subject to the terms and conditions of the Plan and this Agreement, as follows:</w:t>
      </w:r>
    </w:p>
    <w:p>
      <w:pPr>
        <w:sectPr>
          <w:pgSz w:w="11900" w:h="16838" w:orient="portrait"/>
          <w:cols w:equalWidth="0" w:num="1">
            <w:col w:w="11020"/>
          </w:cols>
          <w:pgMar w:left="440" w:top="121" w:right="439" w:bottom="1440" w:gutter="0" w:footer="0" w:header="0"/>
        </w:sectPr>
      </w:pPr>
    </w:p>
    <w:p>
      <w:pPr>
        <w:spacing w:after="0" w:line="27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Participant</w:t>
      </w:r>
      <w:r>
        <w:rPr>
          <w:rFonts w:ascii="Arial" w:cs="Arial" w:eastAsia="Arial" w:hAnsi="Arial"/>
          <w:sz w:val="16"/>
          <w:szCs w:val="16"/>
          <w:color w:val="auto"/>
        </w:rPr>
        <w:t>:</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Address: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«Participant»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w:t>
      </w:r>
    </w:p>
    <w:p>
      <w:pPr>
        <w:spacing w:after="0" w:line="116" w:lineRule="exact"/>
        <w:rPr>
          <w:sz w:val="20"/>
          <w:szCs w:val="20"/>
          <w:color w:val="auto"/>
        </w:rPr>
      </w:pPr>
    </w:p>
    <w:p>
      <w:pPr>
        <w:sectPr>
          <w:pgSz w:w="11900" w:h="16838" w:orient="portrait"/>
          <w:cols w:equalWidth="0" w:num="2">
            <w:col w:w="2600" w:space="720"/>
            <w:col w:w="7700"/>
          </w:cols>
          <w:pgMar w:left="440" w:top="121" w:right="43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Grant Number:</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Grant Date: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Vesting Commencement Date: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Exercise Price per Share: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Number of Shares Subject to Option:</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Exercise Price: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Type of Option: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Term/Expiration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«Grant_Number»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«Date_of_Grant»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«Vesting_Commencement_Date»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$«Exercise_Price_per_Share»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«Total_Shares»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$«Total_Exercise_Price»</w:t>
      </w:r>
    </w:p>
    <w:p>
      <w:pPr>
        <w:spacing w:after="0" w:line="9"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ISO </w:t>
      </w:r>
      <w:r>
        <w:rPr>
          <w:rFonts w:ascii="MS PGothic" w:cs="MS PGothic" w:eastAsia="MS PGothic" w:hAnsi="MS PGothic"/>
          <w:sz w:val="18"/>
          <w:szCs w:val="18"/>
          <w:color w:val="auto"/>
        </w:rPr>
        <w:t>☐</w:t>
      </w:r>
      <w:r>
        <w:rPr>
          <w:rFonts w:ascii="Arial" w:cs="Arial" w:eastAsia="Arial" w:hAnsi="Arial"/>
          <w:sz w:val="18"/>
          <w:szCs w:val="18"/>
          <w:color w:val="auto"/>
        </w:rPr>
        <w:t xml:space="preserve"> NSO</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«Expiration_Date», or earlier as provided in the Plan or this Agreement</w:t>
      </w:r>
    </w:p>
    <w:p>
      <w:pPr>
        <w:spacing w:after="0" w:line="221" w:lineRule="exact"/>
        <w:rPr>
          <w:sz w:val="20"/>
          <w:szCs w:val="20"/>
          <w:color w:val="auto"/>
        </w:rPr>
      </w:pPr>
    </w:p>
    <w:p>
      <w:pPr>
        <w:sectPr>
          <w:pgSz w:w="11900" w:h="16838" w:orient="portrait"/>
          <w:cols w:equalWidth="0" w:num="2">
            <w:col w:w="3120" w:space="200"/>
            <w:col w:w="7700"/>
          </w:cols>
          <w:pgMar w:left="440" w:top="121" w:right="439" w:bottom="1440" w:gutter="0" w:footer="0" w:header="0"/>
          <w:type w:val="continuous"/>
        </w:sectPr>
      </w:pP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Vesting Schedule</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Option shall become vested and exercisable, in whole or in part, according to the following vesting schedule:</w:t>
      </w:r>
    </w:p>
    <w:p>
      <w:pPr>
        <w:spacing w:after="0" w:line="22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25% of the Shares subject to this Option on the Grant Date shall vest on the one-year anniversary of the Vesting Commencement Date, and 1/48</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this Option on the Grant Date shall vest each month thereafter on the same day of the month as the Vesting Commencement Date (or if there is no corresponding day, on the last day of such month), subject to Participant continuing to be a Service Provider through each such date.</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Termination Period</w:t>
      </w:r>
      <w:r>
        <w:rPr>
          <w:rFonts w:ascii="Arial" w:cs="Arial" w:eastAsia="Arial" w:hAnsi="Arial"/>
          <w:sz w:val="18"/>
          <w:szCs w:val="18"/>
          <w:b w:val="1"/>
          <w:bCs w:val="1"/>
          <w:color w:val="auto"/>
        </w:rPr>
        <w:t>:</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This Option shall be exercisable for three months after Participant ceases to be a Service Provider, unless such termination is due to Participant’s death or Disability, in which case this Option shall be exercisable for 12 months after Participant ceases to be a Service Provider. Notwithstanding the foregoing sentence, in no event may this Option be exercised after the Term/Expiration Date as provided above, and this Option may be subject to earlier termination as provided in the Plan.</w:t>
      </w:r>
    </w:p>
    <w:p>
      <w:pPr>
        <w:sectPr>
          <w:pgSz w:w="11900" w:h="16838" w:orient="portrait"/>
          <w:cols w:equalWidth="0" w:num="1">
            <w:col w:w="11020"/>
          </w:cols>
          <w:pgMar w:left="440" w:top="121" w:right="439" w:bottom="1440" w:gutter="0" w:footer="0" w:header="0"/>
          <w:type w:val="continuous"/>
        </w:sectPr>
      </w:pPr>
    </w:p>
    <w:bookmarkStart w:id="422" w:name="page423"/>
    <w:bookmarkEnd w:id="422"/>
    <w:p>
      <w:pPr>
        <w:ind w:left="440" w:hanging="436"/>
        <w:spacing w:after="0"/>
        <w:tabs>
          <w:tab w:leader="none" w:pos="44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w:t>
      </w:r>
    </w:p>
    <w:p>
      <w:pPr>
        <w:spacing w:after="0" w:line="117" w:lineRule="exact"/>
        <w:rPr>
          <w:rFonts w:ascii="Arial" w:cs="Arial" w:eastAsia="Arial" w:hAnsi="Arial"/>
          <w:sz w:val="18"/>
          <w:szCs w:val="18"/>
          <w:b w:val="1"/>
          <w:bCs w:val="1"/>
          <w:color w:val="auto"/>
        </w:rPr>
      </w:pPr>
    </w:p>
    <w:p>
      <w:pPr>
        <w:ind w:right="20" w:firstLine="444"/>
        <w:spacing w:after="0" w:line="261" w:lineRule="auto"/>
        <w:tabs>
          <w:tab w:leader="none" w:pos="621" w:val="left"/>
        </w:tabs>
        <w:numPr>
          <w:ilvl w:val="1"/>
          <w:numId w:val="295"/>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Option</w:t>
      </w:r>
      <w:r>
        <w:rPr>
          <w:rFonts w:ascii="Arial" w:cs="Arial" w:eastAsia="Arial" w:hAnsi="Arial"/>
          <w:sz w:val="18"/>
          <w:szCs w:val="18"/>
          <w:color w:val="auto"/>
        </w:rPr>
        <w:t>. In consideration of the services to be rendered by Participant to the Company or any Affiliate and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the Plan and this Agreement, the Administrator hereby grants to Participant an option (this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to purchase the number of Shares set forth in the Notice of Stock Option Grant in Part I of this Agreement, at the Exercise Price per Share set forth in the Notice of Stock Option Grant in Part I of this Agreement (the “</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w:t>
      </w:r>
    </w:p>
    <w:p>
      <w:pPr>
        <w:spacing w:after="0" w:line="184"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 xml:space="preserve">If designated as an ISO in the Notice of Stock Option Grant in Part I of this Agreement, this Option is intended to qualify as an Incentive Stock Option;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aggregate Fair Market Value (determined at the time of grant) of the Shares with respect to which Incentive Stock Options are exercisable for the first time by Participant during any calendar year (under all plans of the Company and any Affiliate) exceeds $100,000, such Options or portions thereof that exceed such limit (according to the order in which they were granted) shall be treated as Nonstatutory Stock Options. Further, if for any reason this Option (or portion thereof) shall not qualify as an Incentive Stock Option, then, to the extent of such nonqualification, this Option (or portion thereof) shall be regarded as a Nonstatutory Stock Option. In no event shall the Administrator, the Company or any Affiliate, or any of their respective employees or directors, have any liability to Participant (or any other Person) due to the failure of this Option (or portion thereof) to qualify for any reason as an Incentive Stock Option.</w:t>
      </w:r>
    </w:p>
    <w:p>
      <w:pPr>
        <w:spacing w:after="0" w:line="175" w:lineRule="exact"/>
        <w:rPr>
          <w:sz w:val="20"/>
          <w:szCs w:val="20"/>
          <w:color w:val="auto"/>
        </w:rPr>
      </w:pPr>
    </w:p>
    <w:p>
      <w:pPr>
        <w:ind w:left="620" w:hanging="176"/>
        <w:spacing w:after="0"/>
        <w:tabs>
          <w:tab w:leader="none" w:pos="620" w:val="left"/>
        </w:tabs>
        <w:numPr>
          <w:ilvl w:val="0"/>
          <w:numId w:val="296"/>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20" w:firstLine="996"/>
        <w:spacing w:after="0" w:line="266" w:lineRule="auto"/>
        <w:tabs>
          <w:tab w:leader="none" w:pos="1236" w:val="left"/>
        </w:tabs>
        <w:numPr>
          <w:ilvl w:val="1"/>
          <w:numId w:val="296"/>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to Exercise</w:t>
      </w:r>
      <w:r>
        <w:rPr>
          <w:rFonts w:ascii="Arial" w:cs="Arial" w:eastAsia="Arial" w:hAnsi="Arial"/>
          <w:sz w:val="18"/>
          <w:szCs w:val="18"/>
          <w:color w:val="auto"/>
        </w:rPr>
        <w:t>. This Option shall be exercisable during its term in accordance with (i) the Vesting Schedule set out in the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Grant in Part I of this Agreement and (ii) the applicable provisions of the Plan and this Agreement. This Option may not be exercised for a fraction of a Share.</w:t>
      </w:r>
    </w:p>
    <w:p>
      <w:pPr>
        <w:spacing w:after="0" w:line="68" w:lineRule="exact"/>
        <w:rPr>
          <w:rFonts w:ascii="Arial" w:cs="Arial" w:eastAsia="Arial" w:hAnsi="Arial"/>
          <w:sz w:val="18"/>
          <w:szCs w:val="18"/>
          <w:color w:val="auto"/>
        </w:rPr>
      </w:pPr>
    </w:p>
    <w:p>
      <w:pPr>
        <w:ind w:firstLine="996"/>
        <w:spacing w:after="0" w:line="272" w:lineRule="auto"/>
        <w:tabs>
          <w:tab w:leader="none" w:pos="1247" w:val="left"/>
        </w:tabs>
        <w:numPr>
          <w:ilvl w:val="1"/>
          <w:numId w:val="296"/>
        </w:numPr>
        <w:rPr>
          <w:rFonts w:ascii="Arial" w:cs="Arial" w:eastAsia="Arial" w:hAnsi="Arial"/>
          <w:sz w:val="17"/>
          <w:szCs w:val="17"/>
          <w:color w:val="auto"/>
        </w:rPr>
      </w:pPr>
      <w:r>
        <w:rPr>
          <w:rFonts w:ascii="Arial" w:cs="Arial" w:eastAsia="Arial" w:hAnsi="Arial"/>
          <w:sz w:val="17"/>
          <w:szCs w:val="17"/>
          <w:b w:val="1"/>
          <w:bCs w:val="1"/>
          <w:u w:val="single" w:color="auto"/>
          <w:color w:val="auto"/>
        </w:rPr>
        <w:t>Method of Exercise</w:t>
      </w:r>
      <w:r>
        <w:rPr>
          <w:rFonts w:ascii="Arial" w:cs="Arial" w:eastAsia="Arial" w:hAnsi="Arial"/>
          <w:sz w:val="17"/>
          <w:szCs w:val="17"/>
          <w:color w:val="auto"/>
        </w:rPr>
        <w:t>. This Option shall be exercisable by delivery of an option exercise notice in the form attached hereto as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Exhibit B</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i w:val="1"/>
          <w:iCs w:val="1"/>
          <w:color w:val="auto"/>
        </w:rPr>
        <w:t>Option Exercise Notice</w:t>
      </w:r>
      <w:r>
        <w:rPr>
          <w:rFonts w:ascii="Arial" w:cs="Arial" w:eastAsia="Arial" w:hAnsi="Arial"/>
          <w:sz w:val="17"/>
          <w:szCs w:val="17"/>
          <w:color w:val="auto"/>
        </w:rPr>
        <w:t>”) or in a manner and pursuant to such procedures as the Administrator may determine, which shall state the election to exercise this Option, the whole number of Shares with respect to which this Option is being exercised, and such other representations and agreements as may be required by the Company. If someone other than Participant exercises this Option, as permitted by the Plan, then such Person must submit documentation reasonably acceptable to the Company verifying that such Person has the legal right to exercise this Option. The Option Exercise Notice shall be accompanied by payment of the aggregate Exercise Price as to all exercised Shares, together with any applicable tax withholding. This Option shall be deemed to be exercised upon receipt by the Company of such fully executed Option Exercise Notice accompanied by the aggregate Exercise Price, together with any applicable tax withholding.</w:t>
      </w:r>
    </w:p>
    <w:p>
      <w:pPr>
        <w:spacing w:after="0" w:line="172" w:lineRule="exact"/>
        <w:rPr>
          <w:rFonts w:ascii="Arial" w:cs="Arial" w:eastAsia="Arial" w:hAnsi="Arial"/>
          <w:sz w:val="17"/>
          <w:szCs w:val="17"/>
          <w:color w:val="auto"/>
        </w:rPr>
      </w:pPr>
    </w:p>
    <w:p>
      <w:pPr>
        <w:ind w:right="280" w:firstLine="444"/>
        <w:spacing w:after="0" w:line="266" w:lineRule="auto"/>
        <w:tabs>
          <w:tab w:leader="none" w:pos="621" w:val="left"/>
        </w:tabs>
        <w:numPr>
          <w:ilvl w:val="0"/>
          <w:numId w:val="296"/>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Participant’s Representations</w:t>
      </w:r>
      <w:r>
        <w:rPr>
          <w:rFonts w:ascii="Arial" w:cs="Arial" w:eastAsia="Arial" w:hAnsi="Arial"/>
          <w:sz w:val="18"/>
          <w:szCs w:val="18"/>
          <w:color w:val="auto"/>
        </w:rPr>
        <w:t>. If the Common Stock has not been registered under the Securities Act at the time this Option is exercised,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Participant shall concurrently with the exercise of all or any portion of this Option, if required by the Company, deliver to the Company Participant’s Investment Representation Statement in the form attached hereto as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69" w:right="459" w:bottom="1440" w:gutter="0" w:footer="0" w:header="0"/>
        </w:sectPr>
      </w:pPr>
    </w:p>
    <w:bookmarkStart w:id="423" w:name="page424"/>
    <w:bookmarkEnd w:id="423"/>
    <w:p>
      <w:pPr>
        <w:ind w:left="-4" w:right="40" w:firstLine="444"/>
        <w:spacing w:after="0" w:line="285" w:lineRule="auto"/>
        <w:tabs>
          <w:tab w:leader="none" w:pos="617" w:val="left"/>
        </w:tabs>
        <w:numPr>
          <w:ilvl w:val="1"/>
          <w:numId w:val="297"/>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Lock-Up Period</w:t>
      </w:r>
      <w:r>
        <w:rPr>
          <w:rFonts w:ascii="Arial" w:cs="Arial" w:eastAsia="Arial" w:hAnsi="Arial"/>
          <w:sz w:val="16"/>
          <w:szCs w:val="16"/>
          <w:color w:val="auto"/>
        </w:rPr>
        <w:t>. Participant will not, during the period commencing on the date of the final prospectus relating to the registration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for its own behalf of shares of its Common Stock or any other equity securities under the Securities Act on a Form S-1 (excluding a registration relating solely to employee benefit plans on Form S-1) or Form S-3 and ending on the date specified by the Company and the underwriter(s) (such period not to exceed 180 days in the case of the Company’s IPO or 90 days in the case of any registration other than the Company’s IPO, or such other period as may be requested by the Company or the underwriters to accommodate regulatory restrictions on (i) the publication or other distribution of research reports and (ii) analyst recommendations and opinions, including the restrictions contained in NASD Rule 2711(f)(4) or NYSE Rule 472(f)</w:t>
      </w:r>
    </w:p>
    <w:p>
      <w:pPr>
        <w:spacing w:after="0" w:line="3" w:lineRule="exact"/>
        <w:rPr>
          <w:rFonts w:ascii="Arial" w:cs="Arial" w:eastAsia="Arial" w:hAnsi="Arial"/>
          <w:sz w:val="16"/>
          <w:szCs w:val="16"/>
          <w:color w:val="auto"/>
        </w:rPr>
      </w:pPr>
    </w:p>
    <w:p>
      <w:pPr>
        <w:ind w:left="-4" w:firstLine="4"/>
        <w:spacing w:after="0" w:line="285" w:lineRule="auto"/>
        <w:tabs>
          <w:tab w:leader="none" w:pos="251" w:val="left"/>
        </w:tabs>
        <w:numPr>
          <w:ilvl w:val="0"/>
          <w:numId w:val="298"/>
        </w:numPr>
        <w:rPr>
          <w:rFonts w:ascii="Arial" w:cs="Arial" w:eastAsia="Arial" w:hAnsi="Arial"/>
          <w:sz w:val="16"/>
          <w:szCs w:val="16"/>
          <w:color w:val="auto"/>
        </w:rPr>
      </w:pPr>
      <w:r>
        <w:rPr>
          <w:rFonts w:ascii="Arial" w:cs="Arial" w:eastAsia="Arial" w:hAnsi="Arial"/>
          <w:sz w:val="16"/>
          <w:szCs w:val="16"/>
          <w:color w:val="auto"/>
        </w:rPr>
        <w:t>(or any successor provisions or amendments thereto), as applicable), (A) sell, dispose of, make any short sale of, offer, hypothecate, pledge, contract to sell, grant any option or contract to purchase, purchase any option or contract to sell, grant any right or warrant to purchase, lend or otherwise transfer or encumber, directly or indirectly, any Shares or other securities convertible into or exercisable or exchangeable (directly or indirectly) for shares of Common Stock (whether such Shares or other securities are then held by Participant or thereafter acquired) (such Shares and other securities, the “</w:t>
      </w:r>
      <w:r>
        <w:rPr>
          <w:rFonts w:ascii="Arial" w:cs="Arial" w:eastAsia="Arial" w:hAnsi="Arial"/>
          <w:sz w:val="16"/>
          <w:szCs w:val="16"/>
          <w:b w:val="1"/>
          <w:bCs w:val="1"/>
          <w:i w:val="1"/>
          <w:iCs w:val="1"/>
          <w:color w:val="auto"/>
        </w:rPr>
        <w:t>Lock-Up Shares</w:t>
      </w:r>
      <w:r>
        <w:rPr>
          <w:rFonts w:ascii="Arial" w:cs="Arial" w:eastAsia="Arial" w:hAnsi="Arial"/>
          <w:sz w:val="16"/>
          <w:szCs w:val="16"/>
          <w:color w:val="auto"/>
        </w:rPr>
        <w:t>”) or (B) enter into any swap, hedging or other arrangement that transfers to another, in whole or in part, any of the economic consequences of ownership of any Lock-Up Shares. The foregoing provisions of this Section II.4 shall not prevent the exercise of any repurchase option in favor of the Company or apply to the sale of any Lock-Up Shares to an underwriter pursuant to an underwriting agreement or to the Transfer (as defined in Section II.7) of any Lock-Up Shares by Participant to any trust for the direct or indirect benefit of Participant or an Immediate Family Member (as defined in the Option Exercise Notice) of Participant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trustee of the trust agrees, in writing, to be bound by the restrictions set forth herein and </w:t>
      </w:r>
      <w:r>
        <w:rPr>
          <w:rFonts w:ascii="Arial" w:cs="Arial" w:eastAsia="Arial" w:hAnsi="Arial"/>
          <w:sz w:val="16"/>
          <w:szCs w:val="16"/>
          <w:u w:val="single" w:color="auto"/>
          <w:color w:val="auto"/>
        </w:rPr>
        <w:t>provided further that</w:t>
      </w:r>
      <w:r>
        <w:rPr>
          <w:rFonts w:ascii="Arial" w:cs="Arial" w:eastAsia="Arial" w:hAnsi="Arial"/>
          <w:sz w:val="16"/>
          <w:szCs w:val="16"/>
          <w:color w:val="auto"/>
        </w:rPr>
        <w:t xml:space="preserve"> any such Transfer (as defined in Section II.7) does not involve a disposition for value). Participant shall execute such documents as may be reasonably requested by the Company or the underwriters in connection with any registered offering described in this Section II.4 and that are consistent with this Section II.4 or necessary to give further effect thereto.</w:t>
      </w:r>
    </w:p>
    <w:p>
      <w:pPr>
        <w:spacing w:after="0" w:line="168" w:lineRule="exact"/>
        <w:rPr>
          <w:rFonts w:ascii="Arial" w:cs="Arial" w:eastAsia="Arial" w:hAnsi="Arial"/>
          <w:sz w:val="16"/>
          <w:szCs w:val="16"/>
          <w:color w:val="auto"/>
        </w:rPr>
      </w:pPr>
    </w:p>
    <w:p>
      <w:pPr>
        <w:ind w:left="-4" w:right="180" w:firstLine="444"/>
        <w:spacing w:after="0" w:line="282" w:lineRule="auto"/>
        <w:tabs>
          <w:tab w:leader="none" w:pos="617" w:val="left"/>
        </w:tabs>
        <w:numPr>
          <w:ilvl w:val="1"/>
          <w:numId w:val="298"/>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Payment</w:t>
      </w:r>
      <w:r>
        <w:rPr>
          <w:rFonts w:ascii="Arial" w:cs="Arial" w:eastAsia="Arial" w:hAnsi="Arial"/>
          <w:sz w:val="18"/>
          <w:szCs w:val="18"/>
          <w:color w:val="auto"/>
        </w:rPr>
        <w:t>. To the extent permitted by Applicable Laws, payment of the aggregate Exercise Price as to all exercised Shares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by any of the following methods, or a combination thereof, at Participant’s election:</w:t>
      </w:r>
    </w:p>
    <w:p>
      <w:pPr>
        <w:spacing w:after="0" w:line="57" w:lineRule="exact"/>
        <w:rPr>
          <w:rFonts w:ascii="Arial" w:cs="Arial" w:eastAsia="Arial" w:hAnsi="Arial"/>
          <w:sz w:val="18"/>
          <w:szCs w:val="18"/>
          <w:color w:val="auto"/>
        </w:rPr>
      </w:pPr>
    </w:p>
    <w:p>
      <w:pPr>
        <w:ind w:left="1236" w:hanging="244"/>
        <w:spacing w:after="0"/>
        <w:tabs>
          <w:tab w:leader="none" w:pos="1236" w:val="left"/>
        </w:tabs>
        <w:numPr>
          <w:ilvl w:val="2"/>
          <w:numId w:val="298"/>
        </w:numPr>
        <w:rPr>
          <w:rFonts w:ascii="Arial" w:cs="Arial" w:eastAsia="Arial" w:hAnsi="Arial"/>
          <w:sz w:val="18"/>
          <w:szCs w:val="18"/>
          <w:color w:val="auto"/>
        </w:rPr>
      </w:pPr>
      <w:r>
        <w:rPr>
          <w:rFonts w:ascii="Arial" w:cs="Arial" w:eastAsia="Arial" w:hAnsi="Arial"/>
          <w:sz w:val="18"/>
          <w:szCs w:val="18"/>
          <w:color w:val="auto"/>
        </w:rPr>
        <w:t>cash;</w:t>
      </w:r>
    </w:p>
    <w:p>
      <w:pPr>
        <w:spacing w:after="0" w:line="117" w:lineRule="exact"/>
        <w:rPr>
          <w:rFonts w:ascii="Arial" w:cs="Arial" w:eastAsia="Arial" w:hAnsi="Arial"/>
          <w:sz w:val="18"/>
          <w:szCs w:val="18"/>
          <w:color w:val="auto"/>
        </w:rPr>
      </w:pPr>
    </w:p>
    <w:p>
      <w:pPr>
        <w:ind w:left="1256" w:hanging="264"/>
        <w:spacing w:after="0"/>
        <w:tabs>
          <w:tab w:leader="none" w:pos="1256" w:val="left"/>
        </w:tabs>
        <w:numPr>
          <w:ilvl w:val="2"/>
          <w:numId w:val="298"/>
        </w:numPr>
        <w:rPr>
          <w:rFonts w:ascii="Arial" w:cs="Arial" w:eastAsia="Arial" w:hAnsi="Arial"/>
          <w:sz w:val="18"/>
          <w:szCs w:val="18"/>
          <w:color w:val="auto"/>
        </w:rPr>
      </w:pPr>
      <w:r>
        <w:rPr>
          <w:rFonts w:ascii="Arial" w:cs="Arial" w:eastAsia="Arial" w:hAnsi="Arial"/>
          <w:sz w:val="18"/>
          <w:szCs w:val="18"/>
          <w:color w:val="auto"/>
        </w:rPr>
        <w:t>check;</w:t>
      </w:r>
    </w:p>
    <w:p>
      <w:pPr>
        <w:spacing w:after="0" w:line="117" w:lineRule="exact"/>
        <w:rPr>
          <w:rFonts w:ascii="Arial" w:cs="Arial" w:eastAsia="Arial" w:hAnsi="Arial"/>
          <w:sz w:val="18"/>
          <w:szCs w:val="18"/>
          <w:color w:val="auto"/>
        </w:rPr>
      </w:pPr>
    </w:p>
    <w:p>
      <w:pPr>
        <w:ind w:left="-4" w:right="220" w:firstLine="996"/>
        <w:spacing w:after="0" w:line="264" w:lineRule="auto"/>
        <w:tabs>
          <w:tab w:leader="none" w:pos="1233" w:val="left"/>
        </w:tabs>
        <w:numPr>
          <w:ilvl w:val="2"/>
          <w:numId w:val="298"/>
        </w:numPr>
        <w:rPr>
          <w:rFonts w:ascii="Arial" w:cs="Arial" w:eastAsia="Arial" w:hAnsi="Arial"/>
          <w:sz w:val="18"/>
          <w:szCs w:val="18"/>
          <w:color w:val="auto"/>
        </w:rPr>
      </w:pPr>
      <w:r>
        <w:rPr>
          <w:rFonts w:ascii="Arial" w:cs="Arial" w:eastAsia="Arial" w:hAnsi="Arial"/>
          <w:sz w:val="18"/>
          <w:szCs w:val="18"/>
          <w:color w:val="auto"/>
        </w:rPr>
        <w:t>surrender of other Shares which (i) shall be valued at their Fair Market Value on the date of exercise and (ii) must be owned by Participant free and clear of any liens, claims, encumbrances or security interests, if accepting such Shares, in the Administrator’s sole discretion, will not result in any adverse accounting consequences to the Company; or</w:t>
      </w:r>
    </w:p>
    <w:p>
      <w:pPr>
        <w:spacing w:after="0" w:line="11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16"/>
          </w:cols>
          <w:pgMar w:left="444" w:top="270" w:right="439" w:bottom="1440" w:gutter="0" w:footer="0" w:header="0"/>
        </w:sectPr>
      </w:pPr>
    </w:p>
    <w:bookmarkStart w:id="424" w:name="page425"/>
    <w:bookmarkEnd w:id="424"/>
    <w:p>
      <w:pPr>
        <w:ind w:firstLine="996"/>
        <w:spacing w:after="0" w:line="277" w:lineRule="auto"/>
        <w:tabs>
          <w:tab w:leader="none" w:pos="1247" w:val="left"/>
        </w:tabs>
        <w:numPr>
          <w:ilvl w:val="0"/>
          <w:numId w:val="2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consideration received by the Company under a cashless exercise program (whether through a broker or otherwise) implemented by the Company in connection with the Plan.</w:t>
      </w:r>
    </w:p>
    <w:p>
      <w:pPr>
        <w:spacing w:after="0" w:line="170" w:lineRule="exact"/>
        <w:rPr>
          <w:sz w:val="20"/>
          <w:szCs w:val="20"/>
          <w:color w:val="auto"/>
        </w:rPr>
      </w:pPr>
    </w:p>
    <w:p>
      <w:pPr>
        <w:ind w:right="40" w:firstLine="992"/>
        <w:spacing w:after="0" w:line="277" w:lineRule="auto"/>
        <w:rPr>
          <w:sz w:val="20"/>
          <w:szCs w:val="20"/>
          <w:color w:val="auto"/>
        </w:rPr>
      </w:pPr>
      <w:r>
        <w:rPr>
          <w:rFonts w:ascii="Arial" w:cs="Arial" w:eastAsia="Arial" w:hAnsi="Arial"/>
          <w:sz w:val="18"/>
          <w:szCs w:val="18"/>
          <w:color w:val="auto"/>
        </w:rPr>
        <w:t>Any fraction of a Share which would be required to pay such aggregate Exercise Price shall be disregarded, and the remaining amount due shall be paid in cash by Participant.</w:t>
      </w:r>
    </w:p>
    <w:p>
      <w:pPr>
        <w:spacing w:after="0" w:line="166" w:lineRule="exact"/>
        <w:rPr>
          <w:sz w:val="20"/>
          <w:szCs w:val="20"/>
          <w:color w:val="auto"/>
        </w:rPr>
      </w:pPr>
    </w:p>
    <w:p>
      <w:pPr>
        <w:jc w:val="both"/>
        <w:ind w:right="320" w:firstLine="444"/>
        <w:spacing w:after="0" w:line="289" w:lineRule="auto"/>
        <w:tabs>
          <w:tab w:leader="none" w:pos="621" w:val="left"/>
        </w:tabs>
        <w:numPr>
          <w:ilvl w:val="0"/>
          <w:numId w:val="300"/>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Restrictions on Exercise</w:t>
      </w:r>
      <w:r>
        <w:rPr>
          <w:rFonts w:ascii="Arial" w:cs="Arial" w:eastAsia="Arial" w:hAnsi="Arial"/>
          <w:sz w:val="17"/>
          <w:szCs w:val="17"/>
          <w:color w:val="auto"/>
        </w:rPr>
        <w:t>. This Option may not be exercised unless the issuance of Shares upon such exercise, or the method of payment of</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for such Shares, complies with Applicable Laws. Assuming such compliance, Shares shall be considered transferred to Participant, for income tax purposes, on the date on which this Option is exercised with respect to such Shares.</w:t>
      </w:r>
    </w:p>
    <w:p>
      <w:pPr>
        <w:spacing w:after="0" w:line="158" w:lineRule="exact"/>
        <w:rPr>
          <w:rFonts w:ascii="Arial" w:cs="Arial" w:eastAsia="Arial" w:hAnsi="Arial"/>
          <w:sz w:val="17"/>
          <w:szCs w:val="17"/>
          <w:color w:val="auto"/>
        </w:rPr>
      </w:pPr>
    </w:p>
    <w:p>
      <w:pPr>
        <w:ind w:right="120" w:firstLine="444"/>
        <w:spacing w:after="0" w:line="298" w:lineRule="auto"/>
        <w:tabs>
          <w:tab w:leader="none" w:pos="621" w:val="left"/>
        </w:tabs>
        <w:numPr>
          <w:ilvl w:val="0"/>
          <w:numId w:val="300"/>
        </w:numPr>
        <w:rPr>
          <w:rFonts w:ascii="Arial" w:cs="Arial" w:eastAsia="Arial" w:hAnsi="Arial"/>
          <w:sz w:val="16"/>
          <w:szCs w:val="16"/>
          <w:color w:val="auto"/>
        </w:rPr>
      </w:pPr>
      <w:r>
        <w:rPr>
          <w:rFonts w:ascii="Arial" w:cs="Arial" w:eastAsia="Arial" w:hAnsi="Arial"/>
          <w:sz w:val="16"/>
          <w:szCs w:val="16"/>
          <w:b w:val="1"/>
          <w:bCs w:val="1"/>
          <w:u w:val="single" w:color="auto"/>
          <w:color w:val="auto"/>
        </w:rPr>
        <w:t>Non-Transferability of Option</w:t>
      </w:r>
      <w:r>
        <w:rPr>
          <w:rFonts w:ascii="Arial" w:cs="Arial" w:eastAsia="Arial" w:hAnsi="Arial"/>
          <w:sz w:val="16"/>
          <w:szCs w:val="16"/>
          <w:color w:val="auto"/>
        </w:rPr>
        <w:t>. This Option (or, prior to exercise, the Shares subject to this Option) may not be sold, pledged, assigned,</w:t>
      </w:r>
      <w:r>
        <w:rPr>
          <w:rFonts w:ascii="Arial" w:cs="Arial" w:eastAsia="Arial" w:hAnsi="Arial"/>
          <w:sz w:val="16"/>
          <w:szCs w:val="16"/>
          <w:b w:val="1"/>
          <w:bCs w:val="1"/>
          <w:color w:val="auto"/>
        </w:rPr>
        <w:t xml:space="preserve"> </w:t>
      </w:r>
      <w:r>
        <w:rPr>
          <w:rFonts w:ascii="Arial" w:cs="Arial" w:eastAsia="Arial" w:hAnsi="Arial"/>
          <w:sz w:val="16"/>
          <w:szCs w:val="16"/>
          <w:color w:val="auto"/>
        </w:rPr>
        <w:t>hypothecated or otherwise transferred in any manner, including by entering into any short position, any “</w:t>
      </w:r>
      <w:r>
        <w:rPr>
          <w:rFonts w:ascii="Arial" w:cs="Arial" w:eastAsia="Arial" w:hAnsi="Arial"/>
          <w:sz w:val="16"/>
          <w:szCs w:val="16"/>
          <w:b w:val="1"/>
          <w:bCs w:val="1"/>
          <w:i w:val="1"/>
          <w:iCs w:val="1"/>
          <w:color w:val="auto"/>
        </w:rPr>
        <w:t>put equivalent position</w:t>
      </w:r>
      <w:r>
        <w:rPr>
          <w:rFonts w:ascii="Arial" w:cs="Arial" w:eastAsia="Arial" w:hAnsi="Arial"/>
          <w:sz w:val="16"/>
          <w:szCs w:val="16"/>
          <w:color w:val="auto"/>
        </w:rPr>
        <w:t>” or any “</w:t>
      </w:r>
      <w:r>
        <w:rPr>
          <w:rFonts w:ascii="Arial" w:cs="Arial" w:eastAsia="Arial" w:hAnsi="Arial"/>
          <w:sz w:val="16"/>
          <w:szCs w:val="16"/>
          <w:b w:val="1"/>
          <w:bCs w:val="1"/>
          <w:i w:val="1"/>
          <w:iCs w:val="1"/>
          <w:color w:val="auto"/>
        </w:rPr>
        <w:t>call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equivalent position</w:t>
      </w:r>
      <w:r>
        <w:rPr>
          <w:rFonts w:ascii="Arial" w:cs="Arial" w:eastAsia="Arial" w:hAnsi="Arial"/>
          <w:sz w:val="16"/>
          <w:szCs w:val="16"/>
          <w:color w:val="auto"/>
        </w:rPr>
        <w:t>” (as defined in Rule 16a-1(h) and Rule 16a-1(b), respectively, of the Exchange Act), whether by operation of law or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other than by will or by the laws of descent and distribution, and may be exercised, during the lifetime of Participant, only by Participant. The terms of the Plan and this Agreement shall be binding upon the executors, administrators, heirs, successors and assigns of Participant.</w:t>
      </w:r>
    </w:p>
    <w:p>
      <w:pPr>
        <w:spacing w:after="0" w:line="154" w:lineRule="exact"/>
        <w:rPr>
          <w:rFonts w:ascii="Arial" w:cs="Arial" w:eastAsia="Arial" w:hAnsi="Arial"/>
          <w:sz w:val="16"/>
          <w:szCs w:val="16"/>
          <w:color w:val="auto"/>
        </w:rPr>
      </w:pPr>
    </w:p>
    <w:p>
      <w:pPr>
        <w:ind w:right="120" w:firstLine="444"/>
        <w:spacing w:after="0" w:line="282" w:lineRule="auto"/>
        <w:tabs>
          <w:tab w:leader="none" w:pos="621" w:val="left"/>
        </w:tabs>
        <w:numPr>
          <w:ilvl w:val="0"/>
          <w:numId w:val="30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Option</w:t>
      </w:r>
      <w:r>
        <w:rPr>
          <w:rFonts w:ascii="Arial" w:cs="Arial" w:eastAsia="Arial" w:hAnsi="Arial"/>
          <w:sz w:val="18"/>
          <w:szCs w:val="18"/>
          <w:color w:val="auto"/>
        </w:rPr>
        <w:t>. This Option may be exercised only (i) within the term set out in the Notice of Stock Option Grant in Part I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(ii) in accordance with the terms and conditions of the Plan and this Agreement.</w:t>
      </w:r>
    </w:p>
    <w:p>
      <w:pPr>
        <w:spacing w:after="0" w:line="161" w:lineRule="exact"/>
        <w:rPr>
          <w:rFonts w:ascii="Arial" w:cs="Arial" w:eastAsia="Arial" w:hAnsi="Arial"/>
          <w:sz w:val="18"/>
          <w:szCs w:val="18"/>
          <w:color w:val="auto"/>
        </w:rPr>
      </w:pPr>
    </w:p>
    <w:p>
      <w:pPr>
        <w:ind w:left="620" w:hanging="176"/>
        <w:spacing w:after="0"/>
        <w:tabs>
          <w:tab w:leader="none" w:pos="620" w:val="left"/>
        </w:tabs>
        <w:numPr>
          <w:ilvl w:val="0"/>
          <w:numId w:val="300"/>
        </w:numPr>
        <w:rPr>
          <w:rFonts w:ascii="Arial" w:cs="Arial" w:eastAsia="Arial" w:hAnsi="Arial"/>
          <w:sz w:val="18"/>
          <w:szCs w:val="18"/>
          <w:color w:val="auto"/>
        </w:rPr>
      </w:pPr>
      <w:r>
        <w:rPr>
          <w:rFonts w:ascii="Arial" w:cs="Arial" w:eastAsia="Arial" w:hAnsi="Arial"/>
          <w:sz w:val="18"/>
          <w:szCs w:val="18"/>
          <w:b w:val="1"/>
          <w:bCs w:val="1"/>
          <w:u w:val="single" w:color="auto"/>
          <w:color w:val="auto"/>
        </w:rPr>
        <w:t>Tax Obligations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96"/>
        <w:spacing w:after="0" w:line="261" w:lineRule="auto"/>
        <w:tabs>
          <w:tab w:leader="none" w:pos="1236" w:val="left"/>
        </w:tabs>
        <w:numPr>
          <w:ilvl w:val="1"/>
          <w:numId w:val="300"/>
        </w:numPr>
        <w:rPr>
          <w:rFonts w:ascii="Arial" w:cs="Arial" w:eastAsia="Arial" w:hAnsi="Arial"/>
          <w:sz w:val="18"/>
          <w:szCs w:val="18"/>
          <w:color w:val="auto"/>
        </w:rPr>
      </w:pPr>
      <w:r>
        <w:rPr>
          <w:rFonts w:ascii="Arial" w:cs="Arial" w:eastAsia="Arial" w:hAnsi="Arial"/>
          <w:sz w:val="18"/>
          <w:szCs w:val="18"/>
          <w:b w:val="1"/>
          <w:bCs w:val="1"/>
          <w:u w:val="single" w:color="auto"/>
          <w:color w:val="auto"/>
        </w:rPr>
        <w:t>Tax Withholding</w:t>
      </w:r>
      <w:r>
        <w:rPr>
          <w:rFonts w:ascii="Arial" w:cs="Arial" w:eastAsia="Arial" w:hAnsi="Arial"/>
          <w:sz w:val="18"/>
          <w:szCs w:val="18"/>
          <w:color w:val="auto"/>
        </w:rPr>
        <w:t>. Participant agrees to make appropriate arrangements satisfactory to the Company to pay or provide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of all federal, state, local, foreign and other taxes (including Participant’s FICA obligation) required to be withheld with respect to the exercise of this Option. Participant acknowledges and agrees that the Company may refuse to honor the exercise of this Option, and refuse to deliver the Shares, if such withholding amounts are not delivered by Participant at the time of exercise.</w:t>
      </w:r>
    </w:p>
    <w:p>
      <w:pPr>
        <w:spacing w:after="0" w:line="71" w:lineRule="exact"/>
        <w:rPr>
          <w:rFonts w:ascii="Arial" w:cs="Arial" w:eastAsia="Arial" w:hAnsi="Arial"/>
          <w:sz w:val="18"/>
          <w:szCs w:val="18"/>
          <w:color w:val="auto"/>
        </w:rPr>
      </w:pPr>
    </w:p>
    <w:p>
      <w:pPr>
        <w:ind w:right="40" w:firstLine="996"/>
        <w:spacing w:after="0" w:line="298" w:lineRule="auto"/>
        <w:tabs>
          <w:tab w:leader="none" w:pos="1247" w:val="left"/>
        </w:tabs>
        <w:numPr>
          <w:ilvl w:val="1"/>
          <w:numId w:val="300"/>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of Disqualifying Disposition of ISO Shares</w:t>
      </w:r>
      <w:r>
        <w:rPr>
          <w:rFonts w:ascii="Arial" w:cs="Arial" w:eastAsia="Arial" w:hAnsi="Arial"/>
          <w:sz w:val="16"/>
          <w:szCs w:val="16"/>
          <w:color w:val="auto"/>
        </w:rPr>
        <w:t>. If this Option is an Incentive Stock Option, and if Participant makes a</w:t>
      </w:r>
      <w:r>
        <w:rPr>
          <w:rFonts w:ascii="Arial" w:cs="Arial" w:eastAsia="Arial" w:hAnsi="Arial"/>
          <w:sz w:val="16"/>
          <w:szCs w:val="16"/>
          <w:b w:val="1"/>
          <w:bCs w:val="1"/>
          <w:color w:val="auto"/>
        </w:rPr>
        <w:t xml:space="preserve"> </w:t>
      </w:r>
      <w:r>
        <w:rPr>
          <w:rFonts w:ascii="Arial" w:cs="Arial" w:eastAsia="Arial" w:hAnsi="Arial"/>
          <w:sz w:val="16"/>
          <w:szCs w:val="16"/>
          <w:color w:val="auto"/>
        </w:rPr>
        <w:t>“disposition” (as defined in Section 424 of the Code) of all or any portion of the Shares acquired upon exercise of this Option within two years from the Grant Date set out in the Notice of Stock Option Grant in Part I of this Agreement or within one year after issuance of the Shares acquired upon exercise of this Option, then Participant shall immediately notify the Company in writing as to the occurrence of, and the price realized upon, such disposition. Participant agrees that Participant may be subject to income tax withholding by the Company on the compensation income recognized by Participant.</w:t>
      </w:r>
    </w:p>
    <w:p>
      <w:pPr>
        <w:spacing w:after="0" w:line="46" w:lineRule="exact"/>
        <w:rPr>
          <w:rFonts w:ascii="Arial" w:cs="Arial" w:eastAsia="Arial" w:hAnsi="Arial"/>
          <w:sz w:val="16"/>
          <w:szCs w:val="16"/>
          <w:color w:val="auto"/>
        </w:rPr>
      </w:pPr>
    </w:p>
    <w:p>
      <w:pPr>
        <w:ind w:right="100" w:firstLine="996"/>
        <w:spacing w:after="0" w:line="261" w:lineRule="auto"/>
        <w:tabs>
          <w:tab w:leader="none" w:pos="1236" w:val="left"/>
        </w:tabs>
        <w:numPr>
          <w:ilvl w:val="1"/>
          <w:numId w:val="300"/>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 of the Code</w:t>
      </w:r>
      <w:r>
        <w:rPr>
          <w:rFonts w:ascii="Arial" w:cs="Arial" w:eastAsia="Arial" w:hAnsi="Arial"/>
          <w:sz w:val="18"/>
          <w:szCs w:val="18"/>
          <w:color w:val="auto"/>
        </w:rPr>
        <w:t>. Under Section 409A of the Code, an Option that was granted with a per Share exercise price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U.S. Internal Revenue Service (the “</w:t>
      </w:r>
      <w:r>
        <w:rPr>
          <w:rFonts w:ascii="Arial" w:cs="Arial" w:eastAsia="Arial" w:hAnsi="Arial"/>
          <w:sz w:val="18"/>
          <w:szCs w:val="18"/>
          <w:b w:val="1"/>
          <w:bCs w:val="1"/>
          <w:i w:val="1"/>
          <w:iCs w:val="1"/>
          <w:color w:val="auto"/>
        </w:rPr>
        <w:t>IRS</w:t>
      </w:r>
      <w:r>
        <w:rPr>
          <w:rFonts w:ascii="Arial" w:cs="Arial" w:eastAsia="Arial" w:hAnsi="Arial"/>
          <w:sz w:val="18"/>
          <w:szCs w:val="18"/>
          <w:color w:val="auto"/>
        </w:rPr>
        <w:t>”) to be less than the Fair Market Value of a Share on the date of grant (a “</w:t>
      </w:r>
      <w:r>
        <w:rPr>
          <w:rFonts w:ascii="Arial" w:cs="Arial" w:eastAsia="Arial" w:hAnsi="Arial"/>
          <w:sz w:val="18"/>
          <w:szCs w:val="18"/>
          <w:b w:val="1"/>
          <w:bCs w:val="1"/>
          <w:i w:val="1"/>
          <w:iCs w:val="1"/>
          <w:color w:val="auto"/>
        </w:rPr>
        <w:t>discount option</w:t>
      </w:r>
      <w:r>
        <w:rPr>
          <w:rFonts w:ascii="Arial" w:cs="Arial" w:eastAsia="Arial" w:hAnsi="Arial"/>
          <w:sz w:val="18"/>
          <w:szCs w:val="18"/>
          <w:color w:val="auto"/>
        </w:rPr>
        <w:t>”) may be considered “</w:t>
      </w:r>
      <w:r>
        <w:rPr>
          <w:rFonts w:ascii="Arial" w:cs="Arial" w:eastAsia="Arial" w:hAnsi="Arial"/>
          <w:sz w:val="18"/>
          <w:szCs w:val="18"/>
          <w:b w:val="1"/>
          <w:bCs w:val="1"/>
          <w:i w:val="1"/>
          <w:iCs w:val="1"/>
          <w:color w:val="auto"/>
        </w:rPr>
        <w:t>deferred compensation</w:t>
      </w:r>
      <w:r>
        <w:rPr>
          <w:rFonts w:ascii="Arial" w:cs="Arial" w:eastAsia="Arial" w:hAnsi="Arial"/>
          <w:sz w:val="18"/>
          <w:szCs w:val="18"/>
          <w:color w:val="auto"/>
        </w:rPr>
        <w:t>.” An Option that is a “</w:t>
      </w:r>
      <w:r>
        <w:rPr>
          <w:rFonts w:ascii="Arial" w:cs="Arial" w:eastAsia="Arial" w:hAnsi="Arial"/>
          <w:sz w:val="18"/>
          <w:szCs w:val="18"/>
          <w:b w:val="1"/>
          <w:bCs w:val="1"/>
          <w:i w:val="1"/>
          <w:iCs w:val="1"/>
          <w:color w:val="auto"/>
        </w:rPr>
        <w:t>discount option</w:t>
      </w:r>
      <w:r>
        <w:rPr>
          <w:rFonts w:ascii="Arial" w:cs="Arial" w:eastAsia="Arial" w:hAnsi="Arial"/>
          <w:sz w:val="18"/>
          <w:szCs w:val="18"/>
          <w:color w:val="auto"/>
        </w:rPr>
        <w:t>” may result in (i) income recognition by Participant prior to the exercise of this Option,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425" w:name="page426"/>
    <w:bookmarkEnd w:id="425"/>
    <w:p>
      <w:pPr>
        <w:ind w:left="-4" w:right="40" w:firstLine="4"/>
        <w:spacing w:after="0" w:line="257" w:lineRule="auto"/>
        <w:tabs>
          <w:tab w:leader="none" w:pos="261" w:val="left"/>
        </w:tabs>
        <w:numPr>
          <w:ilvl w:val="0"/>
          <w:numId w:val="3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additional 20% federal income tax, (iii) potential penalty and interest charges, and (iv) additional state income, penalty and interest tax to Participant (collectively, “</w:t>
      </w:r>
      <w:r>
        <w:rPr>
          <w:rFonts w:ascii="Arial" w:cs="Arial" w:eastAsia="Arial" w:hAnsi="Arial"/>
          <w:sz w:val="18"/>
          <w:szCs w:val="18"/>
          <w:b w:val="1"/>
          <w:bCs w:val="1"/>
          <w:i w:val="1"/>
          <w:iCs w:val="1"/>
          <w:color w:val="auto"/>
        </w:rPr>
        <w:t>409A Penalties</w:t>
      </w:r>
      <w:r>
        <w:rPr>
          <w:rFonts w:ascii="Arial" w:cs="Arial" w:eastAsia="Arial" w:hAnsi="Arial"/>
          <w:sz w:val="18"/>
          <w:szCs w:val="18"/>
          <w:color w:val="auto"/>
        </w:rPr>
        <w:t>”). Participant acknowledges that the Company cannot guarantee, and has not guaranteed, that the IRS will agree, in a later examination, that the per Share exercise price of this Option equals or exceeds the Fair Market Value of a Share on the date of grant. Participant agrees that, if the IRS determines that this Option is a “</w:t>
      </w:r>
      <w:r>
        <w:rPr>
          <w:rFonts w:ascii="Arial" w:cs="Arial" w:eastAsia="Arial" w:hAnsi="Arial"/>
          <w:sz w:val="18"/>
          <w:szCs w:val="18"/>
          <w:b w:val="1"/>
          <w:bCs w:val="1"/>
          <w:i w:val="1"/>
          <w:iCs w:val="1"/>
          <w:color w:val="auto"/>
        </w:rPr>
        <w:t>discount option</w:t>
      </w:r>
      <w:r>
        <w:rPr>
          <w:rFonts w:ascii="Arial" w:cs="Arial" w:eastAsia="Arial" w:hAnsi="Arial"/>
          <w:sz w:val="18"/>
          <w:szCs w:val="18"/>
          <w:color w:val="auto"/>
        </w:rPr>
        <w:t>,” Participant shall be solely responsible for Participant’s costs related to such a determination, including any 409A Penalties.</w:t>
      </w:r>
    </w:p>
    <w:p>
      <w:pPr>
        <w:spacing w:after="0" w:line="184" w:lineRule="exact"/>
        <w:rPr>
          <w:rFonts w:ascii="Arial" w:cs="Arial" w:eastAsia="Arial" w:hAnsi="Arial"/>
          <w:sz w:val="18"/>
          <w:szCs w:val="18"/>
          <w:color w:val="auto"/>
        </w:rPr>
      </w:pPr>
    </w:p>
    <w:p>
      <w:pPr>
        <w:ind w:left="716" w:hanging="276"/>
        <w:spacing w:after="0"/>
        <w:tabs>
          <w:tab w:leader="none" w:pos="716" w:val="left"/>
        </w:tabs>
        <w:numPr>
          <w:ilvl w:val="1"/>
          <w:numId w:val="301"/>
        </w:numPr>
        <w:rPr>
          <w:rFonts w:ascii="Arial" w:cs="Arial" w:eastAsia="Arial" w:hAnsi="Arial"/>
          <w:sz w:val="18"/>
          <w:szCs w:val="18"/>
          <w:color w:val="auto"/>
        </w:rPr>
      </w:pPr>
      <w:r>
        <w:rPr>
          <w:rFonts w:ascii="Arial" w:cs="Arial" w:eastAsia="Arial" w:hAnsi="Arial"/>
          <w:sz w:val="18"/>
          <w:szCs w:val="18"/>
          <w:b w:val="1"/>
          <w:bCs w:val="1"/>
          <w:u w:val="single" w:color="auto"/>
          <w:color w:val="auto"/>
        </w:rPr>
        <w:t>Agreement to Participate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 w:firstLine="996"/>
        <w:spacing w:after="0" w:line="286" w:lineRule="auto"/>
        <w:tabs>
          <w:tab w:leader="none" w:pos="1233" w:val="left"/>
        </w:tabs>
        <w:numPr>
          <w:ilvl w:val="2"/>
          <w:numId w:val="301"/>
        </w:numPr>
        <w:rPr>
          <w:rFonts w:ascii="Arial" w:cs="Arial" w:eastAsia="Arial" w:hAnsi="Arial"/>
          <w:sz w:val="16"/>
          <w:szCs w:val="16"/>
          <w:color w:val="auto"/>
        </w:rPr>
      </w:pPr>
      <w:r>
        <w:rPr>
          <w:rFonts w:ascii="Arial" w:cs="Arial" w:eastAsia="Arial" w:hAnsi="Arial"/>
          <w:sz w:val="16"/>
          <w:szCs w:val="16"/>
          <w:color w:val="auto"/>
        </w:rPr>
        <w:t>Each Holder (as defined in the Option Exercise Notice) agrees that, in the event a Change in Control or Stock Sale is approved by the Board (if required) and the requisite vote of the Company’s stockholders, and upon receipt from the Company of a Participation Notice (as defined below), such Holder shall (1) vote (in person, by proxy or by written consent, as applicable) all securities of the Company the holders of which are entitled to vote for members of the Board, including securities of the Company acquired upon exercise or conversion of any options (including this Option), warrants or other convertible securities, owned by such Holder, or over which such Holder has voting control, in favor of such Change in Control or Stock Sale (together with any related amendment to the Certificate of Incorporation required in order to implement such Change in Control or Stock Sale) and in opposition to any and all other proposals that could delay or impair the ability of the Company or its stockholders to consummate such Change in Control or Stock Sale and (2) sell or exchange all securities of the Company, including securities of the Company acquired upon exercise or conversion of any options (including this Option), warrants or other convertible securities (collectively, “</w:t>
      </w:r>
      <w:r>
        <w:rPr>
          <w:rFonts w:ascii="Arial" w:cs="Arial" w:eastAsia="Arial" w:hAnsi="Arial"/>
          <w:sz w:val="16"/>
          <w:szCs w:val="16"/>
          <w:b w:val="1"/>
          <w:bCs w:val="1"/>
          <w:i w:val="1"/>
          <w:iCs w:val="1"/>
          <w:color w:val="auto"/>
        </w:rPr>
        <w:t>Subject Shares</w:t>
      </w:r>
      <w:r>
        <w:rPr>
          <w:rFonts w:ascii="Arial" w:cs="Arial" w:eastAsia="Arial" w:hAnsi="Arial"/>
          <w:sz w:val="16"/>
          <w:szCs w:val="16"/>
          <w:color w:val="auto"/>
        </w:rPr>
        <w:t>”), that such Holder then beneficially holds pursuant to the terms and conditions of such Change in Control or, in the case of a Stock Sale, sell or otherwise transfer to the acquiring Person all Subject Shares that such Holder then beneficially holds (or in the event that the Company’s stockholders that approved such Stock Sale are selling fewer than all of their Subject Shares, shares in the same proportion as such stockholders are selling to the acquiring Person) for the same per share consideration in accordance with the provisions of the Certificate of Incorporation, and on the same terms and conditions (except as otherwise permitted by this Section II.10(a)), as such stockholders, subject to the following conditions:</w:t>
      </w:r>
    </w:p>
    <w:p>
      <w:pPr>
        <w:spacing w:after="0" w:line="63" w:lineRule="exact"/>
        <w:rPr>
          <w:rFonts w:ascii="Arial" w:cs="Arial" w:eastAsia="Arial" w:hAnsi="Arial"/>
          <w:sz w:val="16"/>
          <w:szCs w:val="16"/>
          <w:color w:val="auto"/>
        </w:rPr>
      </w:pPr>
    </w:p>
    <w:p>
      <w:pPr>
        <w:ind w:left="-4" w:right="80" w:firstLine="1436"/>
        <w:spacing w:after="0" w:line="259" w:lineRule="auto"/>
        <w:tabs>
          <w:tab w:leader="none" w:pos="1644" w:val="left"/>
        </w:tabs>
        <w:numPr>
          <w:ilvl w:val="3"/>
          <w:numId w:val="301"/>
        </w:numPr>
        <w:rPr>
          <w:rFonts w:ascii="Arial" w:cs="Arial" w:eastAsia="Arial" w:hAnsi="Arial"/>
          <w:sz w:val="18"/>
          <w:szCs w:val="18"/>
          <w:color w:val="auto"/>
        </w:rPr>
      </w:pPr>
      <w:r>
        <w:rPr>
          <w:rFonts w:ascii="Arial" w:cs="Arial" w:eastAsia="Arial" w:hAnsi="Arial"/>
          <w:sz w:val="18"/>
          <w:szCs w:val="18"/>
          <w:color w:val="auto"/>
        </w:rPr>
        <w:t>such Holder shall not be required in his or her capacity as a stockholder to make any representation or warranty in connection with such Change in Control or Stock Sale, other than as to such Holder’s ownership and authority to sell, exchange or otherwise transfer such Holder’s Subject Shares in such Change in Control or Stock Sale, free and clear of all claims, rights, obligations, liens and encumbrances of any nature whatsoever;</w:t>
      </w:r>
    </w:p>
    <w:p>
      <w:pPr>
        <w:spacing w:after="0" w:line="78" w:lineRule="exact"/>
        <w:rPr>
          <w:rFonts w:ascii="Arial" w:cs="Arial" w:eastAsia="Arial" w:hAnsi="Arial"/>
          <w:sz w:val="18"/>
          <w:szCs w:val="18"/>
          <w:color w:val="auto"/>
        </w:rPr>
      </w:pPr>
    </w:p>
    <w:p>
      <w:pPr>
        <w:jc w:val="both"/>
        <w:ind w:left="-4" w:right="40" w:firstLine="1436"/>
        <w:spacing w:after="0" w:line="259" w:lineRule="auto"/>
        <w:tabs>
          <w:tab w:leader="none" w:pos="1694" w:val="left"/>
        </w:tabs>
        <w:numPr>
          <w:ilvl w:val="3"/>
          <w:numId w:val="301"/>
        </w:numPr>
        <w:rPr>
          <w:rFonts w:ascii="Arial" w:cs="Arial" w:eastAsia="Arial" w:hAnsi="Arial"/>
          <w:sz w:val="18"/>
          <w:szCs w:val="18"/>
          <w:color w:val="auto"/>
        </w:rPr>
      </w:pPr>
      <w:r>
        <w:rPr>
          <w:rFonts w:ascii="Arial" w:cs="Arial" w:eastAsia="Arial" w:hAnsi="Arial"/>
          <w:sz w:val="18"/>
          <w:szCs w:val="18"/>
          <w:color w:val="auto"/>
        </w:rPr>
        <w:t>such Holder shall not be liable for the inaccuracy of any representation or warranty made by any other Person in connection with such Change in Control or Stock Sale, other than the Company (except to the extent that funds may be paid out of an escrow established to cover breach of representations, warranties and covenants of the Company as well as breach by any stockholder of any identical representations, warranties and covenants provided by all stockholders);</w:t>
      </w:r>
    </w:p>
    <w:p>
      <w:pPr>
        <w:spacing w:after="0" w:line="11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16"/>
          </w:cols>
          <w:pgMar w:left="444" w:top="273" w:right="439" w:bottom="1440" w:gutter="0" w:footer="0" w:header="0"/>
        </w:sectPr>
      </w:pPr>
    </w:p>
    <w:bookmarkStart w:id="426" w:name="page427"/>
    <w:bookmarkEnd w:id="426"/>
    <w:p>
      <w:pPr>
        <w:ind w:right="100" w:firstLine="1436"/>
        <w:spacing w:after="0" w:line="293" w:lineRule="auto"/>
        <w:tabs>
          <w:tab w:leader="none" w:pos="1748" w:val="left"/>
        </w:tabs>
        <w:numPr>
          <w:ilvl w:val="0"/>
          <w:numId w:val="3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liability for indemnification, if any, of such Holder in such Change in Control or Stock Sale, and for the inaccuracy of any representations and warranties made by the Company or its stockholders in connection with such Change in Control or Stock Sale, shall be several and not joint with any other Person (except to the extent that funds may be paid out of an escrow established to cover breach of representations, warranties and covenants of the Company as well as breach by any stockholder of any identical representations, warranties and covenants provided by all stockholders) and, subject to any provisions of the Certificate of Incorporation relating to the allocation of the escrow, shall be pro rata in proportion to, and shall not exceed, the amount of consideration paid to such Holder in connection with such Change in Control or Stock Sale;</w:t>
      </w:r>
    </w:p>
    <w:p>
      <w:pPr>
        <w:spacing w:after="0" w:line="56" w:lineRule="exact"/>
        <w:rPr>
          <w:rFonts w:ascii="Arial" w:cs="Arial" w:eastAsia="Arial" w:hAnsi="Arial"/>
          <w:sz w:val="16"/>
          <w:szCs w:val="16"/>
          <w:color w:val="auto"/>
        </w:rPr>
      </w:pPr>
    </w:p>
    <w:p>
      <w:pPr>
        <w:ind w:right="120" w:firstLine="1436"/>
        <w:spacing w:after="0" w:line="257" w:lineRule="auto"/>
        <w:tabs>
          <w:tab w:leader="none" w:pos="173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liability shall be limited to such Holder’s applicable share (determined based on the respective proceeds payable to each stockholder of the Company in connection with such Change in Control or Stock Sale in accordance with the Certificate of Incorporation) of a negotiated aggregate indemnification amount that applies equally to all stockholders of the Company but that in no event exceeds the amount of consideration otherwise payable to such Holder in connection with such Change in Control or Stock Sale, except with respect to claims related to fraud by such Holder, the liability for which need not be limited as to such Holder;</w:t>
      </w:r>
    </w:p>
    <w:p>
      <w:pPr>
        <w:spacing w:after="0" w:line="80" w:lineRule="exact"/>
        <w:rPr>
          <w:rFonts w:ascii="Arial" w:cs="Arial" w:eastAsia="Arial" w:hAnsi="Arial"/>
          <w:sz w:val="18"/>
          <w:szCs w:val="18"/>
          <w:color w:val="auto"/>
        </w:rPr>
      </w:pPr>
    </w:p>
    <w:p>
      <w:pPr>
        <w:ind w:firstLine="1436"/>
        <w:spacing w:after="0" w:line="285" w:lineRule="auto"/>
        <w:tabs>
          <w:tab w:leader="none" w:pos="1688" w:val="left"/>
        </w:tabs>
        <w:numPr>
          <w:ilvl w:val="0"/>
          <w:numId w:val="302"/>
        </w:numPr>
        <w:rPr>
          <w:rFonts w:ascii="Arial" w:cs="Arial" w:eastAsia="Arial" w:hAnsi="Arial"/>
          <w:sz w:val="16"/>
          <w:szCs w:val="16"/>
          <w:color w:val="auto"/>
        </w:rPr>
      </w:pPr>
      <w:r>
        <w:rPr>
          <w:rFonts w:ascii="Arial" w:cs="Arial" w:eastAsia="Arial" w:hAnsi="Arial"/>
          <w:sz w:val="16"/>
          <w:szCs w:val="16"/>
          <w:color w:val="auto"/>
        </w:rPr>
        <w:t xml:space="preserve">as a result of such Change in Control or Stock Sale, (A) each holder of each class or series of capital stock of the Company shall be entitled to receive the same form of consideration (and be subject to the same indemnity and escrow provisions) for their shares of such class or series as is received by other holders with respect to their shares of such same class or series of stock, (B) each holder of a series of Preferred Stock of the Company shall receive the same amount of consideration per share of such series of Preferred Stock of the Company as is received by other holders with respect to their shares of such same series, (C) each holder of Common Stock shall receive the same amount of consideration per share of Common Stock as is received by other holders with respect to their shares of Common Stock, and (D) unless the holders of each series of Preferred Stock of the Company agree otherwise by legally sufficient amendment or waiver of the provisions of the Certificate of Incorporation then in effect, the aggregate consideration receivable by all holders of Common Stock and Preferred Stock of the Company shall be allocated among the holders of Common Stock and Preferred Stock of the Company on the basis of the relative liquidation preferences to which the holders of each respective series of Preferred Stock of the Company and the holders of Common Stock are entitled in a Deemed Liquidation Event (assuming for this purpose that such Change in Control or Stock Sale is a Deemed Liquidation Event (as defined in the Certificate of Incorporation)) in accordance with the Certificate of Incorporation in effect immediately prior to such Change in Control or Stock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if the consideration to be paid in exchange for the Subject Shares pursuant to such Change in Control or Stock Sale includes any securities and due receipt thereof by such Holder would require, under applicable law, (x) the registration or qualification of such securities or of any Person as a broker, dealer or agent with respect to such securities or (y) the provision to such Holder of any information other than such information as a prudent issuer would generally furnish in an offering made solely to “accredited investors” as defined in Regulation D promulgated under the Securities Act, then the Company may cause to be paid to such Holder, in lieu of such securities, against surrender of the Subject Shares which would have otherwise been sold by such Holder, an amount in cash equal to the fair market value (as determined in good faith by the Company) of the securities that such Holder would otherwise receive as of the date of issuance of such securities in exchange for such Holder’s Subject Shares;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427" w:name="page428"/>
    <w:bookmarkEnd w:id="427"/>
    <w:p>
      <w:pPr>
        <w:ind w:firstLine="1436"/>
        <w:spacing w:after="0" w:line="276" w:lineRule="auto"/>
        <w:tabs>
          <w:tab w:leader="none" w:pos="1738" w:val="left"/>
        </w:tabs>
        <w:numPr>
          <w:ilvl w:val="0"/>
          <w:numId w:val="3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clause (v) above requiring the same form of consideration to be available to the holders of any single class or series of capital stock, if any holders of any capital stock of the Company are given an option as to the form and amount of consideration to be received as a result of such Change in Control or Stock Sale, all holders of such capital stock shall be given the same option;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in this Section II.10(a)(vi) shall entitle any holder to receive any form of consideration that such holder would be ineligible to receive as a result of such holder’s failure to satisfy any condition, requirement or limitation that is generally applicable to the Company’s stockholders.</w:t>
      </w:r>
    </w:p>
    <w:p>
      <w:pPr>
        <w:spacing w:after="0" w:line="173" w:lineRule="exact"/>
        <w:rPr>
          <w:sz w:val="20"/>
          <w:szCs w:val="20"/>
          <w:color w:val="auto"/>
        </w:rPr>
      </w:pPr>
    </w:p>
    <w:p>
      <w:pPr>
        <w:ind w:right="20" w:firstLine="992"/>
        <w:spacing w:after="0" w:line="264" w:lineRule="auto"/>
        <w:rPr>
          <w:sz w:val="20"/>
          <w:szCs w:val="20"/>
          <w:color w:val="auto"/>
        </w:rPr>
      </w:pPr>
      <w:r>
        <w:rPr>
          <w:rFonts w:ascii="Arial" w:cs="Arial" w:eastAsia="Arial" w:hAnsi="Arial"/>
          <w:sz w:val="18"/>
          <w:szCs w:val="18"/>
          <w:color w:val="auto"/>
        </w:rPr>
        <w:t>The provisions of this Section II.10 shall not be deemed to require any Holder to approve any amendment or waiver of any provision of the Certificate of Incorporation or otherwise approve a Change in Control or Stock Sale that would not allocate the consideration in accordance with the Certificate of Incorporation.</w:t>
      </w:r>
    </w:p>
    <w:p>
      <w:pPr>
        <w:spacing w:after="0" w:line="181"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Participation Notice</w:t>
      </w:r>
      <w:r>
        <w:rPr>
          <w:rFonts w:ascii="Arial" w:cs="Arial" w:eastAsia="Arial" w:hAnsi="Arial"/>
          <w:sz w:val="18"/>
          <w:szCs w:val="18"/>
          <w:color w:val="auto"/>
        </w:rPr>
        <w:t>” means a written notice from the Company to such Holder, which notice includes: (x) a summary of the material terms of the proposed Change in Control or Stock Sale; (y) information relating to any stockholder meeting or action by written consent and instructions with respect to the voting of such Holder’s Subject Shares as required by this Section II.10(a); and (z) such other information as the Board shall determine is necessary or appropriate.</w:t>
      </w:r>
    </w:p>
    <w:p>
      <w:pPr>
        <w:spacing w:after="0" w:line="79" w:lineRule="exact"/>
        <w:rPr>
          <w:sz w:val="20"/>
          <w:szCs w:val="20"/>
          <w:color w:val="auto"/>
        </w:rPr>
      </w:pPr>
    </w:p>
    <w:p>
      <w:pPr>
        <w:ind w:left="1260" w:hanging="264"/>
        <w:spacing w:after="0"/>
        <w:tabs>
          <w:tab w:leader="none" w:pos="126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Each Holder further agrees, with respect to any Change in Control or Stock Sale approved in accordance with Section II.10(a), to</w:t>
      </w:r>
    </w:p>
    <w:p>
      <w:pPr>
        <w:spacing w:after="0" w:line="34" w:lineRule="exact"/>
        <w:rPr>
          <w:rFonts w:ascii="Arial" w:cs="Arial" w:eastAsia="Arial" w:hAnsi="Arial"/>
          <w:sz w:val="17"/>
          <w:szCs w:val="17"/>
          <w:color w:val="auto"/>
        </w:rPr>
      </w:pPr>
    </w:p>
    <w:p>
      <w:pPr>
        <w:ind w:firstLine="4"/>
        <w:spacing w:after="0" w:line="269" w:lineRule="auto"/>
        <w:tabs>
          <w:tab w:leader="none" w:pos="215" w:val="left"/>
        </w:tabs>
        <w:numPr>
          <w:ilvl w:val="0"/>
          <w:numId w:val="305"/>
        </w:numPr>
        <w:rPr>
          <w:rFonts w:ascii="Arial" w:cs="Arial" w:eastAsia="Arial" w:hAnsi="Arial"/>
          <w:sz w:val="17"/>
          <w:szCs w:val="17"/>
          <w:color w:val="auto"/>
        </w:rPr>
      </w:pPr>
      <w:r>
        <w:rPr>
          <w:rFonts w:ascii="Arial" w:cs="Arial" w:eastAsia="Arial" w:hAnsi="Arial"/>
          <w:sz w:val="17"/>
          <w:szCs w:val="17"/>
          <w:color w:val="auto"/>
        </w:rPr>
        <w:t>refrain from exercising any dissenters’ rights or rights of appraisal under applicable law (if any), (ii) execute and deliver all related documentation and take such other actions as may be reasonably requested, in writing, by the Company or the acquiring Person in support of such Change in Control or Stock Sale, including executing and delivering instruments of conveyance and transfer, any purchase agreement, merger agreement, indemnity agreement, escrow agreement, consent, waiver, governmental filing and share certificates duly endorsed for transfer (free and clear of impermissible liens, claims and encumbrances), and any similar or related documents, and (iii) refrain from entering into any agreement or understanding (including any proxy or voting trust) that would be inconsistent with, or violate, the provisions of this Section II.10, unless specifically requested to do so, in writing, by the acquiring Person in connection with such Change in Control or Stock Sale.</w:t>
      </w:r>
    </w:p>
    <w:p>
      <w:pPr>
        <w:spacing w:after="0" w:line="72" w:lineRule="exact"/>
        <w:rPr>
          <w:rFonts w:ascii="Arial" w:cs="Arial" w:eastAsia="Arial" w:hAnsi="Arial"/>
          <w:sz w:val="17"/>
          <w:szCs w:val="17"/>
          <w:color w:val="auto"/>
        </w:rPr>
      </w:pPr>
    </w:p>
    <w:p>
      <w:pPr>
        <w:ind w:right="40" w:firstLine="996"/>
        <w:spacing w:after="0" w:line="273" w:lineRule="auto"/>
        <w:tabs>
          <w:tab w:leader="none" w:pos="1237" w:val="left"/>
        </w:tabs>
        <w:numPr>
          <w:ilvl w:val="1"/>
          <w:numId w:val="305"/>
        </w:numPr>
        <w:rPr>
          <w:rFonts w:ascii="Arial" w:cs="Arial" w:eastAsia="Arial" w:hAnsi="Arial"/>
          <w:sz w:val="17"/>
          <w:szCs w:val="17"/>
          <w:color w:val="auto"/>
        </w:rPr>
      </w:pPr>
      <w:r>
        <w:rPr>
          <w:rFonts w:ascii="Arial" w:cs="Arial" w:eastAsia="Arial" w:hAnsi="Arial"/>
          <w:sz w:val="17"/>
          <w:szCs w:val="17"/>
          <w:color w:val="auto"/>
        </w:rPr>
        <w:t>In the event that a stockholder representative (the “</w:t>
      </w:r>
      <w:r>
        <w:rPr>
          <w:rFonts w:ascii="Arial" w:cs="Arial" w:eastAsia="Arial" w:hAnsi="Arial"/>
          <w:sz w:val="17"/>
          <w:szCs w:val="17"/>
          <w:b w:val="1"/>
          <w:bCs w:val="1"/>
          <w:i w:val="1"/>
          <w:iCs w:val="1"/>
          <w:color w:val="auto"/>
        </w:rPr>
        <w:t>Stockholder Representative</w:t>
      </w:r>
      <w:r>
        <w:rPr>
          <w:rFonts w:ascii="Arial" w:cs="Arial" w:eastAsia="Arial" w:hAnsi="Arial"/>
          <w:sz w:val="17"/>
          <w:szCs w:val="17"/>
          <w:color w:val="auto"/>
        </w:rPr>
        <w:t>”) is appointed with respect to matters affecting the Company’s stockholders under the applicable definitive transaction agreements relating to any Change in Control or Stock Sale approved in accordance with Section II.10(a), each Holder agrees (i) to consent to (x) the appointment of such Stockholder Representative, (y) the establishment of any applicable escrow, expense or similar fund in connection with any indemnification or similar obligations, and (z) the payment of such Holder’s pro rata portion (from the applicable escrow or expense fund or otherwise) of any and all of such Stockholder Representative’s reasonable fees and expenses arising out of such Stockholder Representative’s services and duties as the representative of the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3" w:right="479" w:bottom="1440" w:gutter="0" w:footer="0" w:header="0"/>
        </w:sectPr>
      </w:pPr>
    </w:p>
    <w:bookmarkStart w:id="428" w:name="page429"/>
    <w:bookmarkEnd w:id="428"/>
    <w:p>
      <w:pPr>
        <w:ind w:right="2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Company’s stockholders in connection with such Change in Control or Stock Sale, and (ii) not to assert any claim, or commence any suit, against the Stockholder Representative or any other stockholder of the Company with respect to any action or inaction by the Stockholder Representative in connection with his or her service as the Stockholder Representative, absent fraud, gross negligence or willful misconduct.</w:t>
      </w:r>
    </w:p>
    <w:p>
      <w:pPr>
        <w:spacing w:after="0" w:line="57" w:lineRule="exact"/>
        <w:rPr>
          <w:sz w:val="20"/>
          <w:szCs w:val="20"/>
          <w:color w:val="auto"/>
        </w:rPr>
      </w:pPr>
    </w:p>
    <w:p>
      <w:pPr>
        <w:ind w:right="20" w:firstLine="996"/>
        <w:spacing w:after="0" w:line="285" w:lineRule="auto"/>
        <w:tabs>
          <w:tab w:leader="none" w:pos="1247" w:val="left"/>
        </w:tabs>
        <w:numPr>
          <w:ilvl w:val="1"/>
          <w:numId w:val="306"/>
        </w:numPr>
        <w:rPr>
          <w:rFonts w:ascii="Arial" w:cs="Arial" w:eastAsia="Arial" w:hAnsi="Arial"/>
          <w:sz w:val="16"/>
          <w:szCs w:val="16"/>
          <w:color w:val="auto"/>
        </w:rPr>
      </w:pPr>
      <w:r>
        <w:rPr>
          <w:rFonts w:ascii="Arial" w:cs="Arial" w:eastAsia="Arial" w:hAnsi="Arial"/>
          <w:sz w:val="16"/>
          <w:szCs w:val="16"/>
          <w:color w:val="auto"/>
        </w:rPr>
        <w:t>Participant hereby constitutes and appoints as his or her proxies, and hereby grants a power of attorney to, the Company’s President and Chief Executive Officer, and each of them, with full power of substitution, to represent and to vote or act by written consent with respect to all securities of the Company that Participant beneficially holds, either as of the date of this Agreement or at any time thereafter (collectively, the “</w:t>
      </w:r>
      <w:r>
        <w:rPr>
          <w:rFonts w:ascii="Arial" w:cs="Arial" w:eastAsia="Arial" w:hAnsi="Arial"/>
          <w:sz w:val="16"/>
          <w:szCs w:val="16"/>
          <w:b w:val="1"/>
          <w:bCs w:val="1"/>
          <w:i w:val="1"/>
          <w:iCs w:val="1"/>
          <w:color w:val="auto"/>
        </w:rPr>
        <w:t>Proxy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in accordance with this Section II.10, if and only if Participant or any transferee of any Proxy Shares (i) fails to vote all of the Proxy Shares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accordance with this Section II.10, (ii) attempts to vote any of the Proxy Shares (whether in person, by proxy or by written consent) in a manner that is inconsistent with this Section II.10, or (iii) fails to take any action necessary to effect the provisions of this Section II.10. This proxy and power of attorney is given to secure the performance of each Holder’s duties under this Section II.10, and each Holder shall take such further action and execute such other instruments as may be necessary to effectuate the intent of this proxy. This proxy and power of attorney is coupled with an interest, shall be irrevocable and shall be valid for so long as any of the Proxy Shares are outstanding until the closing date of the first sale of the Common Stock to the general public pursuant to a registration statement filed with and declared effective by the U.S. Securities and Exchange Commission under the Securities Act (the “</w:t>
      </w:r>
      <w:r>
        <w:rPr>
          <w:rFonts w:ascii="Arial" w:cs="Arial" w:eastAsia="Arial" w:hAnsi="Arial"/>
          <w:sz w:val="16"/>
          <w:szCs w:val="16"/>
          <w:b w:val="1"/>
          <w:bCs w:val="1"/>
          <w:i w:val="1"/>
          <w:iCs w:val="1"/>
          <w:color w:val="auto"/>
        </w:rPr>
        <w:t>Company IPO</w:t>
      </w:r>
      <w:r>
        <w:rPr>
          <w:rFonts w:ascii="Arial" w:cs="Arial" w:eastAsia="Arial" w:hAnsi="Arial"/>
          <w:sz w:val="16"/>
          <w:szCs w:val="16"/>
          <w:color w:val="auto"/>
        </w:rPr>
        <w:t>”). The authority vested in this proxy shall run with the Proxy Shares regardless of any change in legal ownership thereof. The power of attorney granted by Participant herein is a durable power of attorney and shall survive Participant’s bankruptcy, death or incapacity. Each party hereto hereby revokes any and all previous proxies and powers of attorney with respect to the Proxy Shares. Each party hereto and each Holder shall not hereafter or after consummation of the Transfer of Exercised Shares (as defined in the Option Exercise Notice) to such Holder in accordance with Section 5 of the Option Exercise Notice, as applicable, until the Company IPO, (x) purport to grant any other proxy or power of attorney with respect to any of the Proxy Shares, (y) deposit any of the Proxy Shares into a voting trust, or (z) enter into any agreement, arrangement or understanding with any Person (other than the Company), directly or indirectly, to vote, grant any proxy or give instructions with respect to the voting of any of the Proxy Shares, in each case, with respect to any of the matters set forth in this Section II.10</w:t>
      </w:r>
    </w:p>
    <w:p>
      <w:pPr>
        <w:spacing w:after="0" w:line="168" w:lineRule="exact"/>
        <w:rPr>
          <w:rFonts w:ascii="Arial" w:cs="Arial" w:eastAsia="Arial" w:hAnsi="Arial"/>
          <w:sz w:val="16"/>
          <w:szCs w:val="16"/>
          <w:color w:val="auto"/>
        </w:rPr>
      </w:pPr>
    </w:p>
    <w:p>
      <w:pPr>
        <w:ind w:left="700" w:hanging="256"/>
        <w:spacing w:after="0"/>
        <w:tabs>
          <w:tab w:leader="none" w:pos="700" w:val="left"/>
        </w:tabs>
        <w:numPr>
          <w:ilvl w:val="0"/>
          <w:numId w:val="307"/>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96"/>
        <w:spacing w:after="0" w:line="256" w:lineRule="auto"/>
        <w:tabs>
          <w:tab w:leader="none" w:pos="1236" w:val="left"/>
        </w:tabs>
        <w:numPr>
          <w:ilvl w:val="1"/>
          <w:numId w:val="307"/>
        </w:numPr>
        <w:rPr>
          <w:rFonts w:ascii="Arial" w:cs="Arial" w:eastAsia="Arial" w:hAnsi="Arial"/>
          <w:sz w:val="18"/>
          <w:szCs w:val="18"/>
          <w:color w:val="auto"/>
        </w:rPr>
      </w:pPr>
      <w:r>
        <w:rPr>
          <w:rFonts w:ascii="Arial" w:cs="Arial" w:eastAsia="Arial" w:hAnsi="Arial"/>
          <w:sz w:val="18"/>
          <w:szCs w:val="18"/>
          <w:b w:val="1"/>
          <w:bCs w:val="1"/>
          <w:u w:val="single" w:color="auto"/>
          <w:color w:val="auto"/>
        </w:rPr>
        <w:t>Power and Authority</w:t>
      </w:r>
      <w:r>
        <w:rPr>
          <w:rFonts w:ascii="Arial" w:cs="Arial" w:eastAsia="Arial" w:hAnsi="Arial"/>
          <w:sz w:val="18"/>
          <w:szCs w:val="18"/>
          <w:color w:val="auto"/>
        </w:rPr>
        <w:t>. Participant hereby represents to the Company that (i) Participant has full power and authority and legal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to enter into, execute and deliver this Agreement and to perform fully Participant’s obligations hereunder (including the proxy appointment described in Section II.10), (ii) the execution, delivery and performance of this Agreement by Participant does not conflict with, constitute a breach of or violate any arrangement, understanding or agreement to which Participant is a party or by which Participant is bound, and (iii) this Agreement has been duly and validly executed and delivered by Participant and constitutes the legal, valid and binding obligation of Participant, enforceable against Participant in accordance with its terms.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429" w:name="page430"/>
    <w:bookmarkEnd w:id="429"/>
    <w:p>
      <w:pPr>
        <w:ind w:right="20" w:firstLine="996"/>
        <w:spacing w:after="0" w:line="282" w:lineRule="auto"/>
        <w:tabs>
          <w:tab w:leader="none" w:pos="1247" w:val="left"/>
        </w:tabs>
        <w:numPr>
          <w:ilvl w:val="0"/>
          <w:numId w:val="30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Survival</w:t>
      </w:r>
      <w:r>
        <w:rPr>
          <w:rFonts w:ascii="Arial" w:cs="Arial" w:eastAsia="Arial" w:hAnsi="Arial"/>
          <w:sz w:val="18"/>
          <w:szCs w:val="18"/>
          <w:color w:val="auto"/>
        </w:rPr>
        <w:t>. The representations, warranties, covenants and agreements made in or pursuant to this Agreement shall survive the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delivery hereof and shall not be affected by any investigation made by or on behalf of any party hereto.</w:t>
      </w:r>
    </w:p>
    <w:p>
      <w:pPr>
        <w:spacing w:after="0" w:line="53" w:lineRule="exact"/>
        <w:rPr>
          <w:rFonts w:ascii="Arial" w:cs="Arial" w:eastAsia="Arial" w:hAnsi="Arial"/>
          <w:sz w:val="18"/>
          <w:szCs w:val="18"/>
          <w:color w:val="auto"/>
        </w:rPr>
      </w:pPr>
    </w:p>
    <w:p>
      <w:pPr>
        <w:ind w:right="260" w:firstLine="996"/>
        <w:spacing w:after="0" w:line="266" w:lineRule="auto"/>
        <w:tabs>
          <w:tab w:leader="none" w:pos="1236" w:val="left"/>
        </w:tabs>
        <w:numPr>
          <w:ilvl w:val="0"/>
          <w:numId w:val="30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in accordance with the laws of the State of California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regard to conflict-of-law principles;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Section II.10 shall be governed by the laws of the State of Delaware without regard to conflict-of-law principles.</w:t>
      </w:r>
    </w:p>
    <w:p>
      <w:pPr>
        <w:spacing w:after="0" w:line="68" w:lineRule="exact"/>
        <w:rPr>
          <w:rFonts w:ascii="Arial" w:cs="Arial" w:eastAsia="Arial" w:hAnsi="Arial"/>
          <w:sz w:val="18"/>
          <w:szCs w:val="18"/>
          <w:color w:val="auto"/>
        </w:rPr>
      </w:pPr>
    </w:p>
    <w:p>
      <w:pPr>
        <w:ind w:firstLine="996"/>
        <w:spacing w:after="0" w:line="258" w:lineRule="auto"/>
        <w:tabs>
          <w:tab w:leader="none" w:pos="1247" w:val="left"/>
        </w:tabs>
        <w:numPr>
          <w:ilvl w:val="0"/>
          <w:numId w:val="308"/>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together with the attached Exhibits, sets forth the entire agreement and understanding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relating to the subject matter hereof and supersedes all prior and contemporaneous understandings, agreements, discussions, representations and warranties, both written and oral, between the parties hereto, including any representations made during any interviews or relocation negotiations, with respect to such subject matter. In the event of a conflict between the terms and conditions of the Plan and this Agreement, the terms and conditions of the Plan shall prevail.</w:t>
      </w:r>
    </w:p>
    <w:p>
      <w:pPr>
        <w:spacing w:after="0" w:line="75" w:lineRule="exact"/>
        <w:rPr>
          <w:rFonts w:ascii="Arial" w:cs="Arial" w:eastAsia="Arial" w:hAnsi="Arial"/>
          <w:sz w:val="18"/>
          <w:szCs w:val="18"/>
          <w:color w:val="auto"/>
        </w:rPr>
      </w:pPr>
    </w:p>
    <w:p>
      <w:pPr>
        <w:ind w:right="60" w:firstLine="996"/>
        <w:spacing w:after="0" w:line="273" w:lineRule="auto"/>
        <w:tabs>
          <w:tab w:leader="none" w:pos="1236" w:val="left"/>
        </w:tabs>
        <w:numPr>
          <w:ilvl w:val="0"/>
          <w:numId w:val="308"/>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or other communications required or permitted hereunder shall be in writing and shall be deemed given or</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(i) when delivered personally, (ii) one business day after being deposited with an overnight courier service (costs prepaid), (iii) when sent by facsimile or e-mail if sent during normal business hours and on the next business day if sent after normal business hours, in each case with confirmation of transmission by the transmitting equipment, or (iv) when received or rejected by the addressee, if sent by certified mail, return receipt requested, postage prepaid, in each case to the addresses, facsimile numbers or e-mail addresses and marked to the attention of the persons designated (by name or title) on the signature page hereto, as applicable, or to such other address, facsimile number, e-mail address or person as such party may designate by a notice delivered to the other party hereto.</w:t>
      </w:r>
    </w:p>
    <w:p>
      <w:pPr>
        <w:spacing w:after="0" w:line="64" w:lineRule="exact"/>
        <w:rPr>
          <w:rFonts w:ascii="Arial" w:cs="Arial" w:eastAsia="Arial" w:hAnsi="Arial"/>
          <w:sz w:val="17"/>
          <w:szCs w:val="17"/>
          <w:color w:val="auto"/>
        </w:rPr>
      </w:pPr>
    </w:p>
    <w:p>
      <w:pPr>
        <w:ind w:right="40" w:firstLine="996"/>
        <w:spacing w:after="0" w:line="291" w:lineRule="auto"/>
        <w:tabs>
          <w:tab w:leader="none" w:pos="1217" w:val="left"/>
        </w:tabs>
        <w:numPr>
          <w:ilvl w:val="0"/>
          <w:numId w:val="308"/>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 Transfers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assign this Agreement, and its rights and obligations hereunder, in whole or in</w:t>
      </w:r>
      <w:r>
        <w:rPr>
          <w:rFonts w:ascii="Arial" w:cs="Arial" w:eastAsia="Arial" w:hAnsi="Arial"/>
          <w:sz w:val="16"/>
          <w:szCs w:val="16"/>
          <w:b w:val="1"/>
          <w:bCs w:val="1"/>
          <w:color w:val="auto"/>
        </w:rPr>
        <w:t xml:space="preserve"> </w:t>
      </w:r>
      <w:r>
        <w:rPr>
          <w:rFonts w:ascii="Arial" w:cs="Arial" w:eastAsia="Arial" w:hAnsi="Arial"/>
          <w:sz w:val="16"/>
          <w:szCs w:val="16"/>
          <w:color w:val="auto"/>
        </w:rPr>
        <w:t>part, to any successor or assign (whether direct or indirect, by purchase, merger, consolidation, sale of assets or stock or otherwise). Except as set forth herein, (x) neither this Agreement nor any rights, duties and obligations hereunder shall be assigned, transferred, delegated or sublicensed by Participant without the Company’s prior written consent and (y) any attempt by Participant to assign, transfer, delegate or sublicense this Agreement or any rights, duties or obligations hereunder, without the Company’s prior written consent, shall be void. Subject to any restrictions on transfer set forth herein, this Agreement shall be binding upon, and enforceable against, (i) the Company and its successors and assigns and (ii) Participant and his or her heirs, executors, successors, assigns, administrators and other legal representatives. Except as set forth herein, any transfer in violation of any restriction upon transfer contained in any provision hereof shall be void, unless such restriction is waived in accordance with the terms hereof.</w:t>
      </w:r>
    </w:p>
    <w:p>
      <w:pPr>
        <w:spacing w:after="0" w:line="52" w:lineRule="exact"/>
        <w:rPr>
          <w:rFonts w:ascii="Arial" w:cs="Arial" w:eastAsia="Arial" w:hAnsi="Arial"/>
          <w:sz w:val="16"/>
          <w:szCs w:val="16"/>
          <w:color w:val="auto"/>
        </w:rPr>
      </w:pPr>
    </w:p>
    <w:p>
      <w:pPr>
        <w:jc w:val="both"/>
        <w:ind w:right="80" w:firstLine="996"/>
        <w:spacing w:after="0" w:line="261" w:lineRule="auto"/>
        <w:tabs>
          <w:tab w:leader="none" w:pos="1247" w:val="left"/>
        </w:tabs>
        <w:numPr>
          <w:ilvl w:val="0"/>
          <w:numId w:val="308"/>
        </w:numPr>
        <w:rPr>
          <w:rFonts w:ascii="Arial" w:cs="Arial" w:eastAsia="Arial" w:hAnsi="Arial"/>
          <w:sz w:val="18"/>
          <w:szCs w:val="18"/>
          <w:color w:val="auto"/>
        </w:rPr>
      </w:pPr>
      <w:r>
        <w:rPr>
          <w:rFonts w:ascii="Arial" w:cs="Arial" w:eastAsia="Arial" w:hAnsi="Arial"/>
          <w:sz w:val="18"/>
          <w:szCs w:val="18"/>
          <w:b w:val="1"/>
          <w:bCs w:val="1"/>
          <w:u w:val="single" w:color="auto"/>
          <w:color w:val="auto"/>
        </w:rPr>
        <w:t>Modification and Waiver</w:t>
      </w:r>
      <w:r>
        <w:rPr>
          <w:rFonts w:ascii="Arial" w:cs="Arial" w:eastAsia="Arial" w:hAnsi="Arial"/>
          <w:sz w:val="18"/>
          <w:szCs w:val="18"/>
          <w:color w:val="auto"/>
        </w:rPr>
        <w:t>. This Agreement may not be amended, modified or supplemented except by a written instrument signed by</w:t>
      </w:r>
      <w:r>
        <w:rPr>
          <w:rFonts w:ascii="Arial" w:cs="Arial" w:eastAsia="Arial" w:hAnsi="Arial"/>
          <w:sz w:val="18"/>
          <w:szCs w:val="18"/>
          <w:b w:val="1"/>
          <w:bCs w:val="1"/>
          <w:color w:val="auto"/>
        </w:rPr>
        <w:t xml:space="preserve"> </w:t>
      </w:r>
      <w:r>
        <w:rPr>
          <w:rFonts w:ascii="Arial" w:cs="Arial" w:eastAsia="Arial" w:hAnsi="Arial"/>
          <w:sz w:val="18"/>
          <w:szCs w:val="18"/>
          <w:color w:val="auto"/>
        </w:rPr>
        <w:t>an authorized representative of each party hereto. Any term or provision hereof may be waived, or the time for its performance may be extended, by the party or parties entitled to the benefit thereof. Any such waiver or extension shall be validly and sufficiently authorized for the purposes hereof if, as to any party, it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430" w:name="page431"/>
    <w:bookmarkEnd w:id="43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authorized in writing by an authorized representative of such party. The failure or delay of any party to enforce at any time any provision hereof shall not be construed to be a waiver of such provision, nor in any way to affect the validity of this Agreement or any part hereof or the right of any party thereafter to enforce each and every such provision. No waiver of any breach hereof shall be held to constitute a waiver of any other or subsequent breach.</w:t>
      </w:r>
    </w:p>
    <w:p>
      <w:pPr>
        <w:spacing w:after="0" w:line="75" w:lineRule="exact"/>
        <w:rPr>
          <w:sz w:val="20"/>
          <w:szCs w:val="20"/>
          <w:color w:val="auto"/>
        </w:rPr>
      </w:pPr>
    </w:p>
    <w:p>
      <w:pPr>
        <w:jc w:val="both"/>
        <w:ind w:right="180" w:firstLine="996"/>
        <w:spacing w:after="0" w:line="266" w:lineRule="auto"/>
        <w:tabs>
          <w:tab w:leader="none" w:pos="1247" w:val="left"/>
        </w:tabs>
        <w:numPr>
          <w:ilvl w:val="0"/>
          <w:numId w:val="309"/>
        </w:numPr>
        <w:rPr>
          <w:rFonts w:ascii="Arial" w:cs="Arial" w:eastAsia="Arial" w:hAnsi="Arial"/>
          <w:sz w:val="18"/>
          <w:szCs w:val="18"/>
          <w:color w:val="auto"/>
        </w:rPr>
      </w:pP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Participant shall execute and deliver such additional documents, instruments, conveyances and assurances and</w:t>
      </w:r>
      <w:r>
        <w:rPr>
          <w:rFonts w:ascii="Arial" w:cs="Arial" w:eastAsia="Arial" w:hAnsi="Arial"/>
          <w:sz w:val="18"/>
          <w:szCs w:val="18"/>
          <w:b w:val="1"/>
          <w:bCs w:val="1"/>
          <w:color w:val="auto"/>
        </w:rPr>
        <w:t xml:space="preserve"> </w:t>
      </w:r>
      <w:r>
        <w:rPr>
          <w:rFonts w:ascii="Arial" w:cs="Arial" w:eastAsia="Arial" w:hAnsi="Arial"/>
          <w:sz w:val="18"/>
          <w:szCs w:val="18"/>
          <w:color w:val="auto"/>
        </w:rPr>
        <w:t>take such further actions as may reasonably be necessary or desirable in the view of the Company to carry out the purposes or intent hereof, including the applicable Exhibits attached hereto.</w:t>
      </w:r>
    </w:p>
    <w:p>
      <w:pPr>
        <w:spacing w:after="0" w:line="68" w:lineRule="exact"/>
        <w:rPr>
          <w:rFonts w:ascii="Arial" w:cs="Arial" w:eastAsia="Arial" w:hAnsi="Arial"/>
          <w:sz w:val="18"/>
          <w:szCs w:val="18"/>
          <w:color w:val="auto"/>
        </w:rPr>
      </w:pPr>
    </w:p>
    <w:p>
      <w:pPr>
        <w:ind w:right="100" w:firstLine="996"/>
        <w:spacing w:after="0" w:line="266" w:lineRule="auto"/>
        <w:tabs>
          <w:tab w:leader="none" w:pos="1207" w:val="left"/>
        </w:tabs>
        <w:numPr>
          <w:ilvl w:val="0"/>
          <w:numId w:val="309"/>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Should any provision contained herein be held as invalid, illegal or unenforceable, such holding shall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of the remainder of this Agreement, the balance of which shall continue to be binding upon the parties with any such modification to become a part hereof and treated as though originally set forth herein.</w:t>
      </w:r>
    </w:p>
    <w:p>
      <w:pPr>
        <w:spacing w:after="0" w:line="68" w:lineRule="exact"/>
        <w:rPr>
          <w:rFonts w:ascii="Arial" w:cs="Arial" w:eastAsia="Arial" w:hAnsi="Arial"/>
          <w:sz w:val="18"/>
          <w:szCs w:val="18"/>
          <w:color w:val="auto"/>
        </w:rPr>
      </w:pPr>
    </w:p>
    <w:p>
      <w:pPr>
        <w:ind w:firstLine="996"/>
        <w:spacing w:after="0" w:line="269" w:lineRule="auto"/>
        <w:tabs>
          <w:tab w:leader="none" w:pos="1207" w:val="left"/>
        </w:tabs>
        <w:numPr>
          <w:ilvl w:val="0"/>
          <w:numId w:val="309"/>
        </w:numPr>
        <w:rPr>
          <w:rFonts w:ascii="Arial" w:cs="Arial" w:eastAsia="Arial" w:hAnsi="Arial"/>
          <w:sz w:val="17"/>
          <w:szCs w:val="17"/>
          <w:color w:val="auto"/>
        </w:rPr>
      </w:pPr>
      <w:r>
        <w:rPr>
          <w:rFonts w:ascii="Arial" w:cs="Arial" w:eastAsia="Arial" w:hAnsi="Arial"/>
          <w:sz w:val="17"/>
          <w:szCs w:val="17"/>
          <w:b w:val="1"/>
          <w:bCs w:val="1"/>
          <w:u w:val="single" w:color="auto"/>
          <w:color w:val="auto"/>
        </w:rPr>
        <w:t>Interpretation</w:t>
      </w:r>
      <w:r>
        <w:rPr>
          <w:rFonts w:ascii="Arial" w:cs="Arial" w:eastAsia="Arial" w:hAnsi="Arial"/>
          <w:sz w:val="17"/>
          <w:szCs w:val="17"/>
          <w:color w:val="auto"/>
        </w:rPr>
        <w:t>. For purposes of this Agreement, (i) the words “include,” “includes” and “including” shall be deemed to be followed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words “without limitation,” (ii) the word “or” is not exclusive, (iii) the words “herein,” “hereof,” “hereby,” “hereto,” “hereunder” and words of similar import refer to this Agreement as a whole, and (iv) with respect to the determination of any period of time, “from” means “from and including” and “to” means “to but excluding.” Unless the context otherwise requires, references herein: (A) to a Section or an Exhibit mean a Section or an Exhibit of, or attached to, this Agreement; (B) to agreements, instruments and other documents shall be deemed to include all subsequent amendments, supplements and other modifications thereto; (C) to statutes or regulations are to be construed as including all statutory and regulatory provisions consolidating, amending or replacing the statute or regulation referred to; (D) to any Person includes such Person’s successors and assigns, but, if applicable, only if such successors and assigns are not prohibited by this Agreement; and (E) to any gender includes each other gender. The Exhibits attached hereto shall be construed with, and as an integral part of, this Agreement to the same extent as if they were set forth verbatim herein. The titles, captions and headings herein are for convenience of reference only and shall not affect the meaning or interpretation hereof. This Agreement shall be construed without regard to any presumption or rule requiring construction or interpretation against the party drafting an instrument or causing any instrument to be drafted.</w:t>
      </w:r>
    </w:p>
    <w:p>
      <w:pPr>
        <w:spacing w:after="0" w:line="71" w:lineRule="exact"/>
        <w:rPr>
          <w:rFonts w:ascii="Arial" w:cs="Arial" w:eastAsia="Arial" w:hAnsi="Arial"/>
          <w:sz w:val="17"/>
          <w:szCs w:val="17"/>
          <w:color w:val="auto"/>
        </w:rPr>
      </w:pPr>
    </w:p>
    <w:p>
      <w:pPr>
        <w:ind w:right="20" w:firstLine="996"/>
        <w:spacing w:after="0" w:line="295" w:lineRule="auto"/>
        <w:tabs>
          <w:tab w:leader="none" w:pos="1247" w:val="left"/>
        </w:tabs>
        <w:numPr>
          <w:ilvl w:val="0"/>
          <w:numId w:val="309"/>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may be executed in counterparts, each of which shall be considered an original, but all of which, when</w:t>
      </w:r>
      <w:r>
        <w:rPr>
          <w:rFonts w:ascii="Arial" w:cs="Arial" w:eastAsia="Arial" w:hAnsi="Arial"/>
          <w:sz w:val="16"/>
          <w:szCs w:val="16"/>
          <w:b w:val="1"/>
          <w:bCs w:val="1"/>
          <w:color w:val="auto"/>
        </w:rPr>
        <w:t xml:space="preserve"> </w:t>
      </w:r>
      <w:r>
        <w:rPr>
          <w:rFonts w:ascii="Arial" w:cs="Arial" w:eastAsia="Arial" w:hAnsi="Arial"/>
          <w:sz w:val="16"/>
          <w:szCs w:val="16"/>
          <w:color w:val="auto"/>
        </w:rPr>
        <w:t>taken together, shall be considered one and the same agreement, and shall become binding when one or more counterparts have been signed by each party hereto and delivered to the other party hereto. Delivery of an executed counterpart of a signature page to this Agreement shall be as effective as delivery of a manually executed counterpart of this Agreement. The exchange of copies of this Agreement and of signature pages hereto by facsimile transmission or e-mail shall constitute effective execution and delivery of this Agreement and may be used in lieu of the original Agreement for all purposes. Signatures transmitted by facsimile or e-mail shall be deemed to be original signatures for all purposes.</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3" w:right="479" w:bottom="1440" w:gutter="0" w:footer="0" w:header="0"/>
        </w:sectPr>
      </w:pPr>
    </w:p>
    <w:bookmarkStart w:id="431" w:name="page432"/>
    <w:bookmarkEnd w:id="431"/>
    <w:p>
      <w:pPr>
        <w:ind w:firstLine="996"/>
        <w:spacing w:after="0" w:line="256" w:lineRule="auto"/>
        <w:tabs>
          <w:tab w:leader="none" w:pos="1207" w:val="left"/>
        </w:tabs>
        <w:numPr>
          <w:ilvl w:val="0"/>
          <w:numId w:val="31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Service Relationship At Will</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acknowledges and agrees that the vesting of this Option pursuant hereto is earned only by his</w:t>
      </w:r>
      <w:r>
        <w:rPr>
          <w:rFonts w:ascii="Arial" w:cs="Arial" w:eastAsia="Arial" w:hAnsi="Arial"/>
          <w:sz w:val="18"/>
          <w:szCs w:val="18"/>
          <w:b w:val="1"/>
          <w:bCs w:val="1"/>
          <w:color w:val="auto"/>
        </w:rPr>
        <w:t xml:space="preserve"> </w:t>
      </w:r>
      <w:r>
        <w:rPr>
          <w:rFonts w:ascii="Arial" w:cs="Arial" w:eastAsia="Arial" w:hAnsi="Arial"/>
          <w:sz w:val="18"/>
          <w:szCs w:val="18"/>
          <w:color w:val="auto"/>
        </w:rPr>
        <w:t>or her continuing service as a Service Provider at will (and not through the act of being hired, being granted this Option or acquiring Shares hereunder). Participant further acknowledges and agrees that this Agreement, the transactions contemplated hereby and the vesting schedule set forth herein do not constitute an express or implied promise of continued engagement as a Service Provider for the vesting period, or for any period at all, and shall not interfere with the right of either the Company or Participant to terminate Participant’s relationship as a Service Provider at any time, with or without cause or notice.</w:t>
      </w:r>
    </w:p>
    <w:p>
      <w:pPr>
        <w:spacing w:after="0" w:line="79" w:lineRule="exact"/>
        <w:rPr>
          <w:rFonts w:ascii="Arial" w:cs="Arial" w:eastAsia="Arial" w:hAnsi="Arial"/>
          <w:sz w:val="18"/>
          <w:szCs w:val="18"/>
          <w:color w:val="auto"/>
        </w:rPr>
      </w:pPr>
    </w:p>
    <w:p>
      <w:pPr>
        <w:jc w:val="both"/>
        <w:ind w:right="340" w:firstLine="996"/>
        <w:spacing w:after="0" w:line="258" w:lineRule="auto"/>
        <w:tabs>
          <w:tab w:leader="none" w:pos="1297" w:val="left"/>
        </w:tabs>
        <w:numPr>
          <w:ilvl w:val="0"/>
          <w:numId w:val="310"/>
        </w:numPr>
        <w:rPr>
          <w:rFonts w:ascii="Arial" w:cs="Arial" w:eastAsia="Arial" w:hAnsi="Arial"/>
          <w:sz w:val="18"/>
          <w:szCs w:val="18"/>
          <w:color w:val="auto"/>
        </w:rPr>
      </w:pPr>
      <w:r>
        <w:rPr>
          <w:rFonts w:ascii="Arial" w:cs="Arial" w:eastAsia="Arial" w:hAnsi="Arial"/>
          <w:sz w:val="18"/>
          <w:szCs w:val="18"/>
          <w:b w:val="1"/>
          <w:bCs w:val="1"/>
          <w:u w:val="single" w:color="auto"/>
          <w:color w:val="auto"/>
        </w:rPr>
        <w:t>Third Party Beneficiary Rights</w:t>
      </w:r>
      <w:r>
        <w:rPr>
          <w:rFonts w:ascii="Arial" w:cs="Arial" w:eastAsia="Arial" w:hAnsi="Arial"/>
          <w:sz w:val="18"/>
          <w:szCs w:val="18"/>
          <w:color w:val="auto"/>
        </w:rPr>
        <w:t>. No provisions hereof are intended, nor shall be interpreted, to provide or create any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beneficiary rights or any other rights of any kind in any client, customer, affiliate, stockholder, partner or employee of any party hereto or any other Person, unless specifically provided otherwise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Section II.4 is intended to benefit the underwriters for any registered offering described in Section II.4, and such underwriters shall have the right, power and authority to enforce the provisions of Section II.4 as though they were parties hereto.</w:t>
      </w:r>
    </w:p>
    <w:p>
      <w:pPr>
        <w:spacing w:after="0" w:line="75" w:lineRule="exact"/>
        <w:rPr>
          <w:rFonts w:ascii="Arial" w:cs="Arial" w:eastAsia="Arial" w:hAnsi="Arial"/>
          <w:sz w:val="18"/>
          <w:szCs w:val="18"/>
          <w:color w:val="auto"/>
        </w:rPr>
      </w:pPr>
    </w:p>
    <w:p>
      <w:pPr>
        <w:ind w:right="80" w:firstLine="996"/>
        <w:spacing w:after="0" w:line="256" w:lineRule="auto"/>
        <w:tabs>
          <w:tab w:leader="none" w:pos="1247" w:val="left"/>
        </w:tabs>
        <w:numPr>
          <w:ilvl w:val="0"/>
          <w:numId w:val="310"/>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any dividend or other distribution (whether in the form of cash, Shares, other securities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recapitalization, reincorporation, stock split, reverse stock split, reorganization, merger, consolidation, split-up, spin-off, combination, reclassification, repurchase or exchange of Shares or other securities of the Company, or other change in the corporate structure of the Company affecting the Shares, the Administrator will appropriately adjust the number, class and price of Shares subject to this Option, with such adjustment to be made in accordance with Section 25102(o) of the California Corporations Code (to the extent the Company is relying upon the exemption afforded thereby with respect thereto) and Section 409A of the Code.</w:t>
      </w:r>
    </w:p>
    <w:p>
      <w:pPr>
        <w:spacing w:after="0" w:line="79" w:lineRule="exact"/>
        <w:rPr>
          <w:rFonts w:ascii="Arial" w:cs="Arial" w:eastAsia="Arial" w:hAnsi="Arial"/>
          <w:sz w:val="18"/>
          <w:szCs w:val="18"/>
          <w:color w:val="auto"/>
        </w:rPr>
      </w:pPr>
    </w:p>
    <w:p>
      <w:pPr>
        <w:ind w:right="180" w:firstLine="996"/>
        <w:spacing w:after="0" w:line="282" w:lineRule="auto"/>
        <w:tabs>
          <w:tab w:leader="none" w:pos="1247" w:val="left"/>
        </w:tabs>
        <w:numPr>
          <w:ilvl w:val="0"/>
          <w:numId w:val="310"/>
        </w:numPr>
        <w:rPr>
          <w:rFonts w:ascii="Arial" w:cs="Arial" w:eastAsia="Arial" w:hAnsi="Arial"/>
          <w:sz w:val="18"/>
          <w:szCs w:val="18"/>
          <w:color w:val="auto"/>
        </w:rPr>
      </w:pPr>
      <w:r>
        <w:rPr>
          <w:rFonts w:ascii="Arial" w:cs="Arial" w:eastAsia="Arial" w:hAnsi="Arial"/>
          <w:sz w:val="18"/>
          <w:szCs w:val="18"/>
          <w:b w:val="1"/>
          <w:bCs w:val="1"/>
          <w:u w:val="single" w:color="auto"/>
          <w:color w:val="auto"/>
        </w:rPr>
        <w:t>No Impact on Other Benefits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value of this Option is not part of Participant’s normal or expected compensation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calculating any severance, retirement, welfare, insurance or similar employee benefit.</w:t>
      </w:r>
    </w:p>
    <w:p>
      <w:pPr>
        <w:spacing w:after="0" w:line="53" w:lineRule="exact"/>
        <w:rPr>
          <w:rFonts w:ascii="Arial" w:cs="Arial" w:eastAsia="Arial" w:hAnsi="Arial"/>
          <w:sz w:val="18"/>
          <w:szCs w:val="18"/>
          <w:color w:val="auto"/>
        </w:rPr>
      </w:pPr>
    </w:p>
    <w:p>
      <w:pPr>
        <w:ind w:right="20" w:firstLine="996"/>
        <w:spacing w:after="0" w:line="292" w:lineRule="auto"/>
        <w:tabs>
          <w:tab w:leader="none" w:pos="1247" w:val="left"/>
        </w:tabs>
        <w:numPr>
          <w:ilvl w:val="0"/>
          <w:numId w:val="310"/>
        </w:numPr>
        <w:rPr>
          <w:rFonts w:ascii="Arial" w:cs="Arial" w:eastAsia="Arial" w:hAnsi="Arial"/>
          <w:sz w:val="16"/>
          <w:szCs w:val="16"/>
          <w:color w:val="auto"/>
        </w:rPr>
      </w:pPr>
      <w:r>
        <w:rPr>
          <w:rFonts w:ascii="Arial" w:cs="Arial" w:eastAsia="Arial" w:hAnsi="Arial"/>
          <w:sz w:val="16"/>
          <w:szCs w:val="16"/>
          <w:b w:val="1"/>
          <w:bCs w:val="1"/>
          <w:u w:val="single" w:color="auto"/>
          <w:color w:val="auto"/>
        </w:rPr>
        <w:t>Acceptance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acknowledges receipt of a copy of the Plan and represents that he or she is familiar with the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thereof and hereby accepts this Option subject to all of the terms and provisions of the Plan and this Agreement (including all Exhibits attached hereto). Participant has reviewed, and fully understands all provisions of, the Plan and this Agreement in their entirety (including all Exhibits attached hereto) and has had an opportunity to obtain the advice of his or her own legal counsel, tax advisors and other advisors prior to executing this Agreement. Any questions or disputes regarding the interpretation of the Plan or this Agreement (including all Exhibits attached hereto), or arising hereunder or thereunder, shall be submitted by the Company or Participant to the Administrator, and Participant hereby agrees to accept as final, binding and conclusive all decisions, determinations and interpretations of the Administrator upon any such questions or disputes.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0" w:right="439" w:bottom="1440" w:gutter="0" w:footer="0" w:header="0"/>
        </w:sectPr>
      </w:pPr>
    </w:p>
    <w:bookmarkStart w:id="432" w:name="page433"/>
    <w:bookmarkEnd w:id="432"/>
    <w:p>
      <w:pPr>
        <w:ind w:left="-80" w:firstLine="996"/>
        <w:spacing w:after="0" w:line="295" w:lineRule="auto"/>
        <w:tabs>
          <w:tab w:leader="none" w:pos="1167" w:val="left"/>
        </w:tabs>
        <w:numPr>
          <w:ilvl w:val="0"/>
          <w:numId w:val="311"/>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Equitable Relief</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breach or threatened breach by Participant of any provision hereof, Participant hereby consents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agrees that the Company may seek, in addition to other available remedies, injunctive or other equitable relief from any court of competent jurisdiction, without the necessity of showing any actual damages or that money damages would not afford an adequate remedy, and without the necessity of posting any bond or other security. Participant understands that any breach or threatened breach of this Agreement will cause irreparable injury and that money damages will not provide an adequate remedy therefor, and Participant hereby consents to the issuance of an injunction or other equitable relief. The aforementioned equitable relief shall be in addition to, and not in lieu of, legal remedies, monetary damages or other available forms of relief.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520" w:top="270" w:right="499" w:bottom="1440" w:gutter="0" w:footer="0" w:header="0"/>
        </w:sectPr>
      </w:pPr>
    </w:p>
    <w:bookmarkStart w:id="433" w:name="page434"/>
    <w:bookmarkEnd w:id="43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have executed this Stock Option Agreement as of the date first above written.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4D MOLECULAR THERAPEUTICS,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David Kirn</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ind w:left="4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418"/>
        </w:trPr>
        <w:tc>
          <w:tcPr>
            <w:tcW w:w="1500" w:type="dxa"/>
            <w:vAlign w:val="bottom"/>
            <w:gridSpan w:val="3"/>
          </w:tcPr>
          <w:p>
            <w:pPr>
              <w:spacing w:after="0"/>
              <w:rPr>
                <w:sz w:val="20"/>
                <w:szCs w:val="20"/>
                <w:color w:val="auto"/>
              </w:rPr>
            </w:pPr>
            <w:r>
              <w:rPr>
                <w:rFonts w:ascii="Arial" w:cs="Arial" w:eastAsia="Arial" w:hAnsi="Arial"/>
                <w:sz w:val="18"/>
                <w:szCs w:val="18"/>
                <w:color w:val="auto"/>
              </w:rPr>
              <w:t>Notice Address:</w:t>
            </w:r>
          </w:p>
        </w:tc>
        <w:tc>
          <w:tcPr>
            <w:tcW w:w="2920" w:type="dxa"/>
            <w:vAlign w:val="bottom"/>
          </w:tcPr>
          <w:p>
            <w:pPr>
              <w:ind w:left="60"/>
              <w:spacing w:after="0"/>
              <w:rPr>
                <w:sz w:val="20"/>
                <w:szCs w:val="20"/>
                <w:color w:val="auto"/>
              </w:rPr>
            </w:pPr>
            <w:r>
              <w:rPr>
                <w:rFonts w:ascii="Arial" w:cs="Arial" w:eastAsia="Arial" w:hAnsi="Arial"/>
                <w:sz w:val="18"/>
                <w:szCs w:val="18"/>
                <w:color w:val="auto"/>
              </w:rPr>
              <w:t>5980 Horton Street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20" w:type="dxa"/>
            <w:vAlign w:val="bottom"/>
          </w:tcPr>
          <w:p>
            <w:pPr>
              <w:ind w:left="60"/>
              <w:spacing w:after="0"/>
              <w:rPr>
                <w:sz w:val="20"/>
                <w:szCs w:val="20"/>
                <w:color w:val="auto"/>
              </w:rPr>
            </w:pPr>
            <w:r>
              <w:rPr>
                <w:rFonts w:ascii="Arial" w:cs="Arial" w:eastAsia="Arial" w:hAnsi="Arial"/>
                <w:sz w:val="18"/>
                <w:szCs w:val="18"/>
                <w:color w:val="auto"/>
              </w:rPr>
              <w:t>Suite 460</w:t>
            </w:r>
          </w:p>
        </w:tc>
        <w:tc>
          <w:tcPr>
            <w:tcW w:w="0" w:type="dxa"/>
            <w:vAlign w:val="bottom"/>
          </w:tcPr>
          <w:p>
            <w:pPr>
              <w:spacing w:after="0"/>
              <w:rPr>
                <w:sz w:val="1"/>
                <w:szCs w:val="1"/>
                <w:color w:val="auto"/>
              </w:rPr>
            </w:pPr>
          </w:p>
        </w:tc>
      </w:tr>
      <w:tr>
        <w:trPr>
          <w:trHeight w:val="230"/>
        </w:trPr>
        <w:tc>
          <w:tcPr>
            <w:tcW w:w="1500" w:type="dxa"/>
            <w:vAlign w:val="bottom"/>
            <w:gridSpan w:val="3"/>
            <w:vMerge w:val="restart"/>
          </w:tcPr>
          <w:p>
            <w:pPr>
              <w:spacing w:after="0"/>
              <w:rPr>
                <w:sz w:val="20"/>
                <w:szCs w:val="20"/>
                <w:color w:val="auto"/>
              </w:rPr>
            </w:pPr>
            <w:r>
              <w:rPr>
                <w:rFonts w:ascii="Arial" w:cs="Arial" w:eastAsia="Arial" w:hAnsi="Arial"/>
                <w:sz w:val="18"/>
                <w:szCs w:val="18"/>
                <w:color w:val="auto"/>
              </w:rPr>
              <w:t>Facsimile:</w:t>
            </w:r>
          </w:p>
        </w:tc>
        <w:tc>
          <w:tcPr>
            <w:tcW w:w="2920" w:type="dxa"/>
            <w:vAlign w:val="bottom"/>
          </w:tcPr>
          <w:p>
            <w:pPr>
              <w:ind w:left="60"/>
              <w:spacing w:after="0"/>
              <w:rPr>
                <w:sz w:val="20"/>
                <w:szCs w:val="20"/>
                <w:color w:val="auto"/>
              </w:rPr>
            </w:pPr>
            <w:r>
              <w:rPr>
                <w:rFonts w:ascii="Arial" w:cs="Arial" w:eastAsia="Arial" w:hAnsi="Arial"/>
                <w:sz w:val="18"/>
                <w:szCs w:val="18"/>
                <w:color w:val="auto"/>
              </w:rPr>
              <w:t>Emeryville, CA 94608</w:t>
            </w:r>
          </w:p>
        </w:tc>
        <w:tc>
          <w:tcPr>
            <w:tcW w:w="0" w:type="dxa"/>
            <w:vAlign w:val="bottom"/>
          </w:tcPr>
          <w:p>
            <w:pPr>
              <w:spacing w:after="0"/>
              <w:rPr>
                <w:sz w:val="1"/>
                <w:szCs w:val="1"/>
                <w:color w:val="auto"/>
              </w:rPr>
            </w:pPr>
          </w:p>
        </w:tc>
      </w:tr>
      <w:tr>
        <w:trPr>
          <w:trHeight w:val="202"/>
        </w:trPr>
        <w:tc>
          <w:tcPr>
            <w:tcW w:w="1500" w:type="dxa"/>
            <w:vAlign w:val="bottom"/>
            <w:gridSpan w:val="3"/>
            <w:vMerge w:val="continue"/>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w w:val="99"/>
              </w:rPr>
              <w:t>E-mail:</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gridSpan w:val="3"/>
          </w:tcPr>
          <w:p>
            <w:pPr>
              <w:spacing w:after="0"/>
              <w:rPr>
                <w:sz w:val="20"/>
                <w:szCs w:val="20"/>
                <w:color w:val="auto"/>
              </w:rPr>
            </w:pPr>
            <w:r>
              <w:rPr>
                <w:rFonts w:ascii="Arial" w:cs="Arial" w:eastAsia="Arial" w:hAnsi="Arial"/>
                <w:sz w:val="18"/>
                <w:szCs w:val="18"/>
                <w:color w:val="auto"/>
              </w:rPr>
              <w:t>Attention:</w:t>
            </w:r>
          </w:p>
        </w:tc>
        <w:tc>
          <w:tcPr>
            <w:tcW w:w="2920" w:type="dxa"/>
            <w:vAlign w:val="bottom"/>
          </w:tcPr>
          <w:p>
            <w:pPr>
              <w:ind w:left="6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279590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Notice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14605</wp:posOffset>
            </wp:positionV>
            <wp:extent cx="180975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169545</wp:posOffset>
            </wp:positionV>
            <wp:extent cx="180975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323850</wp:posOffset>
            </wp:positionV>
            <wp:extent cx="180975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 2015 Equity Incentive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 – Option Exercise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 Investment Representation Statement</w:t>
      </w:r>
    </w:p>
    <w:p>
      <w:pPr>
        <w:spacing w:after="0" w:line="211" w:lineRule="exact"/>
        <w:rPr>
          <w:sz w:val="20"/>
          <w:szCs w:val="20"/>
          <w:color w:val="auto"/>
        </w:rPr>
      </w:pPr>
    </w:p>
    <w:p>
      <w:pPr>
        <w:ind w:left="3860"/>
        <w:spacing w:after="0"/>
        <w:rPr>
          <w:sz w:val="20"/>
          <w:szCs w:val="20"/>
          <w:color w:val="auto"/>
        </w:rPr>
      </w:pPr>
      <w:r>
        <w:rPr>
          <w:rFonts w:ascii="Arial" w:cs="Arial" w:eastAsia="Arial" w:hAnsi="Arial"/>
          <w:sz w:val="18"/>
          <w:szCs w:val="18"/>
          <w:b w:val="1"/>
          <w:bCs w:val="1"/>
          <w:i w:val="1"/>
          <w:iCs w:val="1"/>
          <w:color w:val="auto"/>
        </w:rPr>
        <w:t>[Signature Page to Stock Option Agreement]</w:t>
      </w:r>
    </w:p>
    <w:p>
      <w:pPr>
        <w:sectPr>
          <w:pgSz w:w="11900" w:h="16838" w:orient="portrait"/>
          <w:cols w:equalWidth="0" w:num="1">
            <w:col w:w="10019"/>
          </w:cols>
          <w:pgMar w:left="440" w:top="274" w:right="1440" w:bottom="1440" w:gutter="0" w:footer="0" w:header="0"/>
        </w:sectPr>
      </w:pPr>
    </w:p>
    <w:bookmarkStart w:id="434" w:name="page435"/>
    <w:bookmarkEnd w:id="4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4D MOLECULAR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EQUITY INCENTIVE PLAN</w:t>
      </w:r>
    </w:p>
    <w:p>
      <w:pPr>
        <w:sectPr>
          <w:pgSz w:w="11900" w:h="16838" w:orient="portrait"/>
          <w:cols w:equalWidth="0" w:num="1">
            <w:col w:w="9019"/>
          </w:cols>
          <w:pgMar w:left="1440" w:top="270" w:right="1440" w:bottom="1440" w:gutter="0" w:footer="0" w:header="0"/>
        </w:sectPr>
      </w:pPr>
    </w:p>
    <w:bookmarkStart w:id="435" w:name="page436"/>
    <w:bookmarkEnd w:id="435"/>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20" w:type="dxa"/>
            <w:vAlign w:val="bottom"/>
          </w:tcPr>
          <w:p>
            <w:pPr>
              <w:jc w:val="center"/>
              <w:ind w:right="4350"/>
              <w:spacing w:after="0"/>
              <w:rPr>
                <w:sz w:val="20"/>
                <w:szCs w:val="20"/>
                <w:color w:val="auto"/>
              </w:rPr>
            </w:pPr>
            <w:r>
              <w:rPr>
                <w:rFonts w:ascii="Arial" w:cs="Arial" w:eastAsia="Arial" w:hAnsi="Arial"/>
                <w:sz w:val="18"/>
                <w:szCs w:val="18"/>
                <w:b w:val="1"/>
                <w:bCs w:val="1"/>
                <w:color w:val="auto"/>
              </w:rPr>
              <w:t>EXHIBIT B</w:t>
            </w:r>
          </w:p>
        </w:tc>
      </w:tr>
      <w:tr>
        <w:trPr>
          <w:trHeight w:val="432"/>
        </w:trPr>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120" w:type="dxa"/>
            <w:vAlign w:val="bottom"/>
            <w:gridSpan w:val="2"/>
          </w:tcPr>
          <w:p>
            <w:pPr>
              <w:jc w:val="center"/>
              <w:ind w:right="3450"/>
              <w:spacing w:after="0"/>
              <w:rPr>
                <w:sz w:val="20"/>
                <w:szCs w:val="20"/>
                <w:color w:val="auto"/>
              </w:rPr>
            </w:pPr>
            <w:r>
              <w:rPr>
                <w:rFonts w:ascii="Arial" w:cs="Arial" w:eastAsia="Arial" w:hAnsi="Arial"/>
                <w:sz w:val="18"/>
                <w:szCs w:val="18"/>
                <w:b w:val="1"/>
                <w:bCs w:val="1"/>
                <w:color w:val="auto"/>
              </w:rPr>
              <w:t>OPTION EXERCISE NOTICE</w:t>
            </w:r>
          </w:p>
        </w:tc>
      </w:tr>
      <w:tr>
        <w:trPr>
          <w:trHeight w:val="418"/>
        </w:trPr>
        <w:tc>
          <w:tcPr>
            <w:tcW w:w="2540" w:type="dxa"/>
            <w:vAlign w:val="bottom"/>
            <w:gridSpan w:val="4"/>
          </w:tcPr>
          <w:p>
            <w:pPr>
              <w:spacing w:after="0"/>
              <w:rPr>
                <w:sz w:val="20"/>
                <w:szCs w:val="20"/>
                <w:color w:val="auto"/>
              </w:rPr>
            </w:pPr>
            <w:r>
              <w:rPr>
                <w:rFonts w:ascii="Arial" w:cs="Arial" w:eastAsia="Arial" w:hAnsi="Arial"/>
                <w:sz w:val="18"/>
                <w:szCs w:val="18"/>
                <w:color w:val="auto"/>
                <w:w w:val="99"/>
              </w:rPr>
              <w:t>4D Molecular Therapeutics, Inc.</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20" w:type="dxa"/>
            <w:vAlign w:val="bottom"/>
          </w:tcPr>
          <w:p>
            <w:pPr>
              <w:spacing w:after="0"/>
              <w:rPr>
                <w:sz w:val="24"/>
                <w:szCs w:val="24"/>
                <w:color w:val="auto"/>
              </w:rPr>
            </w:pPr>
          </w:p>
        </w:tc>
      </w:tr>
      <w:tr>
        <w:trPr>
          <w:trHeight w:val="216"/>
        </w:trPr>
        <w:tc>
          <w:tcPr>
            <w:tcW w:w="2540" w:type="dxa"/>
            <w:vAlign w:val="bottom"/>
            <w:gridSpan w:val="4"/>
          </w:tcPr>
          <w:p>
            <w:pPr>
              <w:spacing w:after="0"/>
              <w:rPr>
                <w:sz w:val="20"/>
                <w:szCs w:val="20"/>
                <w:color w:val="auto"/>
              </w:rPr>
            </w:pPr>
            <w:r>
              <w:rPr>
                <w:rFonts w:ascii="Arial" w:cs="Arial" w:eastAsia="Arial" w:hAnsi="Arial"/>
                <w:sz w:val="18"/>
                <w:szCs w:val="18"/>
                <w:color w:val="auto"/>
              </w:rPr>
              <w:t>5980 Horton Street, Suite 460</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20" w:type="dxa"/>
            <w:vAlign w:val="bottom"/>
          </w:tcPr>
          <w:p>
            <w:pPr>
              <w:spacing w:after="0"/>
              <w:rPr>
                <w:sz w:val="18"/>
                <w:szCs w:val="18"/>
                <w:color w:val="auto"/>
              </w:rPr>
            </w:pPr>
          </w:p>
        </w:tc>
      </w:tr>
      <w:tr>
        <w:trPr>
          <w:trHeight w:val="216"/>
        </w:trPr>
        <w:tc>
          <w:tcPr>
            <w:tcW w:w="2540" w:type="dxa"/>
            <w:vAlign w:val="bottom"/>
            <w:gridSpan w:val="4"/>
          </w:tcPr>
          <w:p>
            <w:pPr>
              <w:spacing w:after="0"/>
              <w:rPr>
                <w:sz w:val="20"/>
                <w:szCs w:val="20"/>
                <w:color w:val="auto"/>
              </w:rPr>
            </w:pPr>
            <w:r>
              <w:rPr>
                <w:rFonts w:ascii="Arial" w:cs="Arial" w:eastAsia="Arial" w:hAnsi="Arial"/>
                <w:sz w:val="18"/>
                <w:szCs w:val="18"/>
                <w:color w:val="auto"/>
              </w:rPr>
              <w:t>Emeryville, CA 94608</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20" w:type="dxa"/>
            <w:vAlign w:val="bottom"/>
          </w:tcPr>
          <w:p>
            <w:pPr>
              <w:spacing w:after="0"/>
              <w:rPr>
                <w:sz w:val="18"/>
                <w:szCs w:val="18"/>
                <w:color w:val="auto"/>
              </w:rPr>
            </w:pPr>
          </w:p>
        </w:tc>
      </w:tr>
      <w:tr>
        <w:trPr>
          <w:trHeight w:val="230"/>
        </w:trPr>
        <w:tc>
          <w:tcPr>
            <w:tcW w:w="2540" w:type="dxa"/>
            <w:vAlign w:val="bottom"/>
            <w:gridSpan w:val="4"/>
          </w:tcPr>
          <w:p>
            <w:pPr>
              <w:spacing w:after="0"/>
              <w:rPr>
                <w:sz w:val="20"/>
                <w:szCs w:val="20"/>
                <w:color w:val="auto"/>
              </w:rPr>
            </w:pPr>
            <w:r>
              <w:rPr>
                <w:rFonts w:ascii="Arial" w:cs="Arial" w:eastAsia="Arial" w:hAnsi="Arial"/>
                <w:sz w:val="18"/>
                <w:szCs w:val="18"/>
                <w:color w:val="auto"/>
              </w:rPr>
              <w:t>Attention: Secretary</w:t>
            </w: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20" w:type="dxa"/>
            <w:vAlign w:val="bottom"/>
          </w:tcPr>
          <w:p>
            <w:pPr>
              <w:spacing w:after="0"/>
              <w:rPr>
                <w:sz w:val="20"/>
                <w:szCs w:val="20"/>
                <w:color w:val="auto"/>
              </w:rPr>
            </w:pPr>
          </w:p>
        </w:tc>
      </w:tr>
      <w:tr>
        <w:trPr>
          <w:trHeight w:val="392"/>
        </w:trPr>
        <w:tc>
          <w:tcPr>
            <w:tcW w:w="3720" w:type="dxa"/>
            <w:vAlign w:val="bottom"/>
            <w:gridSpan w:val="5"/>
          </w:tcPr>
          <w:p>
            <w:pPr>
              <w:ind w:left="440"/>
              <w:spacing w:after="0"/>
              <w:rPr>
                <w:sz w:val="20"/>
                <w:szCs w:val="20"/>
                <w:color w:val="auto"/>
              </w:rPr>
            </w:pPr>
            <w:r>
              <w:rPr>
                <w:rFonts w:ascii="Arial" w:cs="Arial" w:eastAsia="Arial" w:hAnsi="Arial"/>
                <w:sz w:val="18"/>
                <w:szCs w:val="18"/>
                <w:color w:val="auto"/>
                <w:w w:val="91"/>
              </w:rPr>
              <w:t xml:space="preserve">1. </w:t>
            </w:r>
            <w:r>
              <w:rPr>
                <w:rFonts w:ascii="Arial" w:cs="Arial" w:eastAsia="Arial" w:hAnsi="Arial"/>
                <w:sz w:val="18"/>
                <w:szCs w:val="18"/>
                <w:b w:val="1"/>
                <w:bCs w:val="1"/>
                <w:color w:val="auto"/>
                <w:w w:val="91"/>
              </w:rPr>
              <w:t>Exercise of Option</w:t>
            </w:r>
            <w:r>
              <w:rPr>
                <w:rFonts w:ascii="Arial" w:cs="Arial" w:eastAsia="Arial" w:hAnsi="Arial"/>
                <w:sz w:val="18"/>
                <w:szCs w:val="18"/>
                <w:color w:val="auto"/>
                <w:w w:val="91"/>
              </w:rPr>
              <w:t>. Effective as of today,</w:t>
            </w:r>
          </w:p>
        </w:tc>
        <w:tc>
          <w:tcPr>
            <w:tcW w:w="7120" w:type="dxa"/>
            <w:vAlign w:val="bottom"/>
            <w:gridSpan w:val="2"/>
          </w:tcPr>
          <w:p>
            <w:pPr>
              <w:ind w:left="900"/>
              <w:spacing w:after="0"/>
              <w:rPr>
                <w:sz w:val="20"/>
                <w:szCs w:val="20"/>
                <w:color w:val="auto"/>
              </w:rPr>
            </w:pPr>
            <w:r>
              <w:rPr>
                <w:rFonts w:ascii="Arial" w:cs="Arial" w:eastAsia="Arial" w:hAnsi="Arial"/>
                <w:sz w:val="18"/>
                <w:szCs w:val="18"/>
                <w:color w:val="auto"/>
                <w:w w:val="94"/>
              </w:rPr>
              <w:t>, the undersigned (“</w:t>
            </w:r>
            <w:r>
              <w:rPr>
                <w:rFonts w:ascii="Arial" w:cs="Arial" w:eastAsia="Arial" w:hAnsi="Arial"/>
                <w:sz w:val="18"/>
                <w:szCs w:val="18"/>
                <w:b w:val="1"/>
                <w:bCs w:val="1"/>
                <w:i w:val="1"/>
                <w:iCs w:val="1"/>
                <w:color w:val="auto"/>
                <w:w w:val="94"/>
              </w:rPr>
              <w:t>Participant</w:t>
            </w:r>
            <w:r>
              <w:rPr>
                <w:rFonts w:ascii="Arial" w:cs="Arial" w:eastAsia="Arial" w:hAnsi="Arial"/>
                <w:sz w:val="18"/>
                <w:szCs w:val="18"/>
                <w:color w:val="auto"/>
                <w:w w:val="94"/>
              </w:rPr>
              <w:t>”) hereby elects to exercise Participant’s option (the</w:t>
            </w: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196"/>
        </w:trPr>
        <w:tc>
          <w:tcPr>
            <w:tcW w:w="1640" w:type="dxa"/>
            <w:vAlign w:val="bottom"/>
            <w:gridSpan w:val="2"/>
          </w:tcPr>
          <w:p>
            <w:pPr>
              <w:spacing w:after="0" w:line="196" w:lineRule="exact"/>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i w:val="1"/>
                <w:iCs w:val="1"/>
                <w:color w:val="auto"/>
                <w:w w:val="92"/>
              </w:rPr>
              <w:t>Option</w:t>
            </w:r>
            <w:r>
              <w:rPr>
                <w:rFonts w:ascii="Arial" w:cs="Arial" w:eastAsia="Arial" w:hAnsi="Arial"/>
                <w:sz w:val="18"/>
                <w:szCs w:val="18"/>
                <w:color w:val="auto"/>
                <w:w w:val="92"/>
              </w:rPr>
              <w:t>”) to purchase</w:t>
            </w:r>
          </w:p>
        </w:tc>
        <w:tc>
          <w:tcPr>
            <w:tcW w:w="900" w:type="dxa"/>
            <w:vAlign w:val="bottom"/>
            <w:tcBorders>
              <w:bottom w:val="single" w:sz="8" w:color="auto"/>
            </w:tcBorders>
            <w:gridSpan w:val="2"/>
          </w:tcPr>
          <w:p>
            <w:pPr>
              <w:spacing w:after="0"/>
              <w:rPr>
                <w:sz w:val="17"/>
                <w:szCs w:val="17"/>
                <w:color w:val="auto"/>
              </w:rPr>
            </w:pPr>
          </w:p>
        </w:tc>
        <w:tc>
          <w:tcPr>
            <w:tcW w:w="8300" w:type="dxa"/>
            <w:vAlign w:val="bottom"/>
            <w:gridSpan w:val="3"/>
          </w:tcPr>
          <w:p>
            <w:pPr>
              <w:ind w:left="60"/>
              <w:spacing w:after="0" w:line="196" w:lineRule="exact"/>
              <w:rPr>
                <w:sz w:val="20"/>
                <w:szCs w:val="20"/>
                <w:color w:val="auto"/>
              </w:rPr>
            </w:pPr>
            <w:r>
              <w:rPr>
                <w:rFonts w:ascii="Arial" w:cs="Arial" w:eastAsia="Arial" w:hAnsi="Arial"/>
                <w:sz w:val="18"/>
                <w:szCs w:val="18"/>
                <w:color w:val="auto"/>
                <w:w w:val="90"/>
              </w:rPr>
              <w:t>shares (the “</w:t>
            </w:r>
            <w:r>
              <w:rPr>
                <w:rFonts w:ascii="Arial" w:cs="Arial" w:eastAsia="Arial" w:hAnsi="Arial"/>
                <w:sz w:val="18"/>
                <w:szCs w:val="18"/>
                <w:b w:val="1"/>
                <w:bCs w:val="1"/>
                <w:i w:val="1"/>
                <w:iCs w:val="1"/>
                <w:color w:val="auto"/>
                <w:w w:val="90"/>
              </w:rPr>
              <w:t>Exercised Shares</w:t>
            </w:r>
            <w:r>
              <w:rPr>
                <w:rFonts w:ascii="Arial" w:cs="Arial" w:eastAsia="Arial" w:hAnsi="Arial"/>
                <w:sz w:val="18"/>
                <w:szCs w:val="18"/>
                <w:color w:val="auto"/>
                <w:w w:val="90"/>
              </w:rPr>
              <w:t>”) of the common stock of 4D Molecular Therapeutics, Inc., a Delaware corporation</w:t>
            </w: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80"/>
        <w:spacing w:after="0" w:line="27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under and pursuant to the Company’s 2015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that certain Stock Option Agreement made and entered into as of «Date_of_Grant» by and between the Company and Participant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w:t>
      </w:r>
    </w:p>
    <w:p>
      <w:pPr>
        <w:spacing w:after="0" w:line="58" w:lineRule="exact"/>
        <w:rPr>
          <w:sz w:val="20"/>
          <w:szCs w:val="20"/>
          <w:color w:val="auto"/>
        </w:rPr>
      </w:pPr>
    </w:p>
    <w:p>
      <w:pPr>
        <w:ind w:right="260" w:firstLine="444"/>
        <w:spacing w:after="0" w:line="282" w:lineRule="auto"/>
        <w:tabs>
          <w:tab w:leader="none" w:pos="621" w:val="left"/>
        </w:tabs>
        <w:numPr>
          <w:ilvl w:val="0"/>
          <w:numId w:val="312"/>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Delivery of Payment</w:t>
      </w:r>
      <w:r>
        <w:rPr>
          <w:rFonts w:ascii="Arial" w:cs="Arial" w:eastAsia="Arial" w:hAnsi="Arial"/>
          <w:sz w:val="18"/>
          <w:szCs w:val="18"/>
          <w:color w:val="auto"/>
        </w:rPr>
        <w:t>. Participant herewith delivers to the Company the full exercise price of the Exercised Shares, as set forth in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any and all withholding taxes due in connection with the exercise of the Option.</w:t>
      </w:r>
    </w:p>
    <w:p>
      <w:pPr>
        <w:spacing w:after="0" w:line="53" w:lineRule="exact"/>
        <w:rPr>
          <w:rFonts w:ascii="Arial" w:cs="Arial" w:eastAsia="Arial" w:hAnsi="Arial"/>
          <w:sz w:val="18"/>
          <w:szCs w:val="18"/>
          <w:color w:val="auto"/>
        </w:rPr>
      </w:pPr>
    </w:p>
    <w:p>
      <w:pPr>
        <w:ind w:right="740" w:firstLine="444"/>
        <w:spacing w:after="0" w:line="282" w:lineRule="auto"/>
        <w:tabs>
          <w:tab w:leader="none" w:pos="621" w:val="left"/>
        </w:tabs>
        <w:numPr>
          <w:ilvl w:val="0"/>
          <w:numId w:val="312"/>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of Participant</w:t>
      </w:r>
      <w:r>
        <w:rPr>
          <w:rFonts w:ascii="Arial" w:cs="Arial" w:eastAsia="Arial" w:hAnsi="Arial"/>
          <w:sz w:val="18"/>
          <w:szCs w:val="18"/>
          <w:color w:val="auto"/>
        </w:rPr>
        <w:t>. Participant acknowledges that Participant has received, read and understood the Plan and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agrees to abide, and be bound, by their terms and conditions.</w:t>
      </w:r>
    </w:p>
    <w:p>
      <w:pPr>
        <w:spacing w:after="0" w:line="53" w:lineRule="exact"/>
        <w:rPr>
          <w:rFonts w:ascii="Arial" w:cs="Arial" w:eastAsia="Arial" w:hAnsi="Arial"/>
          <w:sz w:val="18"/>
          <w:szCs w:val="18"/>
          <w:color w:val="auto"/>
        </w:rPr>
      </w:pPr>
    </w:p>
    <w:p>
      <w:pPr>
        <w:ind w:firstLine="444"/>
        <w:spacing w:after="0" w:line="277" w:lineRule="auto"/>
        <w:tabs>
          <w:tab w:leader="none" w:pos="621" w:val="left"/>
        </w:tabs>
        <w:numPr>
          <w:ilvl w:val="0"/>
          <w:numId w:val="312"/>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Rights as Stockholder</w:t>
      </w:r>
      <w:r>
        <w:rPr>
          <w:rFonts w:ascii="Arial" w:cs="Arial" w:eastAsia="Arial" w:hAnsi="Arial"/>
          <w:sz w:val="17"/>
          <w:szCs w:val="17"/>
          <w:color w:val="auto"/>
        </w:rPr>
        <w:t>. Until the issuance of the Exercised Shares (as evidenced by the appropriate entry on the books of the Company or of a</w:t>
      </w:r>
      <w:r>
        <w:rPr>
          <w:rFonts w:ascii="Arial" w:cs="Arial" w:eastAsia="Arial" w:hAnsi="Arial"/>
          <w:sz w:val="17"/>
          <w:szCs w:val="17"/>
          <w:b w:val="1"/>
          <w:bCs w:val="1"/>
          <w:color w:val="auto"/>
        </w:rPr>
        <w:t xml:space="preserve"> </w:t>
      </w:r>
      <w:r>
        <w:rPr>
          <w:rFonts w:ascii="Arial" w:cs="Arial" w:eastAsia="Arial" w:hAnsi="Arial"/>
          <w:sz w:val="17"/>
          <w:szCs w:val="17"/>
          <w:color w:val="auto"/>
        </w:rPr>
        <w:t>duly authorized transfer agent of the Company), no right to vote or receive dividends or other distributions or any other rights as a stockholder shall exist with respect to the Exercised Shares, notwithstanding the exercise of the Option. The Exercised Shares shall be issued to Participant as soon as practicable after the Option is exercised in accordance with the Option Agreement. No adjustment shall be made for a dividend or distribution or other right for which the record date is prior to the date of issuance, except as provided in Section 13 of the Plan.</w:t>
      </w:r>
    </w:p>
    <w:p>
      <w:pPr>
        <w:spacing w:after="0" w:line="60" w:lineRule="exact"/>
        <w:rPr>
          <w:rFonts w:ascii="Arial" w:cs="Arial" w:eastAsia="Arial" w:hAnsi="Arial"/>
          <w:sz w:val="17"/>
          <w:szCs w:val="17"/>
          <w:color w:val="auto"/>
        </w:rPr>
      </w:pPr>
    </w:p>
    <w:p>
      <w:pPr>
        <w:ind w:right="160" w:firstLine="444"/>
        <w:spacing w:after="0" w:line="347" w:lineRule="auto"/>
        <w:tabs>
          <w:tab w:leader="none" w:pos="621" w:val="left"/>
        </w:tabs>
        <w:numPr>
          <w:ilvl w:val="0"/>
          <w:numId w:val="312"/>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Company’s Right of First Refusal</w:t>
      </w:r>
      <w:r>
        <w:rPr>
          <w:rFonts w:ascii="Arial" w:cs="Arial" w:eastAsia="Arial" w:hAnsi="Arial"/>
          <w:sz w:val="16"/>
          <w:szCs w:val="16"/>
          <w:color w:val="auto"/>
        </w:rPr>
        <w:t>. Before any Exercised Shares (or any beneficial interest therein) may be Transferred by Participant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subsequent transferee (each, a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such Holder must first offer such Exercised Shares to the Company and/or its assignee(s) as follows:</w:t>
      </w:r>
    </w:p>
    <w:p>
      <w:pPr>
        <w:spacing w:after="0" w:line="8" w:lineRule="exact"/>
        <w:rPr>
          <w:rFonts w:ascii="Arial" w:cs="Arial" w:eastAsia="Arial" w:hAnsi="Arial"/>
          <w:sz w:val="16"/>
          <w:szCs w:val="16"/>
          <w:color w:val="auto"/>
        </w:rPr>
      </w:pPr>
    </w:p>
    <w:p>
      <w:pPr>
        <w:ind w:right="20" w:firstLine="996"/>
        <w:spacing w:after="0" w:line="277" w:lineRule="auto"/>
        <w:tabs>
          <w:tab w:leader="none" w:pos="1236" w:val="left"/>
        </w:tabs>
        <w:numPr>
          <w:ilvl w:val="1"/>
          <w:numId w:val="312"/>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 of Proposed Transfer</w:t>
      </w:r>
      <w:r>
        <w:rPr>
          <w:rFonts w:ascii="Arial" w:cs="Arial" w:eastAsia="Arial" w:hAnsi="Arial"/>
          <w:sz w:val="17"/>
          <w:szCs w:val="17"/>
          <w:color w:val="auto"/>
        </w:rPr>
        <w:t>. The Holder shall deliver to the Company a written notice pursuant to Section II.11(e) of the Option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 “</w:t>
      </w:r>
      <w:r>
        <w:rPr>
          <w:rFonts w:ascii="Arial" w:cs="Arial" w:eastAsia="Arial" w:hAnsi="Arial"/>
          <w:sz w:val="17"/>
          <w:szCs w:val="17"/>
          <w:b w:val="1"/>
          <w:bCs w:val="1"/>
          <w:i w:val="1"/>
          <w:iCs w:val="1"/>
          <w:color w:val="auto"/>
        </w:rPr>
        <w:t>Transfer Notice</w:t>
      </w:r>
      <w:r>
        <w:rPr>
          <w:rFonts w:ascii="Arial" w:cs="Arial" w:eastAsia="Arial" w:hAnsi="Arial"/>
          <w:sz w:val="17"/>
          <w:szCs w:val="17"/>
          <w:color w:val="auto"/>
        </w:rPr>
        <w:t>”) stating: (i) the Holder’s bona fide intention to Transfer the Exercised Shares; (ii) the name and address of the proposed transferee; (iii) the number of Exercised Shares to be Transferred to the proposed transferee; (iv) the bona fide cash price or other consideration for which the Holder proposes to Transfer the Exercised Shares; and (v) that, by delivering the Transfer Notice, the Holder offers all such Exercised Shares to the Company and/or its assignee(s) pursuant to this Section 5 and on the same terms described in the Transfer Notice.</w:t>
      </w:r>
    </w:p>
    <w:p>
      <w:pPr>
        <w:sectPr>
          <w:pgSz w:w="11900" w:h="16838" w:orient="portrait"/>
          <w:cols w:equalWidth="0" w:num="1">
            <w:col w:w="11020"/>
          </w:cols>
          <w:pgMar w:left="440" w:top="269" w:right="439" w:bottom="1440" w:gutter="0" w:footer="0" w:header="0"/>
        </w:sectPr>
      </w:pPr>
    </w:p>
    <w:bookmarkStart w:id="436" w:name="page437"/>
    <w:bookmarkEnd w:id="436"/>
    <w:p>
      <w:pPr>
        <w:ind w:left="-4" w:right="80" w:firstLine="996"/>
        <w:spacing w:after="0" w:line="314" w:lineRule="auto"/>
        <w:tabs>
          <w:tab w:leader="none" w:pos="1243" w:val="left"/>
        </w:tabs>
        <w:numPr>
          <w:ilvl w:val="1"/>
          <w:numId w:val="313"/>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of Right of First Refusal</w:t>
      </w:r>
      <w:r>
        <w:rPr>
          <w:rFonts w:ascii="Arial" w:cs="Arial" w:eastAsia="Arial" w:hAnsi="Arial"/>
          <w:sz w:val="16"/>
          <w:szCs w:val="16"/>
          <w:color w:val="auto"/>
        </w:rPr>
        <w:t>. At any time within 30 days after receipt of a Transfer Notice, the Company and/or its assignee(s)</w:t>
      </w:r>
      <w:r>
        <w:rPr>
          <w:rFonts w:ascii="Arial" w:cs="Arial" w:eastAsia="Arial" w:hAnsi="Arial"/>
          <w:sz w:val="16"/>
          <w:szCs w:val="16"/>
          <w:b w:val="1"/>
          <w:bCs w:val="1"/>
          <w:color w:val="auto"/>
        </w:rPr>
        <w:t xml:space="preserve"> </w:t>
      </w:r>
      <w:r>
        <w:rPr>
          <w:rFonts w:ascii="Arial" w:cs="Arial" w:eastAsia="Arial" w:hAnsi="Arial"/>
          <w:sz w:val="16"/>
          <w:szCs w:val="16"/>
          <w:color w:val="auto"/>
        </w:rPr>
        <w:t>may, by giving written notice pursuant to Section II.11(e) of the Option Agreement (the “</w:t>
      </w:r>
      <w:r>
        <w:rPr>
          <w:rFonts w:ascii="Arial" w:cs="Arial" w:eastAsia="Arial" w:hAnsi="Arial"/>
          <w:sz w:val="16"/>
          <w:szCs w:val="16"/>
          <w:b w:val="1"/>
          <w:bCs w:val="1"/>
          <w:i w:val="1"/>
          <w:iCs w:val="1"/>
          <w:color w:val="auto"/>
        </w:rPr>
        <w:t>Exercise Notice</w:t>
      </w:r>
      <w:r>
        <w:rPr>
          <w:rFonts w:ascii="Arial" w:cs="Arial" w:eastAsia="Arial" w:hAnsi="Arial"/>
          <w:sz w:val="16"/>
          <w:szCs w:val="16"/>
          <w:color w:val="auto"/>
        </w:rPr>
        <w:t>”) to the Holder, elect to purchase any or all of the Exercised Shares proposed to be Transferred to the proposed transferee, at the purchase price determined in accordance with Section 5(c).</w:t>
      </w:r>
    </w:p>
    <w:p>
      <w:pPr>
        <w:spacing w:after="0" w:line="34" w:lineRule="exact"/>
        <w:rPr>
          <w:rFonts w:ascii="Arial" w:cs="Arial" w:eastAsia="Arial" w:hAnsi="Arial"/>
          <w:sz w:val="16"/>
          <w:szCs w:val="16"/>
          <w:color w:val="auto"/>
        </w:rPr>
      </w:pPr>
    </w:p>
    <w:p>
      <w:pPr>
        <w:ind w:left="-4" w:right="220" w:firstLine="996"/>
        <w:spacing w:after="0" w:line="314" w:lineRule="auto"/>
        <w:tabs>
          <w:tab w:leader="none" w:pos="1233" w:val="left"/>
        </w:tabs>
        <w:numPr>
          <w:ilvl w:val="1"/>
          <w:numId w:val="313"/>
        </w:numPr>
        <w:rPr>
          <w:rFonts w:ascii="Arial" w:cs="Arial" w:eastAsia="Arial" w:hAnsi="Arial"/>
          <w:sz w:val="16"/>
          <w:szCs w:val="16"/>
          <w:color w:val="auto"/>
        </w:rPr>
      </w:pPr>
      <w:r>
        <w:rPr>
          <w:rFonts w:ascii="Arial" w:cs="Arial" w:eastAsia="Arial" w:hAnsi="Arial"/>
          <w:sz w:val="16"/>
          <w:szCs w:val="16"/>
          <w:b w:val="1"/>
          <w:bCs w:val="1"/>
          <w:u w:val="single" w:color="auto"/>
          <w:color w:val="auto"/>
        </w:rPr>
        <w:t>Purchase Price</w:t>
      </w:r>
      <w:r>
        <w:rPr>
          <w:rFonts w:ascii="Arial" w:cs="Arial" w:eastAsia="Arial" w:hAnsi="Arial"/>
          <w:sz w:val="16"/>
          <w:szCs w:val="16"/>
          <w:color w:val="auto"/>
        </w:rPr>
        <w:t>. The per share purchase price for any Exercised Shares purchased by the Company and/or its assignee(s)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5 (the “</w:t>
      </w:r>
      <w:r>
        <w:rPr>
          <w:rFonts w:ascii="Arial" w:cs="Arial" w:eastAsia="Arial" w:hAnsi="Arial"/>
          <w:sz w:val="16"/>
          <w:szCs w:val="16"/>
          <w:b w:val="1"/>
          <w:bCs w:val="1"/>
          <w:i w:val="1"/>
          <w:iCs w:val="1"/>
          <w:color w:val="auto"/>
        </w:rPr>
        <w:t>Company Shares</w:t>
      </w:r>
      <w:r>
        <w:rPr>
          <w:rFonts w:ascii="Arial" w:cs="Arial" w:eastAsia="Arial" w:hAnsi="Arial"/>
          <w:sz w:val="16"/>
          <w:szCs w:val="16"/>
          <w:color w:val="auto"/>
        </w:rPr>
        <w:t>”) shall be the per share price listed in the applicable Transfer Notice. If the price listed in such Transfer Notice includes consideration other than cash, the cash equivalent value of the non-cash consideration shall be determined by the Board in its sole discretion.</w:t>
      </w:r>
    </w:p>
    <w:p>
      <w:pPr>
        <w:spacing w:after="0" w:line="34" w:lineRule="exact"/>
        <w:rPr>
          <w:rFonts w:ascii="Arial" w:cs="Arial" w:eastAsia="Arial" w:hAnsi="Arial"/>
          <w:sz w:val="16"/>
          <w:szCs w:val="16"/>
          <w:color w:val="auto"/>
        </w:rPr>
      </w:pPr>
    </w:p>
    <w:p>
      <w:pPr>
        <w:ind w:left="-4" w:right="160" w:firstLine="996"/>
        <w:spacing w:after="0" w:line="258" w:lineRule="auto"/>
        <w:tabs>
          <w:tab w:leader="none" w:pos="1243" w:val="left"/>
        </w:tabs>
        <w:numPr>
          <w:ilvl w:val="1"/>
          <w:numId w:val="313"/>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Payment of the purchase price for any Company Shares shall be made, at the option of the Company and/or its assignee(s),</w:t>
      </w:r>
      <w:r>
        <w:rPr>
          <w:rFonts w:ascii="Arial" w:cs="Arial" w:eastAsia="Arial" w:hAnsi="Arial"/>
          <w:sz w:val="18"/>
          <w:szCs w:val="18"/>
          <w:b w:val="1"/>
          <w:bCs w:val="1"/>
          <w:color w:val="auto"/>
        </w:rPr>
        <w:t xml:space="preserve"> </w:t>
      </w:r>
      <w:r>
        <w:rPr>
          <w:rFonts w:ascii="Arial" w:cs="Arial" w:eastAsia="Arial" w:hAnsi="Arial"/>
          <w:sz w:val="18"/>
          <w:szCs w:val="18"/>
          <w:color w:val="auto"/>
        </w:rPr>
        <w:t>in cash (by check), by cancellation of all or a portion of any outstanding indebtedness of the Holder to the Company and/or its assignee(s), or by any combination thereof, in any such case within ten days after delivery to the Holder of the applicable Exercise Notice and, at such time, if the Company Shares are certificated shares, the Holder shall deliver to the Company and/or its assignee(s) the certificate(s) representing the Company Shares, each certificate to be properly endorsed for transfer.</w:t>
      </w:r>
    </w:p>
    <w:p>
      <w:pPr>
        <w:spacing w:after="0" w:line="75" w:lineRule="exact"/>
        <w:rPr>
          <w:rFonts w:ascii="Arial" w:cs="Arial" w:eastAsia="Arial" w:hAnsi="Arial"/>
          <w:sz w:val="18"/>
          <w:szCs w:val="18"/>
          <w:color w:val="auto"/>
        </w:rPr>
      </w:pPr>
    </w:p>
    <w:p>
      <w:pPr>
        <w:ind w:left="-4" w:right="80" w:firstLine="996"/>
        <w:spacing w:after="0" w:line="284" w:lineRule="auto"/>
        <w:tabs>
          <w:tab w:leader="none" w:pos="1233" w:val="left"/>
        </w:tabs>
        <w:numPr>
          <w:ilvl w:val="1"/>
          <w:numId w:val="313"/>
        </w:numPr>
        <w:rPr>
          <w:rFonts w:ascii="Arial" w:cs="Arial" w:eastAsia="Arial" w:hAnsi="Arial"/>
          <w:sz w:val="16"/>
          <w:szCs w:val="16"/>
          <w:color w:val="auto"/>
        </w:rPr>
      </w:pPr>
      <w:r>
        <w:rPr>
          <w:rFonts w:ascii="Arial" w:cs="Arial" w:eastAsia="Arial" w:hAnsi="Arial"/>
          <w:sz w:val="16"/>
          <w:szCs w:val="16"/>
          <w:b w:val="1"/>
          <w:bCs w:val="1"/>
          <w:u w:val="single" w:color="auto"/>
          <w:color w:val="auto"/>
        </w:rPr>
        <w:t>Holder’s Right to Transfer</w:t>
      </w:r>
      <w:r>
        <w:rPr>
          <w:rFonts w:ascii="Arial" w:cs="Arial" w:eastAsia="Arial" w:hAnsi="Arial"/>
          <w:sz w:val="16"/>
          <w:szCs w:val="16"/>
          <w:color w:val="auto"/>
        </w:rPr>
        <w:t>. If the Company and/or its assignee(s) elects to purchase less than all of the Exercised Shares proposed in</w:t>
      </w:r>
      <w:r>
        <w:rPr>
          <w:rFonts w:ascii="Arial" w:cs="Arial" w:eastAsia="Arial" w:hAnsi="Arial"/>
          <w:sz w:val="16"/>
          <w:szCs w:val="16"/>
          <w:b w:val="1"/>
          <w:bCs w:val="1"/>
          <w:color w:val="auto"/>
        </w:rPr>
        <w:t xml:space="preserve"> </w:t>
      </w:r>
      <w:r>
        <w:rPr>
          <w:rFonts w:ascii="Arial" w:cs="Arial" w:eastAsia="Arial" w:hAnsi="Arial"/>
          <w:sz w:val="16"/>
          <w:szCs w:val="16"/>
          <w:color w:val="auto"/>
        </w:rPr>
        <w:t>a Transfer Notice to be Transferred to a given proposed transferee, then the Holder (x) may Transfer to the proposed transferee any of such Exercised Shares that the Company and/or its assignee(s) elected not to purchase (the “</w:t>
      </w:r>
      <w:r>
        <w:rPr>
          <w:rFonts w:ascii="Arial" w:cs="Arial" w:eastAsia="Arial" w:hAnsi="Arial"/>
          <w:sz w:val="16"/>
          <w:szCs w:val="16"/>
          <w:b w:val="1"/>
          <w:bCs w:val="1"/>
          <w:i w:val="1"/>
          <w:iCs w:val="1"/>
          <w:color w:val="auto"/>
        </w:rPr>
        <w:t>Non-Company Shares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Transfer is made only on the terms provided for in the applicable Transfer Notice, with the exception of the purchase price, which may be either the price listed in such Transfer Notice or any higher price; (ii) the Transfer is consummated within 60 days after the date the applicable Transfer Notice was delivered to the Company; (iii) the Transfer is effected in accordance with any applicable securities laws and, if requested (in writing) by the Company, the Holder shall have delivered a written opinion of counsel acceptable to the Company to that effect; and (iv) the proposed transferee agrees in writing to receive and hold the Non-Company Shares so Transferred subject to all of the provisions hereof (including this Section 5) and of the Option Agreement (including Section II.4 and Section II.10 thereof), and there shall be no further Transfer of any Exercised Shares except in accordance with this Section 5, and</w:t>
      </w:r>
    </w:p>
    <w:p>
      <w:pPr>
        <w:spacing w:after="0" w:line="3" w:lineRule="exact"/>
        <w:rPr>
          <w:rFonts w:ascii="Arial" w:cs="Arial" w:eastAsia="Arial" w:hAnsi="Arial"/>
          <w:sz w:val="16"/>
          <w:szCs w:val="16"/>
          <w:color w:val="auto"/>
        </w:rPr>
      </w:pPr>
    </w:p>
    <w:p>
      <w:pPr>
        <w:ind w:left="-4" w:right="20" w:firstLine="4"/>
        <w:spacing w:after="0" w:line="273" w:lineRule="auto"/>
        <w:tabs>
          <w:tab w:leader="none" w:pos="251" w:val="left"/>
        </w:tabs>
        <w:numPr>
          <w:ilvl w:val="0"/>
          <w:numId w:val="314"/>
        </w:numPr>
        <w:rPr>
          <w:rFonts w:ascii="Arial" w:cs="Arial" w:eastAsia="Arial" w:hAnsi="Arial"/>
          <w:sz w:val="17"/>
          <w:szCs w:val="17"/>
          <w:color w:val="auto"/>
        </w:rPr>
      </w:pPr>
      <w:r>
        <w:rPr>
          <w:rFonts w:ascii="Arial" w:cs="Arial" w:eastAsia="Arial" w:hAnsi="Arial"/>
          <w:sz w:val="17"/>
          <w:szCs w:val="17"/>
          <w:color w:val="auto"/>
        </w:rPr>
        <w:t>shall, in accordance with the other provisions of this Section 5, sell to the Company and/or its assignee(s) the portion of such Exercised Shares that the Company and/or its assignee(s) has elected to purchase. If any Non-Company Shares are not Transferred to the proposed transferee within the period provided in clause (ii) above, then, before any such shares may be Transferred, a new Transfer Notice shall be given to the Company, and the Company and/or its assignee(s) shall again be offered the right of first refusal described in this Section 5.</w:t>
      </w:r>
    </w:p>
    <w:p>
      <w:pPr>
        <w:spacing w:after="0" w:line="64" w:lineRule="exact"/>
        <w:rPr>
          <w:rFonts w:ascii="Arial" w:cs="Arial" w:eastAsia="Arial" w:hAnsi="Arial"/>
          <w:sz w:val="17"/>
          <w:szCs w:val="17"/>
          <w:color w:val="auto"/>
        </w:rPr>
      </w:pPr>
    </w:p>
    <w:p>
      <w:pPr>
        <w:jc w:val="both"/>
        <w:ind w:left="-4" w:firstLine="996"/>
        <w:spacing w:after="0" w:line="281" w:lineRule="auto"/>
        <w:tabs>
          <w:tab w:leader="none" w:pos="1213" w:val="left"/>
        </w:tabs>
        <w:numPr>
          <w:ilvl w:val="1"/>
          <w:numId w:val="314"/>
        </w:numPr>
        <w:rPr>
          <w:rFonts w:ascii="Arial" w:cs="Arial" w:eastAsia="Arial" w:hAnsi="Arial"/>
          <w:sz w:val="17"/>
          <w:szCs w:val="17"/>
          <w:color w:val="auto"/>
        </w:rPr>
      </w:pPr>
      <w:r>
        <w:rPr>
          <w:rFonts w:ascii="Arial" w:cs="Arial" w:eastAsia="Arial" w:hAnsi="Arial"/>
          <w:sz w:val="17"/>
          <w:szCs w:val="17"/>
          <w:b w:val="1"/>
          <w:bCs w:val="1"/>
          <w:u w:val="single" w:color="auto"/>
          <w:color w:val="auto"/>
        </w:rPr>
        <w:t>Exception for Certain Family Transfers</w:t>
      </w:r>
      <w:r>
        <w:rPr>
          <w:rFonts w:ascii="Arial" w:cs="Arial" w:eastAsia="Arial" w:hAnsi="Arial"/>
          <w:sz w:val="17"/>
          <w:szCs w:val="17"/>
          <w:color w:val="auto"/>
        </w:rPr>
        <w:t>. Notwithstanding anything to the contrary contained elsewhere in this Section 5, the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of any or all of the Exercised Shares during the Holder’s lifetime, or on the Holder’s death by will or intestacy, to the Holder’s spouse (or former spouse) or domestic partner, child or stepchild, grandchild, parent, stepparent, sibling, father-in-law, mother-in-law, son-in-law, daughter-in-law, brother-in-law, sister-in-law, grandparent, niece or nephew, including adoptive relationships (each such person, an “</w:t>
      </w:r>
      <w:r>
        <w:rPr>
          <w:rFonts w:ascii="Arial" w:cs="Arial" w:eastAsia="Arial" w:hAnsi="Arial"/>
          <w:sz w:val="17"/>
          <w:szCs w:val="17"/>
          <w:b w:val="1"/>
          <w:bCs w:val="1"/>
          <w:i w:val="1"/>
          <w:iCs w:val="1"/>
          <w:color w:val="auto"/>
        </w:rPr>
        <w:t>Immediate</w:t>
      </w:r>
    </w:p>
    <w:p>
      <w:pPr>
        <w:spacing w:after="0" w:line="101"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16"/>
          </w:cols>
          <w:pgMar w:left="444" w:top="269" w:right="439" w:bottom="1440" w:gutter="0" w:footer="0" w:header="0"/>
        </w:sectPr>
      </w:pPr>
    </w:p>
    <w:bookmarkStart w:id="437" w:name="page438"/>
    <w:bookmarkEnd w:id="437"/>
    <w:p>
      <w:pPr>
        <w:spacing w:after="0" w:line="283"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Family Member</w:t>
      </w:r>
      <w:r>
        <w:rPr>
          <w:rFonts w:ascii="Arial" w:cs="Arial" w:eastAsia="Arial" w:hAnsi="Arial"/>
          <w:sz w:val="16"/>
          <w:szCs w:val="16"/>
          <w:color w:val="auto"/>
        </w:rPr>
        <w:t>”), or to a trust or other similar estate planning vehicle for the benefit of the Holder or any such Immediate Family Member,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exempt from the provisions of this Section 5;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each such case, the transferee agrees in writing to receive and hold the Exercised Shares so Transferred subject to all of the provisions hereof (including this Section 5) and of the Option Agreement (including Section II.4 and Section II.10 thereof), and there shall be no further Transfer of such Exercised Shares except in accordance with this Section 5;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without the Company’s prior written consent, which may be withheld in its sole discretion, no more than three Transfers may be made pursuant to this Section 5(f), including all Transfers by the Holder and all Transfers by any transferee. For purposes hereof, a person shall be deemed to be a “domestic partner” of another person if the two persons (i) reside in the same residence and plan to do so indefinitely, (ii) have resided together for at least one year, (iii) are each at least 18 years of age and mentally competent to consent to contract, (iv) are not blood relatives closer than would prohibit legal marriage in the state in which they reside, (v) are financially interdependent, as demonstrated to the Company’s reasonable satisfaction, and</w:t>
      </w:r>
    </w:p>
    <w:p>
      <w:pPr>
        <w:spacing w:after="0" w:line="7" w:lineRule="exact"/>
        <w:rPr>
          <w:sz w:val="20"/>
          <w:szCs w:val="20"/>
          <w:color w:val="auto"/>
        </w:rPr>
      </w:pPr>
    </w:p>
    <w:p>
      <w:pPr>
        <w:ind w:right="80" w:firstLine="4"/>
        <w:spacing w:after="0" w:line="323" w:lineRule="auto"/>
        <w:tabs>
          <w:tab w:leader="none" w:pos="305" w:val="left"/>
        </w:tabs>
        <w:numPr>
          <w:ilvl w:val="0"/>
          <w:numId w:val="315"/>
        </w:numPr>
        <w:rPr>
          <w:rFonts w:ascii="Arial" w:cs="Arial" w:eastAsia="Arial" w:hAnsi="Arial"/>
          <w:sz w:val="16"/>
          <w:szCs w:val="16"/>
          <w:color w:val="auto"/>
        </w:rPr>
      </w:pPr>
      <w:r>
        <w:rPr>
          <w:rFonts w:ascii="Arial" w:cs="Arial" w:eastAsia="Arial" w:hAnsi="Arial"/>
          <w:sz w:val="16"/>
          <w:szCs w:val="16"/>
          <w:color w:val="auto"/>
        </w:rPr>
        <w:t xml:space="preserve">have each been the sole spousal equivalent of the other for the year prior to the Transfer and plan to remain so indefinitely;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shall not be deemed to be a “domestic partner” if he or she is married to another person or has any other spousal equivalent.</w:t>
      </w:r>
    </w:p>
    <w:p>
      <w:pPr>
        <w:spacing w:after="0" w:line="26" w:lineRule="exact"/>
        <w:rPr>
          <w:rFonts w:ascii="Arial" w:cs="Arial" w:eastAsia="Arial" w:hAnsi="Arial"/>
          <w:sz w:val="16"/>
          <w:szCs w:val="16"/>
          <w:color w:val="auto"/>
        </w:rPr>
      </w:pPr>
    </w:p>
    <w:p>
      <w:pPr>
        <w:ind w:right="20" w:firstLine="996"/>
        <w:spacing w:after="0" w:line="289" w:lineRule="auto"/>
        <w:tabs>
          <w:tab w:leader="none" w:pos="1247" w:val="left"/>
        </w:tabs>
        <w:numPr>
          <w:ilvl w:val="2"/>
          <w:numId w:val="315"/>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of Right of First Refusal</w:t>
      </w:r>
      <w:r>
        <w:rPr>
          <w:rFonts w:ascii="Arial" w:cs="Arial" w:eastAsia="Arial" w:hAnsi="Arial"/>
          <w:sz w:val="17"/>
          <w:szCs w:val="17"/>
          <w:color w:val="auto"/>
        </w:rPr>
        <w:t>. The right of first refusal contained in this Section 5 shall terminate as to all Exercised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upon the earlier of: (i) the Company IPO; and (ii) the closing date of a Change in Control or Stock Sale pursuant to which the holders of the outstanding voting securities of the Company receive securities of a class registered pursuant to Section 12 of the Exchange Act.</w:t>
      </w:r>
    </w:p>
    <w:p>
      <w:pPr>
        <w:spacing w:after="0" w:line="50" w:lineRule="exact"/>
        <w:rPr>
          <w:rFonts w:ascii="Arial" w:cs="Arial" w:eastAsia="Arial" w:hAnsi="Arial"/>
          <w:sz w:val="17"/>
          <w:szCs w:val="17"/>
          <w:color w:val="auto"/>
        </w:rPr>
      </w:pPr>
    </w:p>
    <w:p>
      <w:pPr>
        <w:jc w:val="both"/>
        <w:ind w:right="620" w:firstLine="444"/>
        <w:spacing w:after="0" w:line="314" w:lineRule="auto"/>
        <w:tabs>
          <w:tab w:leader="none" w:pos="621" w:val="left"/>
        </w:tabs>
        <w:numPr>
          <w:ilvl w:val="1"/>
          <w:numId w:val="315"/>
        </w:numPr>
        <w:rPr>
          <w:rFonts w:ascii="Arial" w:cs="Arial" w:eastAsia="Arial" w:hAnsi="Arial"/>
          <w:sz w:val="16"/>
          <w:szCs w:val="16"/>
          <w:color w:val="auto"/>
        </w:rPr>
      </w:pPr>
      <w:r>
        <w:rPr>
          <w:rFonts w:ascii="Arial" w:cs="Arial" w:eastAsia="Arial" w:hAnsi="Arial"/>
          <w:sz w:val="16"/>
          <w:szCs w:val="16"/>
          <w:b w:val="1"/>
          <w:bCs w:val="1"/>
          <w:u w:val="single" w:color="auto"/>
          <w:color w:val="auto"/>
        </w:rPr>
        <w:t>Tax Consultation</w:t>
      </w:r>
      <w:r>
        <w:rPr>
          <w:rFonts w:ascii="Arial" w:cs="Arial" w:eastAsia="Arial" w:hAnsi="Arial"/>
          <w:sz w:val="16"/>
          <w:szCs w:val="16"/>
          <w:color w:val="auto"/>
        </w:rPr>
        <w:t>. Participant understands that Participant may suffer adverse tax consequences as a result of Participant’s purchase or</w:t>
      </w:r>
      <w:r>
        <w:rPr>
          <w:rFonts w:ascii="Arial" w:cs="Arial" w:eastAsia="Arial" w:hAnsi="Arial"/>
          <w:sz w:val="16"/>
          <w:szCs w:val="16"/>
          <w:b w:val="1"/>
          <w:bCs w:val="1"/>
          <w:color w:val="auto"/>
        </w:rPr>
        <w:t xml:space="preserve"> </w:t>
      </w:r>
      <w:r>
        <w:rPr>
          <w:rFonts w:ascii="Arial" w:cs="Arial" w:eastAsia="Arial" w:hAnsi="Arial"/>
          <w:sz w:val="16"/>
          <w:szCs w:val="16"/>
          <w:color w:val="auto"/>
        </w:rPr>
        <w:t>disposition of the Exercised Shares. Participant represents that Participant has consulted with any tax consultants Participant deems advisable in connection with the purchase or disposition of the Exercised Shares and that Participant is not relying on the Company for any tax advice.</w:t>
      </w:r>
    </w:p>
    <w:p>
      <w:pPr>
        <w:spacing w:after="0" w:line="34" w:lineRule="exact"/>
        <w:rPr>
          <w:rFonts w:ascii="Arial" w:cs="Arial" w:eastAsia="Arial" w:hAnsi="Arial"/>
          <w:sz w:val="16"/>
          <w:szCs w:val="16"/>
          <w:color w:val="auto"/>
        </w:rPr>
      </w:pPr>
    </w:p>
    <w:p>
      <w:pPr>
        <w:ind w:left="620" w:hanging="176"/>
        <w:spacing w:after="0"/>
        <w:tabs>
          <w:tab w:leader="none" w:pos="620" w:val="left"/>
        </w:tabs>
        <w:numPr>
          <w:ilvl w:val="1"/>
          <w:numId w:val="315"/>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Legends and Stop-Transfer Orders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996"/>
        <w:spacing w:after="0" w:line="266" w:lineRule="auto"/>
        <w:tabs>
          <w:tab w:leader="none" w:pos="1236" w:val="left"/>
        </w:tabs>
        <w:numPr>
          <w:ilvl w:val="2"/>
          <w:numId w:val="316"/>
        </w:numPr>
        <w:rPr>
          <w:rFonts w:ascii="Arial" w:cs="Arial" w:eastAsia="Arial" w:hAnsi="Arial"/>
          <w:sz w:val="18"/>
          <w:szCs w:val="18"/>
          <w:color w:val="auto"/>
        </w:rPr>
      </w:pPr>
      <w:r>
        <w:rPr>
          <w:rFonts w:ascii="Arial" w:cs="Arial" w:eastAsia="Arial" w:hAnsi="Arial"/>
          <w:sz w:val="18"/>
          <w:szCs w:val="18"/>
          <w:b w:val="1"/>
          <w:bCs w:val="1"/>
          <w:u w:val="single" w:color="auto"/>
          <w:color w:val="auto"/>
        </w:rPr>
        <w:t>Legends</w:t>
      </w:r>
      <w:r>
        <w:rPr>
          <w:rFonts w:ascii="Arial" w:cs="Arial" w:eastAsia="Arial" w:hAnsi="Arial"/>
          <w:sz w:val="18"/>
          <w:szCs w:val="18"/>
          <w:color w:val="auto"/>
        </w:rPr>
        <w:t>. Participant understands and agrees that the Company shall cause the legends set forth below, or substantially equivalent</w:t>
      </w:r>
      <w:r>
        <w:rPr>
          <w:rFonts w:ascii="Arial" w:cs="Arial" w:eastAsia="Arial" w:hAnsi="Arial"/>
          <w:sz w:val="18"/>
          <w:szCs w:val="18"/>
          <w:b w:val="1"/>
          <w:bCs w:val="1"/>
          <w:color w:val="auto"/>
        </w:rPr>
        <w:t xml:space="preserve"> </w:t>
      </w:r>
      <w:r>
        <w:rPr>
          <w:rFonts w:ascii="Arial" w:cs="Arial" w:eastAsia="Arial" w:hAnsi="Arial"/>
          <w:sz w:val="18"/>
          <w:szCs w:val="18"/>
          <w:color w:val="auto"/>
        </w:rPr>
        <w:t>legends, to be placed upon any certificate(s) evidencing ownership of the Exercised Shares, together with any other legends that may be required by the Company or by applicable federal or state securities laws:</w:t>
      </w:r>
    </w:p>
    <w:p>
      <w:pPr>
        <w:spacing w:after="0" w:line="72" w:lineRule="exact"/>
        <w:rPr>
          <w:sz w:val="20"/>
          <w:szCs w:val="20"/>
          <w:color w:val="auto"/>
        </w:rPr>
      </w:pPr>
    </w:p>
    <w:p>
      <w:pPr>
        <w:ind w:left="440" w:right="20"/>
        <w:spacing w:after="0" w:line="254" w:lineRule="auto"/>
        <w:rPr>
          <w:sz w:val="20"/>
          <w:szCs w:val="20"/>
          <w:color w:val="auto"/>
        </w:rPr>
      </w:pPr>
      <w:r>
        <w:rPr>
          <w:rFonts w:ascii="Arial" w:cs="Arial" w:eastAsia="Arial" w:hAnsi="Arial"/>
          <w:sz w:val="18"/>
          <w:szCs w:val="18"/>
          <w:color w:val="auto"/>
        </w:rPr>
        <w:t>THE SECURITIES REPRESENTED BY THIS CERTIFICATE HAVE BEEN ACQUIRED FOR INVESTMENT AND NOT WITH A VIEW TO, OR IN CONNECTION WITH, THE SALE OR DISTRIBUTION THEREOF AND HAVE NOT BEEN REGISTERED UNDER THE SECURITIES ACT OF 1933, AS AMENDED (THE “ACT”), OR ANY STATE SECURITIES LAWS. THEY MAY NOT BE OFFERED, SOLD OR OTHERWISE TRANSFERRED, PLEDGED OR HYPOTHECATED EXCEPT AS PERMITTED UNDER THE ACT AND APPLICABLE STATE SECURITIES LAWS PURSUANT TO AN EFFECTIVE REGISTRATION STATEMENT OR AN EXEMPTION THEREFROM. THE ISSUER OF THESE SECURITIES MAY REQUIRE AN OPINION OF COUNSEL SATISFACTORY TO THE ISSUER THAT SUCH OFFER, SALE, TRANSFER, PLEDGE OR HYPOTHECATION OTHERWISE COMPLIES WITH THE ACT AND ANY APPLICABLE STATE SECURITIES LAWS.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438" w:name="page439"/>
    <w:bookmarkEnd w:id="438"/>
    <w:p>
      <w:pPr>
        <w:ind w:left="4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SECURITIES REPRESENTED BY THIS CERTIFICATE ARE SUBJECT TO CERTAIN RESTRICTIONS ON TRANSFER, A RIGHT OF FIRST REFUSAL, AN AGREEMENT TO PARTICIPATE AND A LOCK-UP PERIOD IN THE EVENT OF A PUBLIC OFFERING AS SET FORTH IN AGREEMENTS BETWEEN THE ISSUER AND THE ORIGINAL HOLDER OF THESE SECURITIES, COPIES OF WHICH MAY BE OBTAINED AT THE PRINCIPAL OFFICE OF THE ISSUER. SUCH RESTRICTIONS ON TRANSFER, RIGHT OF FIRST REFUSAL, AGREEMENT TO PARTICIPATE AND LOCK-UP PERIOD ARE BINDING ON TRANSFEREES OF THESE SECURITIES.</w:t>
      </w:r>
    </w:p>
    <w:p>
      <w:pPr>
        <w:spacing w:after="0" w:line="60" w:lineRule="exact"/>
        <w:rPr>
          <w:sz w:val="20"/>
          <w:szCs w:val="20"/>
          <w:color w:val="auto"/>
        </w:rPr>
      </w:pPr>
    </w:p>
    <w:p>
      <w:pPr>
        <w:ind w:right="80" w:firstLine="996"/>
        <w:spacing w:after="0" w:line="289" w:lineRule="auto"/>
        <w:tabs>
          <w:tab w:leader="none" w:pos="1247" w:val="left"/>
        </w:tabs>
        <w:numPr>
          <w:ilvl w:val="1"/>
          <w:numId w:val="317"/>
        </w:numPr>
        <w:rPr>
          <w:rFonts w:ascii="Arial" w:cs="Arial" w:eastAsia="Arial" w:hAnsi="Arial"/>
          <w:sz w:val="17"/>
          <w:szCs w:val="17"/>
          <w:color w:val="auto"/>
        </w:rPr>
      </w:pPr>
      <w:r>
        <w:rPr>
          <w:rFonts w:ascii="Arial" w:cs="Arial" w:eastAsia="Arial" w:hAnsi="Arial"/>
          <w:sz w:val="17"/>
          <w:szCs w:val="17"/>
          <w:b w:val="1"/>
          <w:bCs w:val="1"/>
          <w:u w:val="single" w:color="auto"/>
          <w:color w:val="auto"/>
        </w:rPr>
        <w:t>Stop-Transfer Notices</w:t>
      </w:r>
      <w:r>
        <w:rPr>
          <w:rFonts w:ascii="Arial" w:cs="Arial" w:eastAsia="Arial" w:hAnsi="Arial"/>
          <w:sz w:val="17"/>
          <w:szCs w:val="17"/>
          <w:color w:val="auto"/>
        </w:rPr>
        <w:t>. In order to ensure compliance with the restrictions referred to herein and in the Option Agreement,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Section II.4 of the Option Agreement, the Company may issue appropriate stop-transfer instructions to its transfer agent, if any, and, if the Company transfers its own securities, it may make appropriate notations to the same effect in its own records.</w:t>
      </w:r>
    </w:p>
    <w:p>
      <w:pPr>
        <w:spacing w:after="0" w:line="50" w:lineRule="exact"/>
        <w:rPr>
          <w:rFonts w:ascii="Arial" w:cs="Arial" w:eastAsia="Arial" w:hAnsi="Arial"/>
          <w:sz w:val="17"/>
          <w:szCs w:val="17"/>
          <w:color w:val="auto"/>
        </w:rPr>
      </w:pPr>
    </w:p>
    <w:p>
      <w:pPr>
        <w:ind w:right="240" w:firstLine="996"/>
        <w:spacing w:after="0" w:line="261" w:lineRule="auto"/>
        <w:tabs>
          <w:tab w:leader="none" w:pos="1236" w:val="left"/>
        </w:tabs>
        <w:numPr>
          <w:ilvl w:val="1"/>
          <w:numId w:val="317"/>
        </w:numPr>
        <w:rPr>
          <w:rFonts w:ascii="Arial" w:cs="Arial" w:eastAsia="Arial" w:hAnsi="Arial"/>
          <w:sz w:val="18"/>
          <w:szCs w:val="18"/>
          <w:color w:val="auto"/>
        </w:rPr>
      </w:pPr>
      <w:r>
        <w:rPr>
          <w:rFonts w:ascii="Arial" w:cs="Arial" w:eastAsia="Arial" w:hAnsi="Arial"/>
          <w:sz w:val="18"/>
          <w:szCs w:val="18"/>
          <w:b w:val="1"/>
          <w:bCs w:val="1"/>
          <w:u w:val="single" w:color="auto"/>
          <w:color w:val="auto"/>
        </w:rPr>
        <w:t>Refusal to Transfer</w:t>
      </w:r>
      <w:r>
        <w:rPr>
          <w:rFonts w:ascii="Arial" w:cs="Arial" w:eastAsia="Arial" w:hAnsi="Arial"/>
          <w:sz w:val="18"/>
          <w:szCs w:val="18"/>
          <w:color w:val="auto"/>
        </w:rPr>
        <w:t>. The Company shall not be required to transfer on its books any Exercised Shares that have been Transferred in</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any provision hereof or to treat as owner of such Exercised Shares, or otherwise to accord voting or dividend rights to, any purchaser or other transferee to whom such Exercised Shares shall have been so Transferred. Any attempt to Transfer Exercised Shares in violation hereof shall be null and void and shall be disregarded by the Company.</w:t>
      </w:r>
    </w:p>
    <w:p>
      <w:pPr>
        <w:spacing w:after="0" w:line="71" w:lineRule="exact"/>
        <w:rPr>
          <w:rFonts w:ascii="Arial" w:cs="Arial" w:eastAsia="Arial" w:hAnsi="Arial"/>
          <w:sz w:val="18"/>
          <w:szCs w:val="18"/>
          <w:color w:val="auto"/>
        </w:rPr>
      </w:pPr>
    </w:p>
    <w:p>
      <w:pPr>
        <w:ind w:right="340" w:firstLine="444"/>
        <w:spacing w:after="0" w:line="282" w:lineRule="auto"/>
        <w:tabs>
          <w:tab w:leader="none" w:pos="621" w:val="left"/>
        </w:tabs>
        <w:numPr>
          <w:ilvl w:val="0"/>
          <w:numId w:val="318"/>
        </w:numPr>
        <w:rPr>
          <w:rFonts w:ascii="Arial" w:cs="Arial" w:eastAsia="Arial" w:hAnsi="Arial"/>
          <w:sz w:val="18"/>
          <w:szCs w:val="18"/>
          <w:color w:val="auto"/>
        </w:rPr>
      </w:pPr>
      <w:r>
        <w:rPr>
          <w:rFonts w:ascii="Arial" w:cs="Arial" w:eastAsia="Arial" w:hAnsi="Arial"/>
          <w:sz w:val="18"/>
          <w:szCs w:val="18"/>
          <w:b w:val="1"/>
          <w:bCs w:val="1"/>
          <w:u w:val="single" w:color="auto"/>
          <w:color w:val="auto"/>
        </w:rPr>
        <w:t>Capitalized Terms</w:t>
      </w:r>
      <w:r>
        <w:rPr>
          <w:rFonts w:ascii="Arial" w:cs="Arial" w:eastAsia="Arial" w:hAnsi="Arial"/>
          <w:sz w:val="18"/>
          <w:szCs w:val="18"/>
          <w:color w:val="auto"/>
        </w:rPr>
        <w:t>. Unless otherwise defined herein, capitalized terms used herein shall have the same defined meanings as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or, if not defined therein, in the Option Agreement.</w:t>
      </w:r>
    </w:p>
    <w:p>
      <w:pPr>
        <w:spacing w:after="0" w:line="53" w:lineRule="exact"/>
        <w:rPr>
          <w:rFonts w:ascii="Arial" w:cs="Arial" w:eastAsia="Arial" w:hAnsi="Arial"/>
          <w:sz w:val="18"/>
          <w:szCs w:val="18"/>
          <w:color w:val="auto"/>
        </w:rPr>
      </w:pPr>
    </w:p>
    <w:p>
      <w:pPr>
        <w:ind w:right="120" w:firstLine="444"/>
        <w:spacing w:after="0" w:line="281" w:lineRule="auto"/>
        <w:tabs>
          <w:tab w:leader="none" w:pos="621" w:val="left"/>
        </w:tabs>
        <w:numPr>
          <w:ilvl w:val="0"/>
          <w:numId w:val="318"/>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 Severability</w:t>
      </w:r>
      <w:r>
        <w:rPr>
          <w:rFonts w:ascii="Arial" w:cs="Arial" w:eastAsia="Arial" w:hAnsi="Arial"/>
          <w:sz w:val="17"/>
          <w:szCs w:val="17"/>
          <w:color w:val="auto"/>
        </w:rPr>
        <w:t>. This Option Exercise Notice shall be governed by and construed in accordance with the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California without regard to conflict-of-law principles. Should any provision contained herein be held as invalid, illegal or unenforceable, such holding shall not affect the validity of the remainder of this Option Exercise Notice, the balance of which shall continue to be binding upon the parties with any such modification to become a part hereof and treated as though originally set forth herein.</w:t>
      </w:r>
    </w:p>
    <w:p>
      <w:pPr>
        <w:spacing w:after="0" w:line="56" w:lineRule="exact"/>
        <w:rPr>
          <w:rFonts w:ascii="Arial" w:cs="Arial" w:eastAsia="Arial" w:hAnsi="Arial"/>
          <w:sz w:val="17"/>
          <w:szCs w:val="17"/>
          <w:color w:val="auto"/>
        </w:rPr>
      </w:pPr>
    </w:p>
    <w:p>
      <w:pPr>
        <w:ind w:right="160" w:firstLine="444"/>
        <w:spacing w:after="0" w:line="292" w:lineRule="auto"/>
        <w:tabs>
          <w:tab w:leader="none" w:pos="711" w:val="left"/>
        </w:tabs>
        <w:numPr>
          <w:ilvl w:val="0"/>
          <w:numId w:val="318"/>
        </w:numPr>
        <w:rPr>
          <w:rFonts w:ascii="Arial" w:cs="Arial" w:eastAsia="Arial" w:hAnsi="Arial"/>
          <w:sz w:val="16"/>
          <w:szCs w:val="16"/>
          <w:color w:val="auto"/>
        </w:rPr>
      </w:pPr>
      <w:r>
        <w:rPr>
          <w:rFonts w:ascii="Arial" w:cs="Arial" w:eastAsia="Arial" w:hAnsi="Arial"/>
          <w:sz w:val="16"/>
          <w:szCs w:val="16"/>
          <w:b w:val="1"/>
          <w:bCs w:val="1"/>
          <w:u w:val="single" w:color="auto"/>
          <w:color w:val="auto"/>
        </w:rPr>
        <w:t>Consent to Notices by Electronic Transmission</w:t>
      </w:r>
      <w:r>
        <w:rPr>
          <w:rFonts w:ascii="Arial" w:cs="Arial" w:eastAsia="Arial" w:hAnsi="Arial"/>
          <w:sz w:val="16"/>
          <w:szCs w:val="16"/>
          <w:color w:val="auto"/>
        </w:rPr>
        <w:t>. Upon becoming a stockholder of the Company and without limiting the manner by which</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otherwise may be given effectively to Participant, Participant hereby consents in accordance with Section 232 of the Delaware General Corporation Law to stockholder notices given by the Company to Participant by any of the following forms of electronic transmission: (i) by facsimile telecommunications to the facsimile number set forth on the signature page hereto or to such other facsimile number as Participant may designate by a written notice delivered to the Company; (ii) by electronic mail to the e-mail address set forth on the signature page hereto or to such other e-mail address as Participant may designate by a written notice delivered to the Company; (iii) by a posting on an electronic network together with separate notice to Participant of such specific posting; and (iv) by any other form of electronic transmission when directed to Participant.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439" w:name="page440"/>
    <w:bookmarkEnd w:id="439"/>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Submitted by:</w:t>
            </w:r>
          </w:p>
        </w:tc>
        <w:tc>
          <w:tcPr>
            <w:tcW w:w="5360" w:type="dxa"/>
            <w:vAlign w:val="bottom"/>
            <w:gridSpan w:val="2"/>
          </w:tcPr>
          <w:p>
            <w:pPr>
              <w:ind w:left="1400"/>
              <w:spacing w:after="0"/>
              <w:rPr>
                <w:sz w:val="20"/>
                <w:szCs w:val="20"/>
                <w:color w:val="auto"/>
              </w:rPr>
            </w:pPr>
            <w:r>
              <w:rPr>
                <w:rFonts w:ascii="Arial" w:cs="Arial" w:eastAsia="Arial" w:hAnsi="Arial"/>
                <w:sz w:val="18"/>
                <w:szCs w:val="18"/>
                <w:color w:val="auto"/>
              </w:rPr>
              <w:t>Accepted by:</w:t>
            </w:r>
          </w:p>
        </w:tc>
        <w:tc>
          <w:tcPr>
            <w:tcW w:w="0" w:type="dxa"/>
            <w:vAlign w:val="bottom"/>
          </w:tcPr>
          <w:p>
            <w:pPr>
              <w:spacing w:after="0"/>
              <w:rPr>
                <w:sz w:val="1"/>
                <w:szCs w:val="1"/>
                <w:color w:val="auto"/>
              </w:rPr>
            </w:pPr>
          </w:p>
        </w:tc>
      </w:tr>
      <w:tr>
        <w:trPr>
          <w:trHeight w:val="432"/>
        </w:trPr>
        <w:tc>
          <w:tcPr>
            <w:tcW w:w="4080" w:type="dxa"/>
            <w:vAlign w:val="bottom"/>
          </w:tcPr>
          <w:p>
            <w:pPr>
              <w:spacing w:after="0"/>
              <w:rPr>
                <w:sz w:val="24"/>
                <w:szCs w:val="24"/>
                <w:color w:val="auto"/>
              </w:rPr>
            </w:pPr>
          </w:p>
        </w:tc>
        <w:tc>
          <w:tcPr>
            <w:tcW w:w="5360" w:type="dxa"/>
            <w:vAlign w:val="bottom"/>
            <w:gridSpan w:val="2"/>
          </w:tcPr>
          <w:p>
            <w:pPr>
              <w:ind w:left="140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473"/>
        </w:trPr>
        <w:tc>
          <w:tcPr>
            <w:tcW w:w="408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5360" w:type="dxa"/>
            <w:vAlign w:val="bottom"/>
            <w:gridSpan w:val="2"/>
          </w:tcPr>
          <w:p>
            <w:pPr>
              <w:ind w:left="1400"/>
              <w:spacing w:after="0"/>
              <w:rPr>
                <w:sz w:val="20"/>
                <w:szCs w:val="20"/>
                <w:color w:val="auto"/>
              </w:rPr>
            </w:pPr>
            <w:r>
              <w:rPr>
                <w:rFonts w:ascii="Arial" w:cs="Arial" w:eastAsia="Arial" w:hAnsi="Arial"/>
                <w:sz w:val="18"/>
                <w:szCs w:val="18"/>
                <w:b w:val="1"/>
                <w:bCs w:val="1"/>
                <w:color w:val="auto"/>
              </w:rPr>
              <w:t>4D MOLECULAR THERAPEUTICS, INC.</w:t>
            </w:r>
          </w:p>
        </w:tc>
        <w:tc>
          <w:tcPr>
            <w:tcW w:w="0" w:type="dxa"/>
            <w:vAlign w:val="bottom"/>
          </w:tcPr>
          <w:p>
            <w:pPr>
              <w:spacing w:after="0"/>
              <w:rPr>
                <w:sz w:val="1"/>
                <w:szCs w:val="1"/>
                <w:color w:val="auto"/>
              </w:rPr>
            </w:pPr>
          </w:p>
        </w:tc>
      </w:tr>
      <w:tr>
        <w:trPr>
          <w:trHeight w:val="432"/>
        </w:trPr>
        <w:tc>
          <w:tcPr>
            <w:tcW w:w="4080" w:type="dxa"/>
            <w:vAlign w:val="bottom"/>
            <w:tcBorders>
              <w:bottom w:val="single" w:sz="8" w:color="auto"/>
            </w:tcBorders>
          </w:tcPr>
          <w:p>
            <w:pPr>
              <w:spacing w:after="0"/>
              <w:rPr>
                <w:sz w:val="24"/>
                <w:szCs w:val="24"/>
                <w:color w:val="auto"/>
              </w:rPr>
            </w:pPr>
          </w:p>
        </w:tc>
        <w:tc>
          <w:tcPr>
            <w:tcW w:w="1720" w:type="dxa"/>
            <w:vAlign w:val="bottom"/>
            <w:vMerge w:val="restart"/>
          </w:tcPr>
          <w:p>
            <w:pPr>
              <w:ind w:left="1400"/>
              <w:spacing w:after="0"/>
              <w:rPr>
                <w:sz w:val="20"/>
                <w:szCs w:val="20"/>
                <w:color w:val="auto"/>
              </w:rPr>
            </w:pPr>
            <w:r>
              <w:rPr>
                <w:rFonts w:ascii="Arial" w:cs="Arial" w:eastAsia="Arial" w:hAnsi="Arial"/>
                <w:sz w:val="18"/>
                <w:szCs w:val="18"/>
                <w:color w:val="auto"/>
              </w:rPr>
              <w:t>By:</w:t>
            </w:r>
          </w:p>
        </w:tc>
        <w:tc>
          <w:tcPr>
            <w:tcW w:w="36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line="182" w:lineRule="exact"/>
              <w:rPr>
                <w:sz w:val="20"/>
                <w:szCs w:val="20"/>
                <w:color w:val="auto"/>
              </w:rPr>
            </w:pPr>
            <w:r>
              <w:rPr>
                <w:rFonts w:ascii="Arial" w:cs="Arial" w:eastAsia="Arial" w:hAnsi="Arial"/>
                <w:sz w:val="18"/>
                <w:szCs w:val="18"/>
                <w:color w:val="auto"/>
              </w:rPr>
              <w:t>Signature</w:t>
            </w:r>
          </w:p>
        </w:tc>
        <w:tc>
          <w:tcPr>
            <w:tcW w:w="1720" w:type="dxa"/>
            <w:vAlign w:val="bottom"/>
            <w:vMerge w:val="continue"/>
          </w:tcPr>
          <w:p>
            <w:pPr>
              <w:spacing w:after="0"/>
              <w:rPr>
                <w:sz w:val="15"/>
                <w:szCs w:val="15"/>
                <w:color w:val="auto"/>
              </w:rPr>
            </w:pPr>
          </w:p>
        </w:tc>
        <w:tc>
          <w:tcPr>
            <w:tcW w:w="3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80" w:type="dxa"/>
            <w:vAlign w:val="bottom"/>
          </w:tcPr>
          <w:p>
            <w:pPr>
              <w:spacing w:after="0"/>
              <w:rPr>
                <w:sz w:val="19"/>
                <w:szCs w:val="19"/>
                <w:color w:val="auto"/>
              </w:rPr>
            </w:pPr>
          </w:p>
        </w:tc>
        <w:tc>
          <w:tcPr>
            <w:tcW w:w="5360" w:type="dxa"/>
            <w:vAlign w:val="bottom"/>
            <w:gridSpan w:val="2"/>
          </w:tcPr>
          <w:p>
            <w:pPr>
              <w:ind w:left="140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«Participant»</w:t>
            </w:r>
          </w:p>
        </w:tc>
        <w:tc>
          <w:tcPr>
            <w:tcW w:w="5360" w:type="dxa"/>
            <w:vAlign w:val="bottom"/>
            <w:gridSpan w:val="2"/>
          </w:tcPr>
          <w:p>
            <w:pPr>
              <w:ind w:left="140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24"/>
        </w:trPr>
        <w:tc>
          <w:tcPr>
            <w:tcW w:w="4080" w:type="dxa"/>
            <w:vAlign w:val="bottom"/>
          </w:tcPr>
          <w:p>
            <w:pPr>
              <w:spacing w:after="0"/>
              <w:rPr>
                <w:sz w:val="20"/>
                <w:szCs w:val="20"/>
                <w:color w:val="auto"/>
              </w:rPr>
            </w:pPr>
            <w:r>
              <w:rPr>
                <w:rFonts w:ascii="Arial" w:cs="Arial" w:eastAsia="Arial" w:hAnsi="Arial"/>
                <w:sz w:val="18"/>
                <w:szCs w:val="18"/>
                <w:color w:val="auto"/>
              </w:rPr>
              <w:t>Print Name</w:t>
            </w:r>
          </w:p>
        </w:tc>
        <w:tc>
          <w:tcPr>
            <w:tcW w:w="5360" w:type="dxa"/>
            <w:vAlign w:val="bottom"/>
            <w:gridSpan w:val="2"/>
            <w:vMerge w:val="restart"/>
          </w:tcPr>
          <w:p>
            <w:pPr>
              <w:ind w:left="1400"/>
              <w:spacing w:after="0"/>
              <w:rPr>
                <w:sz w:val="20"/>
                <w:szCs w:val="20"/>
                <w:color w:val="auto"/>
              </w:rPr>
            </w:pPr>
            <w:r>
              <w:rPr>
                <w:rFonts w:ascii="Arial" w:cs="Arial" w:eastAsia="Arial" w:hAnsi="Arial"/>
                <w:sz w:val="18"/>
                <w:szCs w:val="18"/>
                <w:color w:val="auto"/>
              </w:rPr>
              <w:t>Date Received:</w:t>
            </w:r>
          </w:p>
        </w:tc>
        <w:tc>
          <w:tcPr>
            <w:tcW w:w="0" w:type="dxa"/>
            <w:vAlign w:val="bottom"/>
          </w:tcPr>
          <w:p>
            <w:pPr>
              <w:spacing w:after="0"/>
              <w:rPr>
                <w:sz w:val="1"/>
                <w:szCs w:val="1"/>
                <w:color w:val="auto"/>
              </w:rPr>
            </w:pPr>
          </w:p>
        </w:tc>
      </w:tr>
      <w:tr>
        <w:trPr>
          <w:trHeight w:val="215"/>
        </w:trPr>
        <w:tc>
          <w:tcPr>
            <w:tcW w:w="4080" w:type="dxa"/>
            <w:vAlign w:val="bottom"/>
          </w:tcPr>
          <w:p>
            <w:pPr>
              <w:spacing w:after="0"/>
              <w:rPr>
                <w:sz w:val="18"/>
                <w:szCs w:val="18"/>
                <w:color w:val="auto"/>
              </w:rPr>
            </w:pPr>
          </w:p>
        </w:tc>
        <w:tc>
          <w:tcPr>
            <w:tcW w:w="5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080" w:type="dxa"/>
            <w:vAlign w:val="bottom"/>
          </w:tcPr>
          <w:p>
            <w:pPr>
              <w:spacing w:after="0"/>
              <w:rPr>
                <w:sz w:val="24"/>
                <w:szCs w:val="24"/>
                <w:color w:val="auto"/>
              </w:rPr>
            </w:pPr>
          </w:p>
        </w:tc>
        <w:tc>
          <w:tcPr>
            <w:tcW w:w="1720" w:type="dxa"/>
            <w:vAlign w:val="bottom"/>
          </w:tcPr>
          <w:p>
            <w:pPr>
              <w:ind w:left="1380"/>
              <w:spacing w:after="0"/>
              <w:rPr>
                <w:sz w:val="20"/>
                <w:szCs w:val="20"/>
                <w:color w:val="auto"/>
              </w:rPr>
            </w:pPr>
            <w:r>
              <w:rPr>
                <w:rFonts w:ascii="Arial" w:cs="Arial" w:eastAsia="Arial" w:hAnsi="Arial"/>
                <w:sz w:val="18"/>
                <w:szCs w:val="18"/>
                <w:color w:val="auto"/>
              </w:rPr>
              <w:t>5</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19"/>
          </w:cols>
          <w:pgMar w:left="4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40" w:name="page441"/>
    <w:bookmarkEnd w:id="440"/>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940" w:type="dxa"/>
            <w:vAlign w:val="bottom"/>
          </w:tcPr>
          <w:p>
            <w:pPr>
              <w:jc w:val="center"/>
              <w:ind w:left="1790"/>
              <w:spacing w:after="0"/>
              <w:rPr>
                <w:sz w:val="20"/>
                <w:szCs w:val="20"/>
                <w:color w:val="auto"/>
              </w:rPr>
            </w:pPr>
            <w:r>
              <w:rPr>
                <w:rFonts w:ascii="Arial" w:cs="Arial" w:eastAsia="Arial" w:hAnsi="Arial"/>
                <w:sz w:val="18"/>
                <w:szCs w:val="18"/>
                <w:b w:val="1"/>
                <w:bCs w:val="1"/>
                <w:color w:val="auto"/>
              </w:rPr>
              <w:t>EXHIBIT C</w:t>
            </w:r>
          </w:p>
        </w:tc>
      </w:tr>
      <w:tr>
        <w:trPr>
          <w:trHeight w:val="432"/>
        </w:trPr>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40" w:type="dxa"/>
            <w:vAlign w:val="bottom"/>
          </w:tcPr>
          <w:p>
            <w:pPr>
              <w:jc w:val="center"/>
              <w:ind w:left="1810"/>
              <w:spacing w:after="0"/>
              <w:rPr>
                <w:sz w:val="20"/>
                <w:szCs w:val="20"/>
                <w:color w:val="auto"/>
              </w:rPr>
            </w:pPr>
            <w:r>
              <w:rPr>
                <w:rFonts w:ascii="Arial" w:cs="Arial" w:eastAsia="Arial" w:hAnsi="Arial"/>
                <w:sz w:val="18"/>
                <w:szCs w:val="18"/>
                <w:b w:val="1"/>
                <w:bCs w:val="1"/>
                <w:color w:val="auto"/>
              </w:rPr>
              <w:t>INVESTMENT REPRESENTATION STATEMENT</w:t>
            </w:r>
          </w:p>
        </w:tc>
      </w:tr>
      <w:tr>
        <w:trPr>
          <w:trHeight w:val="445"/>
        </w:trPr>
        <w:tc>
          <w:tcPr>
            <w:tcW w:w="1260" w:type="dxa"/>
            <w:vAlign w:val="bottom"/>
          </w:tcPr>
          <w:p>
            <w:pPr>
              <w:spacing w:after="0"/>
              <w:rPr>
                <w:sz w:val="20"/>
                <w:szCs w:val="20"/>
                <w:color w:val="auto"/>
              </w:rPr>
            </w:pPr>
            <w:r>
              <w:rPr>
                <w:rFonts w:ascii="Arial" w:cs="Arial" w:eastAsia="Arial" w:hAnsi="Arial"/>
                <w:sz w:val="18"/>
                <w:szCs w:val="18"/>
                <w:color w:val="auto"/>
              </w:rPr>
              <w:t>PARTICIPANT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5940" w:type="dxa"/>
            <w:vAlign w:val="bottom"/>
          </w:tcPr>
          <w:p>
            <w:pPr>
              <w:ind w:left="180"/>
              <w:spacing w:after="0"/>
              <w:rPr>
                <w:sz w:val="20"/>
                <w:szCs w:val="20"/>
                <w:color w:val="auto"/>
              </w:rPr>
            </w:pPr>
            <w:r>
              <w:rPr>
                <w:rFonts w:ascii="Arial" w:cs="Arial" w:eastAsia="Arial" w:hAnsi="Arial"/>
                <w:sz w:val="18"/>
                <w:szCs w:val="18"/>
                <w:color w:val="auto"/>
              </w:rPr>
              <w:t>«Participant»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COMPANY</w:t>
            </w: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w w:val="92"/>
              </w:rPr>
              <w:t>:4D Molecular Therapeutics, Inc. (the “</w:t>
            </w:r>
            <w:r>
              <w:rPr>
                <w:rFonts w:ascii="Arial" w:cs="Arial" w:eastAsia="Arial" w:hAnsi="Arial"/>
                <w:sz w:val="18"/>
                <w:szCs w:val="18"/>
                <w:b w:val="1"/>
                <w:bCs w:val="1"/>
                <w:i w:val="1"/>
                <w:iCs w:val="1"/>
                <w:color w:val="auto"/>
                <w:w w:val="92"/>
              </w:rPr>
              <w:t>Company</w:t>
            </w:r>
            <w:r>
              <w:rPr>
                <w:rFonts w:ascii="Arial" w:cs="Arial" w:eastAsia="Arial" w:hAnsi="Arial"/>
                <w:sz w:val="18"/>
                <w:szCs w:val="18"/>
                <w:color w:val="auto"/>
                <w:w w:val="92"/>
              </w:rPr>
              <w: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SECURITY</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5940" w:type="dxa"/>
            <w:vAlign w:val="bottom"/>
          </w:tcPr>
          <w:p>
            <w:pPr>
              <w:ind w:left="180"/>
              <w:spacing w:after="0"/>
              <w:rPr>
                <w:sz w:val="20"/>
                <w:szCs w:val="20"/>
                <w:color w:val="auto"/>
              </w:rPr>
            </w:pPr>
            <w:r>
              <w:rPr>
                <w:rFonts w:ascii="Arial" w:cs="Arial" w:eastAsia="Arial" w:hAnsi="Arial"/>
                <w:sz w:val="18"/>
                <w:szCs w:val="18"/>
                <w:color w:val="auto"/>
              </w:rPr>
              <w:t>COMMON STOCK</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AMOUNT</w:t>
            </w: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w w:val="89"/>
              </w:rPr>
              <w:t>:_________________ shares (the “</w:t>
            </w:r>
            <w:r>
              <w:rPr>
                <w:rFonts w:ascii="Arial" w:cs="Arial" w:eastAsia="Arial" w:hAnsi="Arial"/>
                <w:sz w:val="18"/>
                <w:szCs w:val="18"/>
                <w:b w:val="1"/>
                <w:bCs w:val="1"/>
                <w:i w:val="1"/>
                <w:iCs w:val="1"/>
                <w:color w:val="auto"/>
                <w:w w:val="89"/>
              </w:rPr>
              <w:t>Shares</w:t>
            </w:r>
            <w:r>
              <w:rPr>
                <w:rFonts w:ascii="Arial" w:cs="Arial" w:eastAsia="Arial" w:hAnsi="Arial"/>
                <w:sz w:val="18"/>
                <w:szCs w:val="18"/>
                <w:color w:val="auto"/>
                <w:w w:val="89"/>
              </w:rPr>
              <w:t>”)</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DATE</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5940" w:type="dxa"/>
            <w:vAlign w:val="bottom"/>
          </w:tcPr>
          <w:p>
            <w:pPr>
              <w:ind w:left="180"/>
              <w:spacing w:after="0"/>
              <w:rPr>
                <w:sz w:val="20"/>
                <w:szCs w:val="20"/>
                <w:color w:val="auto"/>
              </w:rPr>
            </w:pPr>
            <w:r>
              <w:rPr>
                <w:rFonts w:ascii="Arial" w:cs="Arial" w:eastAsia="Arial" w:hAnsi="Arial"/>
                <w:sz w:val="18"/>
                <w:szCs w:val="18"/>
                <w:color w:val="auto"/>
              </w:rPr>
              <w:t>_________________</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380"/>
        <w:spacing w:after="0" w:line="286" w:lineRule="auto"/>
        <w:rPr>
          <w:sz w:val="20"/>
          <w:szCs w:val="20"/>
          <w:color w:val="auto"/>
        </w:rPr>
      </w:pPr>
      <w:r>
        <w:rPr>
          <w:rFonts w:ascii="Arial" w:cs="Arial" w:eastAsia="Arial" w:hAnsi="Arial"/>
          <w:sz w:val="17"/>
          <w:szCs w:val="17"/>
          <w:color w:val="auto"/>
        </w:rPr>
        <w:t>Unless otherwise defined in this Investment Representation Statement (this “</w:t>
      </w:r>
      <w:r>
        <w:rPr>
          <w:rFonts w:ascii="Arial" w:cs="Arial" w:eastAsia="Arial" w:hAnsi="Arial"/>
          <w:sz w:val="17"/>
          <w:szCs w:val="17"/>
          <w:b w:val="1"/>
          <w:bCs w:val="1"/>
          <w:i w:val="1"/>
          <w:iCs w:val="1"/>
          <w:color w:val="auto"/>
        </w:rPr>
        <w:t>Statement</w:t>
      </w:r>
      <w:r>
        <w:rPr>
          <w:rFonts w:ascii="Arial" w:cs="Arial" w:eastAsia="Arial" w:hAnsi="Arial"/>
          <w:sz w:val="17"/>
          <w:szCs w:val="17"/>
          <w:color w:val="auto"/>
        </w:rPr>
        <w:t>”), capitalized terms used herein shall have the same defined meanings as set forth in the 4D Molecular Therapeutics, Inc. 2015 Equity Incentive Plan or, if not defined therein, in that certain Stock Option Agreement made and entered into as of «Date_of_Stock_Option_Agreement» by and between the Company and Participant.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Participant’s purchase of the Shares, Participant hereby makes the following representations to the Company:</w:t>
      </w:r>
    </w:p>
    <w:p>
      <w:pPr>
        <w:spacing w:after="0" w:line="117" w:lineRule="exact"/>
        <w:rPr>
          <w:sz w:val="20"/>
          <w:szCs w:val="20"/>
          <w:color w:val="auto"/>
        </w:rPr>
      </w:pPr>
    </w:p>
    <w:p>
      <w:pPr>
        <w:ind w:firstLine="4"/>
        <w:spacing w:after="0" w:line="272" w:lineRule="auto"/>
        <w:tabs>
          <w:tab w:leader="none" w:pos="180" w:val="left"/>
        </w:tabs>
        <w:numPr>
          <w:ilvl w:val="0"/>
          <w:numId w:val="319"/>
        </w:numPr>
        <w:rPr>
          <w:rFonts w:ascii="Arial" w:cs="Arial" w:eastAsia="Arial" w:hAnsi="Arial"/>
          <w:sz w:val="17"/>
          <w:szCs w:val="17"/>
          <w:color w:val="auto"/>
        </w:rPr>
      </w:pPr>
      <w:r>
        <w:rPr>
          <w:rFonts w:ascii="Arial" w:cs="Arial" w:eastAsia="Arial" w:hAnsi="Arial"/>
          <w:sz w:val="17"/>
          <w:szCs w:val="17"/>
          <w:i w:val="1"/>
          <w:iCs w:val="1"/>
          <w:color w:val="auto"/>
        </w:rPr>
        <w:t>Investment Intent</w:t>
      </w:r>
      <w:r>
        <w:rPr>
          <w:rFonts w:ascii="Arial" w:cs="Arial" w:eastAsia="Arial" w:hAnsi="Arial"/>
          <w:sz w:val="17"/>
          <w:szCs w:val="17"/>
          <w:color w:val="auto"/>
        </w:rPr>
        <w:t>. Participant is purchasing the Shares solely for investment for his or her own account, not as a nominee or agent, and not with a</w:t>
      </w:r>
      <w:r>
        <w:rPr>
          <w:rFonts w:ascii="Arial" w:cs="Arial" w:eastAsia="Arial" w:hAnsi="Arial"/>
          <w:sz w:val="17"/>
          <w:szCs w:val="17"/>
          <w:i w:val="1"/>
          <w:iCs w:val="1"/>
          <w:color w:val="auto"/>
        </w:rPr>
        <w:t xml:space="preserve"> </w:t>
      </w:r>
      <w:r>
        <w:rPr>
          <w:rFonts w:ascii="Arial" w:cs="Arial" w:eastAsia="Arial" w:hAnsi="Arial"/>
          <w:sz w:val="17"/>
          <w:szCs w:val="17"/>
          <w:color w:val="auto"/>
        </w:rPr>
        <w:t>view to the resale or distribution (within the meaning of the Securities Act) of any part thereof, except to the extent Participant intends to hold the Shares jointly with his or her spouse. Participant has no present intention of selling, transferring, granting any participation in, or otherwise distributing any Shares. Participant does not have, with respect to any of the Shares, any contract or other arrangement with any Person to sell, transfer, grant participations or otherwise distribute the same to such Person or to any third Person. Participant’s investment intent is not limited to Participant’s present intention to hold the Shares for the minimum capital gains period specified under any applicable tax law, for a deferred sale, for a specified increase or decrease in the market price of the Shares or for any other fixed period in the future.</w:t>
      </w:r>
    </w:p>
    <w:p>
      <w:pPr>
        <w:spacing w:after="0" w:line="69" w:lineRule="exact"/>
        <w:rPr>
          <w:rFonts w:ascii="Arial" w:cs="Arial" w:eastAsia="Arial" w:hAnsi="Arial"/>
          <w:sz w:val="17"/>
          <w:szCs w:val="17"/>
          <w:color w:val="auto"/>
        </w:rPr>
      </w:pPr>
    </w:p>
    <w:p>
      <w:pPr>
        <w:ind w:right="140" w:firstLine="4"/>
        <w:spacing w:after="0" w:line="264" w:lineRule="auto"/>
        <w:tabs>
          <w:tab w:leader="none" w:pos="180" w:val="left"/>
        </w:tabs>
        <w:numPr>
          <w:ilvl w:val="0"/>
          <w:numId w:val="319"/>
        </w:numPr>
        <w:rPr>
          <w:rFonts w:ascii="Arial" w:cs="Arial" w:eastAsia="Arial" w:hAnsi="Arial"/>
          <w:sz w:val="18"/>
          <w:szCs w:val="18"/>
          <w:color w:val="auto"/>
        </w:rPr>
      </w:pPr>
      <w:r>
        <w:rPr>
          <w:rFonts w:ascii="Arial" w:cs="Arial" w:eastAsia="Arial" w:hAnsi="Arial"/>
          <w:sz w:val="18"/>
          <w:szCs w:val="18"/>
          <w:i w:val="1"/>
          <w:iCs w:val="1"/>
          <w:color w:val="auto"/>
        </w:rPr>
        <w:t>Participant is Informed About the Company</w:t>
      </w:r>
      <w:r>
        <w:rPr>
          <w:rFonts w:ascii="Arial" w:cs="Arial" w:eastAsia="Arial" w:hAnsi="Arial"/>
          <w:sz w:val="18"/>
          <w:szCs w:val="18"/>
          <w:color w:val="auto"/>
        </w:rPr>
        <w:t>. Participant is sufficiently aware of the Company’s business affairs and financial condition,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sufficient information he or she considers necessary or appropriate, to make an informed and knowledgeable investment decision with respect to the Shares.</w:t>
      </w:r>
    </w:p>
    <w:p>
      <w:pPr>
        <w:spacing w:after="0" w:line="73" w:lineRule="exact"/>
        <w:rPr>
          <w:rFonts w:ascii="Arial" w:cs="Arial" w:eastAsia="Arial" w:hAnsi="Arial"/>
          <w:sz w:val="18"/>
          <w:szCs w:val="18"/>
          <w:color w:val="auto"/>
        </w:rPr>
      </w:pPr>
    </w:p>
    <w:p>
      <w:pPr>
        <w:ind w:right="40" w:firstLine="4"/>
        <w:spacing w:after="0" w:line="254" w:lineRule="auto"/>
        <w:tabs>
          <w:tab w:leader="none" w:pos="180" w:val="left"/>
        </w:tabs>
        <w:numPr>
          <w:ilvl w:val="0"/>
          <w:numId w:val="319"/>
        </w:numPr>
        <w:rPr>
          <w:rFonts w:ascii="Arial" w:cs="Arial" w:eastAsia="Arial" w:hAnsi="Arial"/>
          <w:sz w:val="18"/>
          <w:szCs w:val="18"/>
          <w:color w:val="auto"/>
        </w:rPr>
      </w:pPr>
      <w:r>
        <w:rPr>
          <w:rFonts w:ascii="Arial" w:cs="Arial" w:eastAsia="Arial" w:hAnsi="Arial"/>
          <w:sz w:val="18"/>
          <w:szCs w:val="18"/>
          <w:i w:val="1"/>
          <w:iCs w:val="1"/>
          <w:color w:val="auto"/>
        </w:rPr>
        <w:t>Participant Can Protect Participant’s Own Interests</w:t>
      </w:r>
      <w:r>
        <w:rPr>
          <w:rFonts w:ascii="Arial" w:cs="Arial" w:eastAsia="Arial" w:hAnsi="Arial"/>
          <w:sz w:val="18"/>
          <w:szCs w:val="18"/>
          <w:color w:val="auto"/>
        </w:rPr>
        <w:t>. Participant can properly evaluate the merits and risks of an investment in the Shares and can</w:t>
      </w:r>
      <w:r>
        <w:rPr>
          <w:rFonts w:ascii="Arial" w:cs="Arial" w:eastAsia="Arial" w:hAnsi="Arial"/>
          <w:sz w:val="18"/>
          <w:szCs w:val="18"/>
          <w:i w:val="1"/>
          <w:iCs w:val="1"/>
          <w:color w:val="auto"/>
        </w:rPr>
        <w:t xml:space="preserve"> </w:t>
      </w:r>
      <w:r>
        <w:rPr>
          <w:rFonts w:ascii="Arial" w:cs="Arial" w:eastAsia="Arial" w:hAnsi="Arial"/>
          <w:sz w:val="18"/>
          <w:szCs w:val="18"/>
          <w:color w:val="auto"/>
        </w:rPr>
        <w:t>protect his or her own interests in this regard, whether by reason of Participant’s own business and financial expertise, the business and financial expertise of certain professional advisors unaffiliated with the Company (and not compensated by the Company, directly or indirectly) with whom Participant has consulted, or Participant’s preexisting business or personal relationship with the Company or any of its directors, officers or controlling persons. Participant acknowledges that the purchase of the Shares involves an extremely high degree of risk and that the Company’s future prospects are uncertain. Participant is able, without materially impairing his or her financial condition, to hold the Shares for an indefinite period of time and to suffer a complete loss of his or her entire investment. Participant’s purchase of the Shares was not accomplished by a general solicitation or general advertising.</w:t>
      </w:r>
    </w:p>
    <w:p>
      <w:pPr>
        <w:sectPr>
          <w:pgSz w:w="11900" w:h="16838" w:orient="portrait"/>
          <w:cols w:equalWidth="0" w:num="1">
            <w:col w:w="11020"/>
          </w:cols>
          <w:pgMar w:left="440" w:top="269" w:right="439" w:bottom="1440" w:gutter="0" w:footer="0" w:header="0"/>
        </w:sectPr>
      </w:pPr>
    </w:p>
    <w:bookmarkStart w:id="441" w:name="page442"/>
    <w:bookmarkEnd w:id="441"/>
    <w:p>
      <w:pPr>
        <w:ind w:left="-4" w:right="40" w:firstLine="4"/>
        <w:spacing w:after="0" w:line="253" w:lineRule="auto"/>
        <w:tabs>
          <w:tab w:leader="none" w:pos="176" w:val="left"/>
        </w:tabs>
        <w:numPr>
          <w:ilvl w:val="0"/>
          <w:numId w:val="32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 Knows the Shares are Restricted Securities</w:t>
      </w:r>
      <w:r>
        <w:rPr>
          <w:rFonts w:ascii="Arial" w:cs="Arial" w:eastAsia="Arial" w:hAnsi="Arial"/>
          <w:sz w:val="18"/>
          <w:szCs w:val="18"/>
          <w:color w:val="auto"/>
        </w:rPr>
        <w:t>. Participant understands that the Shares are “restricted securities” under applicable federal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state securities laws inasmuch as they have not been (i) registered under the Securities Act in reliance upon a specific exemption therefrom, which exemption depends upon, among other things, the bona fide nature of Participant’s investment intent as expressed in this Statement or (ii) registered or qualified in any state in which they are offered. In this regard, Participant further understands and agrees that: (i) Participant must hold the Shares indefinitely unless they are registered with the U.S. Securities and Exchange Commission and qualified by state authorities or an exemption from such registration and qualification requirements is available; (ii) the Company has no obligation to register or qualify Shares for resale; and (iii) the certificate(s) evidencing the Shares, if certificated, will be imprinted with a legend which prohibits the transfer of the Shares unless the Shares are registered under the Securities Act and applicable state securities laws or such registration is not required in the written opinion of counsel for the Company.</w:t>
      </w:r>
    </w:p>
    <w:p>
      <w:pPr>
        <w:spacing w:after="0" w:line="89" w:lineRule="exact"/>
        <w:rPr>
          <w:rFonts w:ascii="Arial" w:cs="Arial" w:eastAsia="Arial" w:hAnsi="Arial"/>
          <w:sz w:val="18"/>
          <w:szCs w:val="18"/>
          <w:color w:val="auto"/>
        </w:rPr>
      </w:pPr>
    </w:p>
    <w:p>
      <w:pPr>
        <w:ind w:left="-4" w:firstLine="4"/>
        <w:spacing w:after="0" w:line="285" w:lineRule="auto"/>
        <w:tabs>
          <w:tab w:leader="none" w:pos="176" w:val="left"/>
        </w:tabs>
        <w:numPr>
          <w:ilvl w:val="0"/>
          <w:numId w:val="320"/>
        </w:numPr>
        <w:rPr>
          <w:rFonts w:ascii="Arial" w:cs="Arial" w:eastAsia="Arial" w:hAnsi="Arial"/>
          <w:sz w:val="16"/>
          <w:szCs w:val="16"/>
          <w:color w:val="auto"/>
        </w:rPr>
      </w:pPr>
      <w:r>
        <w:rPr>
          <w:rFonts w:ascii="Arial" w:cs="Arial" w:eastAsia="Arial" w:hAnsi="Arial"/>
          <w:sz w:val="16"/>
          <w:szCs w:val="16"/>
          <w:i w:val="1"/>
          <w:iCs w:val="1"/>
          <w:color w:val="auto"/>
        </w:rPr>
        <w:t>Participant is Familiar With Rule 701 and Rule 144</w:t>
      </w:r>
      <w:r>
        <w:rPr>
          <w:rFonts w:ascii="Arial" w:cs="Arial" w:eastAsia="Arial" w:hAnsi="Arial"/>
          <w:sz w:val="16"/>
          <w:szCs w:val="16"/>
          <w:color w:val="auto"/>
        </w:rPr>
        <w:t>. Participant is familiar with Rule 701 and Rule 144, each promulgated under the Securities Act</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Rule 701</w:t>
      </w:r>
      <w:r>
        <w:rPr>
          <w:rFonts w:ascii="Arial" w:cs="Arial" w:eastAsia="Arial" w:hAnsi="Arial"/>
          <w:sz w:val="16"/>
          <w:szCs w:val="16"/>
          <w:color w:val="auto"/>
        </w:rPr>
        <w:t>” and “</w:t>
      </w:r>
      <w:r>
        <w:rPr>
          <w:rFonts w:ascii="Arial" w:cs="Arial" w:eastAsia="Arial" w:hAnsi="Arial"/>
          <w:sz w:val="16"/>
          <w:szCs w:val="16"/>
          <w:b w:val="1"/>
          <w:bCs w:val="1"/>
          <w:i w:val="1"/>
          <w:iCs w:val="1"/>
          <w:color w:val="auto"/>
        </w:rPr>
        <w:t>Rule 144</w:t>
      </w:r>
      <w:r>
        <w:rPr>
          <w:rFonts w:ascii="Arial" w:cs="Arial" w:eastAsia="Arial" w:hAnsi="Arial"/>
          <w:sz w:val="16"/>
          <w:szCs w:val="16"/>
          <w:color w:val="auto"/>
        </w:rPr>
        <w:t>”, respectively), which in some circumstances permit limited public resales of “restricted securities” like the Shares acquired from an issuer in a non-public offering. Rule 701 provides that if the issuer of the Shares qualifies under Rule 701 at the time of grant of the option to purchase the Shares (the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the exercise of the Option will be exempt from registration under the Securities Act. If the Company becomes subject to the reporting requirements of Section 13 or 15(d) of the Exchange Act, 90 days thereafter (or such longer period as any market stand-off agreement may require) the Shares exempt under Rule 701 may be resold, subject to the satisfaction of the applicable conditions specified by Rule 144, including, in the case of affiliates, (i) the availability of certain current public information about the Company, (ii) the amount of Shares being sold during any three-month period not exceeding specified limitations, (iii) the sale being made in an unsolicited “broker’s transaction,” transactions directly with a “market maker” or “riskless principal transactions,” as those terms are defined under the Exchange Act, and (iv) the timely filing of a notice of proposed sale on Form 144, if applicable. If the Company does not qualify under Rule 701 at the time of grant of the Option, then the Shares may be resold in certain limited circumstances subject to the provisions of Rule 144, which may require, among other things, (i) the availability of certain current public information about the Company, (ii) the resale occurring more than a specified period after the purchase and full payment (within the meaning of Rule 144) for the Shares, and (iii) in the case of the sale of Shares by an affiliate, the satisfaction of the conditions set forth in clauses (ii), (iii) and (iv) of the preceding sentence. Participant understands that (x) current public information about the Company is not now available, and the Company has no present plans to make such information available, (y) the requirements of Rule 144 may never be met and the Shares may never be saleable under Rule 144, and (z) at the time Participant wishes to sell the Shares, there may be no public market for the Company’s stock upon which to make such a sale or the current public information requirements of Rule 144 may not be satisfied, any of which may preclude Participant from selling the Shares under Rule 144 even if the relevant holding period has been satisfied.</w:t>
      </w:r>
    </w:p>
    <w:p>
      <w:pPr>
        <w:spacing w:after="0" w:line="283" w:lineRule="exact"/>
        <w:rPr>
          <w:rFonts w:ascii="Arial" w:cs="Arial" w:eastAsia="Arial" w:hAnsi="Arial"/>
          <w:sz w:val="16"/>
          <w:szCs w:val="16"/>
          <w:color w:val="auto"/>
        </w:rPr>
      </w:pPr>
    </w:p>
    <w:p>
      <w:pPr>
        <w:ind w:left="-4" w:right="40" w:firstLine="4"/>
        <w:spacing w:after="0" w:line="264" w:lineRule="auto"/>
        <w:tabs>
          <w:tab w:leader="none" w:pos="176" w:val="left"/>
        </w:tabs>
        <w:numPr>
          <w:ilvl w:val="0"/>
          <w:numId w:val="320"/>
        </w:numPr>
        <w:rPr>
          <w:rFonts w:ascii="Arial" w:cs="Arial" w:eastAsia="Arial" w:hAnsi="Arial"/>
          <w:sz w:val="18"/>
          <w:szCs w:val="18"/>
          <w:color w:val="auto"/>
        </w:rPr>
      </w:pPr>
      <w:r>
        <w:rPr>
          <w:rFonts w:ascii="Arial" w:cs="Arial" w:eastAsia="Arial" w:hAnsi="Arial"/>
          <w:sz w:val="18"/>
          <w:szCs w:val="18"/>
          <w:i w:val="1"/>
          <w:iCs w:val="1"/>
          <w:color w:val="auto"/>
        </w:rPr>
        <w:t>Participant Knows that Participant is Subject to Further Restrictions on Resale</w:t>
      </w:r>
      <w:r>
        <w:rPr>
          <w:rFonts w:ascii="Arial" w:cs="Arial" w:eastAsia="Arial" w:hAnsi="Arial"/>
          <w:sz w:val="18"/>
          <w:szCs w:val="18"/>
          <w:color w:val="auto"/>
        </w:rPr>
        <w:t>. Participant understands that, if Rule 701 or Rule 144 is not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any future proposed disposition of any of the Shares will not be possible without prior registration under the Securities Act or compliance with some other registration exemption (which may or may not be available).</w:t>
      </w:r>
    </w:p>
    <w:p>
      <w:pPr>
        <w:spacing w:after="0" w:line="11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16"/>
          </w:cols>
          <w:pgMar w:left="444" w:top="273" w:right="439" w:bottom="1440" w:gutter="0" w:footer="0" w:header="0"/>
        </w:sectPr>
      </w:pPr>
    </w:p>
    <w:bookmarkStart w:id="442" w:name="page443"/>
    <w:bookmarkEnd w:id="44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 understands that, although Rule 701 and Rule 144 are not exclusive, the Staff of the U.S. Securities and Exchange Commission has stated that Persons proposing to sell private placement securities other than in a registered offering or pursuant to Rule 701 or Rule 144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79" w:lineRule="exact"/>
        <w:rPr>
          <w:sz w:val="20"/>
          <w:szCs w:val="20"/>
          <w:color w:val="auto"/>
        </w:rPr>
      </w:pPr>
    </w:p>
    <w:p>
      <w:pPr>
        <w:ind w:right="340" w:firstLine="4"/>
        <w:spacing w:after="0" w:line="277" w:lineRule="auto"/>
        <w:tabs>
          <w:tab w:leader="none" w:pos="180" w:val="left"/>
        </w:tabs>
        <w:numPr>
          <w:ilvl w:val="0"/>
          <w:numId w:val="321"/>
        </w:numPr>
        <w:rPr>
          <w:rFonts w:ascii="Arial" w:cs="Arial" w:eastAsia="Arial" w:hAnsi="Arial"/>
          <w:sz w:val="18"/>
          <w:szCs w:val="18"/>
          <w:color w:val="auto"/>
        </w:rPr>
      </w:pPr>
      <w:r>
        <w:rPr>
          <w:rFonts w:ascii="Arial" w:cs="Arial" w:eastAsia="Arial" w:hAnsi="Arial"/>
          <w:sz w:val="18"/>
          <w:szCs w:val="18"/>
          <w:i w:val="1"/>
          <w:iCs w:val="1"/>
          <w:color w:val="auto"/>
        </w:rPr>
        <w:t>Address</w:t>
      </w:r>
      <w:r>
        <w:rPr>
          <w:rFonts w:ascii="Arial" w:cs="Arial" w:eastAsia="Arial" w:hAnsi="Arial"/>
          <w:sz w:val="18"/>
          <w:szCs w:val="18"/>
          <w:color w:val="auto"/>
        </w:rPr>
        <w:t>. The address of Participant’s principal residence is set forth on the signature page of this Statement. Participant shall promptly inform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 writing, of any change in Participant’s principal residence.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By signing below, Participant acknowledges Participant’s agreement with each of the statements contained in this Statement as of the date first set forth above and Participant’s intent for the Company to rely on such statements in issuing the Shares to Participant.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Participant’s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14605</wp:posOffset>
            </wp:positionV>
            <wp:extent cx="272732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Participant’s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94132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941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169545</wp:posOffset>
            </wp:positionV>
            <wp:extent cx="294132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5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Print Name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43" w:name="page444"/>
    <w:bookmarkEnd w:id="44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hereby consent to the use in this Registration Statement on Form S-1 of 4D Molecular Therapeutics, Inc. of our report dated August 2, 2019 relating to the financial statements of 4D Molecular Therapeutics, Inc., which appears in this Registration Statement. We also consent to the reference to us under the heading “Experts” in such Registration Statement.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B44A05"/>
    <w:multiLevelType w:val="hybridMultilevel"/>
    <w:lvl w:ilvl="0">
      <w:lvlJc w:val="left"/>
      <w:lvlText w:val="(%1)"/>
      <w:numFmt w:val="decimal"/>
      <w:start w:val="1"/>
    </w:lvl>
  </w:abstractNum>
  <w:abstractNum w:abstractNumId="1">
    <w:nsid w:val="16CF80F1"/>
    <w:multiLevelType w:val="hybridMultilevel"/>
    <w:lvl w:ilvl="0">
      <w:lvlJc w:val="left"/>
      <w:lvlText w:val="(%1)"/>
      <w:numFmt w:val="decimal"/>
      <w:start w:val="1"/>
    </w:lvl>
  </w:abstractNum>
  <w:abstractNum w:abstractNumId="2">
    <w:nsid w:val="1C695DEC"/>
    <w:multiLevelType w:val="hybridMultilevel"/>
    <w:lvl w:ilvl="0">
      <w:lvlJc w:val="left"/>
      <w:lvlText w:val="*"/>
      <w:numFmt w:val="bullet"/>
      <w:start w:val="1"/>
    </w:lvl>
  </w:abstractNum>
  <w:abstractNum w:abstractNumId="3">
    <w:nsid w:val="3FCFAED9"/>
    <w:multiLevelType w:val="hybridMultilevel"/>
    <w:lvl w:ilvl="0">
      <w:lvlJc w:val="left"/>
      <w:lvlText w:val="**"/>
      <w:numFmt w:val="bullet"/>
      <w:start w:val="1"/>
    </w:lvl>
  </w:abstractNum>
  <w:abstractNum w:abstractNumId="4">
    <w:nsid w:val="F856867"/>
    <w:multiLevelType w:val="hybridMultilevel"/>
    <w:lvl w:ilvl="0">
      <w:lvlJc w:val="left"/>
      <w:lvlText w:val="†"/>
      <w:numFmt w:val="bullet"/>
      <w:start w:val="1"/>
    </w:lvl>
  </w:abstractNum>
  <w:abstractNum w:abstractNumId="5">
    <w:nsid w:val="11B1CC33"/>
    <w:multiLevelType w:val="hybridMultilevel"/>
    <w:lvl w:ilvl="0">
      <w:lvlJc w:val="left"/>
      <w:lvlText w:val="‡"/>
      <w:numFmt w:val="bullet"/>
      <w:start w:val="1"/>
    </w:lvl>
  </w:abstractNum>
  <w:abstractNum w:abstractNumId="6">
    <w:nsid w:val="2E22FBB7"/>
    <w:multiLevelType w:val="hybridMultilevel"/>
    <w:lvl w:ilvl="0">
      <w:lvlJc w:val="left"/>
      <w:lvlText w:val="•"/>
      <w:numFmt w:val="bullet"/>
      <w:start w:val="1"/>
    </w:lvl>
  </w:abstractNum>
  <w:abstractNum w:abstractNumId="7">
    <w:nsid w:val="29934699"/>
    <w:multiLevelType w:val="hybridMultilevel"/>
    <w:lvl w:ilvl="0">
      <w:lvlJc w:val="left"/>
      <w:lvlText w:val="•"/>
      <w:numFmt w:val="bullet"/>
      <w:start w:val="1"/>
    </w:lvl>
  </w:abstractNum>
  <w:abstractNum w:abstractNumId="8">
    <w:nsid w:val="77485850"/>
    <w:multiLevelType w:val="hybridMultilevel"/>
    <w:lvl w:ilvl="0">
      <w:lvlJc w:val="left"/>
      <w:lvlText w:val="•"/>
      <w:numFmt w:val="bullet"/>
      <w:start w:val="1"/>
    </w:lvl>
  </w:abstractNum>
  <w:abstractNum w:abstractNumId="9">
    <w:nsid w:val="744939A3"/>
    <w:multiLevelType w:val="hybridMultilevel"/>
    <w:lvl w:ilvl="0">
      <w:lvlJc w:val="left"/>
      <w:lvlText w:val="•"/>
      <w:numFmt w:val="bullet"/>
      <w:start w:val="1"/>
    </w:lvl>
  </w:abstractNum>
  <w:abstractNum w:abstractNumId="10">
    <w:nsid w:val="4FA0D2E3"/>
    <w:multiLevelType w:val="hybridMultilevel"/>
    <w:lvl w:ilvl="0">
      <w:lvlJc w:val="left"/>
      <w:lvlText w:val="•"/>
      <w:numFmt w:val="bullet"/>
      <w:start w:val="1"/>
    </w:lvl>
  </w:abstractNum>
  <w:abstractNum w:abstractNumId="11">
    <w:nsid w:val="6B1D2C14"/>
    <w:multiLevelType w:val="hybridMultilevel"/>
    <w:lvl w:ilvl="0">
      <w:lvlJc w:val="left"/>
      <w:lvlText w:val="•"/>
      <w:numFmt w:val="bullet"/>
      <w:start w:val="1"/>
    </w:lvl>
  </w:abstractNum>
  <w:abstractNum w:abstractNumId="12">
    <w:nsid w:val="68B867D3"/>
    <w:multiLevelType w:val="hybridMultilevel"/>
    <w:lvl w:ilvl="0">
      <w:lvlJc w:val="left"/>
      <w:lvlText w:val="•"/>
      <w:numFmt w:val="bullet"/>
      <w:start w:val="1"/>
    </w:lvl>
  </w:abstractNum>
  <w:abstractNum w:abstractNumId="13">
    <w:nsid w:val="3F7F5DD9"/>
    <w:multiLevelType w:val="hybridMultilevel"/>
    <w:lvl w:ilvl="0">
      <w:lvlJc w:val="left"/>
      <w:lvlText w:val="•"/>
      <w:numFmt w:val="bullet"/>
      <w:start w:val="1"/>
    </w:lvl>
  </w:abstractNum>
  <w:abstractNum w:abstractNumId="14">
    <w:nsid w:val="2AE05A34"/>
    <w:multiLevelType w:val="hybridMultilevel"/>
    <w:lvl w:ilvl="0">
      <w:lvlJc w:val="left"/>
      <w:lvlText w:val="(%1)"/>
      <w:numFmt w:val="decimal"/>
      <w:start w:val="1"/>
    </w:lvl>
  </w:abstractNum>
  <w:abstractNum w:abstractNumId="15">
    <w:nsid w:val="32794FF7"/>
    <w:multiLevelType w:val="hybridMultilevel"/>
    <w:lvl w:ilvl="0">
      <w:lvlJc w:val="left"/>
      <w:lvlText w:val="(%1)"/>
      <w:numFmt w:val="decimal"/>
      <w:start w:val="1"/>
    </w:lvl>
  </w:abstractNum>
  <w:abstractNum w:abstractNumId="16">
    <w:nsid w:val="5454945E"/>
    <w:multiLevelType w:val="hybridMultilevel"/>
    <w:lvl w:ilvl="0">
      <w:lvlJc w:val="left"/>
      <w:lvlText w:val="(%1)"/>
      <w:numFmt w:val="decimal"/>
      <w:start w:val="4"/>
    </w:lvl>
  </w:abstractNum>
  <w:abstractNum w:abstractNumId="17">
    <w:nsid w:val="4DEFDFA0"/>
    <w:multiLevelType w:val="hybridMultilevel"/>
    <w:lvl w:ilvl="0">
      <w:lvlJc w:val="left"/>
      <w:lvlText w:val="•"/>
      <w:numFmt w:val="bullet"/>
      <w:start w:val="1"/>
    </w:lvl>
  </w:abstractNum>
  <w:abstractNum w:abstractNumId="18">
    <w:nsid w:val="2123D5F2"/>
    <w:multiLevelType w:val="hybridMultilevel"/>
    <w:lvl w:ilvl="0">
      <w:lvlJc w:val="left"/>
      <w:lvlText w:val="•"/>
      <w:numFmt w:val="bullet"/>
      <w:start w:val="1"/>
    </w:lvl>
  </w:abstractNum>
  <w:abstractNum w:abstractNumId="19">
    <w:nsid w:val="135B8110"/>
    <w:multiLevelType w:val="hybridMultilevel"/>
    <w:lvl w:ilvl="0">
      <w:lvlJc w:val="left"/>
      <w:lvlText w:val="•"/>
      <w:numFmt w:val="bullet"/>
      <w:start w:val="1"/>
    </w:lvl>
  </w:abstractNum>
  <w:abstractNum w:abstractNumId="20">
    <w:nsid w:val="94927A8"/>
    <w:multiLevelType w:val="hybridMultilevel"/>
    <w:lvl w:ilvl="0">
      <w:lvlJc w:val="left"/>
      <w:lvlText w:val="•"/>
      <w:numFmt w:val="bullet"/>
      <w:start w:val="1"/>
    </w:lvl>
  </w:abstractNum>
  <w:abstractNum w:abstractNumId="21">
    <w:nsid w:val="DCDF8F6"/>
    <w:multiLevelType w:val="hybridMultilevel"/>
    <w:lvl w:ilvl="0">
      <w:lvlJc w:val="left"/>
      <w:lvlText w:val="•"/>
      <w:numFmt w:val="bullet"/>
      <w:start w:val="1"/>
    </w:lvl>
  </w:abstractNum>
  <w:abstractNum w:abstractNumId="22">
    <w:nsid w:val="52D7B105"/>
    <w:multiLevelType w:val="hybridMultilevel"/>
    <w:lvl w:ilvl="0">
      <w:lvlJc w:val="left"/>
      <w:lvlText w:val="•"/>
      <w:numFmt w:val="bullet"/>
      <w:start w:val="1"/>
    </w:lvl>
  </w:abstractNum>
  <w:abstractNum w:abstractNumId="23">
    <w:nsid w:val="2E8A6394"/>
    <w:multiLevelType w:val="hybridMultilevel"/>
    <w:lvl w:ilvl="0">
      <w:lvlJc w:val="left"/>
      <w:lvlText w:val="•"/>
      <w:numFmt w:val="bullet"/>
      <w:start w:val="1"/>
    </w:lvl>
  </w:abstractNum>
  <w:abstractNum w:abstractNumId="24">
    <w:nsid w:val="24E60401"/>
    <w:multiLevelType w:val="hybridMultilevel"/>
    <w:lvl w:ilvl="0">
      <w:lvlJc w:val="left"/>
      <w:lvlText w:val="•"/>
      <w:numFmt w:val="bullet"/>
      <w:start w:val="1"/>
    </w:lvl>
  </w:abstractNum>
  <w:abstractNum w:abstractNumId="25">
    <w:nsid w:val="2A6AD9BE"/>
    <w:multiLevelType w:val="hybridMultilevel"/>
    <w:lvl w:ilvl="0">
      <w:lvlJc w:val="left"/>
      <w:lvlText w:val="•"/>
      <w:numFmt w:val="bullet"/>
      <w:start w:val="1"/>
    </w:lvl>
  </w:abstractNum>
  <w:abstractNum w:abstractNumId="26">
    <w:nsid w:val="BAAC1B4"/>
    <w:multiLevelType w:val="hybridMultilevel"/>
    <w:lvl w:ilvl="0">
      <w:lvlJc w:val="left"/>
      <w:lvlText w:val="•"/>
      <w:numFmt w:val="bullet"/>
      <w:start w:val="1"/>
    </w:lvl>
  </w:abstractNum>
  <w:abstractNum w:abstractNumId="27">
    <w:nsid w:val="36B2ACBC"/>
    <w:multiLevelType w:val="hybridMultilevel"/>
    <w:lvl w:ilvl="0">
      <w:lvlJc w:val="left"/>
      <w:lvlText w:val="•"/>
      <w:numFmt w:val="bullet"/>
      <w:start w:val="1"/>
    </w:lvl>
  </w:abstractNum>
  <w:abstractNum w:abstractNumId="28">
    <w:nsid w:val="779D8544"/>
    <w:multiLevelType w:val="hybridMultilevel"/>
    <w:lvl w:ilvl="0">
      <w:lvlJc w:val="left"/>
      <w:lvlText w:val="•"/>
      <w:numFmt w:val="bullet"/>
      <w:start w:val="1"/>
    </w:lvl>
  </w:abstractNum>
  <w:abstractNum w:abstractNumId="29">
    <w:nsid w:val="4AB26E78"/>
    <w:multiLevelType w:val="hybridMultilevel"/>
    <w:lvl w:ilvl="0">
      <w:lvlJc w:val="left"/>
      <w:lvlText w:val="•"/>
      <w:numFmt w:val="bullet"/>
      <w:start w:val="1"/>
    </w:lvl>
  </w:abstractNum>
  <w:abstractNum w:abstractNumId="30">
    <w:nsid w:val="21FAA2FA"/>
    <w:multiLevelType w:val="hybridMultilevel"/>
    <w:lvl w:ilvl="0">
      <w:lvlJc w:val="left"/>
      <w:lvlText w:val="•"/>
      <w:numFmt w:val="bullet"/>
      <w:start w:val="1"/>
    </w:lvl>
  </w:abstractNum>
  <w:abstractNum w:abstractNumId="31">
    <w:nsid w:val="5451CF49"/>
    <w:multiLevelType w:val="hybridMultilevel"/>
    <w:lvl w:ilvl="0">
      <w:lvlJc w:val="left"/>
      <w:lvlText w:val="•"/>
      <w:numFmt w:val="bullet"/>
      <w:start w:val="1"/>
    </w:lvl>
  </w:abstractNum>
  <w:abstractNum w:abstractNumId="32">
    <w:nsid w:val="6181EF69"/>
    <w:multiLevelType w:val="hybridMultilevel"/>
    <w:lvl w:ilvl="0">
      <w:lvlJc w:val="left"/>
      <w:lvlText w:val="•"/>
      <w:numFmt w:val="bullet"/>
      <w:start w:val="1"/>
    </w:lvl>
  </w:abstractNum>
  <w:abstractNum w:abstractNumId="33">
    <w:nsid w:val="3E6400E6"/>
    <w:multiLevelType w:val="hybridMultilevel"/>
    <w:lvl w:ilvl="0">
      <w:lvlJc w:val="left"/>
      <w:lvlText w:val="•"/>
      <w:numFmt w:val="bullet"/>
      <w:start w:val="1"/>
    </w:lvl>
  </w:abstractNum>
  <w:abstractNum w:abstractNumId="34">
    <w:nsid w:val="14217E23"/>
    <w:multiLevelType w:val="hybridMultilevel"/>
    <w:lvl w:ilvl="0">
      <w:lvlJc w:val="left"/>
      <w:lvlText w:val="•"/>
      <w:numFmt w:val="bullet"/>
      <w:start w:val="1"/>
    </w:lvl>
  </w:abstractNum>
  <w:abstractNum w:abstractNumId="35">
    <w:nsid w:val="710757D0"/>
    <w:multiLevelType w:val="hybridMultilevel"/>
    <w:lvl w:ilvl="0">
      <w:lvlJc w:val="left"/>
      <w:lvlText w:val="•"/>
      <w:numFmt w:val="bullet"/>
      <w:start w:val="1"/>
    </w:lvl>
  </w:abstractNum>
  <w:abstractNum w:abstractNumId="36">
    <w:nsid w:val="5015CD1A"/>
    <w:multiLevelType w:val="hybridMultilevel"/>
    <w:lvl w:ilvl="0">
      <w:lvlJc w:val="left"/>
      <w:lvlText w:val="•"/>
      <w:numFmt w:val="bullet"/>
      <w:start w:val="1"/>
    </w:lvl>
  </w:abstractNum>
  <w:abstractNum w:abstractNumId="37">
    <w:nsid w:val="424479DA"/>
    <w:multiLevelType w:val="hybridMultilevel"/>
    <w:lvl w:ilvl="0">
      <w:lvlJc w:val="left"/>
      <w:lvlText w:val="•"/>
      <w:numFmt w:val="bullet"/>
      <w:start w:val="1"/>
    </w:lvl>
  </w:abstractNum>
  <w:abstractNum w:abstractNumId="38">
    <w:nsid w:val="1A9A9E69"/>
    <w:multiLevelType w:val="hybridMultilevel"/>
    <w:lvl w:ilvl="0">
      <w:lvlJc w:val="left"/>
      <w:lvlText w:val="•"/>
      <w:numFmt w:val="bullet"/>
      <w:start w:val="1"/>
    </w:lvl>
  </w:abstractNum>
  <w:abstractNum w:abstractNumId="39">
    <w:nsid w:val="475E256A"/>
    <w:multiLevelType w:val="hybridMultilevel"/>
    <w:lvl w:ilvl="0">
      <w:lvlJc w:val="left"/>
      <w:lvlText w:val="•"/>
      <w:numFmt w:val="bullet"/>
      <w:start w:val="1"/>
    </w:lvl>
  </w:abstractNum>
  <w:abstractNum w:abstractNumId="40">
    <w:nsid w:val="368DB37E"/>
    <w:multiLevelType w:val="hybridMultilevel"/>
    <w:lvl w:ilvl="0">
      <w:lvlJc w:val="left"/>
      <w:lvlText w:val="•"/>
      <w:numFmt w:val="bullet"/>
      <w:start w:val="1"/>
    </w:lvl>
  </w:abstractNum>
  <w:abstractNum w:abstractNumId="41">
    <w:nsid w:val="6A3B714C"/>
    <w:multiLevelType w:val="hybridMultilevel"/>
    <w:lvl w:ilvl="0">
      <w:lvlJc w:val="left"/>
      <w:lvlText w:val="•"/>
      <w:numFmt w:val="bullet"/>
      <w:start w:val="1"/>
    </w:lvl>
  </w:abstractNum>
  <w:abstractNum w:abstractNumId="42">
    <w:nsid w:val="327B517E"/>
    <w:multiLevelType w:val="hybridMultilevel"/>
    <w:lvl w:ilvl="0">
      <w:lvlJc w:val="left"/>
      <w:lvlText w:val="•"/>
      <w:numFmt w:val="bullet"/>
      <w:start w:val="1"/>
    </w:lvl>
  </w:abstractNum>
  <w:abstractNum w:abstractNumId="43">
    <w:nsid w:val="1F461B51"/>
    <w:multiLevelType w:val="hybridMultilevel"/>
    <w:lvl w:ilvl="0">
      <w:lvlJc w:val="left"/>
      <w:lvlText w:val="•"/>
      <w:numFmt w:val="bullet"/>
      <w:start w:val="1"/>
    </w:lvl>
  </w:abstractNum>
  <w:abstractNum w:abstractNumId="44">
    <w:nsid w:val="29BACF25"/>
    <w:multiLevelType w:val="hybridMultilevel"/>
    <w:lvl w:ilvl="0">
      <w:lvlJc w:val="left"/>
      <w:lvlText w:val="•"/>
      <w:numFmt w:val="bullet"/>
      <w:start w:val="1"/>
    </w:lvl>
  </w:abstractNum>
  <w:abstractNum w:abstractNumId="45">
    <w:nsid w:val="5D5BABB3"/>
    <w:multiLevelType w:val="hybridMultilevel"/>
    <w:lvl w:ilvl="0">
      <w:lvlJc w:val="left"/>
      <w:lvlText w:val="•"/>
      <w:numFmt w:val="bullet"/>
      <w:start w:val="1"/>
    </w:lvl>
  </w:abstractNum>
  <w:abstractNum w:abstractNumId="46">
    <w:nsid w:val="51BF6B48"/>
    <w:multiLevelType w:val="hybridMultilevel"/>
    <w:lvl w:ilvl="0">
      <w:lvlJc w:val="left"/>
      <w:lvlText w:val="•"/>
      <w:numFmt w:val="bullet"/>
      <w:start w:val="1"/>
    </w:lvl>
  </w:abstractNum>
  <w:abstractNum w:abstractNumId="47">
    <w:nsid w:val="7E0F6384"/>
    <w:multiLevelType w:val="hybridMultilevel"/>
    <w:lvl w:ilvl="0">
      <w:lvlJc w:val="left"/>
      <w:lvlText w:val="•"/>
      <w:numFmt w:val="bullet"/>
      <w:start w:val="1"/>
    </w:lvl>
  </w:abstractNum>
  <w:abstractNum w:abstractNumId="48">
    <w:nsid w:val="2B4B8B53"/>
    <w:multiLevelType w:val="hybridMultilevel"/>
    <w:lvl w:ilvl="0">
      <w:lvlJc w:val="left"/>
      <w:lvlText w:val="•"/>
      <w:numFmt w:val="bullet"/>
      <w:start w:val="1"/>
    </w:lvl>
  </w:abstractNum>
  <w:abstractNum w:abstractNumId="49">
    <w:nsid w:val="72E3413A"/>
    <w:multiLevelType w:val="hybridMultilevel"/>
    <w:lvl w:ilvl="0">
      <w:lvlJc w:val="left"/>
      <w:lvlText w:val="•"/>
      <w:numFmt w:val="bullet"/>
      <w:start w:val="1"/>
    </w:lvl>
  </w:abstractNum>
  <w:abstractNum w:abstractNumId="50">
    <w:nsid w:val="116AE494"/>
    <w:multiLevelType w:val="hybridMultilevel"/>
    <w:lvl w:ilvl="0">
      <w:lvlJc w:val="left"/>
      <w:lvlText w:val="•"/>
      <w:numFmt w:val="bullet"/>
      <w:start w:val="1"/>
    </w:lvl>
  </w:abstractNum>
  <w:abstractNum w:abstractNumId="51">
    <w:nsid w:val="3494B2FB"/>
    <w:multiLevelType w:val="hybridMultilevel"/>
    <w:lvl w:ilvl="0">
      <w:lvlJc w:val="left"/>
      <w:lvlText w:val="•"/>
      <w:numFmt w:val="bullet"/>
      <w:start w:val="1"/>
    </w:lvl>
  </w:abstractNum>
  <w:abstractNum w:abstractNumId="52">
    <w:nsid w:val="B13A31"/>
    <w:multiLevelType w:val="hybridMultilevel"/>
    <w:lvl w:ilvl="0">
      <w:lvlJc w:val="left"/>
      <w:lvlText w:val="•"/>
      <w:numFmt w:val="bullet"/>
      <w:start w:val="1"/>
    </w:lvl>
  </w:abstractNum>
  <w:abstractNum w:abstractNumId="53">
    <w:nsid w:val="64429599"/>
    <w:multiLevelType w:val="hybridMultilevel"/>
    <w:lvl w:ilvl="0">
      <w:lvlJc w:val="left"/>
      <w:lvlText w:val="•"/>
      <w:numFmt w:val="bullet"/>
      <w:start w:val="1"/>
    </w:lvl>
  </w:abstractNum>
  <w:abstractNum w:abstractNumId="54">
    <w:nsid w:val="631F1690"/>
    <w:multiLevelType w:val="hybridMultilevel"/>
    <w:lvl w:ilvl="0">
      <w:lvlJc w:val="left"/>
      <w:lvlText w:val="•"/>
      <w:numFmt w:val="bullet"/>
      <w:start w:val="1"/>
    </w:lvl>
  </w:abstractNum>
  <w:abstractNum w:abstractNumId="55">
    <w:nsid w:val="25973E32"/>
    <w:multiLevelType w:val="hybridMultilevel"/>
    <w:lvl w:ilvl="0">
      <w:lvlJc w:val="left"/>
      <w:lvlText w:val="•"/>
      <w:numFmt w:val="bullet"/>
      <w:start w:val="1"/>
    </w:lvl>
  </w:abstractNum>
  <w:abstractNum w:abstractNumId="56">
    <w:nsid w:val="EAD6F57"/>
    <w:multiLevelType w:val="hybridMultilevel"/>
    <w:lvl w:ilvl="0">
      <w:lvlJc w:val="left"/>
      <w:lvlText w:val="%"/>
      <w:numFmt w:val="bullet"/>
      <w:start w:val="1"/>
    </w:lvl>
  </w:abstractNum>
  <w:abstractNum w:abstractNumId="57">
    <w:nsid w:val="6EC9D844"/>
    <w:multiLevelType w:val="hybridMultilevel"/>
    <w:lvl w:ilvl="0">
      <w:lvlJc w:val="left"/>
      <w:lvlText w:val="•"/>
      <w:numFmt w:val="bullet"/>
      <w:start w:val="1"/>
    </w:lvl>
  </w:abstractNum>
  <w:abstractNum w:abstractNumId="58">
    <w:nsid w:val="5C49EAEE"/>
    <w:multiLevelType w:val="hybridMultilevel"/>
    <w:lvl w:ilvl="0">
      <w:lvlJc w:val="left"/>
      <w:lvlText w:val="•"/>
      <w:numFmt w:val="bullet"/>
      <w:start w:val="1"/>
    </w:lvl>
  </w:abstractNum>
  <w:abstractNum w:abstractNumId="59">
    <w:nsid w:val="64AF49B"/>
    <w:multiLevelType w:val="hybridMultilevel"/>
    <w:lvl w:ilvl="0">
      <w:lvlJc w:val="left"/>
      <w:lvlText w:val="•"/>
      <w:numFmt w:val="bullet"/>
      <w:start w:val="1"/>
    </w:lvl>
  </w:abstractNum>
  <w:abstractNum w:abstractNumId="60">
    <w:nsid w:val="397C46BC"/>
    <w:multiLevelType w:val="hybridMultilevel"/>
    <w:lvl w:ilvl="0">
      <w:lvlJc w:val="left"/>
      <w:lvlText w:val="•"/>
      <w:numFmt w:val="bullet"/>
      <w:start w:val="1"/>
    </w:lvl>
  </w:abstractNum>
  <w:abstractNum w:abstractNumId="61">
    <w:nsid w:val="7E448DE9"/>
    <w:multiLevelType w:val="hybridMultilevel"/>
    <w:lvl w:ilvl="0">
      <w:lvlJc w:val="left"/>
      <w:lvlText w:val="•"/>
      <w:numFmt w:val="bullet"/>
      <w:start w:val="1"/>
    </w:lvl>
  </w:abstractNum>
  <w:abstractNum w:abstractNumId="62">
    <w:nsid w:val="5A9CC3E5"/>
    <w:multiLevelType w:val="hybridMultilevel"/>
    <w:lvl w:ilvl="0">
      <w:lvlJc w:val="left"/>
      <w:lvlText w:val="•"/>
      <w:numFmt w:val="bullet"/>
      <w:start w:val="1"/>
    </w:lvl>
  </w:abstractNum>
  <w:abstractNum w:abstractNumId="63">
    <w:nsid w:val="1AFE3625"/>
    <w:multiLevelType w:val="hybridMultilevel"/>
    <w:lvl w:ilvl="0">
      <w:lvlJc w:val="left"/>
      <w:lvlText w:val="•"/>
      <w:numFmt w:val="bullet"/>
      <w:start w:val="1"/>
    </w:lvl>
  </w:abstractNum>
  <w:abstractNum w:abstractNumId="64">
    <w:nsid w:val="3CA88ECF"/>
    <w:multiLevelType w:val="hybridMultilevel"/>
    <w:lvl w:ilvl="0">
      <w:lvlJc w:val="left"/>
      <w:lvlText w:val="$"/>
      <w:numFmt w:val="bullet"/>
      <w:start w:val="1"/>
    </w:lvl>
  </w:abstractNum>
  <w:abstractNum w:abstractNumId="65">
    <w:nsid w:val="6EBE4208"/>
    <w:multiLevelType w:val="hybridMultilevel"/>
    <w:lvl w:ilvl="0">
      <w:lvlJc w:val="left"/>
      <w:lvlText w:val="$"/>
      <w:numFmt w:val="bullet"/>
      <w:start w:val="1"/>
    </w:lvl>
  </w:abstractNum>
  <w:abstractNum w:abstractNumId="66">
    <w:nsid w:val="C058DF5"/>
    <w:multiLevelType w:val="hybridMultilevel"/>
    <w:lvl w:ilvl="0">
      <w:lvlJc w:val="left"/>
      <w:lvlText w:val="•"/>
      <w:numFmt w:val="bullet"/>
      <w:start w:val="1"/>
    </w:lvl>
  </w:abstractNum>
  <w:abstractNum w:abstractNumId="67">
    <w:nsid w:val="CBE5BE9"/>
    <w:multiLevelType w:val="hybridMultilevel"/>
    <w:lvl w:ilvl="0">
      <w:lvlJc w:val="left"/>
      <w:lvlText w:val="•"/>
      <w:numFmt w:val="bullet"/>
      <w:start w:val="1"/>
    </w:lvl>
  </w:abstractNum>
  <w:abstractNum w:abstractNumId="68">
    <w:nsid w:val="3102BBE2"/>
    <w:multiLevelType w:val="hybridMultilevel"/>
    <w:lvl w:ilvl="0">
      <w:lvlJc w:val="left"/>
      <w:lvlText w:val="(%1)"/>
      <w:numFmt w:val="decimal"/>
      <w:start w:val="1"/>
    </w:lvl>
  </w:abstractNum>
  <w:abstractNum w:abstractNumId="69">
    <w:nsid w:val="26A02C5E"/>
    <w:multiLevelType w:val="hybridMultilevel"/>
    <w:lvl w:ilvl="0">
      <w:lvlJc w:val="left"/>
      <w:lvlText w:val="(%1)"/>
      <w:numFmt w:val="decimal"/>
      <w:start w:val="1"/>
    </w:lvl>
  </w:abstractNum>
  <w:abstractNum w:abstractNumId="70">
    <w:nsid w:val="541C8153"/>
    <w:multiLevelType w:val="hybridMultilevel"/>
    <w:lvl w:ilvl="0">
      <w:lvlJc w:val="left"/>
      <w:lvlText w:val="•"/>
      <w:numFmt w:val="bullet"/>
      <w:start w:val="1"/>
    </w:lvl>
  </w:abstractNum>
  <w:abstractNum w:abstractNumId="71">
    <w:nsid w:val="67906F60"/>
    <w:multiLevelType w:val="hybridMultilevel"/>
    <w:lvl w:ilvl="0">
      <w:lvlJc w:val="left"/>
      <w:lvlText w:val="•"/>
      <w:numFmt w:val="bullet"/>
      <w:start w:val="1"/>
    </w:lvl>
  </w:abstractNum>
  <w:abstractNum w:abstractNumId="72">
    <w:nsid w:val="10DB9DAA"/>
    <w:multiLevelType w:val="hybridMultilevel"/>
    <w:lvl w:ilvl="0">
      <w:lvlJc w:val="left"/>
      <w:lvlText w:val="•"/>
      <w:numFmt w:val="bullet"/>
      <w:start w:val="1"/>
    </w:lvl>
  </w:abstractNum>
  <w:abstractNum w:abstractNumId="73">
    <w:nsid w:val="697D2D2"/>
    <w:multiLevelType w:val="hybridMultilevel"/>
    <w:lvl w:ilvl="0">
      <w:lvlJc w:val="left"/>
      <w:lvlText w:val="•"/>
      <w:numFmt w:val="bullet"/>
      <w:start w:val="1"/>
    </w:lvl>
  </w:abstractNum>
  <w:abstractNum w:abstractNumId="74">
    <w:nsid w:val="6D68AB2"/>
    <w:multiLevelType w:val="hybridMultilevel"/>
    <w:lvl w:ilvl="0">
      <w:lvlJc w:val="left"/>
      <w:lvlText w:val="•"/>
      <w:numFmt w:val="bullet"/>
      <w:start w:val="1"/>
    </w:lvl>
  </w:abstractNum>
  <w:abstractNum w:abstractNumId="75">
    <w:nsid w:val="3A966CD0"/>
    <w:multiLevelType w:val="hybridMultilevel"/>
    <w:lvl w:ilvl="0">
      <w:lvlJc w:val="left"/>
      <w:lvlText w:val="•"/>
      <w:numFmt w:val="bullet"/>
      <w:start w:val="1"/>
    </w:lvl>
  </w:abstractNum>
  <w:abstractNum w:abstractNumId="76">
    <w:nsid w:val="63F37E85"/>
    <w:multiLevelType w:val="hybridMultilevel"/>
    <w:lvl w:ilvl="0">
      <w:lvlJc w:val="left"/>
      <w:lvlText w:val="•"/>
      <w:numFmt w:val="bullet"/>
      <w:start w:val="1"/>
    </w:lvl>
  </w:abstractNum>
  <w:abstractNum w:abstractNumId="77">
    <w:nsid w:val="5895F5FA"/>
    <w:multiLevelType w:val="hybridMultilevel"/>
    <w:lvl w:ilvl="0">
      <w:lvlJc w:val="left"/>
      <w:lvlText w:val="•"/>
      <w:numFmt w:val="bullet"/>
      <w:start w:val="1"/>
    </w:lvl>
  </w:abstractNum>
  <w:abstractNum w:abstractNumId="78">
    <w:nsid w:val="38A5D054"/>
    <w:multiLevelType w:val="hybridMultilevel"/>
    <w:lvl w:ilvl="0">
      <w:lvlJc w:val="left"/>
      <w:lvlText w:val="•"/>
      <w:numFmt w:val="bullet"/>
      <w:start w:val="1"/>
    </w:lvl>
  </w:abstractNum>
  <w:abstractNum w:abstractNumId="79">
    <w:nsid w:val="F3F09D8"/>
    <w:multiLevelType w:val="hybridMultilevel"/>
    <w:lvl w:ilvl="0">
      <w:lvlJc w:val="left"/>
      <w:lvlText w:val="•"/>
      <w:numFmt w:val="bullet"/>
      <w:start w:val="1"/>
    </w:lvl>
  </w:abstractNum>
  <w:abstractNum w:abstractNumId="80">
    <w:nsid w:val="4B793735"/>
    <w:multiLevelType w:val="hybridMultilevel"/>
    <w:lvl w:ilvl="0">
      <w:lvlJc w:val="left"/>
      <w:lvlText w:val="•"/>
      <w:numFmt w:val="bullet"/>
      <w:start w:val="1"/>
    </w:lvl>
  </w:abstractNum>
  <w:abstractNum w:abstractNumId="81">
    <w:nsid w:val="4A10B4E8"/>
    <w:multiLevelType w:val="hybridMultilevel"/>
    <w:lvl w:ilvl="0">
      <w:lvlJc w:val="left"/>
      <w:lvlText w:val="•"/>
      <w:numFmt w:val="bullet"/>
      <w:start w:val="1"/>
    </w:lvl>
  </w:abstractNum>
  <w:abstractNum w:abstractNumId="82">
    <w:nsid w:val="43D3BCD4"/>
    <w:multiLevelType w:val="hybridMultilevel"/>
    <w:lvl w:ilvl="0">
      <w:lvlJc w:val="left"/>
      <w:lvlText w:val="•"/>
      <w:numFmt w:val="bullet"/>
      <w:start w:val="1"/>
    </w:lvl>
  </w:abstractNum>
  <w:abstractNum w:abstractNumId="83">
    <w:nsid w:val="4C2A7166"/>
    <w:multiLevelType w:val="hybridMultilevel"/>
    <w:lvl w:ilvl="0">
      <w:lvlJc w:val="left"/>
      <w:lvlText w:val="•"/>
      <w:numFmt w:val="bullet"/>
      <w:start w:val="1"/>
    </w:lvl>
  </w:abstractNum>
  <w:abstractNum w:abstractNumId="84">
    <w:nsid w:val="2E534A82"/>
    <w:multiLevelType w:val="hybridMultilevel"/>
    <w:lvl w:ilvl="0">
      <w:lvlJc w:val="left"/>
      <w:lvlText w:val="•"/>
      <w:numFmt w:val="bullet"/>
      <w:start w:val="1"/>
    </w:lvl>
  </w:abstractNum>
  <w:abstractNum w:abstractNumId="85">
    <w:nsid w:val="26F2D364"/>
    <w:multiLevelType w:val="hybridMultilevel"/>
    <w:lvl w:ilvl="0">
      <w:lvlJc w:val="left"/>
      <w:lvlText w:val="•"/>
      <w:numFmt w:val="bullet"/>
      <w:start w:val="1"/>
    </w:lvl>
  </w:abstractNum>
  <w:abstractNum w:abstractNumId="86">
    <w:nsid w:val="71C1AF98"/>
    <w:multiLevelType w:val="hybridMultilevel"/>
    <w:lvl w:ilvl="0">
      <w:lvlJc w:val="left"/>
      <w:lvlText w:val="•"/>
      <w:numFmt w:val="bullet"/>
      <w:start w:val="1"/>
    </w:lvl>
  </w:abstractNum>
  <w:abstractNum w:abstractNumId="87">
    <w:nsid w:val="3D00B9D9"/>
    <w:multiLevelType w:val="hybridMultilevel"/>
    <w:lvl w:ilvl="0">
      <w:lvlJc w:val="left"/>
      <w:lvlText w:val="*"/>
      <w:numFmt w:val="bullet"/>
      <w:start w:val="1"/>
    </w:lvl>
  </w:abstractNum>
  <w:abstractNum w:abstractNumId="88">
    <w:nsid w:val="15BCABA8"/>
    <w:multiLevelType w:val="hybridMultilevel"/>
    <w:lvl w:ilvl="0">
      <w:lvlJc w:val="left"/>
      <w:lvlText w:val="**"/>
      <w:numFmt w:val="bullet"/>
      <w:start w:val="1"/>
    </w:lvl>
  </w:abstractNum>
  <w:abstractNum w:abstractNumId="89">
    <w:nsid w:val="4E0B9A87"/>
    <w:multiLevelType w:val="hybridMultilevel"/>
    <w:lvl w:ilvl="0">
      <w:lvlJc w:val="left"/>
      <w:lvlText w:val="†"/>
      <w:numFmt w:val="bullet"/>
      <w:start w:val="1"/>
    </w:lvl>
  </w:abstractNum>
  <w:abstractNum w:abstractNumId="90">
    <w:nsid w:val="434BAE75"/>
    <w:multiLevelType w:val="hybridMultilevel"/>
    <w:lvl w:ilvl="0">
      <w:lvlJc w:val="left"/>
      <w:lvlText w:val="‡"/>
      <w:numFmt w:val="bullet"/>
      <w:start w:val="1"/>
    </w:lvl>
  </w:abstractNum>
  <w:abstractNum w:abstractNumId="91">
    <w:nsid w:val="4F38F265"/>
    <w:multiLevelType w:val="hybridMultilevel"/>
    <w:lvl w:ilvl="0">
      <w:lvlJc w:val="left"/>
      <w:lvlText w:val="•"/>
      <w:numFmt w:val="bullet"/>
      <w:start w:val="1"/>
    </w:lvl>
  </w:abstractNum>
  <w:abstractNum w:abstractNumId="92">
    <w:nsid w:val="4C502870"/>
    <w:multiLevelType w:val="hybridMultilevel"/>
    <w:lvl w:ilvl="0">
      <w:lvlJc w:val="left"/>
      <w:lvlText w:val="%1."/>
      <w:numFmt w:val="decimal"/>
      <w:start w:val="1"/>
    </w:lvl>
  </w:abstractNum>
  <w:abstractNum w:abstractNumId="93">
    <w:nsid w:val="1DE8725A"/>
    <w:multiLevelType w:val="hybridMultilevel"/>
    <w:lvl w:ilvl="0">
      <w:lvlJc w:val="left"/>
      <w:lvlText w:val="•"/>
      <w:numFmt w:val="bullet"/>
      <w:start w:val="1"/>
    </w:lvl>
  </w:abstractNum>
  <w:abstractNum w:abstractNumId="94">
    <w:nsid w:val="6A37288A"/>
    <w:multiLevelType w:val="hybridMultilevel"/>
    <w:lvl w:ilvl="0">
      <w:lvlJc w:val="left"/>
      <w:lvlText w:val="•"/>
      <w:numFmt w:val="bullet"/>
      <w:start w:val="1"/>
    </w:lvl>
  </w:abstractNum>
  <w:abstractNum w:abstractNumId="95">
    <w:nsid w:val="8F8B73F"/>
    <w:multiLevelType w:val="hybridMultilevel"/>
    <w:lvl w:ilvl="0">
      <w:lvlJc w:val="left"/>
      <w:lvlText w:val="*"/>
      <w:numFmt w:val="bullet"/>
      <w:start w:val="1"/>
    </w:lvl>
  </w:abstractNum>
  <w:abstractNum w:abstractNumId="96">
    <w:nsid w:val="CA6B462"/>
    <w:multiLevelType w:val="hybridMultilevel"/>
    <w:lvl w:ilvl="0">
      <w:lvlJc w:val="left"/>
      <w:lvlText w:val="**"/>
      <w:numFmt w:val="bullet"/>
      <w:start w:val="1"/>
    </w:lvl>
  </w:abstractNum>
  <w:abstractNum w:abstractNumId="97">
    <w:nsid w:val="763CB680"/>
    <w:multiLevelType w:val="hybridMultilevel"/>
    <w:lvl w:ilvl="0">
      <w:lvlJc w:val="left"/>
      <w:lvlText w:val="†"/>
      <w:numFmt w:val="bullet"/>
      <w:start w:val="1"/>
    </w:lvl>
  </w:abstractNum>
  <w:abstractNum w:abstractNumId="98">
    <w:nsid w:val="15B71329"/>
    <w:multiLevelType w:val="hybridMultilevel"/>
    <w:lvl w:ilvl="0">
      <w:lvlJc w:val="left"/>
      <w:lvlText w:val="‡"/>
      <w:numFmt w:val="bullet"/>
      <w:start w:val="1"/>
    </w:lvl>
  </w:abstractNum>
  <w:abstractNum w:abstractNumId="99">
    <w:nsid w:val="3DA97044"/>
    <w:multiLevelType w:val="hybridMultilevel"/>
    <w:lvl w:ilvl="0">
      <w:lvlJc w:val="left"/>
      <w:lvlText w:val="•"/>
      <w:numFmt w:val="bullet"/>
      <w:start w:val="1"/>
    </w:lvl>
  </w:abstractNum>
  <w:abstractNum w:abstractNumId="100">
    <w:nsid w:val="1CDCE2DE"/>
    <w:multiLevelType w:val="hybridMultilevel"/>
    <w:lvl w:ilvl="0">
      <w:lvlJc w:val="left"/>
      <w:lvlText w:val="•"/>
      <w:numFmt w:val="bullet"/>
      <w:start w:val="1"/>
    </w:lvl>
  </w:abstractNum>
  <w:abstractNum w:abstractNumId="101">
    <w:nsid w:val="69D3947C"/>
    <w:multiLevelType w:val="hybridMultilevel"/>
    <w:lvl w:ilvl="0">
      <w:lvlJc w:val="left"/>
      <w:lvlText w:val="•"/>
      <w:numFmt w:val="bullet"/>
      <w:start w:val="1"/>
    </w:lvl>
  </w:abstractNum>
  <w:abstractNum w:abstractNumId="102">
    <w:nsid w:val="2539DFA5"/>
    <w:multiLevelType w:val="hybridMultilevel"/>
    <w:lvl w:ilvl="0">
      <w:lvlJc w:val="left"/>
      <w:lvlText w:val="•"/>
      <w:numFmt w:val="bullet"/>
      <w:start w:val="1"/>
    </w:lvl>
  </w:abstractNum>
  <w:abstractNum w:abstractNumId="103">
    <w:nsid w:val="2DB88089"/>
    <w:multiLevelType w:val="hybridMultilevel"/>
    <w:lvl w:ilvl="0">
      <w:lvlJc w:val="left"/>
      <w:lvlText w:val="•"/>
      <w:numFmt w:val="bullet"/>
      <w:start w:val="1"/>
    </w:lvl>
  </w:abstractNum>
  <w:abstractNum w:abstractNumId="104">
    <w:nsid w:val="706B674E"/>
    <w:multiLevelType w:val="hybridMultilevel"/>
    <w:lvl w:ilvl="0">
      <w:lvlJc w:val="left"/>
      <w:lvlText w:val="•"/>
      <w:numFmt w:val="bullet"/>
      <w:start w:val="1"/>
    </w:lvl>
  </w:abstractNum>
  <w:abstractNum w:abstractNumId="105">
    <w:nsid w:val="2C106A57"/>
    <w:multiLevelType w:val="hybridMultilevel"/>
    <w:lvl w:ilvl="0">
      <w:lvlJc w:val="left"/>
      <w:lvlText w:val="•"/>
      <w:numFmt w:val="bullet"/>
      <w:start w:val="1"/>
    </w:lvl>
  </w:abstractNum>
  <w:abstractNum w:abstractNumId="106">
    <w:nsid w:val="684EED59"/>
    <w:multiLevelType w:val="hybridMultilevel"/>
    <w:lvl w:ilvl="0">
      <w:lvlJc w:val="left"/>
      <w:lvlText w:val="(%1)"/>
      <w:numFmt w:val="decimal"/>
      <w:start w:val="1"/>
    </w:lvl>
  </w:abstractNum>
  <w:abstractNum w:abstractNumId="107">
    <w:nsid w:val="545EE5D3"/>
    <w:multiLevelType w:val="hybridMultilevel"/>
    <w:lvl w:ilvl="0">
      <w:lvlJc w:val="left"/>
      <w:lvlText w:val="•"/>
      <w:numFmt w:val="bullet"/>
      <w:start w:val="1"/>
    </w:lvl>
  </w:abstractNum>
  <w:abstractNum w:abstractNumId="108">
    <w:nsid w:val="4A66051"/>
    <w:multiLevelType w:val="hybridMultilevel"/>
    <w:lvl w:ilvl="0">
      <w:lvlJc w:val="left"/>
      <w:lvlText w:val="•"/>
      <w:numFmt w:val="bullet"/>
      <w:start w:val="1"/>
    </w:lvl>
  </w:abstractNum>
  <w:abstractNum w:abstractNumId="109">
    <w:nsid w:val="20F4BDAD"/>
    <w:multiLevelType w:val="hybridMultilevel"/>
    <w:lvl w:ilvl="0">
      <w:lvlJc w:val="left"/>
      <w:lvlText w:val="•"/>
      <w:numFmt w:val="bullet"/>
      <w:start w:val="1"/>
    </w:lvl>
  </w:abstractNum>
  <w:abstractNum w:abstractNumId="110">
    <w:nsid w:val="639DEFAC"/>
    <w:multiLevelType w:val="hybridMultilevel"/>
    <w:lvl w:ilvl="0">
      <w:lvlJc w:val="left"/>
      <w:lvlText w:val="."/>
      <w:numFmt w:val="bullet"/>
      <w:start w:val="1"/>
    </w:lvl>
  </w:abstractNum>
  <w:abstractNum w:abstractNumId="111">
    <w:nsid w:val="501F9786"/>
    <w:multiLevelType w:val="hybridMultilevel"/>
    <w:lvl w:ilvl="0">
      <w:lvlJc w:val="left"/>
      <w:lvlText w:val="."/>
      <w:numFmt w:val="bullet"/>
      <w:start w:val="1"/>
    </w:lvl>
  </w:abstractNum>
  <w:abstractNum w:abstractNumId="112">
    <w:nsid w:val="6B057295"/>
    <w:multiLevelType w:val="hybridMultilevel"/>
    <w:lvl w:ilvl="0">
      <w:lvlJc w:val="left"/>
      <w:lvlText w:val="•"/>
      <w:numFmt w:val="bullet"/>
      <w:start w:val="1"/>
    </w:lvl>
  </w:abstractNum>
  <w:abstractNum w:abstractNumId="113">
    <w:nsid w:val="2771AC80"/>
    <w:multiLevelType w:val="hybridMultilevel"/>
    <w:lvl w:ilvl="0">
      <w:lvlJc w:val="left"/>
      <w:lvlText w:val="•"/>
      <w:numFmt w:val="bullet"/>
      <w:start w:val="1"/>
    </w:lvl>
  </w:abstractNum>
  <w:abstractNum w:abstractNumId="114">
    <w:nsid w:val="1C4A08EC"/>
    <w:multiLevelType w:val="hybridMultilevel"/>
    <w:lvl w:ilvl="0">
      <w:lvlJc w:val="left"/>
      <w:lvlText w:val="•"/>
      <w:numFmt w:val="bullet"/>
      <w:start w:val="1"/>
    </w:lvl>
  </w:abstractNum>
  <w:abstractNum w:abstractNumId="115">
    <w:nsid w:val="1958BD17"/>
    <w:multiLevelType w:val="hybridMultilevel"/>
    <w:lvl w:ilvl="0">
      <w:lvlJc w:val="left"/>
      <w:lvlText w:val="(%1)"/>
      <w:numFmt w:val="decimal"/>
      <w:start w:val="1"/>
    </w:lvl>
  </w:abstractNum>
  <w:abstractNum w:abstractNumId="116">
    <w:nsid w:val="4E647FE4"/>
    <w:multiLevelType w:val="hybridMultilevel"/>
    <w:lvl w:ilvl="0">
      <w:lvlJc w:val="left"/>
      <w:lvlText w:val="•"/>
      <w:numFmt w:val="bullet"/>
      <w:start w:val="1"/>
    </w:lvl>
  </w:abstractNum>
  <w:abstractNum w:abstractNumId="117">
    <w:nsid w:val="E0BB885"/>
    <w:multiLevelType w:val="hybridMultilevel"/>
    <w:lvl w:ilvl="0">
      <w:lvlJc w:val="left"/>
      <w:lvlText w:val="(%1)"/>
      <w:numFmt w:val="decimal"/>
      <w:start w:val="1"/>
    </w:lvl>
  </w:abstractNum>
  <w:abstractNum w:abstractNumId="118">
    <w:nsid w:val="565976F1"/>
    <w:multiLevelType w:val="hybridMultilevel"/>
    <w:lvl w:ilvl="0">
      <w:lvlJc w:val="left"/>
      <w:lvlText w:val="(%1)"/>
      <w:numFmt w:val="decimal"/>
      <w:start w:val="6"/>
    </w:lvl>
  </w:abstractNum>
  <w:abstractNum w:abstractNumId="119">
    <w:nsid w:val="64212B8C"/>
    <w:multiLevelType w:val="hybridMultilevel"/>
    <w:lvl w:ilvl="0">
      <w:lvlJc w:val="left"/>
      <w:lvlText w:val="(%1)"/>
      <w:numFmt w:val="decimal"/>
      <w:start w:val="1"/>
    </w:lvl>
  </w:abstractNum>
  <w:abstractNum w:abstractNumId="120">
    <w:nsid w:val="5C17530C"/>
    <w:multiLevelType w:val="hybridMultilevel"/>
    <w:lvl w:ilvl="0">
      <w:lvlJc w:val="left"/>
      <w:lvlText w:val="(%1)"/>
      <w:numFmt w:val="lowerRoman"/>
      <w:start w:val="2"/>
    </w:lvl>
  </w:abstractNum>
  <w:abstractNum w:abstractNumId="121">
    <w:nsid w:val="19A52566"/>
    <w:multiLevelType w:val="hybridMultilevel"/>
    <w:lvl w:ilvl="0">
      <w:lvlJc w:val="left"/>
      <w:lvlText w:val="(%1)"/>
      <w:numFmt w:val="lowerRoman"/>
      <w:start w:val="2"/>
    </w:lvl>
  </w:abstractNum>
  <w:abstractNum w:abstractNumId="122">
    <w:nsid w:val="335A1DF1"/>
    <w:multiLevelType w:val="hybridMultilevel"/>
    <w:lvl w:ilvl="0">
      <w:lvlJc w:val="left"/>
      <w:lvlText w:val="(%1)"/>
      <w:numFmt w:val="lowerRoman"/>
      <w:start w:val="1"/>
    </w:lvl>
  </w:abstractNum>
  <w:abstractNum w:abstractNumId="123">
    <w:nsid w:val="28677B7C"/>
    <w:multiLevelType w:val="hybridMultilevel"/>
    <w:lvl w:ilvl="0">
      <w:lvlJc w:val="left"/>
      <w:lvlText w:val="(%1)"/>
      <w:numFmt w:val="lowerRoman"/>
      <w:start w:val="2"/>
    </w:lvl>
  </w:abstractNum>
  <w:abstractNum w:abstractNumId="124">
    <w:nsid w:val="378D97C0"/>
    <w:multiLevelType w:val="hybridMultilevel"/>
    <w:lvl w:ilvl="0">
      <w:lvlJc w:val="left"/>
      <w:lvlText w:val="•"/>
      <w:numFmt w:val="bullet"/>
      <w:start w:val="1"/>
    </w:lvl>
  </w:abstractNum>
  <w:abstractNum w:abstractNumId="125">
    <w:nsid w:val="1D91467C"/>
    <w:multiLevelType w:val="hybridMultilevel"/>
    <w:lvl w:ilvl="0">
      <w:lvlJc w:val="left"/>
      <w:lvlText w:val="•"/>
      <w:numFmt w:val="bullet"/>
      <w:start w:val="1"/>
    </w:lvl>
  </w:abstractNum>
  <w:abstractNum w:abstractNumId="126">
    <w:nsid w:val="316032BB"/>
    <w:multiLevelType w:val="hybridMultilevel"/>
    <w:lvl w:ilvl="0">
      <w:lvlJc w:val="left"/>
      <w:lvlText w:val="•"/>
      <w:numFmt w:val="bullet"/>
      <w:start w:val="1"/>
    </w:lvl>
  </w:abstractNum>
  <w:abstractNum w:abstractNumId="127">
    <w:nsid w:val="44344C22"/>
    <w:multiLevelType w:val="hybridMultilevel"/>
    <w:lvl w:ilvl="0">
      <w:lvlJc w:val="left"/>
      <w:lvlText w:val="•"/>
      <w:numFmt w:val="bullet"/>
      <w:start w:val="1"/>
    </w:lvl>
  </w:abstractNum>
  <w:abstractNum w:abstractNumId="128">
    <w:nsid w:val="13CDFCFC"/>
    <w:multiLevelType w:val="hybridMultilevel"/>
    <w:lvl w:ilvl="0">
      <w:lvlJc w:val="left"/>
      <w:lvlText w:val="•"/>
      <w:numFmt w:val="bullet"/>
      <w:start w:val="1"/>
    </w:lvl>
  </w:abstractNum>
  <w:abstractNum w:abstractNumId="129">
    <w:nsid w:val="471745E4"/>
    <w:multiLevelType w:val="hybridMultilevel"/>
    <w:lvl w:ilvl="0">
      <w:lvlJc w:val="left"/>
      <w:lvlText w:val="(%1)"/>
      <w:numFmt w:val="lowerRoman"/>
      <w:start w:val="4"/>
    </w:lvl>
  </w:abstractNum>
  <w:abstractNum w:abstractNumId="130">
    <w:nsid w:val="1DDBC66"/>
    <w:multiLevelType w:val="hybridMultilevel"/>
    <w:lvl w:ilvl="0">
      <w:lvlJc w:val="left"/>
      <w:lvlText w:val="(%1)"/>
      <w:numFmt w:val="lowerRoman"/>
      <w:start w:val="2"/>
    </w:lvl>
  </w:abstractNum>
  <w:abstractNum w:abstractNumId="131">
    <w:nsid w:val="30AADFDA"/>
    <w:multiLevelType w:val="hybridMultilevel"/>
    <w:lvl w:ilvl="0">
      <w:lvlJc w:val="left"/>
      <w:lvlText w:val="(%1)"/>
      <w:numFmt w:val="decimal"/>
      <w:start w:val="1"/>
    </w:lvl>
  </w:abstractNum>
  <w:abstractNum w:abstractNumId="132">
    <w:nsid w:val="30EADA61"/>
    <w:multiLevelType w:val="hybridMultilevel"/>
    <w:lvl w:ilvl="0">
      <w:lvlJc w:val="left"/>
      <w:lvlText w:val="•"/>
      <w:numFmt w:val="bullet"/>
      <w:start w:val="1"/>
    </w:lvl>
  </w:abstractNum>
  <w:abstractNum w:abstractNumId="133">
    <w:nsid w:val="27179C0B"/>
    <w:multiLevelType w:val="hybridMultilevel"/>
    <w:lvl w:ilvl="0">
      <w:lvlJc w:val="left"/>
      <w:lvlText w:val="*"/>
      <w:numFmt w:val="bullet"/>
      <w:start w:val="1"/>
    </w:lvl>
  </w:abstractNum>
  <w:abstractNum w:abstractNumId="134">
    <w:nsid w:val="5E636063"/>
    <w:multiLevelType w:val="hybridMultilevel"/>
    <w:lvl w:ilvl="0">
      <w:lvlJc w:val="left"/>
      <w:lvlText w:val="(%1)"/>
      <w:numFmt w:val="decimal"/>
      <w:start w:val="1"/>
    </w:lvl>
    <w:lvl w:ilvl="1">
      <w:lvlJc w:val="left"/>
      <w:lvlText w:val="(%2)"/>
      <w:numFmt w:val="lowerRoman"/>
      <w:start w:val="1"/>
    </w:lvl>
  </w:abstractNum>
  <w:abstractNum w:abstractNumId="135">
    <w:nsid w:val="215641AF"/>
    <w:multiLevelType w:val="hybridMultilevel"/>
    <w:lvl w:ilvl="0">
      <w:lvlJc w:val="left"/>
      <w:lvlText w:val="•"/>
      <w:numFmt w:val="bullet"/>
      <w:start w:val="1"/>
    </w:lvl>
  </w:abstractNum>
  <w:abstractNum w:abstractNumId="136">
    <w:nsid w:val="53280662"/>
    <w:multiLevelType w:val="hybridMultilevel"/>
    <w:lvl w:ilvl="0">
      <w:lvlJc w:val="left"/>
      <w:lvlText w:val="(%1)"/>
      <w:numFmt w:val="lowerRoman"/>
      <w:start w:val="2"/>
    </w:lvl>
  </w:abstractNum>
  <w:abstractNum w:abstractNumId="137">
    <w:nsid w:val="46B24DBC"/>
    <w:multiLevelType w:val="hybridMultilevel"/>
    <w:lvl w:ilvl="0">
      <w:lvlJc w:val="left"/>
      <w:lvlText w:val="•"/>
      <w:numFmt w:val="bullet"/>
      <w:start w:val="1"/>
    </w:lvl>
  </w:abstractNum>
  <w:abstractNum w:abstractNumId="138">
    <w:nsid w:val="75B52783"/>
    <w:multiLevelType w:val="hybridMultilevel"/>
    <w:lvl w:ilvl="0">
      <w:lvlJc w:val="left"/>
      <w:lvlText w:val="•"/>
      <w:numFmt w:val="bullet"/>
      <w:start w:val="1"/>
    </w:lvl>
  </w:abstractNum>
  <w:abstractNum w:abstractNumId="139">
    <w:nsid w:val="57CE66B4"/>
    <w:multiLevelType w:val="hybridMultilevel"/>
    <w:lvl w:ilvl="0">
      <w:lvlJc w:val="left"/>
      <w:lvlText w:val="•"/>
      <w:numFmt w:val="bullet"/>
      <w:start w:val="1"/>
    </w:lvl>
  </w:abstractNum>
  <w:abstractNum w:abstractNumId="140">
    <w:nsid w:val="67A70B69"/>
    <w:multiLevelType w:val="hybridMultilevel"/>
    <w:lvl w:ilvl="0">
      <w:lvlJc w:val="left"/>
      <w:lvlText w:val="•"/>
      <w:numFmt w:val="bullet"/>
      <w:start w:val="1"/>
    </w:lvl>
  </w:abstractNum>
  <w:abstractNum w:abstractNumId="141">
    <w:nsid w:val="5953172F"/>
    <w:multiLevelType w:val="hybridMultilevel"/>
    <w:lvl w:ilvl="0">
      <w:lvlJc w:val="left"/>
      <w:lvlText w:val="%1."/>
      <w:numFmt w:val="decimal"/>
      <w:start w:val="1"/>
    </w:lvl>
  </w:abstractNum>
  <w:abstractNum w:abstractNumId="142">
    <w:nsid w:val="27EDFE3A"/>
    <w:multiLevelType w:val="hybridMultilevel"/>
    <w:lvl w:ilvl="0">
      <w:lvlJc w:val="left"/>
      <w:lvlText w:val="%1."/>
      <w:numFmt w:val="decimal"/>
      <w:start w:val="2"/>
    </w:lvl>
  </w:abstractNum>
  <w:abstractNum w:abstractNumId="143">
    <w:nsid w:val="52AC7DFF"/>
    <w:multiLevelType w:val="hybridMultilevel"/>
    <w:lvl w:ilvl="0">
      <w:lvlJc w:val="left"/>
      <w:lvlText w:val="*"/>
      <w:numFmt w:val="bullet"/>
      <w:start w:val="1"/>
    </w:lvl>
  </w:abstractNum>
  <w:abstractNum w:abstractNumId="144">
    <w:nsid w:val="C4C3AF"/>
    <w:multiLevelType w:val="hybridMultilevel"/>
    <w:lvl w:ilvl="0">
      <w:lvlJc w:val="left"/>
      <w:lvlText w:val="•"/>
      <w:numFmt w:val="bullet"/>
      <w:start w:val="1"/>
    </w:lvl>
  </w:abstractNum>
  <w:abstractNum w:abstractNumId="145">
    <w:nsid w:val="44380727"/>
    <w:multiLevelType w:val="hybridMultilevel"/>
    <w:lvl w:ilvl="0">
      <w:lvlJc w:val="left"/>
      <w:lvlText w:val="(%1)"/>
      <w:numFmt w:val="lowerRoman"/>
      <w:start w:val="3"/>
    </w:lvl>
  </w:abstractNum>
  <w:abstractNum w:abstractNumId="146">
    <w:nsid w:val="6C053B16"/>
    <w:multiLevelType w:val="hybridMultilevel"/>
    <w:lvl w:ilvl="0">
      <w:lvlJc w:val="left"/>
      <w:lvlText w:val="(%1)"/>
      <w:numFmt w:val="lowerRoman"/>
      <w:start w:val="1"/>
    </w:lvl>
  </w:abstractNum>
  <w:abstractNum w:abstractNumId="147">
    <w:nsid w:val="4F294393"/>
    <w:multiLevelType w:val="hybridMultilevel"/>
    <w:lvl w:ilvl="0">
      <w:lvlJc w:val="left"/>
      <w:lvlText w:val="(%1)"/>
      <w:numFmt w:val="lowerRoman"/>
      <w:start w:val="1"/>
    </w:lvl>
  </w:abstractNum>
  <w:abstractNum w:abstractNumId="148">
    <w:nsid w:val="5243BFAC"/>
    <w:multiLevelType w:val="hybridMultilevel"/>
    <w:lvl w:ilvl="0">
      <w:lvlJc w:val="left"/>
      <w:lvlText w:val="%1."/>
      <w:numFmt w:val="decimal"/>
      <w:start w:val="8"/>
    </w:lvl>
  </w:abstractNum>
  <w:abstractNum w:abstractNumId="149">
    <w:nsid w:val="425EB207"/>
    <w:multiLevelType w:val="hybridMultilevel"/>
    <w:lvl w:ilvl="0">
      <w:lvlJc w:val="left"/>
      <w:lvlText w:val="$"/>
      <w:numFmt w:val="bullet"/>
      <w:start w:val="1"/>
    </w:lvl>
  </w:abstractNum>
  <w:abstractNum w:abstractNumId="150">
    <w:nsid w:val="334A6F1F"/>
    <w:multiLevelType w:val="hybridMultilevel"/>
    <w:lvl w:ilvl="0">
      <w:lvlJc w:val="left"/>
      <w:lvlText w:val="$"/>
      <w:numFmt w:val="bullet"/>
      <w:start w:val="1"/>
    </w:lvl>
  </w:abstractNum>
  <w:abstractNum w:abstractNumId="151">
    <w:nsid w:val="2E5B12B8"/>
    <w:multiLevelType w:val="hybridMultilevel"/>
    <w:lvl w:ilvl="0">
      <w:lvlJc w:val="left"/>
      <w:lvlText w:val="(%1)"/>
      <w:numFmt w:val="lowerRoman"/>
      <w:start w:val="1"/>
    </w:lvl>
  </w:abstractNum>
  <w:abstractNum w:abstractNumId="152">
    <w:nsid w:val="5C03D76D"/>
    <w:multiLevelType w:val="hybridMultilevel"/>
    <w:lvl w:ilvl="0">
      <w:lvlJc w:val="left"/>
      <w:lvlText w:val="%1."/>
      <w:numFmt w:val="decimal"/>
      <w:start w:val="12"/>
    </w:lvl>
  </w:abstractNum>
  <w:abstractNum w:abstractNumId="153">
    <w:nsid w:val="66A48D11"/>
    <w:multiLevelType w:val="hybridMultilevel"/>
    <w:lvl w:ilvl="0">
      <w:lvlJc w:val="left"/>
      <w:lvlText w:val="*"/>
      <w:numFmt w:val="bullet"/>
      <w:start w:val="1"/>
    </w:lvl>
  </w:abstractNum>
  <w:abstractNum w:abstractNumId="154">
    <w:nsid w:val="56C28E34"/>
    <w:multiLevelType w:val="hybridMultilevel"/>
    <w:lvl w:ilvl="0">
      <w:lvlJc w:val="left"/>
      <w:lvlText w:val="•"/>
      <w:numFmt w:val="bullet"/>
      <w:start w:val="1"/>
    </w:lvl>
  </w:abstractNum>
  <w:abstractNum w:abstractNumId="155">
    <w:nsid w:val="13916F2D"/>
    <w:multiLevelType w:val="hybridMultilevel"/>
    <w:lvl w:ilvl="0">
      <w:lvlJc w:val="left"/>
      <w:lvlText w:val="•"/>
      <w:numFmt w:val="bullet"/>
      <w:start w:val="1"/>
    </w:lvl>
  </w:abstractNum>
  <w:abstractNum w:abstractNumId="156">
    <w:nsid w:val="435D38D"/>
    <w:multiLevelType w:val="hybridMultilevel"/>
    <w:lvl w:ilvl="0">
      <w:lvlJc w:val="left"/>
      <w:lvlText w:val="•"/>
      <w:numFmt w:val="bullet"/>
      <w:start w:val="1"/>
    </w:lvl>
  </w:abstractNum>
  <w:abstractNum w:abstractNumId="157">
    <w:nsid w:val="822C0EF"/>
    <w:multiLevelType w:val="hybridMultilevel"/>
    <w:lvl w:ilvl="0">
      <w:lvlJc w:val="left"/>
      <w:lvlText w:val="%1."/>
      <w:numFmt w:val="decimal"/>
      <w:start w:val="1"/>
    </w:lvl>
  </w:abstractNum>
  <w:abstractNum w:abstractNumId="158">
    <w:nsid w:val="57C5BB4F"/>
    <w:multiLevelType w:val="hybridMultilevel"/>
    <w:lvl w:ilvl="0">
      <w:lvlJc w:val="left"/>
      <w:lvlText w:val="(%1)"/>
      <w:numFmt w:val="lowerLetter"/>
      <w:start w:val="1"/>
    </w:lvl>
  </w:abstractNum>
  <w:abstractNum w:abstractNumId="159">
    <w:nsid w:val="1803D089"/>
    <w:multiLevelType w:val="hybridMultilevel"/>
    <w:lvl w:ilvl="0">
      <w:lvlJc w:val="left"/>
      <w:lvlText w:val="*"/>
      <w:numFmt w:val="bullet"/>
      <w:start w:val="1"/>
    </w:lvl>
  </w:abstractNum>
  <w:abstractNum w:abstractNumId="160">
    <w:nsid w:val="4F3A06D4"/>
    <w:multiLevelType w:val="hybridMultilevel"/>
    <w:lvl w:ilvl="0">
      <w:lvlJc w:val="left"/>
      <w:lvlText w:val="†"/>
      <w:numFmt w:val="bullet"/>
      <w:start w:val="1"/>
    </w:lvl>
  </w:abstractNum>
  <w:abstractNum w:abstractNumId="161">
    <w:nsid w:val="59A377B6"/>
    <w:multiLevelType w:val="hybridMultilevel"/>
    <w:lvl w:ilvl="0">
      <w:lvlJc w:val="left"/>
      <w:lvlText w:val="(%1)"/>
      <w:numFmt w:val="lowerLetter"/>
      <w:start w:val="2"/>
    </w:lvl>
  </w:abstractNum>
  <w:abstractNum w:abstractNumId="162">
    <w:nsid w:val="48AEB063"/>
    <w:multiLevelType w:val="hybridMultilevel"/>
    <w:lvl w:ilvl="0">
      <w:lvlJc w:val="left"/>
      <w:lvlText w:val="%1."/>
      <w:numFmt w:val="decimal"/>
      <w:start w:val="1"/>
    </w:lvl>
  </w:abstractNum>
  <w:abstractNum w:abstractNumId="163">
    <w:nsid w:val="24E135"/>
    <w:multiLevelType w:val="hybridMultilevel"/>
    <w:lvl w:ilvl="0">
      <w:lvlJc w:val="left"/>
      <w:lvlText w:val="%1."/>
      <w:numFmt w:val="upperLetter"/>
      <w:start w:val="1"/>
    </w:lvl>
  </w:abstractNum>
  <w:abstractNum w:abstractNumId="164">
    <w:nsid w:val="BB13C1"/>
    <w:multiLevelType w:val="hybridMultilevel"/>
    <w:lvl w:ilvl="0">
      <w:lvlJc w:val="left"/>
      <w:lvlText w:val="%1."/>
      <w:numFmt w:val="decimal"/>
      <w:start w:val="1"/>
    </w:lvl>
  </w:abstractNum>
  <w:abstractNum w:abstractNumId="165">
    <w:nsid w:val="271210C7"/>
    <w:multiLevelType w:val="hybridMultilevel"/>
    <w:lvl w:ilvl="0">
      <w:lvlJc w:val="left"/>
      <w:lvlText w:val="%1."/>
      <w:numFmt w:val="decimal"/>
      <w:start w:val="1"/>
    </w:lvl>
  </w:abstractNum>
  <w:abstractNum w:abstractNumId="166">
    <w:nsid w:val="217B22E4"/>
    <w:multiLevelType w:val="hybridMultilevel"/>
    <w:lvl w:ilvl="0">
      <w:lvlJc w:val="left"/>
      <w:lvlText w:val="(%1)"/>
      <w:numFmt w:val="upperLetter"/>
      <w:start w:val="2"/>
    </w:lvl>
  </w:abstractNum>
  <w:abstractNum w:abstractNumId="167">
    <w:nsid w:val="53E31A24"/>
    <w:multiLevelType w:val="hybridMultilevel"/>
    <w:lvl w:ilvl="0">
      <w:lvlJc w:val="left"/>
      <w:lvlText w:val="%1."/>
      <w:numFmt w:val="decimal"/>
      <w:start w:val="2"/>
    </w:lvl>
  </w:abstractNum>
  <w:abstractNum w:abstractNumId="168">
    <w:nsid w:val="6DC45E83"/>
    <w:multiLevelType w:val="hybridMultilevel"/>
    <w:lvl w:ilvl="0">
      <w:lvlJc w:val="left"/>
      <w:lvlText w:val="(%1)"/>
      <w:numFmt w:val="lowerRoman"/>
      <w:start w:val="1"/>
    </w:lvl>
  </w:abstractNum>
  <w:abstractNum w:abstractNumId="169">
    <w:nsid w:val="17304A67"/>
    <w:multiLevelType w:val="hybridMultilevel"/>
    <w:lvl w:ilvl="0">
      <w:lvlJc w:val="left"/>
      <w:lvlText w:val="(%1)"/>
      <w:numFmt w:val="lowerLetter"/>
      <w:start w:val="1"/>
    </w:lvl>
  </w:abstractNum>
  <w:abstractNum w:abstractNumId="170">
    <w:nsid w:val="2BB180D8"/>
    <w:multiLevelType w:val="hybridMultilevel"/>
    <w:lvl w:ilvl="0">
      <w:lvlJc w:val="left"/>
      <w:lvlText w:val="(%1)"/>
      <w:numFmt w:val="lowerLetter"/>
      <w:start w:val="1"/>
    </w:lvl>
    <w:lvl w:ilvl="1">
      <w:lvlJc w:val="left"/>
      <w:lvlText w:val="(%2)"/>
      <w:numFmt w:val="lowerLetter"/>
      <w:start w:val="9"/>
    </w:lvl>
  </w:abstractNum>
  <w:abstractNum w:abstractNumId="171">
    <w:nsid w:val="556B69ED"/>
    <w:multiLevelType w:val="hybridMultilevel"/>
    <w:lvl w:ilvl="0">
      <w:lvlJc w:val="left"/>
      <w:lvlText w:val="(%1)"/>
      <w:numFmt w:val="lowerRoman"/>
      <w:start w:val="2"/>
    </w:lvl>
  </w:abstractNum>
  <w:abstractNum w:abstractNumId="172">
    <w:nsid w:val="70836196"/>
    <w:multiLevelType w:val="hybridMultilevel"/>
    <w:lvl w:ilvl="0">
      <w:lvlJc w:val="left"/>
      <w:lvlText w:val="(%1)"/>
      <w:numFmt w:val="lowerLetter"/>
      <w:start w:val="2"/>
    </w:lvl>
  </w:abstractNum>
  <w:abstractNum w:abstractNumId="173">
    <w:nsid w:val="539F7F12"/>
    <w:multiLevelType w:val="hybridMultilevel"/>
    <w:lvl w:ilvl="0">
      <w:lvlJc w:val="left"/>
      <w:lvlText w:val="(%1)"/>
      <w:numFmt w:val="lowerLetter"/>
      <w:start w:val="1"/>
    </w:lvl>
  </w:abstractNum>
  <w:abstractNum w:abstractNumId="174">
    <w:nsid w:val="2817E7EC"/>
    <w:multiLevelType w:val="hybridMultilevel"/>
    <w:lvl w:ilvl="0">
      <w:lvlJc w:val="left"/>
      <w:lvlText w:val="(%1)"/>
      <w:numFmt w:val="upperLetter"/>
      <w:start w:val="1"/>
    </w:lvl>
  </w:abstractNum>
  <w:abstractNum w:abstractNumId="175">
    <w:nsid w:val="71482545"/>
    <w:multiLevelType w:val="hybridMultilevel"/>
    <w:lvl w:ilvl="0">
      <w:lvlJc w:val="left"/>
      <w:lvlText w:val="%1."/>
      <w:numFmt w:val="decimal"/>
      <w:start w:val="3"/>
    </w:lvl>
  </w:abstractNum>
  <w:abstractNum w:abstractNumId="176">
    <w:nsid w:val="17D78639"/>
    <w:multiLevelType w:val="hybridMultilevel"/>
    <w:lvl w:ilvl="0">
      <w:lvlJc w:val="left"/>
      <w:lvlText w:val="(%1)"/>
      <w:numFmt w:val="decimal"/>
      <w:start w:val="2"/>
    </w:lvl>
  </w:abstractNum>
  <w:abstractNum w:abstractNumId="177">
    <w:nsid w:val="141D2302"/>
    <w:multiLevelType w:val="hybridMultilevel"/>
    <w:lvl w:ilvl="0">
      <w:lvlJc w:val="left"/>
      <w:lvlText w:val="(%1)"/>
      <w:numFmt w:val="lowerRoman"/>
      <w:start w:val="10"/>
    </w:lvl>
  </w:abstractNum>
  <w:abstractNum w:abstractNumId="178">
    <w:nsid w:val="407168D8"/>
    <w:multiLevelType w:val="hybridMultilevel"/>
    <w:lvl w:ilvl="0">
      <w:lvlJc w:val="left"/>
      <w:lvlText w:val="%1"/>
      <w:numFmt w:val="lowerLetter"/>
      <w:start w:val="1"/>
    </w:lvl>
    <w:lvl w:ilvl="1">
      <w:lvlJc w:val="left"/>
      <w:lvlText w:val="(%2)"/>
      <w:numFmt w:val="lowerLetter"/>
      <w:start w:val="1"/>
    </w:lvl>
  </w:abstractNum>
  <w:abstractNum w:abstractNumId="179">
    <w:nsid w:val="6A1B45E5"/>
    <w:multiLevelType w:val="hybridMultilevel"/>
    <w:lvl w:ilvl="0">
      <w:lvlJc w:val="left"/>
      <w:lvlText w:val="(%1)"/>
      <w:numFmt w:val="lowerLetter"/>
      <w:start w:val="35"/>
    </w:lvl>
    <w:lvl w:ilvl="1">
      <w:lvlJc w:val="left"/>
      <w:lvlText w:val="%2"/>
      <w:numFmt w:val="lowerLetter"/>
      <w:start w:val="1"/>
    </w:lvl>
  </w:abstractNum>
  <w:abstractNum w:abstractNumId="180">
    <w:nsid w:val="567BD50A"/>
    <w:multiLevelType w:val="hybridMultilevel"/>
    <w:lvl w:ilvl="0">
      <w:lvlJc w:val="left"/>
      <w:lvlText w:val="(%1)"/>
      <w:numFmt w:val="lowerLetter"/>
      <w:start w:val="5"/>
    </w:lvl>
  </w:abstractNum>
  <w:abstractNum w:abstractNumId="181">
    <w:nsid w:val="73BBD7F8"/>
    <w:multiLevelType w:val="hybridMultilevel"/>
    <w:lvl w:ilvl="0">
      <w:lvlJc w:val="left"/>
      <w:lvlText w:val="(%1)"/>
      <w:numFmt w:val="lowerLetter"/>
      <w:start w:val="1"/>
    </w:lvl>
  </w:abstractNum>
  <w:abstractNum w:abstractNumId="182">
    <w:nsid w:val="1876589D"/>
    <w:multiLevelType w:val="hybridMultilevel"/>
    <w:lvl w:ilvl="0">
      <w:lvlJc w:val="left"/>
      <w:lvlText w:val="(%1)"/>
      <w:numFmt w:val="lowerLetter"/>
      <w:start w:val="1"/>
    </w:lvl>
  </w:abstractNum>
  <w:abstractNum w:abstractNumId="183">
    <w:nsid w:val="327FAC77"/>
    <w:multiLevelType w:val="hybridMultilevel"/>
    <w:lvl w:ilvl="0">
      <w:lvlJc w:val="left"/>
      <w:lvlText w:val="%1"/>
      <w:numFmt w:val="decimal"/>
      <w:start w:val="1"/>
    </w:lvl>
    <w:lvl w:ilvl="1">
      <w:lvlJc w:val="left"/>
      <w:lvlText w:val="(%2)"/>
      <w:numFmt w:val="lowerLetter"/>
      <w:start w:val="1"/>
    </w:lvl>
  </w:abstractNum>
  <w:abstractNum w:abstractNumId="184">
    <w:nsid w:val="5A606509"/>
    <w:multiLevelType w:val="hybridMultilevel"/>
    <w:lvl w:ilvl="0">
      <w:lvlJc w:val="left"/>
      <w:lvlText w:val="%1."/>
      <w:numFmt w:val="decimal"/>
      <w:start w:val="4"/>
    </w:lvl>
    <w:lvl w:ilvl="1">
      <w:lvlJc w:val="left"/>
      <w:lvlText w:val="%2"/>
      <w:numFmt w:val="lowerLetter"/>
      <w:start w:val="1"/>
    </w:lvl>
  </w:abstractNum>
  <w:abstractNum w:abstractNumId="185">
    <w:nsid w:val="6F38E6D1"/>
    <w:multiLevelType w:val="hybridMultilevel"/>
    <w:lvl w:ilvl="0">
      <w:lvlJc w:val="left"/>
      <w:lvlText w:val="%1"/>
      <w:numFmt w:val="decimal"/>
      <w:start w:val="1"/>
    </w:lvl>
    <w:lvl w:ilvl="1">
      <w:lvlJc w:val="left"/>
      <w:lvlText w:val="(%2)"/>
      <w:numFmt w:val="lowerLetter"/>
      <w:start w:val="1"/>
    </w:lvl>
  </w:abstractNum>
  <w:abstractNum w:abstractNumId="186">
    <w:nsid w:val="46111BA5"/>
    <w:multiLevelType w:val="hybridMultilevel"/>
    <w:lvl w:ilvl="0">
      <w:lvlJc w:val="left"/>
      <w:lvlText w:val="(%1)"/>
      <w:numFmt w:val="decimal"/>
      <w:start w:val="2"/>
    </w:lvl>
    <w:lvl w:ilvl="1">
      <w:lvlJc w:val="left"/>
      <w:lvlText w:val="%2"/>
      <w:numFmt w:val="lowerLetter"/>
      <w:start w:val="1"/>
    </w:lvl>
  </w:abstractNum>
  <w:abstractNum w:abstractNumId="187">
    <w:nsid w:val="5E963896"/>
    <w:multiLevelType w:val="hybridMultilevel"/>
    <w:lvl w:ilvl="0">
      <w:lvlJc w:val="left"/>
      <w:lvlText w:val="(%1)"/>
      <w:numFmt w:val="lowerRoman"/>
      <w:start w:val="1"/>
    </w:lvl>
  </w:abstractNum>
  <w:abstractNum w:abstractNumId="188">
    <w:nsid w:val="775BA7C1"/>
    <w:multiLevelType w:val="hybridMultilevel"/>
    <w:lvl w:ilvl="0">
      <w:lvlJc w:val="left"/>
      <w:lvlText w:val="%1"/>
      <w:numFmt w:val="lowerLetter"/>
      <w:start w:val="1"/>
    </w:lvl>
    <w:lvl w:ilvl="1">
      <w:lvlJc w:val="left"/>
      <w:lvlText w:val="(%2)"/>
      <w:numFmt w:val="lowerRoman"/>
      <w:start w:val="6"/>
    </w:lvl>
  </w:abstractNum>
  <w:abstractNum w:abstractNumId="189">
    <w:nsid w:val="1DD6D6F4"/>
    <w:multiLevelType w:val="hybridMultilevel"/>
    <w:lvl w:ilvl="0">
      <w:lvlJc w:val="left"/>
      <w:lvlText w:val="(%1)"/>
      <w:numFmt w:val="lowerLetter"/>
      <w:start w:val="2"/>
    </w:lvl>
    <w:lvl w:ilvl="1">
      <w:lvlJc w:val="left"/>
      <w:lvlText w:val="%2"/>
      <w:numFmt w:val="lowerRoman"/>
      <w:start w:val="1"/>
    </w:lvl>
  </w:abstractNum>
  <w:abstractNum w:abstractNumId="190">
    <w:nsid w:val="769A091F"/>
    <w:multiLevelType w:val="hybridMultilevel"/>
    <w:lvl w:ilvl="0">
      <w:lvlJc w:val="left"/>
      <w:lvlText w:val="(%1)"/>
      <w:numFmt w:val="lowerLetter"/>
      <w:start w:val="1"/>
    </w:lvl>
  </w:abstractNum>
  <w:abstractNum w:abstractNumId="191">
    <w:nsid w:val="4695AE95"/>
    <w:multiLevelType w:val="hybridMultilevel"/>
    <w:lvl w:ilvl="0">
      <w:lvlJc w:val="left"/>
      <w:lvlText w:val="%1"/>
      <w:numFmt w:val="lowerLetter"/>
      <w:start w:val="1"/>
    </w:lvl>
    <w:lvl w:ilvl="1">
      <w:lvlJc w:val="left"/>
      <w:lvlText w:val="(%2)"/>
      <w:numFmt w:val="lowerLetter"/>
      <w:start w:val="3"/>
    </w:lvl>
  </w:abstractNum>
  <w:abstractNum w:abstractNumId="192">
    <w:nsid w:val="777A4EAA"/>
    <w:multiLevelType w:val="hybridMultilevel"/>
    <w:lvl w:ilvl="0">
      <w:lvlJc w:val="left"/>
      <w:lvlText w:val="(%1)"/>
      <w:numFmt w:val="lowerLetter"/>
      <w:start w:val="2"/>
    </w:lvl>
    <w:lvl w:ilvl="1">
      <w:lvlJc w:val="left"/>
      <w:lvlText w:val="%2"/>
      <w:numFmt w:val="lowerLetter"/>
      <w:start w:val="1"/>
    </w:lvl>
  </w:abstractNum>
  <w:abstractNum w:abstractNumId="193">
    <w:nsid w:val="3F48B982"/>
    <w:multiLevelType w:val="hybridMultilevel"/>
    <w:lvl w:ilvl="0">
      <w:lvlJc w:val="left"/>
      <w:lvlText w:val="(%1)"/>
      <w:numFmt w:val="lowerLetter"/>
      <w:start w:val="1"/>
    </w:lvl>
    <w:lvl w:ilvl="1">
      <w:lvlJc w:val="left"/>
      <w:lvlText w:val="(%2)"/>
      <w:numFmt w:val="lowerRoman"/>
      <w:start w:val="1"/>
    </w:lvl>
  </w:abstractNum>
  <w:abstractNum w:abstractNumId="194">
    <w:nsid w:val="46BA8FCA"/>
    <w:multiLevelType w:val="hybridMultilevel"/>
    <w:lvl w:ilvl="0">
      <w:lvlJc w:val="left"/>
      <w:lvlText w:val="(%1)"/>
      <w:numFmt w:val="lowerLetter"/>
      <w:start w:val="2"/>
    </w:lvl>
    <w:lvl w:ilvl="1">
      <w:lvlJc w:val="left"/>
      <w:lvlText w:val="(%2)"/>
      <w:numFmt w:val="lowerRoman"/>
      <w:start w:val="1"/>
    </w:lvl>
  </w:abstractNum>
  <w:abstractNum w:abstractNumId="195">
    <w:nsid w:val="7835626C"/>
    <w:multiLevelType w:val="hybridMultilevel"/>
    <w:lvl w:ilvl="0">
      <w:lvlJc w:val="left"/>
      <w:lvlText w:val="(%1)"/>
      <w:numFmt w:val="decimal"/>
      <w:start w:val="1"/>
    </w:lvl>
  </w:abstractNum>
  <w:abstractNum w:abstractNumId="196">
    <w:nsid w:val="665ACA49"/>
    <w:multiLevelType w:val="hybridMultilevel"/>
    <w:lvl w:ilvl="0">
      <w:lvlJc w:val="left"/>
      <w:lvlText w:val="%1."/>
      <w:numFmt w:val="decimal"/>
      <w:start w:val="5"/>
    </w:lvl>
  </w:abstractNum>
  <w:abstractNum w:abstractNumId="197">
    <w:nsid w:val="6835B2AE"/>
    <w:multiLevelType w:val="hybridMultilevel"/>
    <w:lvl w:ilvl="0">
      <w:lvlJc w:val="left"/>
      <w:lvlText w:val="%1."/>
      <w:numFmt w:val="decimal"/>
      <w:start w:val="6"/>
    </w:lvl>
  </w:abstractNum>
  <w:abstractNum w:abstractNumId="198">
    <w:nsid w:val="4C187C90"/>
    <w:multiLevelType w:val="hybridMultilevel"/>
    <w:lvl w:ilvl="0">
      <w:lvlJc w:val="left"/>
      <w:lvlText w:val="%1."/>
      <w:numFmt w:val="decimal"/>
      <w:start w:val="8"/>
    </w:lvl>
  </w:abstractNum>
  <w:abstractNum w:abstractNumId="199">
    <w:nsid w:val="541F28CD"/>
    <w:multiLevelType w:val="hybridMultilevel"/>
    <w:lvl w:ilvl="0">
      <w:lvlJc w:val="left"/>
      <w:lvlText w:val="(%1)"/>
      <w:numFmt w:val="lowerRoman"/>
      <w:start w:val="1"/>
    </w:lvl>
  </w:abstractNum>
  <w:abstractNum w:abstractNumId="200">
    <w:nsid w:val="7F65FD16"/>
    <w:multiLevelType w:val="hybridMultilevel"/>
    <w:lvl w:ilvl="0">
      <w:lvlJc w:val="left"/>
      <w:lvlText w:val="(%1)"/>
      <w:numFmt w:val="lowerRoman"/>
      <w:start w:val="1"/>
    </w:lvl>
  </w:abstractNum>
  <w:abstractNum w:abstractNumId="201">
    <w:nsid w:val="77C9FD68"/>
    <w:multiLevelType w:val="hybridMultilevel"/>
    <w:lvl w:ilvl="0">
      <w:lvlJc w:val="left"/>
      <w:lvlText w:val="(%1)"/>
      <w:numFmt w:val="lowerRoman"/>
      <w:start w:val="1"/>
    </w:lvl>
  </w:abstractNum>
  <w:abstractNum w:abstractNumId="202">
    <w:nsid w:val="298A92BA"/>
    <w:multiLevelType w:val="hybridMultilevel"/>
    <w:lvl w:ilvl="0">
      <w:lvlJc w:val="left"/>
      <w:lvlText w:val="(%1)"/>
      <w:numFmt w:val="lowerRoman"/>
      <w:start w:val="1"/>
    </w:lvl>
  </w:abstractNum>
  <w:abstractNum w:abstractNumId="203">
    <w:nsid w:val="6FE95EAC"/>
    <w:multiLevelType w:val="hybridMultilevel"/>
    <w:lvl w:ilvl="0">
      <w:lvlJc w:val="left"/>
      <w:lvlText w:val="(%1)"/>
      <w:numFmt w:val="lowerRoman"/>
      <w:start w:val="1"/>
    </w:lvl>
  </w:abstractNum>
  <w:abstractNum w:abstractNumId="204">
    <w:nsid w:val="4B697C7A"/>
    <w:multiLevelType w:val="hybridMultilevel"/>
    <w:lvl w:ilvl="0">
      <w:lvlJc w:val="left"/>
      <w:lvlText w:val="(%1)"/>
      <w:numFmt w:val="lowerRoman"/>
      <w:start w:val="1"/>
    </w:lvl>
  </w:abstractNum>
  <w:abstractNum w:abstractNumId="205">
    <w:nsid w:val="51A27AA6"/>
    <w:multiLevelType w:val="hybridMultilevel"/>
    <w:lvl w:ilvl="0">
      <w:lvlJc w:val="left"/>
      <w:lvlText w:val="(%1)"/>
      <w:numFmt w:val="lowerRoman"/>
      <w:start w:val="1"/>
    </w:lvl>
  </w:abstractNum>
  <w:abstractNum w:abstractNumId="206">
    <w:nsid w:val="613183F2"/>
    <w:multiLevelType w:val="hybridMultilevel"/>
    <w:lvl w:ilvl="0">
      <w:lvlJc w:val="left"/>
      <w:lvlText w:val="(%1)"/>
      <w:numFmt w:val="lowerRoman"/>
      <w:start w:val="1"/>
    </w:lvl>
  </w:abstractNum>
  <w:abstractNum w:abstractNumId="207">
    <w:nsid w:val="634102B4"/>
    <w:multiLevelType w:val="hybridMultilevel"/>
    <w:lvl w:ilvl="0">
      <w:lvlJc w:val="left"/>
      <w:lvlText w:val="(%1)"/>
      <w:numFmt w:val="lowerRoman"/>
      <w:start w:val="3"/>
    </w:lvl>
  </w:abstractNum>
  <w:abstractNum w:abstractNumId="208">
    <w:nsid w:val="65BF9DA8"/>
    <w:multiLevelType w:val="hybridMultilevel"/>
    <w:lvl w:ilvl="0">
      <w:lvlJc w:val="left"/>
      <w:lvlText w:val="(%1)"/>
      <w:numFmt w:val="lowerRoman"/>
      <w:start w:val="2"/>
    </w:lvl>
  </w:abstractNum>
  <w:abstractNum w:abstractNumId="209">
    <w:nsid w:val="21A2ECCA"/>
    <w:multiLevelType w:val="hybridMultilevel"/>
    <w:lvl w:ilvl="0">
      <w:lvlJc w:val="left"/>
      <w:lvlText w:val="%1"/>
      <w:numFmt w:val="upperLetter"/>
      <w:start w:val="1"/>
    </w:lvl>
    <w:lvl w:ilvl="1">
      <w:lvlJc w:val="left"/>
      <w:lvlText w:val="(%2)"/>
      <w:numFmt w:val="lowerRoman"/>
      <w:start w:val="1"/>
    </w:lvl>
  </w:abstractNum>
  <w:abstractNum w:abstractNumId="210">
    <w:nsid w:val="4D5C4899"/>
    <w:multiLevelType w:val="hybridMultilevel"/>
    <w:lvl w:ilvl="0">
      <w:lvlJc w:val="left"/>
      <w:lvlText w:val="(%1)"/>
      <w:numFmt w:val="upperLetter"/>
      <w:start w:val="1"/>
    </w:lvl>
    <w:lvl w:ilvl="1">
      <w:lvlJc w:val="left"/>
      <w:lvlText w:val="(%2)"/>
      <w:numFmt w:val="lowerRoman"/>
      <w:start w:val="4"/>
    </w:lvl>
  </w:abstractNum>
  <w:abstractNum w:abstractNumId="211">
    <w:nsid w:val="3C3B72B2"/>
    <w:multiLevelType w:val="hybridMultilevel"/>
    <w:lvl w:ilvl="0">
      <w:lvlJc w:val="left"/>
      <w:lvlText w:val="%1."/>
      <w:numFmt w:val="decimal"/>
      <w:start w:val="1"/>
    </w:lvl>
  </w:abstractNum>
  <w:abstractNum w:abstractNumId="212">
    <w:nsid w:val="155EC4C2"/>
    <w:multiLevelType w:val="hybridMultilevel"/>
    <w:lvl w:ilvl="0">
      <w:lvlJc w:val="left"/>
      <w:lvlText w:val="(%1)"/>
      <w:numFmt w:val="lowerRoman"/>
      <w:start w:val="3"/>
    </w:lvl>
  </w:abstractNum>
  <w:abstractNum w:abstractNumId="213">
    <w:nsid w:val="65D2A137"/>
    <w:multiLevelType w:val="hybridMultilevel"/>
    <w:lvl w:ilvl="0">
      <w:lvlJc w:val="left"/>
      <w:lvlText w:val="(%1)"/>
      <w:numFmt w:val="lowerRoman"/>
      <w:start w:val="4"/>
    </w:lvl>
  </w:abstractNum>
  <w:abstractNum w:abstractNumId="214">
    <w:nsid w:val="6EBB1F2A"/>
    <w:multiLevelType w:val="hybridMultilevel"/>
    <w:lvl w:ilvl="0">
      <w:lvlJc w:val="left"/>
      <w:lvlText w:val="%1."/>
      <w:numFmt w:val="decimal"/>
      <w:start w:val="2"/>
    </w:lvl>
    <w:lvl w:ilvl="1">
      <w:lvlJc w:val="left"/>
      <w:lvlText w:val="(%2)"/>
      <w:numFmt w:val="lowerLetter"/>
      <w:start w:val="1"/>
    </w:lvl>
  </w:abstractNum>
  <w:abstractNum w:abstractNumId="215">
    <w:nsid w:val="6FBF29CB"/>
    <w:multiLevelType w:val="hybridMultilevel"/>
    <w:lvl w:ilvl="0">
      <w:lvlJc w:val="left"/>
      <w:lvlText w:val="(%1)"/>
      <w:numFmt w:val="lowerLetter"/>
      <w:start w:val="3"/>
    </w:lvl>
  </w:abstractNum>
  <w:abstractNum w:abstractNumId="216">
    <w:nsid w:val="550B8808"/>
    <w:multiLevelType w:val="hybridMultilevel"/>
    <w:lvl w:ilvl="0">
      <w:lvlJc w:val="left"/>
      <w:lvlText w:val="%1"/>
      <w:numFmt w:val="lowerLetter"/>
      <w:start w:val="1"/>
    </w:lvl>
    <w:lvl w:ilvl="1">
      <w:lvlJc w:val="left"/>
      <w:lvlText w:val="(%2)"/>
      <w:numFmt w:val="lowerLetter"/>
      <w:start w:val="1"/>
    </w:lvl>
  </w:abstractNum>
  <w:abstractNum w:abstractNumId="217">
    <w:nsid w:val="34CC3ACF"/>
    <w:multiLevelType w:val="hybridMultilevel"/>
    <w:lvl w:ilvl="0">
      <w:lvlJc w:val="left"/>
      <w:lvlText w:val="(%1)"/>
      <w:numFmt w:val="lowerLetter"/>
      <w:start w:val="25"/>
    </w:lvl>
    <w:lvl w:ilvl="1">
      <w:lvlJc w:val="left"/>
      <w:lvlText w:val="%2"/>
      <w:numFmt w:val="lowerLetter"/>
      <w:start w:val="1"/>
    </w:lvl>
  </w:abstractNum>
  <w:abstractNum w:abstractNumId="218">
    <w:nsid w:val="4E556261"/>
    <w:multiLevelType w:val="hybridMultilevel"/>
    <w:lvl w:ilvl="0">
      <w:lvlJc w:val="left"/>
      <w:lvlText w:val="(%1)"/>
      <w:numFmt w:val="lowerLetter"/>
      <w:start w:val="2"/>
    </w:lvl>
  </w:abstractNum>
  <w:abstractNum w:abstractNumId="219">
    <w:nsid w:val="4C672FC9"/>
    <w:multiLevelType w:val="hybridMultilevel"/>
    <w:lvl w:ilvl="0">
      <w:lvlJc w:val="left"/>
      <w:lvlText w:val="(%1)"/>
      <w:numFmt w:val="lowerLetter"/>
      <w:start w:val="1"/>
    </w:lvl>
  </w:abstractNum>
  <w:abstractNum w:abstractNumId="220">
    <w:nsid w:val="52A311C3"/>
    <w:multiLevelType w:val="hybridMultilevel"/>
    <w:lvl w:ilvl="0">
      <w:lvlJc w:val="left"/>
      <w:lvlText w:val="(%1)"/>
      <w:numFmt w:val="lowerLetter"/>
      <w:start w:val="9"/>
    </w:lvl>
  </w:abstractNum>
  <w:abstractNum w:abstractNumId="221">
    <w:nsid w:val="44EF6B80"/>
    <w:multiLevelType w:val="hybridMultilevel"/>
    <w:lvl w:ilvl="0">
      <w:lvlJc w:val="left"/>
      <w:lvlText w:val="(%1)"/>
      <w:numFmt w:val="lowerLetter"/>
      <w:start w:val="1"/>
    </w:lvl>
  </w:abstractNum>
  <w:abstractNum w:abstractNumId="222">
    <w:nsid w:val="12FCDE5E"/>
    <w:multiLevelType w:val="hybridMultilevel"/>
    <w:lvl w:ilvl="0">
      <w:lvlJc w:val="left"/>
      <w:lvlText w:val="%1"/>
      <w:numFmt w:val="lowerLetter"/>
      <w:start w:val="1"/>
    </w:lvl>
    <w:lvl w:ilvl="1">
      <w:lvlJc w:val="left"/>
      <w:lvlText w:val="(%2)"/>
      <w:numFmt w:val="lowerLetter"/>
      <w:start w:val="3"/>
    </w:lvl>
  </w:abstractNum>
  <w:abstractNum w:abstractNumId="223">
    <w:nsid w:val="4A1D606E"/>
    <w:multiLevelType w:val="hybridMultilevel"/>
    <w:lvl w:ilvl="0">
      <w:lvlJc w:val="left"/>
      <w:lvlText w:val="(%1)"/>
      <w:numFmt w:val="lowerLetter"/>
      <w:start w:val="35"/>
    </w:lvl>
    <w:lvl w:ilvl="1">
      <w:lvlJc w:val="left"/>
      <w:lvlText w:val="%2"/>
      <w:numFmt w:val="lowerLetter"/>
      <w:start w:val="1"/>
    </w:lvl>
  </w:abstractNum>
  <w:abstractNum w:abstractNumId="224">
    <w:nsid w:val="4382503"/>
    <w:multiLevelType w:val="hybridMultilevel"/>
    <w:lvl w:ilvl="0">
      <w:lvlJc w:val="left"/>
      <w:lvlText w:val="(%1)"/>
      <w:numFmt w:val="lowerLetter"/>
      <w:start w:val="5"/>
    </w:lvl>
  </w:abstractNum>
  <w:abstractNum w:abstractNumId="225">
    <w:nsid w:val="59B76E28"/>
    <w:multiLevelType w:val="hybridMultilevel"/>
    <w:lvl w:ilvl="0">
      <w:lvlJc w:val="left"/>
      <w:lvlText w:val="(%1)"/>
      <w:numFmt w:val="lowerLetter"/>
      <w:start w:val="1"/>
    </w:lvl>
  </w:abstractNum>
  <w:abstractNum w:abstractNumId="226">
    <w:nsid w:val="4252C2DA"/>
    <w:multiLevelType w:val="hybridMultilevel"/>
    <w:lvl w:ilvl="0">
      <w:lvlJc w:val="left"/>
      <w:lvlText w:val="(%1)"/>
      <w:numFmt w:val="lowerLetter"/>
      <w:start w:val="3"/>
    </w:lvl>
  </w:abstractNum>
  <w:abstractNum w:abstractNumId="227">
    <w:nsid w:val="6A92EF4C"/>
    <w:multiLevelType w:val="hybridMultilevel"/>
    <w:lvl w:ilvl="0">
      <w:lvlJc w:val="left"/>
      <w:lvlText w:val="(%1)"/>
      <w:numFmt w:val="lowerLetter"/>
      <w:start w:val="1"/>
    </w:lvl>
  </w:abstractNum>
  <w:abstractNum w:abstractNumId="228">
    <w:nsid w:val="41ED20D7"/>
    <w:multiLevelType w:val="hybridMultilevel"/>
    <w:lvl w:ilvl="0">
      <w:lvlJc w:val="left"/>
      <w:lvlText w:val="(%1)"/>
      <w:numFmt w:val="lowerLetter"/>
      <w:start w:val="3"/>
    </w:lvl>
  </w:abstractNum>
  <w:abstractNum w:abstractNumId="229">
    <w:nsid w:val="E6B3F6A"/>
    <w:multiLevelType w:val="hybridMultilevel"/>
    <w:lvl w:ilvl="0">
      <w:lvlJc w:val="left"/>
      <w:lvlText w:val="(%1)"/>
      <w:numFmt w:val="lowerRoman"/>
      <w:start w:val="3"/>
    </w:lvl>
  </w:abstractNum>
  <w:abstractNum w:abstractNumId="230">
    <w:nsid w:val="3EB21819"/>
    <w:multiLevelType w:val="hybridMultilevel"/>
    <w:lvl w:ilvl="0">
      <w:lvlJc w:val="left"/>
      <w:lvlText w:val="%1."/>
      <w:numFmt w:val="decimal"/>
      <w:start w:val="3"/>
    </w:lvl>
  </w:abstractNum>
  <w:abstractNum w:abstractNumId="231">
    <w:nsid w:val="41531DED"/>
    <w:multiLevelType w:val="hybridMultilevel"/>
    <w:lvl w:ilvl="0">
      <w:lvlJc w:val="left"/>
      <w:lvlText w:val="(%1)"/>
      <w:numFmt w:val="lowerLetter"/>
      <w:start w:val="1"/>
    </w:lvl>
  </w:abstractNum>
  <w:abstractNum w:abstractNumId="232">
    <w:nsid w:val="6353CD2"/>
    <w:multiLevelType w:val="hybridMultilevel"/>
    <w:lvl w:ilvl="0">
      <w:lvlJc w:val="left"/>
      <w:lvlText w:val="(%1)"/>
      <w:numFmt w:val="lowerRoman"/>
      <w:start w:val="1"/>
    </w:lvl>
  </w:abstractNum>
  <w:abstractNum w:abstractNumId="233">
    <w:nsid w:val="683CAAD3"/>
    <w:multiLevelType w:val="hybridMultilevel"/>
    <w:lvl w:ilvl="0">
      <w:lvlJc w:val="left"/>
      <w:lvlText w:val="%1."/>
      <w:numFmt w:val="decimal"/>
      <w:start w:val="4"/>
    </w:lvl>
  </w:abstractNum>
  <w:abstractNum w:abstractNumId="234">
    <w:nsid w:val="313C7C99"/>
    <w:multiLevelType w:val="hybridMultilevel"/>
    <w:lvl w:ilvl="0">
      <w:lvlJc w:val="left"/>
      <w:lvlText w:val="(%1)"/>
      <w:numFmt w:val="lowerLetter"/>
      <w:start w:val="1"/>
    </w:lvl>
  </w:abstractNum>
  <w:abstractNum w:abstractNumId="235">
    <w:nsid w:val="519EB94C"/>
    <w:multiLevelType w:val="hybridMultilevel"/>
    <w:lvl w:ilvl="0">
      <w:lvlJc w:val="left"/>
      <w:lvlText w:val="(%1)"/>
      <w:numFmt w:val="lowerLetter"/>
      <w:start w:val="3"/>
    </w:lvl>
  </w:abstractNum>
  <w:abstractNum w:abstractNumId="236">
    <w:nsid w:val="39DF2579"/>
    <w:multiLevelType w:val="hybridMultilevel"/>
    <w:lvl w:ilvl="0">
      <w:lvlJc w:val="left"/>
      <w:lvlText w:val="(%1)"/>
      <w:numFmt w:val="lowerLetter"/>
      <w:start w:val="5"/>
    </w:lvl>
  </w:abstractNum>
  <w:abstractNum w:abstractNumId="237">
    <w:nsid w:val="126E008B"/>
    <w:multiLevelType w:val="hybridMultilevel"/>
    <w:lvl w:ilvl="0">
      <w:lvlJc w:val="left"/>
      <w:lvlText w:val="(%1)"/>
      <w:numFmt w:val="lowerRoman"/>
      <w:start w:val="4"/>
    </w:lvl>
  </w:abstractNum>
  <w:abstractNum w:abstractNumId="238">
    <w:nsid w:val="34DFBC00"/>
    <w:multiLevelType w:val="hybridMultilevel"/>
    <w:lvl w:ilvl="0">
      <w:lvlJc w:val="left"/>
      <w:lvlText w:val="(%1)"/>
      <w:numFmt w:val="lowerLetter"/>
      <w:start w:val="1"/>
    </w:lvl>
  </w:abstractNum>
  <w:abstractNum w:abstractNumId="239">
    <w:nsid w:val="1F9EC322"/>
    <w:multiLevelType w:val="hybridMultilevel"/>
    <w:lvl w:ilvl="0">
      <w:lvlJc w:val="left"/>
      <w:lvlText w:val="(%1)"/>
      <w:numFmt w:val="lowerLetter"/>
      <w:start w:val="2"/>
    </w:lvl>
  </w:abstractNum>
  <w:abstractNum w:abstractNumId="240">
    <w:nsid w:val="3410ED56"/>
    <w:multiLevelType w:val="hybridMultilevel"/>
    <w:lvl w:ilvl="0">
      <w:lvlJc w:val="left"/>
      <w:lvlText w:val="(%1)"/>
      <w:numFmt w:val="lowerRoman"/>
      <w:start w:val="1"/>
    </w:lvl>
  </w:abstractNum>
  <w:abstractNum w:abstractNumId="241">
    <w:nsid w:val="23C049A"/>
    <w:multiLevelType w:val="hybridMultilevel"/>
    <w:lvl w:ilvl="0">
      <w:lvlJc w:val="left"/>
      <w:lvlText w:val="%1."/>
      <w:numFmt w:val="decimal"/>
      <w:start w:val="6"/>
    </w:lvl>
  </w:abstractNum>
  <w:abstractNum w:abstractNumId="242">
    <w:nsid w:val="5BDA35D4"/>
    <w:multiLevelType w:val="hybridMultilevel"/>
    <w:lvl w:ilvl="0">
      <w:lvlJc w:val="left"/>
      <w:lvlText w:val="(%1)"/>
      <w:numFmt w:val="lowerLetter"/>
      <w:start w:val="1"/>
    </w:lvl>
  </w:abstractNum>
  <w:abstractNum w:abstractNumId="243">
    <w:nsid w:val="496FB218"/>
    <w:multiLevelType w:val="hybridMultilevel"/>
    <w:lvl w:ilvl="0">
      <w:lvlJc w:val="left"/>
      <w:lvlText w:val="(%1)"/>
      <w:numFmt w:val="lowerLetter"/>
      <w:start w:val="2"/>
    </w:lvl>
  </w:abstractNum>
  <w:abstractNum w:abstractNumId="244">
    <w:nsid w:val="680EA5D1"/>
    <w:multiLevelType w:val="hybridMultilevel"/>
    <w:lvl w:ilvl="0">
      <w:lvlJc w:val="left"/>
      <w:lvlText w:val="(%1)"/>
      <w:numFmt w:val="lowerLetter"/>
      <w:start w:val="1"/>
    </w:lvl>
  </w:abstractNum>
  <w:abstractNum w:abstractNumId="245">
    <w:nsid w:val="4A9554FE"/>
    <w:multiLevelType w:val="hybridMultilevel"/>
    <w:lvl w:ilvl="0">
      <w:lvlJc w:val="left"/>
      <w:lvlText w:val="%1."/>
      <w:numFmt w:val="decimal"/>
      <w:start w:val="7"/>
    </w:lvl>
    <w:lvl w:ilvl="1">
      <w:lvlJc w:val="left"/>
      <w:lvlText w:val="(%2)"/>
      <w:numFmt w:val="lowerLetter"/>
      <w:start w:val="1"/>
    </w:lvl>
  </w:abstractNum>
  <w:abstractNum w:abstractNumId="246">
    <w:nsid w:val="392EDBE4"/>
    <w:multiLevelType w:val="hybridMultilevel"/>
    <w:lvl w:ilvl="0">
      <w:lvlJc w:val="left"/>
      <w:lvlText w:val="(%1)"/>
      <w:numFmt w:val="lowerLetter"/>
      <w:start w:val="1"/>
    </w:lvl>
  </w:abstractNum>
  <w:abstractNum w:abstractNumId="247">
    <w:nsid w:val="3D1A2DD9"/>
    <w:multiLevelType w:val="hybridMultilevel"/>
    <w:lvl w:ilvl="0">
      <w:lvlJc w:val="left"/>
      <w:lvlText w:val="(%1)"/>
      <w:numFmt w:val="lowerLetter"/>
      <w:start w:val="4"/>
    </w:lvl>
  </w:abstractNum>
  <w:abstractNum w:abstractNumId="248">
    <w:nsid w:val="7F618FCD"/>
    <w:multiLevelType w:val="hybridMultilevel"/>
    <w:lvl w:ilvl="0">
      <w:lvlJc w:val="left"/>
      <w:lvlText w:val="(%1)"/>
      <w:numFmt w:val="lowerLetter"/>
      <w:start w:val="1"/>
    </w:lvl>
  </w:abstractNum>
  <w:abstractNum w:abstractNumId="249">
    <w:nsid w:val="7843E45"/>
    <w:multiLevelType w:val="hybridMultilevel"/>
    <w:lvl w:ilvl="0">
      <w:lvlJc w:val="left"/>
      <w:lvlText w:val="(%1)"/>
      <w:numFmt w:val="lowerRoman"/>
      <w:start w:val="4"/>
    </w:lvl>
    <w:lvl w:ilvl="1">
      <w:lvlJc w:val="left"/>
      <w:lvlText w:val="(%2)"/>
      <w:numFmt w:val="lowerLetter"/>
      <w:start w:val="2"/>
    </w:lvl>
  </w:abstractNum>
  <w:abstractNum w:abstractNumId="250">
    <w:nsid w:val="9815DA3"/>
    <w:multiLevelType w:val="hybridMultilevel"/>
    <w:lvl w:ilvl="0">
      <w:lvlJc w:val="left"/>
      <w:lvlText w:val="(%1)"/>
      <w:numFmt w:val="lowerLetter"/>
      <w:start w:val="6"/>
    </w:lvl>
  </w:abstractNum>
  <w:abstractNum w:abstractNumId="251">
    <w:nsid w:val="5204A191"/>
    <w:multiLevelType w:val="hybridMultilevel"/>
    <w:lvl w:ilvl="0">
      <w:lvlJc w:val="left"/>
      <w:lvlText w:val="%1"/>
      <w:numFmt w:val="lowerLetter"/>
      <w:start w:val="1"/>
    </w:lvl>
    <w:lvl w:ilvl="1">
      <w:lvlJc w:val="left"/>
      <w:lvlText w:val="(%2)"/>
      <w:numFmt w:val="lowerLetter"/>
      <w:start w:val="1"/>
    </w:lvl>
  </w:abstractNum>
  <w:abstractNum w:abstractNumId="252">
    <w:nsid w:val="4C73A9C6"/>
    <w:multiLevelType w:val="hybridMultilevel"/>
    <w:lvl w:ilvl="0">
      <w:lvlJc w:val="left"/>
      <w:lvlText w:val="(%1)"/>
      <w:numFmt w:val="lowerLetter"/>
      <w:start w:val="9"/>
    </w:lvl>
    <w:lvl w:ilvl="1">
      <w:lvlJc w:val="left"/>
      <w:lvlText w:val="%2"/>
      <w:numFmt w:val="lowerLetter"/>
      <w:start w:val="1"/>
    </w:lvl>
  </w:abstractNum>
  <w:abstractNum w:abstractNumId="253">
    <w:nsid w:val="1C7E3C01"/>
    <w:multiLevelType w:val="hybridMultilevel"/>
    <w:lvl w:ilvl="0">
      <w:lvlJc w:val="left"/>
      <w:lvlText w:val="%1."/>
      <w:numFmt w:val="decimal"/>
      <w:start w:val="8"/>
    </w:lvl>
  </w:abstractNum>
  <w:abstractNum w:abstractNumId="254">
    <w:nsid w:val="1C2201FF"/>
    <w:multiLevelType w:val="hybridMultilevel"/>
    <w:lvl w:ilvl="0">
      <w:lvlJc w:val="left"/>
      <w:lvlText w:val="(%1)"/>
      <w:numFmt w:val="lowerLetter"/>
      <w:start w:val="1"/>
    </w:lvl>
  </w:abstractNum>
  <w:abstractNum w:abstractNumId="255">
    <w:nsid w:val="50ABCEC9"/>
    <w:multiLevelType w:val="hybridMultilevel"/>
    <w:lvl w:ilvl="0">
      <w:lvlJc w:val="left"/>
      <w:lvlText w:val="(%1)"/>
      <w:numFmt w:val="lowerLetter"/>
      <w:start w:val="1"/>
    </w:lvl>
  </w:abstractNum>
  <w:abstractNum w:abstractNumId="256">
    <w:nsid w:val="7635AA2A"/>
    <w:multiLevelType w:val="hybridMultilevel"/>
    <w:lvl w:ilvl="0">
      <w:lvlJc w:val="left"/>
      <w:lvlText w:val="%1"/>
      <w:numFmt w:val="lowerLetter"/>
      <w:start w:val="1"/>
    </w:lvl>
    <w:lvl w:ilvl="1">
      <w:lvlJc w:val="left"/>
      <w:lvlText w:val="(%2)"/>
      <w:numFmt w:val="lowerLetter"/>
      <w:start w:val="2"/>
    </w:lvl>
  </w:abstractNum>
  <w:abstractNum w:abstractNumId="257">
    <w:nsid w:val="5E74C4D9"/>
    <w:multiLevelType w:val="hybridMultilevel"/>
    <w:lvl w:ilvl="0">
      <w:lvlJc w:val="left"/>
      <w:lvlText w:val="(%1)"/>
      <w:numFmt w:val="lowerLetter"/>
      <w:start w:val="35"/>
    </w:lvl>
    <w:lvl w:ilvl="1">
      <w:lvlJc w:val="left"/>
      <w:lvlText w:val="(%2)"/>
      <w:numFmt w:val="lowerLetter"/>
      <w:start w:val="6"/>
    </w:lvl>
  </w:abstractNum>
  <w:abstractNum w:abstractNumId="258">
    <w:nsid w:val="3B3EBE15"/>
    <w:multiLevelType w:val="hybridMultilevel"/>
    <w:lvl w:ilvl="0">
      <w:lvlJc w:val="left"/>
      <w:lvlText w:val="(%1)"/>
      <w:numFmt w:val="lowerLetter"/>
      <w:start w:val="1"/>
    </w:lvl>
  </w:abstractNum>
  <w:abstractNum w:abstractNumId="259">
    <w:nsid w:val="3822CB01"/>
    <w:multiLevelType w:val="hybridMultilevel"/>
    <w:lvl w:ilvl="0">
      <w:lvlJc w:val="left"/>
      <w:lvlText w:val="☐"/>
      <w:numFmt w:val="bullet"/>
      <w:start w:val="1"/>
    </w:lvl>
  </w:abstractNum>
  <w:abstractNum w:abstractNumId="260">
    <w:nsid w:val="6CE00443"/>
    <w:multiLevelType w:val="hybridMultilevel"/>
    <w:lvl w:ilvl="0">
      <w:lvlJc w:val="left"/>
      <w:lvlText w:val="%1."/>
      <w:numFmt w:val="decimal"/>
      <w:start w:val="1"/>
    </w:lvl>
    <w:lvl w:ilvl="1">
      <w:lvlJc w:val="left"/>
      <w:lvlText w:val="•"/>
      <w:numFmt w:val="bullet"/>
      <w:start w:val="1"/>
    </w:lvl>
  </w:abstractNum>
  <w:abstractNum w:abstractNumId="261">
    <w:nsid w:val="79F0D62F"/>
    <w:multiLevelType w:val="hybridMultilevel"/>
    <w:lvl w:ilvl="0">
      <w:lvlJc w:val="left"/>
      <w:lvlText w:val="%1."/>
      <w:numFmt w:val="decimal"/>
      <w:start w:val="2"/>
    </w:lvl>
    <w:lvl w:ilvl="1">
      <w:lvlJc w:val="left"/>
      <w:lvlText w:val="(%2)"/>
      <w:numFmt w:val="lowerLetter"/>
      <w:start w:val="1"/>
    </w:lvl>
  </w:abstractNum>
  <w:abstractNum w:abstractNumId="262">
    <w:nsid w:val="7975E8EE"/>
    <w:multiLevelType w:val="hybridMultilevel"/>
    <w:lvl w:ilvl="0">
      <w:lvlJc w:val="left"/>
      <w:lvlText w:val="(%1)"/>
      <w:numFmt w:val="lowerLetter"/>
      <w:start w:val="3"/>
    </w:lvl>
  </w:abstractNum>
  <w:abstractNum w:abstractNumId="263">
    <w:nsid w:val="73154115"/>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9"/>
    </w:lvl>
  </w:abstractNum>
  <w:abstractNum w:abstractNumId="264">
    <w:nsid w:val="622D8102"/>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35"/>
    </w:lvl>
  </w:abstractNum>
  <w:abstractNum w:abstractNumId="265">
    <w:nsid w:val="2AB26587"/>
    <w:multiLevelType w:val="hybridMultilevel"/>
    <w:lvl w:ilvl="0">
      <w:lvlJc w:val="left"/>
      <w:lvlText w:val="(%1)"/>
      <w:numFmt w:val="lowerLetter"/>
      <w:start w:val="9"/>
    </w:lvl>
  </w:abstractNum>
  <w:abstractNum w:abstractNumId="266">
    <w:nsid w:val="44B3FA61"/>
    <w:multiLevelType w:val="hybridMultilevel"/>
    <w:lvl w:ilvl="0">
      <w:lvlJc w:val="left"/>
      <w:lvlText w:val="%1"/>
      <w:numFmt w:val="lowerLetter"/>
      <w:start w:val="1"/>
    </w:lvl>
    <w:lvl w:ilvl="1">
      <w:lvlJc w:val="left"/>
      <w:lvlText w:val="(%2)"/>
      <w:numFmt w:val="lowerLetter"/>
      <w:start w:val="13"/>
    </w:lvl>
  </w:abstractNum>
  <w:abstractNum w:abstractNumId="267">
    <w:nsid w:val="1C0CA67C"/>
    <w:multiLevelType w:val="hybridMultilevel"/>
    <w:lvl w:ilvl="0">
      <w:lvlJc w:val="left"/>
      <w:lvlText w:val="(%1)"/>
      <w:numFmt w:val="lowerLetter"/>
      <w:start w:val="35"/>
    </w:lvl>
    <w:lvl w:ilvl="1">
      <w:lvlJc w:val="left"/>
      <w:lvlText w:val="(%2)"/>
      <w:numFmt w:val="lowerLetter"/>
      <w:start w:val="19"/>
    </w:lvl>
  </w:abstractNum>
  <w:abstractNum w:abstractNumId="268">
    <w:nsid w:val="3D206613"/>
    <w:multiLevelType w:val="hybridMultilevel"/>
    <w:lvl w:ilvl="0">
      <w:lvlJc w:val="left"/>
      <w:lvlText w:val="(%1)"/>
      <w:numFmt w:val="lowerLetter"/>
      <w:start w:val="24"/>
    </w:lvl>
  </w:abstractNum>
  <w:abstractNum w:abstractNumId="269">
    <w:nsid w:val="7993B662"/>
    <w:multiLevelType w:val="hybridMultilevel"/>
    <w:lvl w:ilvl="0">
      <w:lvlJc w:val="left"/>
      <w:lvlText w:val="%1"/>
      <w:numFmt w:val="lowerLetter"/>
      <w:start w:val="1"/>
    </w:lvl>
    <w:lvl w:ilvl="1">
      <w:lvlJc w:val="left"/>
      <w:lvlText w:val="(%2)"/>
      <w:numFmt w:val="lowerLetter"/>
      <w:start w:val="28"/>
    </w:lvl>
  </w:abstractNum>
  <w:abstractNum w:abstractNumId="270">
    <w:nsid w:val="3BAB699E"/>
    <w:multiLevelType w:val="hybridMultilevel"/>
    <w:lvl w:ilvl="0">
      <w:lvlJc w:val="left"/>
      <w:lvlText w:val="(%1)"/>
      <w:numFmt w:val="lowerLetter"/>
      <w:start w:val="9"/>
    </w:lvl>
    <w:lvl w:ilvl="1">
      <w:lvlJc w:val="left"/>
      <w:lvlText w:val="(%2)"/>
      <w:numFmt w:val="lowerLetter"/>
      <w:start w:val="33"/>
    </w:lvl>
  </w:abstractNum>
  <w:abstractNum w:abstractNumId="271">
    <w:nsid w:val="7131536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72">
    <w:nsid w:val="7BCFBAFC"/>
    <w:multiLevelType w:val="hybridMultilevel"/>
    <w:lvl w:ilvl="0">
      <w:lvlJc w:val="left"/>
      <w:lvlText w:val="(%1)"/>
      <w:numFmt w:val="lowerRoman"/>
      <w:start w:val="2"/>
    </w:lvl>
  </w:abstractNum>
  <w:abstractNum w:abstractNumId="273">
    <w:nsid w:val="17859F7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5"/>
    </w:lvl>
  </w:abstractNum>
  <w:abstractNum w:abstractNumId="274">
    <w:nsid w:val="3AA1058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75">
    <w:nsid w:val="63DE60C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76">
    <w:nsid w:val="621AF47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77">
    <w:nsid w:val="73CFE165"/>
    <w:multiLevelType w:val="hybridMultilevel"/>
    <w:lvl w:ilvl="0">
      <w:lvlJc w:val="left"/>
      <w:lvlText w:val="(%1)"/>
      <w:numFmt w:val="decimal"/>
      <w:start w:val="2"/>
    </w:lvl>
    <w:lvl w:ilvl="1">
      <w:lvlJc w:val="left"/>
      <w:lvlText w:val="(%2)"/>
      <w:numFmt w:val="lowerLetter"/>
      <w:start w:val="6"/>
    </w:lvl>
    <w:lvl w:ilvl="2">
      <w:lvlJc w:val="left"/>
      <w:lvlText w:val="(%3)"/>
      <w:numFmt w:val="lowerRoman"/>
      <w:start w:val="1"/>
    </w:lvl>
  </w:abstractNum>
  <w:abstractNum w:abstractNumId="278">
    <w:nsid w:val="20F88EA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79">
    <w:nsid w:val="617C843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80">
    <w:nsid w:val="7B541FAB"/>
    <w:multiLevelType w:val="hybridMultilevel"/>
    <w:lvl w:ilvl="0">
      <w:lvlJc w:val="left"/>
      <w:lvlText w:val="(%1)"/>
      <w:numFmt w:val="lowerLetter"/>
      <w:start w:val="2"/>
    </w:lvl>
    <w:lvl w:ilvl="1">
      <w:lvlJc w:val="left"/>
      <w:lvlText w:val="(%2)"/>
      <w:numFmt w:val="lowerRoman"/>
      <w:start w:val="1"/>
    </w:lvl>
  </w:abstractNum>
  <w:abstractNum w:abstractNumId="281">
    <w:nsid w:val="2A79EC49"/>
    <w:multiLevelType w:val="hybridMultilevel"/>
    <w:lvl w:ilvl="0">
      <w:lvlJc w:val="left"/>
      <w:lvlText w:val="%1."/>
      <w:numFmt w:val="decimal"/>
      <w:start w:val="8"/>
    </w:lvl>
    <w:lvl w:ilvl="1">
      <w:lvlJc w:val="left"/>
      <w:lvlText w:val="(%2)"/>
      <w:numFmt w:val="lowerLetter"/>
      <w:start w:val="1"/>
    </w:lvl>
  </w:abstractNum>
  <w:abstractNum w:abstractNumId="282">
    <w:nsid w:val="338125CF"/>
    <w:multiLevelType w:val="hybridMultilevel"/>
    <w:lvl w:ilvl="0">
      <w:lvlJc w:val="left"/>
      <w:lvlText w:val="%1"/>
      <w:numFmt w:val="decimal"/>
      <w:start w:val="1"/>
    </w:lvl>
    <w:lvl w:ilvl="1">
      <w:lvlJc w:val="left"/>
      <w:lvlText w:val="(%2)"/>
      <w:numFmt w:val="lowerLetter"/>
      <w:start w:val="4"/>
    </w:lvl>
  </w:abstractNum>
  <w:abstractNum w:abstractNumId="283">
    <w:nsid w:val="47C7C971"/>
    <w:multiLevelType w:val="hybridMultilevel"/>
    <w:lvl w:ilvl="0">
      <w:lvlJc w:val="left"/>
      <w:lvlText w:val="%1."/>
      <w:numFmt w:val="decimal"/>
      <w:start w:val="9"/>
    </w:lvl>
    <w:lvl w:ilvl="1">
      <w:lvlJc w:val="left"/>
      <w:lvlText w:val="(%2)"/>
      <w:numFmt w:val="lowerLetter"/>
      <w:start w:val="1"/>
    </w:lvl>
  </w:abstractNum>
  <w:abstractNum w:abstractNumId="284">
    <w:nsid w:val="46F8284B"/>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285">
    <w:nsid w:val="4FA327CE"/>
    <w:multiLevelType w:val="hybridMultilevel"/>
    <w:lvl w:ilvl="0">
      <w:lvlJc w:val="left"/>
      <w:lvlText w:val="(%1)"/>
      <w:numFmt w:val="lowerLetter"/>
      <w:start w:val="9"/>
    </w:lvl>
    <w:lvl w:ilvl="1">
      <w:lvlJc w:val="left"/>
      <w:lvlText w:val="%2."/>
      <w:numFmt w:val="decimal"/>
      <w:start w:val="12"/>
    </w:lvl>
    <w:lvl w:ilvl="2">
      <w:lvlJc w:val="left"/>
      <w:lvlText w:val="(%3)"/>
      <w:numFmt w:val="lowerLetter"/>
      <w:start w:val="1"/>
    </w:lvl>
  </w:abstractNum>
  <w:abstractNum w:abstractNumId="286">
    <w:nsid w:val="1873983A"/>
    <w:multiLevelType w:val="hybridMultilevel"/>
    <w:lvl w:ilvl="0">
      <w:lvlJc w:val="left"/>
      <w:lvlText w:val="(%1)"/>
      <w:numFmt w:val="lowerLetter"/>
      <w:start w:val="2"/>
    </w:lvl>
    <w:lvl w:ilvl="1">
      <w:lvlJc w:val="left"/>
      <w:lvlText w:val="(%2)"/>
      <w:numFmt w:val="lowerRoman"/>
      <w:start w:val="1"/>
    </w:lvl>
  </w:abstractNum>
  <w:abstractNum w:abstractNumId="287">
    <w:nsid w:val="3D2DD275"/>
    <w:multiLevelType w:val="hybridMultilevel"/>
    <w:lvl w:ilvl="0">
      <w:lvlJc w:val="left"/>
      <w:lvlText w:val="%1."/>
      <w:numFmt w:val="decimal"/>
      <w:start w:val="14"/>
    </w:lvl>
    <w:lvl w:ilvl="1">
      <w:lvlJc w:val="left"/>
      <w:lvlText w:val="(%2)"/>
      <w:numFmt w:val="lowerLetter"/>
      <w:start w:val="1"/>
    </w:lvl>
  </w:abstractNum>
  <w:abstractNum w:abstractNumId="288">
    <w:nsid w:val="2E17ECA7"/>
    <w:multiLevelType w:val="hybridMultilevel"/>
    <w:lvl w:ilvl="0">
      <w:lvlJc w:val="left"/>
      <w:lvlText w:val="%1."/>
      <w:numFmt w:val="decimal"/>
      <w:start w:val="18"/>
    </w:lvl>
    <w:lvl w:ilvl="1">
      <w:lvlJc w:val="left"/>
      <w:lvlText w:val="(%2)"/>
      <w:numFmt w:val="lowerLetter"/>
      <w:start w:val="1"/>
    </w:lvl>
  </w:abstractNum>
  <w:abstractNum w:abstractNumId="289">
    <w:nsid w:val="53B2564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90">
    <w:nsid w:val="75509D76"/>
    <w:multiLevelType w:val="hybridMultilevel"/>
    <w:lvl w:ilvl="0">
      <w:lvlJc w:val="left"/>
      <w:lvlText w:val="%1"/>
      <w:numFmt w:val="lowerLetter"/>
      <w:start w:val="1"/>
    </w:lvl>
    <w:lvl w:ilvl="1">
      <w:lvlJc w:val="left"/>
      <w:lvlText w:val="%2."/>
      <w:numFmt w:val="decimal"/>
      <w:start w:val="19"/>
    </w:lvl>
    <w:lvl w:ilvl="2">
      <w:lvlJc w:val="left"/>
      <w:lvlText w:val="(%3)"/>
      <w:numFmt w:val="lowerLetter"/>
      <w:start w:val="1"/>
    </w:lvl>
  </w:abstractNum>
  <w:abstractNum w:abstractNumId="291">
    <w:nsid w:val="1AF7F0EA"/>
    <w:multiLevelType w:val="hybridMultilevel"/>
    <w:lvl w:ilvl="0">
      <w:lvlJc w:val="left"/>
      <w:lvlText w:val="(%1)"/>
      <w:numFmt w:val="lowerLetter"/>
      <w:start w:val="9"/>
    </w:lvl>
    <w:lvl w:ilvl="1">
      <w:lvlJc w:val="left"/>
      <w:lvlText w:val="%2."/>
      <w:numFmt w:val="decimal"/>
      <w:start w:val="22"/>
    </w:lvl>
    <w:lvl w:ilvl="2">
      <w:lvlJc w:val="left"/>
      <w:lvlText w:val="(%3)"/>
      <w:numFmt w:val="lowerLetter"/>
      <w:start w:val="1"/>
    </w:lvl>
  </w:abstractNum>
  <w:abstractNum w:abstractNumId="292">
    <w:nsid w:val="4DA32C7E"/>
    <w:multiLevelType w:val="hybridMultilevel"/>
    <w:lvl w:ilvl="0">
      <w:lvlJc w:val="left"/>
      <w:lvlText w:val="(%1)"/>
      <w:numFmt w:val="lowerLetter"/>
      <w:start w:val="2"/>
    </w:lvl>
  </w:abstractNum>
  <w:abstractNum w:abstractNumId="293">
    <w:nsid w:val="6EC68664"/>
    <w:multiLevelType w:val="hybridMultilevel"/>
    <w:lvl w:ilvl="0">
      <w:lvlJc w:val="left"/>
      <w:lvlText w:val="%1."/>
      <w:numFmt w:val="upperLetter"/>
      <w:start w:val="9"/>
    </w:lvl>
  </w:abstractNum>
  <w:abstractNum w:abstractNumId="294">
    <w:nsid w:val="E0D31FF"/>
    <w:multiLevelType w:val="hybridMultilevel"/>
    <w:lvl w:ilvl="0">
      <w:lvlJc w:val="left"/>
      <w:lvlText w:val="%1."/>
      <w:numFmt w:val="upperLetter"/>
      <w:start w:val="35"/>
    </w:lvl>
    <w:lvl w:ilvl="1">
      <w:lvlJc w:val="left"/>
      <w:lvlText w:val="%2."/>
      <w:numFmt w:val="decimal"/>
      <w:start w:val="1"/>
    </w:lvl>
  </w:abstractNum>
  <w:abstractNum w:abstractNumId="295">
    <w:nsid w:val="2FD0AD81"/>
    <w:multiLevelType w:val="hybridMultilevel"/>
    <w:lvl w:ilvl="0">
      <w:lvlJc w:val="left"/>
      <w:lvlText w:val="%1."/>
      <w:numFmt w:val="decimal"/>
      <w:start w:val="2"/>
    </w:lvl>
    <w:lvl w:ilvl="1">
      <w:lvlJc w:val="left"/>
      <w:lvlText w:val="(%2)"/>
      <w:numFmt w:val="lowerLetter"/>
      <w:start w:val="1"/>
    </w:lvl>
  </w:abstractNum>
  <w:abstractNum w:abstractNumId="296">
    <w:nsid w:val="1978EBE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97">
    <w:nsid w:val="52C12C61"/>
    <w:multiLevelType w:val="hybridMultilevel"/>
    <w:lvl w:ilvl="0">
      <w:lvlJc w:val="left"/>
      <w:lvlText w:val="(%1)"/>
      <w:numFmt w:val="decimal"/>
      <w:start w:val="4"/>
    </w:lvl>
    <w:lvl w:ilvl="1">
      <w:lvlJc w:val="left"/>
      <w:lvlText w:val="%2."/>
      <w:numFmt w:val="decimal"/>
      <w:start w:val="5"/>
    </w:lvl>
    <w:lvl w:ilvl="2">
      <w:lvlJc w:val="left"/>
      <w:lvlText w:val="(%3)"/>
      <w:numFmt w:val="lowerLetter"/>
      <w:start w:val="1"/>
    </w:lvl>
  </w:abstractNum>
  <w:abstractNum w:abstractNumId="298">
    <w:nsid w:val="4BDD53FD"/>
    <w:multiLevelType w:val="hybridMultilevel"/>
    <w:lvl w:ilvl="0">
      <w:lvlJc w:val="left"/>
      <w:lvlText w:val="(%1)"/>
      <w:numFmt w:val="lowerLetter"/>
      <w:start w:val="4"/>
    </w:lvl>
  </w:abstractNum>
  <w:abstractNum w:abstractNumId="299">
    <w:nsid w:val="569951FE"/>
    <w:multiLevelType w:val="hybridMultilevel"/>
    <w:lvl w:ilvl="0">
      <w:lvlJc w:val="left"/>
      <w:lvlText w:val="%1."/>
      <w:numFmt w:val="decimal"/>
      <w:start w:val="6"/>
    </w:lvl>
    <w:lvl w:ilvl="1">
      <w:lvlJc w:val="left"/>
      <w:lvlText w:val="(%2)"/>
      <w:numFmt w:val="lowerLetter"/>
      <w:start w:val="1"/>
    </w:lvl>
  </w:abstractNum>
  <w:abstractNum w:abstractNumId="300">
    <w:nsid w:val="4C54E2C3"/>
    <w:multiLevelType w:val="hybridMultilevel"/>
    <w:lvl w:ilvl="0">
      <w:lvlJc w:val="left"/>
      <w:lvlText w:val="(%1)"/>
      <w:numFmt w:val="lowerLetter"/>
      <w:start w:val="35"/>
    </w:lvl>
    <w:lvl w:ilvl="1">
      <w:lvlJc w:val="left"/>
      <w:lvlText w:val="%2."/>
      <w:numFmt w:val="decimal"/>
      <w:start w:val="10"/>
    </w:lvl>
    <w:lvl w:ilvl="2">
      <w:lvlJc w:val="left"/>
      <w:lvlText w:val="(%3)"/>
      <w:numFmt w:val="lowerLetter"/>
      <w:start w:val="1"/>
    </w:lvl>
    <w:lvl w:ilvl="3">
      <w:lvlJc w:val="left"/>
      <w:lvlText w:val="(%4)"/>
      <w:numFmt w:val="lowerRoman"/>
      <w:start w:val="1"/>
    </w:lvl>
  </w:abstractNum>
  <w:abstractNum w:abstractNumId="301">
    <w:nsid w:val="788BD9B"/>
    <w:multiLevelType w:val="hybridMultilevel"/>
    <w:lvl w:ilvl="0">
      <w:lvlJc w:val="left"/>
      <w:lvlText w:val="(%1)"/>
      <w:numFmt w:val="lowerRoman"/>
      <w:start w:val="3"/>
    </w:lvl>
  </w:abstractNum>
  <w:abstractNum w:abstractNumId="302">
    <w:nsid w:val="47CAA567"/>
    <w:multiLevelType w:val="hybridMultilevel"/>
    <w:lvl w:ilvl="0">
      <w:lvlJc w:val="left"/>
      <w:lvlText w:val="(%1)"/>
      <w:numFmt w:val="lowerRoman"/>
      <w:start w:val="6"/>
    </w:lvl>
  </w:abstractNum>
  <w:abstractNum w:abstractNumId="303">
    <w:nsid w:val="48249DBF"/>
    <w:multiLevelType w:val="hybridMultilevel"/>
    <w:lvl w:ilvl="0">
      <w:lvlJc w:val="left"/>
      <w:lvlText w:val="%1"/>
      <w:numFmt w:val="lowerLetter"/>
      <w:start w:val="1"/>
    </w:lvl>
    <w:lvl w:ilvl="1">
      <w:lvlJc w:val="left"/>
      <w:lvlText w:val="(%2)"/>
      <w:numFmt w:val="lowerLetter"/>
      <w:start w:val="2"/>
    </w:lvl>
  </w:abstractNum>
  <w:abstractNum w:abstractNumId="304">
    <w:nsid w:val="1F0E5D0D"/>
    <w:multiLevelType w:val="hybridMultilevel"/>
    <w:lvl w:ilvl="0">
      <w:lvlJc w:val="left"/>
      <w:lvlText w:val="(%1)"/>
      <w:numFmt w:val="lowerLetter"/>
      <w:start w:val="9"/>
    </w:lvl>
    <w:lvl w:ilvl="1">
      <w:lvlJc w:val="left"/>
      <w:lvlText w:val="(%2)"/>
      <w:numFmt w:val="lowerLetter"/>
      <w:start w:val="3"/>
    </w:lvl>
  </w:abstractNum>
  <w:abstractNum w:abstractNumId="305">
    <w:nsid w:val="26BAAE9"/>
    <w:multiLevelType w:val="hybridMultilevel"/>
    <w:lvl w:ilvl="0">
      <w:lvlJc w:val="left"/>
      <w:lvlText w:val="%1"/>
      <w:numFmt w:val="decimal"/>
      <w:start w:val="1"/>
    </w:lvl>
    <w:lvl w:ilvl="1">
      <w:lvlJc w:val="left"/>
      <w:lvlText w:val="(%2)"/>
      <w:numFmt w:val="lowerLetter"/>
      <w:start w:val="4"/>
    </w:lvl>
  </w:abstractNum>
  <w:abstractNum w:abstractNumId="306">
    <w:nsid w:val="2C02FE8C"/>
    <w:multiLevelType w:val="hybridMultilevel"/>
    <w:lvl w:ilvl="0">
      <w:lvlJc w:val="left"/>
      <w:lvlText w:val="%1."/>
      <w:numFmt w:val="decimal"/>
      <w:start w:val="11"/>
    </w:lvl>
    <w:lvl w:ilvl="1">
      <w:lvlJc w:val="left"/>
      <w:lvlText w:val="(%2)"/>
      <w:numFmt w:val="lowerLetter"/>
      <w:start w:val="1"/>
    </w:lvl>
  </w:abstractNum>
  <w:abstractNum w:abstractNumId="307">
    <w:nsid w:val="129517E"/>
    <w:multiLevelType w:val="hybridMultilevel"/>
    <w:lvl w:ilvl="0">
      <w:lvlJc w:val="left"/>
      <w:lvlText w:val="(%1)"/>
      <w:numFmt w:val="lowerLetter"/>
      <w:start w:val="2"/>
    </w:lvl>
  </w:abstractNum>
  <w:abstractNum w:abstractNumId="308">
    <w:nsid w:val="763B8C4E"/>
    <w:multiLevelType w:val="hybridMultilevel"/>
    <w:lvl w:ilvl="0">
      <w:lvlJc w:val="left"/>
      <w:lvlText w:val="(%1)"/>
      <w:numFmt w:val="lowerLetter"/>
      <w:start w:val="8"/>
    </w:lvl>
  </w:abstractNum>
  <w:abstractNum w:abstractNumId="309">
    <w:nsid w:val="4CFB8D32"/>
    <w:multiLevelType w:val="hybridMultilevel"/>
    <w:lvl w:ilvl="0">
      <w:lvlJc w:val="left"/>
      <w:lvlText w:val="(%1)"/>
      <w:numFmt w:val="lowerLetter"/>
      <w:start w:val="12"/>
    </w:lvl>
  </w:abstractNum>
  <w:abstractNum w:abstractNumId="310">
    <w:nsid w:val="62A5D5BD"/>
    <w:multiLevelType w:val="hybridMultilevel"/>
    <w:lvl w:ilvl="0">
      <w:lvlJc w:val="left"/>
      <w:lvlText w:val="(%1)"/>
      <w:numFmt w:val="lowerLetter"/>
      <w:start w:val="17"/>
    </w:lvl>
  </w:abstractNum>
  <w:abstractNum w:abstractNumId="311">
    <w:nsid w:val="718FABF9"/>
    <w:multiLevelType w:val="hybridMultilevel"/>
    <w:lvl w:ilvl="0">
      <w:lvlJc w:val="left"/>
      <w:lvlText w:val="%1."/>
      <w:numFmt w:val="decimal"/>
      <w:start w:val="2"/>
    </w:lvl>
    <w:lvl w:ilvl="1">
      <w:lvlJc w:val="left"/>
      <w:lvlText w:val="(%2)"/>
      <w:numFmt w:val="lowerLetter"/>
      <w:start w:val="1"/>
    </w:lvl>
  </w:abstractNum>
  <w:abstractNum w:abstractNumId="312">
    <w:nsid w:val="7775797C"/>
    <w:multiLevelType w:val="hybridMultilevel"/>
    <w:lvl w:ilvl="0">
      <w:lvlJc w:val="left"/>
      <w:lvlText w:val="%1"/>
      <w:numFmt w:val="lowerLetter"/>
      <w:start w:val="1"/>
    </w:lvl>
    <w:lvl w:ilvl="1">
      <w:lvlJc w:val="left"/>
      <w:lvlText w:val="(%2)"/>
      <w:numFmt w:val="lowerLetter"/>
      <w:start w:val="2"/>
    </w:lvl>
  </w:abstractNum>
  <w:abstractNum w:abstractNumId="313">
    <w:nsid w:val="1626FB8C"/>
    <w:multiLevelType w:val="hybridMultilevel"/>
    <w:lvl w:ilvl="0">
      <w:lvlJc w:val="left"/>
      <w:lvlText w:val="(%1)"/>
      <w:numFmt w:val="lowerLetter"/>
      <w:start w:val="25"/>
    </w:lvl>
    <w:lvl w:ilvl="1">
      <w:lvlJc w:val="left"/>
      <w:lvlText w:val="(%2)"/>
      <w:numFmt w:val="lowerLetter"/>
      <w:start w:val="6"/>
    </w:lvl>
  </w:abstractNum>
  <w:abstractNum w:abstractNumId="314">
    <w:nsid w:val="3957756A"/>
    <w:multiLevelType w:val="hybridMultilevel"/>
    <w:lvl w:ilvl="0">
      <w:lvlJc w:val="left"/>
      <w:lvlText w:val="(%1)"/>
      <w:numFmt w:val="lowerRoman"/>
      <w:start w:val="6"/>
    </w:lvl>
    <w:lvl w:ilvl="1">
      <w:lvlJc w:val="left"/>
      <w:lvlText w:val="%2."/>
      <w:numFmt w:val="decimal"/>
      <w:start w:val="5"/>
    </w:lvl>
    <w:lvl w:ilvl="2">
      <w:lvlJc w:val="left"/>
      <w:lvlText w:val="(%3)"/>
      <w:numFmt w:val="lowerLetter"/>
      <w:start w:val="7"/>
    </w:lvl>
  </w:abstractNum>
  <w:abstractNum w:abstractNumId="315">
    <w:nsid w:val="3E6DA1C7"/>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316">
    <w:nsid w:val="65CA235B"/>
    <w:multiLevelType w:val="hybridMultilevel"/>
    <w:lvl w:ilvl="0">
      <w:lvlJc w:val="left"/>
      <w:lvlText w:val="%1"/>
      <w:numFmt w:val="decimal"/>
      <w:start w:val="1"/>
    </w:lvl>
    <w:lvl w:ilvl="1">
      <w:lvlJc w:val="left"/>
      <w:lvlText w:val="(%2)"/>
      <w:numFmt w:val="lowerLetter"/>
      <w:start w:val="2"/>
    </w:lvl>
  </w:abstractNum>
  <w:abstractNum w:abstractNumId="317">
    <w:nsid w:val="51CB0DA4"/>
    <w:multiLevelType w:val="hybridMultilevel"/>
    <w:lvl w:ilvl="0">
      <w:lvlJc w:val="left"/>
      <w:lvlText w:val="%1."/>
      <w:numFmt w:val="decimal"/>
      <w:start w:val="8"/>
    </w:lvl>
    <w:lvl w:ilvl="1">
      <w:lvlJc w:val="left"/>
      <w:lvlText w:val="%2"/>
      <w:numFmt w:val="lowerLetter"/>
      <w:start w:val="1"/>
    </w:lvl>
  </w:abstractNum>
  <w:abstractNum w:abstractNumId="318">
    <w:nsid w:val="7B9B743C"/>
    <w:multiLevelType w:val="hybridMultilevel"/>
    <w:lvl w:ilvl="0">
      <w:lvlJc w:val="left"/>
      <w:lvlText w:val="%1."/>
      <w:numFmt w:val="decimal"/>
      <w:start w:val="1"/>
    </w:lvl>
  </w:abstractNum>
  <w:abstractNum w:abstractNumId="319">
    <w:nsid w:val="13E21002"/>
    <w:multiLevelType w:val="hybridMultilevel"/>
    <w:lvl w:ilvl="0">
      <w:lvlJc w:val="left"/>
      <w:lvlText w:val="%1."/>
      <w:numFmt w:val="decimal"/>
      <w:start w:val="4"/>
    </w:lvl>
  </w:abstractNum>
  <w:abstractNum w:abstractNumId="320">
    <w:nsid w:val="257D63F4"/>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2019-11-28T22:33:57Z</dcterms:created>
  <dcterms:modified xsi:type="dcterms:W3CDTF">2019-11-28T22:33:57Z</dcterms:modified>
</cp:coreProperties>
</file>