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28, 2025</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4D Molecular Therapeutics,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6040" w:type="dxa"/>
            <w:vAlign w:val="bottom"/>
            <w:gridSpan w:val="3"/>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32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47-3506994</w:t>
            </w:r>
          </w:p>
        </w:tc>
      </w:tr>
      <w:tr>
        <w:trPr>
          <w:trHeight w:val="148"/>
        </w:trPr>
        <w:tc>
          <w:tcPr>
            <w:tcW w:w="6040" w:type="dxa"/>
            <w:vAlign w:val="bottom"/>
            <w:gridSpan w:val="3"/>
          </w:tcPr>
          <w:p>
            <w:pPr>
              <w:jc w:val="center"/>
              <w:ind w:right="356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320" w:type="dxa"/>
            <w:vAlign w:val="bottom"/>
          </w:tcPr>
          <w:p>
            <w:pPr>
              <w:jc w:val="center"/>
              <w:ind w:left="1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40" w:type="dxa"/>
            <w:vAlign w:val="bottom"/>
            <w:gridSpan w:val="3"/>
          </w:tcPr>
          <w:p>
            <w:pPr>
              <w:jc w:val="center"/>
              <w:ind w:right="35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320" w:type="dxa"/>
            <w:vAlign w:val="bottom"/>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6040" w:type="dxa"/>
            <w:vAlign w:val="bottom"/>
            <w:gridSpan w:val="3"/>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rPr>
              <w:t>5858 Horton Street #455</w:t>
            </w:r>
          </w:p>
        </w:tc>
        <w:tc>
          <w:tcPr>
            <w:tcW w:w="1320" w:type="dxa"/>
            <w:vAlign w:val="bottom"/>
          </w:tcPr>
          <w:p>
            <w:pPr>
              <w:spacing w:after="0"/>
              <w:rPr>
                <w:sz w:val="24"/>
                <w:szCs w:val="24"/>
                <w:color w:val="auto"/>
              </w:rPr>
            </w:pPr>
          </w:p>
        </w:tc>
      </w:tr>
      <w:tr>
        <w:trPr>
          <w:trHeight w:val="216"/>
        </w:trPr>
        <w:tc>
          <w:tcPr>
            <w:tcW w:w="6040" w:type="dxa"/>
            <w:vAlign w:val="bottom"/>
            <w:gridSpan w:val="3"/>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9"/>
              </w:rPr>
              <w:t>Emeryville, California 94608</w:t>
            </w:r>
          </w:p>
        </w:tc>
        <w:tc>
          <w:tcPr>
            <w:tcW w:w="1320" w:type="dxa"/>
            <w:vAlign w:val="bottom"/>
          </w:tcPr>
          <w:p>
            <w:pPr>
              <w:spacing w:after="0"/>
              <w:rPr>
                <w:sz w:val="18"/>
                <w:szCs w:val="18"/>
                <w:color w:val="auto"/>
              </w:rPr>
            </w:pPr>
          </w:p>
        </w:tc>
      </w:tr>
      <w:tr>
        <w:trPr>
          <w:trHeight w:val="227"/>
        </w:trPr>
        <w:tc>
          <w:tcPr>
            <w:tcW w:w="2800" w:type="dxa"/>
            <w:vAlign w:val="bottom"/>
          </w:tcPr>
          <w:p>
            <w:pPr>
              <w:jc w:val="center"/>
              <w:ind w:right="236"/>
              <w:spacing w:after="0"/>
              <w:rPr>
                <w:sz w:val="20"/>
                <w:szCs w:val="20"/>
                <w:color w:val="auto"/>
              </w:rPr>
            </w:pPr>
            <w:r>
              <w:rPr>
                <w:rFonts w:ascii="Times New Roman" w:cs="Times New Roman" w:eastAsia="Times New Roman" w:hAnsi="Times New Roman"/>
                <w:sz w:val="18"/>
                <w:szCs w:val="18"/>
                <w:b w:val="1"/>
                <w:bCs w:val="1"/>
                <w:color w:val="auto"/>
                <w:w w:val="99"/>
              </w:rPr>
              <w:t>(510) 505-2680</w:t>
            </w:r>
          </w:p>
        </w:tc>
        <w:tc>
          <w:tcPr>
            <w:tcW w:w="2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94608</w:t>
            </w:r>
          </w:p>
        </w:tc>
      </w:tr>
      <w:tr>
        <w:trPr>
          <w:trHeight w:val="190"/>
        </w:trPr>
        <w:tc>
          <w:tcPr>
            <w:tcW w:w="6040" w:type="dxa"/>
            <w:vAlign w:val="bottom"/>
            <w:gridSpan w:val="3"/>
          </w:tcPr>
          <w:p>
            <w:pPr>
              <w:jc w:val="center"/>
              <w:ind w:right="3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320" w:type="dxa"/>
            <w:vAlign w:val="bottom"/>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3"/>
        </w:trPr>
        <w:tc>
          <w:tcPr>
            <w:tcW w:w="2800" w:type="dxa"/>
            <w:vAlign w:val="bottom"/>
          </w:tcPr>
          <w:p>
            <w:pPr>
              <w:spacing w:after="0"/>
              <w:rPr>
                <w:sz w:val="24"/>
                <w:szCs w:val="24"/>
                <w:color w:val="auto"/>
              </w:rPr>
            </w:pPr>
          </w:p>
        </w:tc>
        <w:tc>
          <w:tcPr>
            <w:tcW w:w="324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2020 Incentive Award Plan</w:t>
            </w:r>
          </w:p>
        </w:tc>
        <w:tc>
          <w:tcPr>
            <w:tcW w:w="1320" w:type="dxa"/>
            <w:vAlign w:val="bottom"/>
          </w:tcPr>
          <w:p>
            <w:pPr>
              <w:spacing w:after="0"/>
              <w:rPr>
                <w:sz w:val="24"/>
                <w:szCs w:val="24"/>
                <w:color w:val="auto"/>
              </w:rPr>
            </w:pPr>
          </w:p>
        </w:tc>
      </w:tr>
      <w:tr>
        <w:trPr>
          <w:trHeight w:val="216"/>
        </w:trPr>
        <w:tc>
          <w:tcPr>
            <w:tcW w:w="6040" w:type="dxa"/>
            <w:vAlign w:val="bottom"/>
            <w:gridSpan w:val="3"/>
          </w:tcPr>
          <w:p>
            <w:pPr>
              <w:jc w:val="center"/>
              <w:ind w:left="1816"/>
              <w:spacing w:after="0"/>
              <w:rPr>
                <w:sz w:val="20"/>
                <w:szCs w:val="20"/>
                <w:color w:val="auto"/>
              </w:rPr>
            </w:pPr>
            <w:r>
              <w:rPr>
                <w:rFonts w:ascii="Times New Roman" w:cs="Times New Roman" w:eastAsia="Times New Roman" w:hAnsi="Times New Roman"/>
                <w:sz w:val="18"/>
                <w:szCs w:val="18"/>
                <w:b w:val="1"/>
                <w:bCs w:val="1"/>
                <w:color w:val="auto"/>
                <w:w w:val="99"/>
              </w:rPr>
              <w:t>2020 Employee Stock Purchase Plan</w:t>
            </w:r>
          </w:p>
        </w:tc>
        <w:tc>
          <w:tcPr>
            <w:tcW w:w="1320" w:type="dxa"/>
            <w:vAlign w:val="bottom"/>
          </w:tcPr>
          <w:p>
            <w:pPr>
              <w:spacing w:after="0"/>
              <w:rPr>
                <w:sz w:val="18"/>
                <w:szCs w:val="18"/>
                <w:color w:val="auto"/>
              </w:rPr>
            </w:pPr>
          </w:p>
        </w:tc>
      </w:tr>
      <w:tr>
        <w:trPr>
          <w:trHeight w:val="214"/>
        </w:trPr>
        <w:tc>
          <w:tcPr>
            <w:tcW w:w="6040" w:type="dxa"/>
            <w:vAlign w:val="bottom"/>
            <w:gridSpan w:val="3"/>
          </w:tcPr>
          <w:p>
            <w:pPr>
              <w:jc w:val="center"/>
              <w:ind w:left="1796"/>
              <w:spacing w:after="0"/>
              <w:rPr>
                <w:sz w:val="20"/>
                <w:szCs w:val="20"/>
                <w:color w:val="auto"/>
              </w:rPr>
            </w:pPr>
            <w:r>
              <w:rPr>
                <w:rFonts w:ascii="Times New Roman" w:cs="Times New Roman" w:eastAsia="Times New Roman" w:hAnsi="Times New Roman"/>
                <w:sz w:val="18"/>
                <w:szCs w:val="18"/>
                <w:b w:val="1"/>
                <w:bCs w:val="1"/>
                <w:color w:val="auto"/>
                <w:w w:val="99"/>
              </w:rPr>
              <w:t>2025 Employment Inducement Award Plan</w:t>
            </w:r>
          </w:p>
        </w:tc>
        <w:tc>
          <w:tcPr>
            <w:tcW w:w="1320" w:type="dxa"/>
            <w:vAlign w:val="bottom"/>
          </w:tcPr>
          <w:p>
            <w:pPr>
              <w:spacing w:after="0"/>
              <w:rPr>
                <w:sz w:val="18"/>
                <w:szCs w:val="18"/>
                <w:color w:val="auto"/>
              </w:rPr>
            </w:pPr>
          </w:p>
        </w:tc>
      </w:tr>
      <w:tr>
        <w:trPr>
          <w:trHeight w:val="190"/>
        </w:trPr>
        <w:tc>
          <w:tcPr>
            <w:tcW w:w="2800" w:type="dxa"/>
            <w:vAlign w:val="bottom"/>
          </w:tcPr>
          <w:p>
            <w:pPr>
              <w:spacing w:after="0"/>
              <w:rPr>
                <w:sz w:val="16"/>
                <w:szCs w:val="16"/>
                <w:color w:val="auto"/>
              </w:rPr>
            </w:pPr>
          </w:p>
        </w:tc>
        <w:tc>
          <w:tcPr>
            <w:tcW w:w="324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(Full title of the plan)</w:t>
            </w:r>
          </w:p>
        </w:tc>
        <w:tc>
          <w:tcPr>
            <w:tcW w:w="1320" w:type="dxa"/>
            <w:vAlign w:val="bottom"/>
          </w:tcPr>
          <w:p>
            <w:pPr>
              <w:spacing w:after="0"/>
              <w:rPr>
                <w:sz w:val="16"/>
                <w:szCs w:val="16"/>
                <w:color w:val="auto"/>
              </w:rPr>
            </w:pPr>
          </w:p>
        </w:tc>
      </w:tr>
      <w:tr>
        <w:trPr>
          <w:trHeight w:val="393"/>
        </w:trPr>
        <w:tc>
          <w:tcPr>
            <w:tcW w:w="2800" w:type="dxa"/>
            <w:vAlign w:val="bottom"/>
          </w:tcPr>
          <w:p>
            <w:pPr>
              <w:spacing w:after="0"/>
              <w:rPr>
                <w:sz w:val="24"/>
                <w:szCs w:val="24"/>
                <w:color w:val="auto"/>
              </w:rPr>
            </w:pPr>
          </w:p>
        </w:tc>
        <w:tc>
          <w:tcPr>
            <w:tcW w:w="324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David Kirn, M.D.</w:t>
            </w:r>
          </w:p>
        </w:tc>
        <w:tc>
          <w:tcPr>
            <w:tcW w:w="1320" w:type="dxa"/>
            <w:vAlign w:val="bottom"/>
          </w:tcPr>
          <w:p>
            <w:pPr>
              <w:spacing w:after="0"/>
              <w:rPr>
                <w:sz w:val="24"/>
                <w:szCs w:val="24"/>
                <w:color w:val="auto"/>
              </w:rPr>
            </w:pPr>
          </w:p>
        </w:tc>
      </w:tr>
      <w:tr>
        <w:trPr>
          <w:trHeight w:val="216"/>
        </w:trPr>
        <w:tc>
          <w:tcPr>
            <w:tcW w:w="2800" w:type="dxa"/>
            <w:vAlign w:val="bottom"/>
          </w:tcPr>
          <w:p>
            <w:pPr>
              <w:spacing w:after="0"/>
              <w:rPr>
                <w:sz w:val="18"/>
                <w:szCs w:val="18"/>
                <w:color w:val="auto"/>
              </w:rPr>
            </w:pPr>
          </w:p>
        </w:tc>
        <w:tc>
          <w:tcPr>
            <w:tcW w:w="324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c>
          <w:tcPr>
            <w:tcW w:w="1320" w:type="dxa"/>
            <w:vAlign w:val="bottom"/>
          </w:tcPr>
          <w:p>
            <w:pPr>
              <w:spacing w:after="0"/>
              <w:rPr>
                <w:sz w:val="18"/>
                <w:szCs w:val="18"/>
                <w:color w:val="auto"/>
              </w:rPr>
            </w:pPr>
          </w:p>
        </w:tc>
      </w:tr>
      <w:tr>
        <w:trPr>
          <w:trHeight w:val="216"/>
        </w:trPr>
        <w:tc>
          <w:tcPr>
            <w:tcW w:w="6040" w:type="dxa"/>
            <w:vAlign w:val="bottom"/>
            <w:gridSpan w:val="3"/>
          </w:tcPr>
          <w:p>
            <w:pPr>
              <w:jc w:val="center"/>
              <w:ind w:left="1816"/>
              <w:spacing w:after="0"/>
              <w:rPr>
                <w:sz w:val="20"/>
                <w:szCs w:val="20"/>
                <w:color w:val="auto"/>
              </w:rPr>
            </w:pPr>
            <w:r>
              <w:rPr>
                <w:rFonts w:ascii="Times New Roman" w:cs="Times New Roman" w:eastAsia="Times New Roman" w:hAnsi="Times New Roman"/>
                <w:sz w:val="18"/>
                <w:szCs w:val="18"/>
                <w:b w:val="1"/>
                <w:bCs w:val="1"/>
                <w:color w:val="auto"/>
              </w:rPr>
              <w:t>4D Molecular Therapeutics, Inc.</w:t>
            </w:r>
          </w:p>
        </w:tc>
        <w:tc>
          <w:tcPr>
            <w:tcW w:w="132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324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5858 Horton Street #455</w:t>
            </w:r>
          </w:p>
        </w:tc>
        <w:tc>
          <w:tcPr>
            <w:tcW w:w="1320" w:type="dxa"/>
            <w:vAlign w:val="bottom"/>
          </w:tcPr>
          <w:p>
            <w:pPr>
              <w:spacing w:after="0"/>
              <w:rPr>
                <w:sz w:val="18"/>
                <w:szCs w:val="18"/>
                <w:color w:val="auto"/>
              </w:rPr>
            </w:pPr>
          </w:p>
        </w:tc>
      </w:tr>
      <w:tr>
        <w:trPr>
          <w:trHeight w:val="214"/>
        </w:trPr>
        <w:tc>
          <w:tcPr>
            <w:tcW w:w="2800" w:type="dxa"/>
            <w:vAlign w:val="bottom"/>
          </w:tcPr>
          <w:p>
            <w:pPr>
              <w:spacing w:after="0"/>
              <w:rPr>
                <w:sz w:val="18"/>
                <w:szCs w:val="18"/>
                <w:color w:val="auto"/>
              </w:rPr>
            </w:pPr>
          </w:p>
        </w:tc>
        <w:tc>
          <w:tcPr>
            <w:tcW w:w="32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Emeryville, California 94608</w:t>
            </w:r>
          </w:p>
        </w:tc>
        <w:tc>
          <w:tcPr>
            <w:tcW w:w="1320" w:type="dxa"/>
            <w:vAlign w:val="bottom"/>
          </w:tcPr>
          <w:p>
            <w:pPr>
              <w:spacing w:after="0"/>
              <w:rPr>
                <w:sz w:val="18"/>
                <w:szCs w:val="18"/>
                <w:color w:val="auto"/>
              </w:rPr>
            </w:pPr>
          </w:p>
        </w:tc>
      </w:tr>
      <w:tr>
        <w:trPr>
          <w:trHeight w:val="190"/>
        </w:trPr>
        <w:tc>
          <w:tcPr>
            <w:tcW w:w="6040" w:type="dxa"/>
            <w:vAlign w:val="bottom"/>
            <w:gridSpan w:val="3"/>
          </w:tcPr>
          <w:p>
            <w:pPr>
              <w:jc w:val="center"/>
              <w:ind w:left="1796"/>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tc>
        <w:tc>
          <w:tcPr>
            <w:tcW w:w="1320" w:type="dxa"/>
            <w:vAlign w:val="bottom"/>
          </w:tcPr>
          <w:p>
            <w:pPr>
              <w:spacing w:after="0"/>
              <w:rPr>
                <w:sz w:val="16"/>
                <w:szCs w:val="16"/>
                <w:color w:val="auto"/>
              </w:rPr>
            </w:pPr>
          </w:p>
        </w:tc>
      </w:tr>
      <w:tr>
        <w:trPr>
          <w:trHeight w:val="390"/>
        </w:trPr>
        <w:tc>
          <w:tcPr>
            <w:tcW w:w="5120" w:type="dxa"/>
            <w:vAlign w:val="bottom"/>
            <w:gridSpan w:val="2"/>
          </w:tcPr>
          <w:p>
            <w:pPr>
              <w:jc w:val="center"/>
              <w:ind w:left="2716"/>
              <w:spacing w:after="0"/>
              <w:rPr>
                <w:sz w:val="20"/>
                <w:szCs w:val="20"/>
                <w:color w:val="auto"/>
              </w:rPr>
            </w:pPr>
            <w:r>
              <w:rPr>
                <w:rFonts w:ascii="Times New Roman" w:cs="Times New Roman" w:eastAsia="Times New Roman" w:hAnsi="Times New Roman"/>
                <w:sz w:val="18"/>
                <w:szCs w:val="18"/>
                <w:b w:val="1"/>
                <w:bCs w:val="1"/>
                <w:color w:val="auto"/>
                <w:w w:val="99"/>
              </w:rPr>
              <w:t>(510) 505-2680</w:t>
            </w: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0"/>
        </w:trPr>
        <w:tc>
          <w:tcPr>
            <w:tcW w:w="6040" w:type="dxa"/>
            <w:vAlign w:val="bottom"/>
            <w:gridSpan w:val="3"/>
          </w:tcPr>
          <w:p>
            <w:pPr>
              <w:jc w:val="center"/>
              <w:ind w:left="1816"/>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tc>
        <w:tc>
          <w:tcPr>
            <w:tcW w:w="1320" w:type="dxa"/>
            <w:vAlign w:val="bottom"/>
          </w:tcPr>
          <w:p>
            <w:pPr>
              <w:spacing w:after="0"/>
              <w:rPr>
                <w:sz w:val="16"/>
                <w:szCs w:val="16"/>
                <w:color w:val="auto"/>
              </w:rPr>
            </w:pPr>
          </w:p>
        </w:tc>
      </w:tr>
      <w:tr>
        <w:trPr>
          <w:trHeight w:val="347"/>
        </w:trPr>
        <w:tc>
          <w:tcPr>
            <w:tcW w:w="280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26"/>
        </w:trPr>
        <w:tc>
          <w:tcPr>
            <w:tcW w:w="2800" w:type="dxa"/>
            <w:vAlign w:val="bottom"/>
          </w:tcPr>
          <w:p>
            <w:pPr>
              <w:spacing w:after="0"/>
              <w:rPr>
                <w:sz w:val="24"/>
                <w:szCs w:val="24"/>
                <w:color w:val="auto"/>
              </w:rPr>
            </w:pPr>
          </w:p>
        </w:tc>
        <w:tc>
          <w:tcPr>
            <w:tcW w:w="32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i w:val="1"/>
                <w:iCs w:val="1"/>
                <w:color w:val="auto"/>
                <w:w w:val="99"/>
              </w:rPr>
              <w:t>Copies to:</w:t>
            </w:r>
          </w:p>
        </w:tc>
        <w:tc>
          <w:tcPr>
            <w:tcW w:w="1320" w:type="dxa"/>
            <w:vAlign w:val="bottom"/>
          </w:tcPr>
          <w:p>
            <w:pPr>
              <w:spacing w:after="0"/>
              <w:rPr>
                <w:sz w:val="24"/>
                <w:szCs w:val="24"/>
                <w:color w:val="auto"/>
              </w:rPr>
            </w:pPr>
          </w:p>
        </w:tc>
      </w:tr>
      <w:tr>
        <w:trPr>
          <w:trHeight w:val="302"/>
        </w:trPr>
        <w:tc>
          <w:tcPr>
            <w:tcW w:w="2800" w:type="dxa"/>
            <w:vAlign w:val="bottom"/>
          </w:tcPr>
          <w:p>
            <w:pPr>
              <w:spacing w:after="0"/>
              <w:rPr>
                <w:sz w:val="24"/>
                <w:szCs w:val="24"/>
                <w:color w:val="auto"/>
              </w:rPr>
            </w:pPr>
          </w:p>
        </w:tc>
        <w:tc>
          <w:tcPr>
            <w:tcW w:w="324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7"/>
              </w:rPr>
              <w:t>Mark V. Roeder, Esq.</w:t>
            </w:r>
          </w:p>
        </w:tc>
        <w:tc>
          <w:tcPr>
            <w:tcW w:w="1320" w:type="dxa"/>
            <w:vAlign w:val="bottom"/>
          </w:tcPr>
          <w:p>
            <w:pPr>
              <w:spacing w:after="0"/>
              <w:rPr>
                <w:sz w:val="24"/>
                <w:szCs w:val="24"/>
                <w:color w:val="auto"/>
              </w:rPr>
            </w:pPr>
          </w:p>
        </w:tc>
      </w:tr>
      <w:tr>
        <w:trPr>
          <w:trHeight w:val="216"/>
        </w:trPr>
        <w:tc>
          <w:tcPr>
            <w:tcW w:w="2800" w:type="dxa"/>
            <w:vAlign w:val="bottom"/>
          </w:tcPr>
          <w:p>
            <w:pPr>
              <w:spacing w:after="0"/>
              <w:rPr>
                <w:sz w:val="18"/>
                <w:szCs w:val="18"/>
                <w:color w:val="auto"/>
              </w:rPr>
            </w:pPr>
          </w:p>
        </w:tc>
        <w:tc>
          <w:tcPr>
            <w:tcW w:w="324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John C. Williams, Esq.</w:t>
            </w:r>
          </w:p>
        </w:tc>
        <w:tc>
          <w:tcPr>
            <w:tcW w:w="132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324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Latham &amp; Watkins LLP</w:t>
            </w:r>
          </w:p>
        </w:tc>
        <w:tc>
          <w:tcPr>
            <w:tcW w:w="132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32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140 Scott Drive</w:t>
            </w:r>
          </w:p>
        </w:tc>
        <w:tc>
          <w:tcPr>
            <w:tcW w:w="132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324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Menlo Park, CA 94025</w:t>
            </w:r>
          </w:p>
        </w:tc>
        <w:tc>
          <w:tcPr>
            <w:tcW w:w="1320" w:type="dxa"/>
            <w:vAlign w:val="bottom"/>
          </w:tcPr>
          <w:p>
            <w:pPr>
              <w:spacing w:after="0"/>
              <w:rPr>
                <w:sz w:val="18"/>
                <w:szCs w:val="18"/>
                <w:color w:val="auto"/>
              </w:rPr>
            </w:pPr>
          </w:p>
        </w:tc>
      </w:tr>
      <w:tr>
        <w:trPr>
          <w:trHeight w:val="238"/>
        </w:trPr>
        <w:tc>
          <w:tcPr>
            <w:tcW w:w="5120" w:type="dxa"/>
            <w:vAlign w:val="bottom"/>
            <w:gridSpan w:val="2"/>
          </w:tcPr>
          <w:p>
            <w:pPr>
              <w:jc w:val="center"/>
              <w:ind w:left="2716"/>
              <w:spacing w:after="0"/>
              <w:rPr>
                <w:sz w:val="20"/>
                <w:szCs w:val="20"/>
                <w:color w:val="auto"/>
              </w:rPr>
            </w:pPr>
            <w:r>
              <w:rPr>
                <w:rFonts w:ascii="Times New Roman" w:cs="Times New Roman" w:eastAsia="Times New Roman" w:hAnsi="Times New Roman"/>
                <w:sz w:val="18"/>
                <w:szCs w:val="18"/>
                <w:b w:val="1"/>
                <w:bCs w:val="1"/>
                <w:color w:val="auto"/>
                <w:w w:val="99"/>
              </w:rPr>
              <w:t>(650) 328-4600</w:t>
            </w:r>
          </w:p>
        </w:tc>
        <w:tc>
          <w:tcPr>
            <w:tcW w:w="92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222885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205105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5" w:right="499" w:bottom="446"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This Registration Statement on Form S-8 is being filed by 4D Molecular Therapeutics, Inc. (the “Registrant”) for the purpose of registering (1) an additional 2,289,625 shares of the Registrant’s common stock, par value $0.0001 (the “Common Stock”), issuable under the 2020 Incentive Award Plan as a result of the operation of an automatic annual increase provision therein, and 150,000 shares of the Registrant’s Common Stock, issuable under the 2020 Employee Stock Purchase Plan pursuant to the annual increase provision therein, and (2) 500,000 shares of the Registrant’s Common Stock, that may be offered or issued under the Registrant’s 2025 Employment Inducement Award Plan (the “Inducement Plan”).</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On February 3, 2025, the Registrant’s board of directors adopted the “Inducement Plan”) pursuant to which the Registrant reserved 500,000 shares of its common stock to be used exclusively for grants of awards to individuals who were not previously employees or directors of the Registrant, as an inducement material to the individual’s entry into employment with the Registrant within the meaning of Rule 5635(c)(4) of the Marketplace Rules of the Nasdaq Stock Market. The Inducement Plan provides for the grant of equity-based awards in the form of nonqualified stock options, restricted stock units, and other stock-based awards. The Inducement Plan was adopted by the Registrant’s board of directors without stockholder approval pursuant to Rule 5635(c)(4) of the Marketplace Rules of the Nasdaq Stock Market.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information called for in Part I of Form S-8 is not being filed with or included in this Form S-8 (by incorporation by reference or otherwise) in accordance with the rules and regulations of the Securities and Exchange Commission (the “SEC”).</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this registration statement, 4D Molecular Therapeutics, Inc. is sometimes referred to as “Registrant,” “we,” “us” or “our.”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that we can disclose important information to you by referring you to those documents. The information incorporated by reference is considered to be part of this registration statement, and later information filed with the SEC will update and supersede this information. We hereby incorporate by reference into this registration statement the following documents previously filed with the SEC:</w:t>
      </w:r>
    </w:p>
    <w:p>
      <w:pPr>
        <w:spacing w:after="0" w:line="85"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2024, filed with the SEC on </w:t>
      </w:r>
      <w:hyperlink r:id="rId18">
        <w:r>
          <w:rPr>
            <w:rFonts w:ascii="Times New Roman" w:cs="Times New Roman" w:eastAsia="Times New Roman" w:hAnsi="Times New Roman"/>
            <w:sz w:val="18"/>
            <w:szCs w:val="18"/>
            <w:u w:val="single" w:color="auto"/>
            <w:color w:val="0000EE"/>
          </w:rPr>
          <w:t>February 28, 2025</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19">
        <w:r>
          <w:rPr>
            <w:rFonts w:ascii="Times New Roman" w:cs="Times New Roman" w:eastAsia="Times New Roman" w:hAnsi="Times New Roman"/>
            <w:sz w:val="18"/>
            <w:szCs w:val="18"/>
            <w:u w:val="single" w:color="auto"/>
            <w:color w:val="0000EE"/>
          </w:rPr>
          <w:t>January 10,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(solely with respect to Item 8.01) and </w:t>
      </w:r>
      <w:hyperlink r:id="rId20">
        <w:r>
          <w:rPr>
            <w:rFonts w:ascii="Times New Roman" w:cs="Times New Roman" w:eastAsia="Times New Roman" w:hAnsi="Times New Roman"/>
            <w:sz w:val="18"/>
            <w:szCs w:val="18"/>
            <w:u w:val="single" w:color="auto"/>
            <w:color w:val="0000EE"/>
          </w:rPr>
          <w:t>February 10, 2025</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960" w:right="4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set forth in our registration statement on </w:t>
      </w:r>
      <w:hyperlink r:id="rId21">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December 8, 2020 including any amendment or report filed for the purpose of updating such description, including </w:t>
      </w:r>
      <w:hyperlink r:id="rId22">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Form 10-K filed with the SEC on </w:t>
      </w:r>
      <w:hyperlink r:id="rId18">
        <w:r>
          <w:rPr>
            <w:rFonts w:ascii="Times New Roman" w:cs="Times New Roman" w:eastAsia="Times New Roman" w:hAnsi="Times New Roman"/>
            <w:sz w:val="18"/>
            <w:szCs w:val="18"/>
            <w:u w:val="single" w:color="auto"/>
            <w:color w:val="0000EE"/>
          </w:rPr>
          <w:t>February 28, 2025</w:t>
        </w:r>
      </w:hyperlink>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66" w:right="459" w:bottom="1440" w:gutter="0" w:footer="0" w:header="0"/>
        </w:sectPr>
      </w:pPr>
    </w:p>
    <w:bookmarkStart w:id="2" w:name="page3"/>
    <w:bookmarkEnd w:id="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documents that the Registrant subsequently files pursuant to Sections 13(a), 13(c), 14 and 15(d) of the Exchange Act prior to the filing of a post-effective amendment to the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 except as to any portion of any future annual or quarterly report to stockholders or document or current report furnished under current Items 2.02 or 7.01 of Form 8-K, and exhibits furnished on such form that relate to such items, that is not deemed filed under such provisions. For the purposes of this registration statement, 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Under no circumstances will any information filed under current Items 2.02 or 7.01 of Form 8-K, and exhibits furnished on such form that relate to such items, be deemed incorporated herein by reference unless such Form 8-K expressly provides to the contrary.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Description of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As permitted by Section 102 of the Delaware General Corporation Law, we have adopted provisions in our amended and restated certificate of incorporation (the “Certificate of Incorporation”) filed with the Secretary of State of the State of Delaware and our amended and restated bylaws (the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93"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related to unlawful stock repurchases, redemptions or other distributions or payment of dividends;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These limitations of liability do not affect the availability of equitable remedies such as injunctive relief or rescission. Our Certificate of Incorporation also authorizes us to indemnify our officers, directors and other agents to the fullest extent permitted under Delaware law.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permitted by Section 145 of the Delaware General Corporation Law, our Bylaws provide that:</w:t>
      </w:r>
    </w:p>
    <w:p>
      <w:pPr>
        <w:spacing w:after="0" w:line="131" w:lineRule="exact"/>
        <w:rPr>
          <w:sz w:val="20"/>
          <w:szCs w:val="20"/>
          <w:color w:val="auto"/>
        </w:rPr>
      </w:pPr>
    </w:p>
    <w:p>
      <w:pPr>
        <w:ind w:left="960" w:right="6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indemnify our directors, officers and employees to the fullest extent permitted by the Delaware General Corporation Law, subject to limited exceptions;</w:t>
      </w:r>
    </w:p>
    <w:p>
      <w:pPr>
        <w:spacing w:after="0" w:line="67"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advance expenses to our directors, officers and employees in connection with a legal proceeding to the fullest extent permitted by the Delaware General Corporation Law, subject to limited exceptions;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provided in our Bylaws are not exclusive.</w:t>
      </w:r>
    </w:p>
    <w:p>
      <w:pPr>
        <w:sectPr>
          <w:pgSz w:w="11900" w:h="16838" w:orient="portrait"/>
          <w:cols w:equalWidth="0" w:num="1">
            <w:col w:w="10960"/>
          </w:cols>
          <w:pgMar w:left="440" w:top="270" w:right="499" w:bottom="1440" w:gutter="0" w:footer="0" w:header="0"/>
        </w:sectPr>
      </w:pPr>
    </w:p>
    <w:bookmarkStart w:id="3" w:name="page4"/>
    <w:bookmarkEnd w:id="3"/>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Certificate of Incorporation and our Bylaws provide for the indemnification provisions described above and elsewhere herein. We have entered or will enter into, and intend to continue to enter into, separate indemnification agreements with our directors and officers that may be broader than the specific indemnification provisions contained in the Delaware General Corporation Law. These indemnification agreements generally require us, among other things, to indemnify our officers and directors against certain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These indemnification provisions and the indemnification agreements may be sufficiently broad to permit indemnification of our officers and directors for liabilities, including reimbursement of expenses incurred, arising under the Securities Act of 1933, as amended, or the Securities Act.</w:t>
      </w:r>
    </w:p>
    <w:p>
      <w:pPr>
        <w:spacing w:after="0" w:line="192" w:lineRule="exact"/>
        <w:rPr>
          <w:sz w:val="20"/>
          <w:szCs w:val="20"/>
          <w:color w:val="auto"/>
        </w:rPr>
      </w:pPr>
    </w:p>
    <w:p>
      <w:pPr>
        <w:ind w:left="4" w:right="260"/>
        <w:spacing w:after="0" w:line="312" w:lineRule="auto"/>
        <w:rPr>
          <w:sz w:val="20"/>
          <w:szCs w:val="20"/>
          <w:color w:val="auto"/>
        </w:rPr>
      </w:pPr>
      <w:r>
        <w:rPr>
          <w:rFonts w:ascii="Times New Roman" w:cs="Times New Roman" w:eastAsia="Times New Roman" w:hAnsi="Times New Roman"/>
          <w:sz w:val="17"/>
          <w:szCs w:val="17"/>
          <w:color w:val="auto"/>
        </w:rPr>
        <w:t>We have purchased and currently intend to maintain insurance on behalf of each and every person who is or was a director or officer of the company against any loss arising from any claim asserted against him or her and incurred by him or her in any such capacity, subject to certain exclusions.</w:t>
      </w:r>
    </w:p>
    <w:p>
      <w:pPr>
        <w:spacing w:after="0" w:line="2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00" w:lineRule="exact"/>
        <w:rPr>
          <w:sz w:val="20"/>
          <w:szCs w:val="20"/>
          <w:color w:val="auto"/>
        </w:rPr>
      </w:pPr>
    </w:p>
    <w:p>
      <w:pPr>
        <w:spacing w:after="0" w:line="24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8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6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0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04"/>
        </w:trPr>
        <w:tc>
          <w:tcPr>
            <w:tcW w:w="880" w:type="dxa"/>
            <w:vAlign w:val="bottom"/>
            <w:vMerge w:val="continue"/>
          </w:tcPr>
          <w:p>
            <w:pPr>
              <w:spacing w:after="0"/>
              <w:rPr>
                <w:sz w:val="9"/>
                <w:szCs w:val="9"/>
                <w:color w:val="auto"/>
              </w:rPr>
            </w:pPr>
          </w:p>
        </w:tc>
        <w:tc>
          <w:tcPr>
            <w:tcW w:w="1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8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gridSpan w:val="10"/>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Form</w:t>
            </w:r>
          </w:p>
        </w:tc>
        <w:tc>
          <w:tcPr>
            <w:tcW w:w="9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Date Filed</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6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6720" w:type="dxa"/>
            <w:vAlign w:val="bottom"/>
            <w:gridSpan w:val="13"/>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Amended and Restated Certificate of Incorporation of 4D Molecular Therapeutics, Inc.</w:t>
              </w:r>
            </w:hyperlink>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8-K</w:t>
            </w:r>
          </w:p>
        </w:tc>
        <w:tc>
          <w:tcPr>
            <w:tcW w:w="9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3.1</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12/15/2020</w:t>
            </w: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6280" w:type="dxa"/>
            <w:vAlign w:val="bottom"/>
            <w:tcBorders>
              <w:top w:val="single" w:sz="8" w:color="0000EE"/>
            </w:tcBorders>
            <w:gridSpan w:val="12"/>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Amended and Restated Bylaws of 4D Molecular Therapeutics, Inc.</w:t>
              </w:r>
            </w:hyperlink>
          </w:p>
        </w:tc>
        <w:tc>
          <w:tcPr>
            <w:tcW w:w="440" w:type="dxa"/>
            <w:vAlign w:val="bottom"/>
          </w:tcPr>
          <w:p>
            <w:pPr>
              <w:spacing w:after="0"/>
              <w:rPr>
                <w:sz w:val="24"/>
                <w:szCs w:val="24"/>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8-K</w:t>
            </w:r>
          </w:p>
        </w:tc>
        <w:tc>
          <w:tcPr>
            <w:tcW w:w="9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3.1</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11/22/2023</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262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Form of Common Stock Certificate.</w:t>
              </w:r>
            </w:hyperlink>
          </w:p>
        </w:tc>
        <w:tc>
          <w:tcPr>
            <w:tcW w:w="2220" w:type="dxa"/>
            <w:vAlign w:val="bottom"/>
            <w:tcBorders>
              <w:top w:val="single" w:sz="8" w:color="0000EE"/>
            </w:tcBorders>
            <w:gridSpan w:val="4"/>
          </w:tcPr>
          <w:p>
            <w:pPr>
              <w:spacing w:after="0"/>
              <w:rPr>
                <w:sz w:val="24"/>
                <w:szCs w:val="24"/>
                <w:color w:val="auto"/>
              </w:rPr>
            </w:pPr>
          </w:p>
        </w:tc>
        <w:tc>
          <w:tcPr>
            <w:tcW w:w="1880" w:type="dxa"/>
            <w:vAlign w:val="bottom"/>
            <w:gridSpan w:val="6"/>
          </w:tcPr>
          <w:p>
            <w:pPr>
              <w:spacing w:after="0"/>
              <w:rPr>
                <w:sz w:val="24"/>
                <w:szCs w:val="24"/>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S-1/A</w:t>
            </w:r>
          </w:p>
        </w:tc>
        <w:tc>
          <w:tcPr>
            <w:tcW w:w="9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4.2</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12/07/2020</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4.4</w:t>
            </w:r>
          </w:p>
        </w:tc>
        <w:tc>
          <w:tcPr>
            <w:tcW w:w="6720" w:type="dxa"/>
            <w:vAlign w:val="bottom"/>
            <w:gridSpan w:val="13"/>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Form of Pre-Funded Warrant issued in conjunction with February 2024 offering.</w:t>
              </w:r>
            </w:hyperlink>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8-K</w:t>
            </w:r>
          </w:p>
        </w:tc>
        <w:tc>
          <w:tcPr>
            <w:tcW w:w="9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4.1</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2/9/2024</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4.5</w:t>
            </w:r>
          </w:p>
        </w:tc>
        <w:tc>
          <w:tcPr>
            <w:tcW w:w="60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Form of Pre-Funded Warrant issued in conjunction with November 2024 exchange.</w:t>
              </w:r>
            </w:hyperlink>
          </w:p>
        </w:tc>
        <w:tc>
          <w:tcPr>
            <w:tcW w:w="700" w:type="dxa"/>
            <w:vAlign w:val="bottom"/>
            <w:gridSpan w:val="2"/>
          </w:tcPr>
          <w:p>
            <w:pPr>
              <w:spacing w:after="0"/>
              <w:rPr>
                <w:sz w:val="24"/>
                <w:szCs w:val="24"/>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10-Q</w:t>
            </w:r>
          </w:p>
        </w:tc>
        <w:tc>
          <w:tcPr>
            <w:tcW w:w="9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4.4</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11/13/2024</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4.6</w:t>
            </w:r>
          </w:p>
        </w:tc>
        <w:tc>
          <w:tcPr>
            <w:tcW w:w="60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Form of Pre-Funded Warrant issued in conjunction with December 2024 exchange.</w:t>
              </w:r>
            </w:hyperlink>
          </w:p>
        </w:tc>
        <w:tc>
          <w:tcPr>
            <w:tcW w:w="720" w:type="dxa"/>
            <w:vAlign w:val="bottom"/>
            <w:gridSpan w:val="3"/>
          </w:tcPr>
          <w:p>
            <w:pPr>
              <w:spacing w:after="0"/>
              <w:rPr>
                <w:sz w:val="24"/>
                <w:szCs w:val="24"/>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8-K</w:t>
            </w:r>
          </w:p>
        </w:tc>
        <w:tc>
          <w:tcPr>
            <w:tcW w:w="9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4.1</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12/11/2024</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26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Opinion of Latham &amp; Watkins LLP.</w:t>
            </w:r>
          </w:p>
        </w:tc>
        <w:tc>
          <w:tcPr>
            <w:tcW w:w="4120" w:type="dxa"/>
            <w:vAlign w:val="bottom"/>
            <w:gridSpan w:val="11"/>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23.1</w:t>
            </w:r>
          </w:p>
        </w:tc>
        <w:tc>
          <w:tcPr>
            <w:tcW w:w="67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Consent of Latham &amp; Watkins LLP (included in Exhibit 5.1).</w:t>
            </w: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23.2</w:t>
            </w:r>
          </w:p>
        </w:tc>
        <w:tc>
          <w:tcPr>
            <w:tcW w:w="44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c>
          <w:tcPr>
            <w:tcW w:w="2300" w:type="dxa"/>
            <w:vAlign w:val="bottom"/>
            <w:gridSpan w:val="7"/>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24.1</w:t>
            </w:r>
          </w:p>
        </w:tc>
        <w:tc>
          <w:tcPr>
            <w:tcW w:w="67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Power of Attorney (included in the signature page to this registration statement).</w:t>
            </w: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99.1(a)#</w:t>
            </w:r>
          </w:p>
        </w:tc>
        <w:tc>
          <w:tcPr>
            <w:tcW w:w="440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4D Molecular Therapeutics, Inc. 2020 Incentive Award Plan.</w:t>
              </w:r>
            </w:hyperlink>
          </w:p>
        </w:tc>
        <w:tc>
          <w:tcPr>
            <w:tcW w:w="1400" w:type="dxa"/>
            <w:vAlign w:val="bottom"/>
            <w:tcBorders>
              <w:top w:val="single" w:sz="8" w:color="0000EE"/>
            </w:tcBorders>
            <w:gridSpan w:val="3"/>
          </w:tcPr>
          <w:p>
            <w:pPr>
              <w:spacing w:after="0"/>
              <w:rPr>
                <w:sz w:val="24"/>
                <w:szCs w:val="24"/>
                <w:color w:val="auto"/>
              </w:rPr>
            </w:pPr>
          </w:p>
        </w:tc>
        <w:tc>
          <w:tcPr>
            <w:tcW w:w="920" w:type="dxa"/>
            <w:vAlign w:val="bottom"/>
            <w:gridSpan w:val="5"/>
          </w:tcPr>
          <w:p>
            <w:pPr>
              <w:spacing w:after="0"/>
              <w:rPr>
                <w:sz w:val="24"/>
                <w:szCs w:val="24"/>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S-8</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99.2(a)</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12/15/2020</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99.1(b)#</w:t>
            </w:r>
          </w:p>
        </w:tc>
        <w:tc>
          <w:tcPr>
            <w:tcW w:w="6720" w:type="dxa"/>
            <w:vAlign w:val="bottom"/>
            <w:gridSpan w:val="13"/>
          </w:tcPr>
          <w:p>
            <w:pPr>
              <w:spacing w:after="0"/>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Form of Stock Option Grant Notice and Stock Option Agreement under the 2020</w:t>
              </w:r>
            </w:hyperlink>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84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Incentive Award Plan.</w:t>
              </w:r>
            </w:hyperlink>
          </w:p>
        </w:tc>
        <w:tc>
          <w:tcPr>
            <w:tcW w:w="880" w:type="dxa"/>
            <w:vAlign w:val="bottom"/>
            <w:gridSpan w:val="4"/>
          </w:tcPr>
          <w:p>
            <w:pPr>
              <w:spacing w:after="0"/>
              <w:rPr>
                <w:sz w:val="17"/>
                <w:szCs w:val="17"/>
                <w:color w:val="auto"/>
              </w:rPr>
            </w:pPr>
          </w:p>
        </w:tc>
        <w:tc>
          <w:tcPr>
            <w:tcW w:w="620" w:type="dxa"/>
            <w:vAlign w:val="bottom"/>
          </w:tcPr>
          <w:p>
            <w:pPr>
              <w:jc w:val="right"/>
              <w:ind w:right="54"/>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940" w:type="dxa"/>
            <w:vAlign w:val="bottom"/>
          </w:tcPr>
          <w:p>
            <w:pPr>
              <w:jc w:val="right"/>
              <w:ind w:right="72"/>
              <w:spacing w:after="0" w:line="196" w:lineRule="exact"/>
              <w:rPr>
                <w:sz w:val="20"/>
                <w:szCs w:val="20"/>
                <w:color w:val="auto"/>
              </w:rPr>
            </w:pPr>
            <w:r>
              <w:rPr>
                <w:rFonts w:ascii="Times New Roman" w:cs="Times New Roman" w:eastAsia="Times New Roman" w:hAnsi="Times New Roman"/>
                <w:sz w:val="18"/>
                <w:szCs w:val="18"/>
                <w:color w:val="auto"/>
              </w:rPr>
              <w:t>10.2(b)</w:t>
            </w:r>
          </w:p>
        </w:tc>
        <w:tc>
          <w:tcPr>
            <w:tcW w:w="110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12/07/2020</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84" w:hanging="84"/>
        <w:spacing w:after="0"/>
        <w:tabs>
          <w:tab w:leader="none" w:pos="8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99.1(c)#  </w:t>
      </w:r>
      <w:hyperlink r:id="rId33">
        <w:r>
          <w:rPr>
            <w:rFonts w:ascii="Times New Roman" w:cs="Times New Roman" w:eastAsia="Times New Roman" w:hAnsi="Times New Roman"/>
            <w:sz w:val="16"/>
            <w:szCs w:val="16"/>
            <w:u w:val="single" w:color="auto"/>
            <w:color w:val="0000EE"/>
          </w:rPr>
          <w:t>Form of Restricted Stock Award Grant Notice and Restricted Stock Award Agreement</w:t>
        </w:r>
      </w:hyperlink>
    </w:p>
    <w:p>
      <w:pPr>
        <w:spacing w:after="0" w:line="19"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2780" w:type="dxa"/>
            <w:vAlign w:val="bottom"/>
            <w:gridSpan w:val="2"/>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under the 2020 Incentive Award Plan.</w:t>
              </w:r>
            </w:hyperlink>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S-1/A</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10.2(c)</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12/07/2020</w:t>
            </w:r>
          </w:p>
        </w:tc>
      </w:tr>
      <w:tr>
        <w:trPr>
          <w:trHeight w:val="20"/>
        </w:trPr>
        <w:tc>
          <w:tcPr>
            <w:tcW w:w="880" w:type="dxa"/>
            <w:vAlign w:val="bottom"/>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99.1(d)#</w:t>
            </w:r>
          </w:p>
        </w:tc>
        <w:tc>
          <w:tcPr>
            <w:tcW w:w="6440" w:type="dxa"/>
            <w:vAlign w:val="bottom"/>
            <w:gridSpan w:val="7"/>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Form of Restricted Stock Unit Award Grant Notice and Restricted Stock Unit Award</w:t>
              </w:r>
            </w:hyperlink>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5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Agreement under the 2020 Incentive Award Plan.</w:t>
              </w:r>
            </w:hyperlink>
          </w:p>
        </w:tc>
        <w:tc>
          <w:tcPr>
            <w:tcW w:w="2520" w:type="dxa"/>
            <w:vAlign w:val="bottom"/>
            <w:tcBorders>
              <w:top w:val="single" w:sz="8" w:color="0000EE"/>
            </w:tcBorders>
            <w:gridSpan w:val="3"/>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92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10.2(d)</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12/07/2020</w:t>
            </w: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99.2#</w:t>
            </w:r>
          </w:p>
        </w:tc>
        <w:tc>
          <w:tcPr>
            <w:tcW w:w="2780" w:type="dxa"/>
            <w:vAlign w:val="bottom"/>
            <w:gridSpan w:val="2"/>
          </w:tcPr>
          <w:p>
            <w:pPr>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4D Molecular Therapeutics, Inc. 2020</w:t>
              </w:r>
            </w:hyperlink>
          </w:p>
        </w:tc>
        <w:tc>
          <w:tcPr>
            <w:tcW w:w="3660" w:type="dxa"/>
            <w:vAlign w:val="bottom"/>
            <w:gridSpan w:val="5"/>
          </w:tcPr>
          <w:p>
            <w:pPr>
              <w:ind w:left="20"/>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Employee Stock Purchase Plan.</w:t>
              </w:r>
            </w:hyperlink>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S-8</w:t>
            </w: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99.3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12/15/2020</w:t>
            </w:r>
          </w:p>
        </w:tc>
      </w:tr>
      <w:tr>
        <w:trPr>
          <w:trHeight w:val="20"/>
        </w:trPr>
        <w:tc>
          <w:tcPr>
            <w:tcW w:w="880" w:type="dxa"/>
            <w:vAlign w:val="bottom"/>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99.3(a)#</w:t>
            </w:r>
          </w:p>
        </w:tc>
        <w:tc>
          <w:tcPr>
            <w:tcW w:w="278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4D Molecular Therapeutics, Inc. 2025</w:t>
              </w:r>
            </w:hyperlink>
          </w:p>
        </w:tc>
        <w:tc>
          <w:tcPr>
            <w:tcW w:w="2780" w:type="dxa"/>
            <w:vAlign w:val="bottom"/>
            <w:tcBorders>
              <w:bottom w:val="single" w:sz="8" w:color="0000EE"/>
            </w:tcBorders>
            <w:gridSpan w:val="3"/>
          </w:tcPr>
          <w:p>
            <w:pPr>
              <w:ind w:left="20"/>
              <w:spacing w:after="0"/>
              <w:rPr>
                <w:rFonts w:ascii="Times New Roman" w:cs="Times New Roman" w:eastAsia="Times New Roman" w:hAnsi="Times New Roman"/>
                <w:sz w:val="18"/>
                <w:szCs w:val="18"/>
                <w:color w:val="0000EE"/>
                <w:w w:val="98"/>
              </w:rPr>
            </w:pPr>
            <w:hyperlink r:id="rId36">
              <w:r>
                <w:rPr>
                  <w:rFonts w:ascii="Times New Roman" w:cs="Times New Roman" w:eastAsia="Times New Roman" w:hAnsi="Times New Roman"/>
                  <w:sz w:val="18"/>
                  <w:szCs w:val="18"/>
                  <w:color w:val="0000EE"/>
                  <w:w w:val="98"/>
                </w:rPr>
                <w:t>Employment Inducement Award Plan.</w:t>
              </w:r>
            </w:hyperlink>
          </w:p>
        </w:tc>
        <w:tc>
          <w:tcPr>
            <w:tcW w:w="880" w:type="dxa"/>
            <w:vAlign w:val="bottom"/>
            <w:gridSpan w:val="2"/>
          </w:tcPr>
          <w:p>
            <w:pPr>
              <w:spacing w:after="0"/>
              <w:rPr>
                <w:sz w:val="24"/>
                <w:szCs w:val="24"/>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10-K</w:t>
            </w: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10.19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2/28/2025</w:t>
            </w:r>
          </w:p>
        </w:tc>
      </w:tr>
    </w:tbl>
    <w:p>
      <w:pPr>
        <w:spacing w:after="0" w:line="117" w:lineRule="exact"/>
        <w:rPr>
          <w:sz w:val="20"/>
          <w:szCs w:val="20"/>
          <w:color w:val="auto"/>
        </w:rPr>
      </w:pPr>
    </w:p>
    <w:p>
      <w:pPr>
        <w:ind w:left="84" w:hanging="84"/>
        <w:spacing w:after="0"/>
        <w:tabs>
          <w:tab w:leader="none" w:pos="8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99.3(b)#  </w:t>
      </w:r>
      <w:hyperlink r:id="rId37">
        <w:r>
          <w:rPr>
            <w:rFonts w:ascii="Times New Roman" w:cs="Times New Roman" w:eastAsia="Times New Roman" w:hAnsi="Times New Roman"/>
            <w:sz w:val="16"/>
            <w:szCs w:val="16"/>
            <w:u w:val="single" w:color="auto"/>
            <w:color w:val="0000EE"/>
          </w:rPr>
          <w:t>Form of Restricted Stock Unit Award Grant Notice and Restricted Stock Unit Award</w:t>
        </w:r>
      </w:hyperlink>
    </w:p>
    <w:p>
      <w:pPr>
        <w:spacing w:after="0" w:line="19" w:lineRule="exact"/>
        <w:rPr>
          <w:sz w:val="20"/>
          <w:szCs w:val="20"/>
          <w:color w:val="auto"/>
        </w:rPr>
      </w:pPr>
    </w:p>
    <w:tbl>
      <w:tblPr>
        <w:tblLayout w:type="fixed"/>
        <w:tblInd w:w="884" w:type="dxa"/>
        <w:tblCellMar>
          <w:top w:w="0" w:type="dxa"/>
          <w:left w:w="0" w:type="dxa"/>
          <w:bottom w:w="0" w:type="dxa"/>
          <w:right w:w="0" w:type="dxa"/>
        </w:tblCellMar>
      </w:tblPr>
      <w:tr>
        <w:trPr>
          <w:trHeight w:val="207"/>
        </w:trPr>
        <w:tc>
          <w:tcPr>
            <w:tcW w:w="4720" w:type="dxa"/>
            <w:vAlign w:val="bottom"/>
            <w:tcBorders>
              <w:bottom w:val="single" w:sz="8" w:color="0000EE"/>
            </w:tcBorders>
          </w:tcPr>
          <w:p>
            <w:pPr>
              <w:spacing w:after="0"/>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Agreement under the 2025 Employment Inducement Award Plan.</w:t>
              </w:r>
            </w:hyperlink>
          </w:p>
        </w:tc>
        <w:tc>
          <w:tcPr>
            <w:tcW w:w="26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10-K</w:t>
            </w: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10.20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2/28/2025</w:t>
            </w:r>
          </w:p>
        </w:tc>
      </w:tr>
    </w:tbl>
    <w:p>
      <w:pPr>
        <w:spacing w:after="0" w:line="117" w:lineRule="exact"/>
        <w:rPr>
          <w:sz w:val="20"/>
          <w:szCs w:val="20"/>
          <w:color w:val="auto"/>
        </w:rPr>
      </w:pPr>
    </w:p>
    <w:p>
      <w:pPr>
        <w:ind w:left="84" w:hanging="84"/>
        <w:spacing w:after="0"/>
        <w:tabs>
          <w:tab w:leader="none" w:pos="8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99.3(c)#  </w:t>
      </w:r>
      <w:hyperlink r:id="rId38">
        <w:r>
          <w:rPr>
            <w:rFonts w:ascii="Times New Roman" w:cs="Times New Roman" w:eastAsia="Times New Roman" w:hAnsi="Times New Roman"/>
            <w:sz w:val="16"/>
            <w:szCs w:val="16"/>
            <w:u w:val="single" w:color="auto"/>
            <w:color w:val="0000EE"/>
          </w:rPr>
          <w:t>Form of Stock Option Grant Notice and Stock Option Agreement under the 2025</w:t>
        </w:r>
      </w:hyperlink>
    </w:p>
    <w:p>
      <w:pPr>
        <w:spacing w:after="0" w:line="19"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27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r:id="rId38">
              <w:r>
                <w:rPr>
                  <w:rFonts w:ascii="Times New Roman" w:cs="Times New Roman" w:eastAsia="Times New Roman" w:hAnsi="Times New Roman"/>
                  <w:sz w:val="18"/>
                  <w:szCs w:val="18"/>
                  <w:color w:val="0000EE"/>
                  <w:w w:val="98"/>
                </w:rPr>
                <w:t>Employment Inducement Award Plan.</w:t>
              </w:r>
            </w:hyperlink>
          </w:p>
        </w:tc>
        <w:tc>
          <w:tcPr>
            <w:tcW w:w="2040" w:type="dxa"/>
            <w:vAlign w:val="bottom"/>
          </w:tcPr>
          <w:p>
            <w:pPr>
              <w:spacing w:after="0"/>
              <w:rPr>
                <w:sz w:val="18"/>
                <w:szCs w:val="18"/>
                <w:color w:val="auto"/>
              </w:rPr>
            </w:pPr>
          </w:p>
        </w:tc>
        <w:tc>
          <w:tcPr>
            <w:tcW w:w="25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10-K</w:t>
            </w: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10.21</w:t>
            </w:r>
          </w:p>
        </w:tc>
        <w:tc>
          <w:tcPr>
            <w:tcW w:w="18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2/28/2025</w:t>
            </w:r>
          </w:p>
        </w:tc>
      </w:tr>
      <w:tr>
        <w:trPr>
          <w:trHeight w:val="304"/>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3"/>
              </w:rPr>
              <w:t>107.1</w:t>
            </w:r>
          </w:p>
        </w:tc>
        <w:tc>
          <w:tcPr>
            <w:tcW w:w="23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Calculation of Filing Fee Table.</w:t>
            </w:r>
          </w:p>
        </w:tc>
        <w:tc>
          <w:tcPr>
            <w:tcW w:w="2500" w:type="dxa"/>
            <w:vAlign w:val="bottom"/>
            <w:gridSpan w:val="2"/>
          </w:tcPr>
          <w:p>
            <w:pPr>
              <w:spacing w:after="0"/>
              <w:rPr>
                <w:sz w:val="24"/>
                <w:szCs w:val="24"/>
                <w:color w:val="auto"/>
              </w:rPr>
            </w:pPr>
          </w:p>
        </w:tc>
        <w:tc>
          <w:tcPr>
            <w:tcW w:w="2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71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ectPr>
          <w:pgSz w:w="11900" w:h="16838" w:orient="portrait"/>
          <w:cols w:equalWidth="0" w:num="1">
            <w:col w:w="10964"/>
          </w:cols>
          <w:pgMar w:left="436" w:top="270" w:right="49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 Undertakings.</w:t>
      </w:r>
    </w:p>
    <w:p>
      <w:pPr>
        <w:spacing w:after="0" w:line="121" w:lineRule="exact"/>
        <w:rPr>
          <w:sz w:val="20"/>
          <w:szCs w:val="20"/>
          <w:color w:val="auto"/>
        </w:rPr>
      </w:pPr>
    </w:p>
    <w:p>
      <w:pPr>
        <w:ind w:left="184" w:hanging="184"/>
        <w:spacing w:after="0"/>
        <w:tabs>
          <w:tab w:leader="none" w:pos="1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hereby undertakes:</w:t>
      </w:r>
    </w:p>
    <w:p>
      <w:pPr>
        <w:spacing w:after="0" w:line="117"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sz w:val="20"/>
          <w:szCs w:val="20"/>
          <w:color w:val="auto"/>
        </w:rPr>
      </w:pPr>
    </w:p>
    <w:p>
      <w:pPr>
        <w:ind w:left="4" w:right="60" w:firstLine="436"/>
        <w:spacing w:after="0" w:line="256" w:lineRule="auto"/>
        <w:tabs>
          <w:tab w:leader="none" w:pos="70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87" w:lineRule="exact"/>
        <w:rPr>
          <w:rFonts w:ascii="Times New Roman" w:cs="Times New Roman" w:eastAsia="Times New Roman" w:hAnsi="Times New Roman"/>
          <w:sz w:val="18"/>
          <w:szCs w:val="18"/>
          <w:color w:val="auto"/>
        </w:rPr>
      </w:pPr>
    </w:p>
    <w:p>
      <w:pPr>
        <w:ind w:left="4" w:right="520" w:firstLine="436"/>
        <w:spacing w:after="0" w:line="282" w:lineRule="auto"/>
        <w:tabs>
          <w:tab w:leader="none" w:pos="75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2"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Provided, however, that paragraphs (a)(1)(i) and (a)(1)(ii) do not apply if the registration statement is on Form S-8 and the information required to be included in a post-effective amendment by those paragraphs is contained in periodic reports filed with or furnished to the Commission by the Registrant pursuant to section 13 or 15(d) of the Securities Exchange Act of 1934 that are incorporated by reference in the registration statement.</w:t>
      </w:r>
    </w:p>
    <w:p>
      <w:pPr>
        <w:spacing w:after="0" w:line="176" w:lineRule="exact"/>
        <w:rPr>
          <w:sz w:val="20"/>
          <w:szCs w:val="20"/>
          <w:color w:val="auto"/>
        </w:rPr>
      </w:pPr>
    </w:p>
    <w:p>
      <w:pPr>
        <w:ind w:left="4" w:firstLine="436"/>
        <w:spacing w:after="0" w:line="266" w:lineRule="auto"/>
        <w:tabs>
          <w:tab w:leader="none" w:pos="69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4" w:right="640" w:firstLine="436"/>
        <w:spacing w:after="0" w:line="282" w:lineRule="auto"/>
        <w:tabs>
          <w:tab w:leader="none" w:pos="68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4" w:right="180" w:firstLine="436"/>
        <w:spacing w:after="0" w:line="258" w:lineRule="auto"/>
        <w:tabs>
          <w:tab w:leader="none" w:pos="69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5"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8"/>
          <w:szCs w:val="18"/>
          <w:color w:val="auto"/>
        </w:rPr>
        <w:t>(i) Any preliminary prospectus or prospectus of the undersigned Registrant relating to the offering required to be filed pursuant to Rule 424;</w:t>
      </w:r>
    </w:p>
    <w:p>
      <w:pPr>
        <w:sectPr>
          <w:pgSz w:w="11900" w:h="16838" w:orient="portrait"/>
          <w:cols w:equalWidth="0" w:num="1">
            <w:col w:w="11004"/>
          </w:cols>
          <w:pgMar w:left="436" w:top="266" w:right="459" w:bottom="1440" w:gutter="0" w:footer="0" w:header="0"/>
        </w:sectPr>
      </w:pPr>
    </w:p>
    <w:bookmarkStart w:id="5" w:name="page6"/>
    <w:bookmarkEnd w:id="5"/>
    <w:p>
      <w:pPr>
        <w:ind w:left="4" w:right="520" w:firstLine="436"/>
        <w:spacing w:after="0" w:line="282" w:lineRule="auto"/>
        <w:tabs>
          <w:tab w:leader="none" w:pos="70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4" w:right="120" w:firstLine="436"/>
        <w:spacing w:after="0" w:line="282" w:lineRule="auto"/>
        <w:tabs>
          <w:tab w:leader="none" w:pos="75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left="4" w:right="300" w:hanging="4"/>
        <w:spacing w:after="0" w:line="258" w:lineRule="auto"/>
        <w:tabs>
          <w:tab w:leader="none" w:pos="1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ind w:left="4" w:hanging="4"/>
        <w:spacing w:after="0" w:line="254" w:lineRule="auto"/>
        <w:tabs>
          <w:tab w:leader="none" w:pos="1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0944"/>
          </w:cols>
          <w:pgMar w:left="436" w:top="270" w:right="5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56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Emeryville, State of California, on February 28,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4D Molecular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Uneek Mehra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Uneek Mehra</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Financial and Business Officer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David Kirn, M.D. and Uneek Mehra, and each of them acting individually, as his or her true and lawful attorneys-in-fact and agents, each with full power of substitution, for him or her in any and all capacities, to sign any and all amendments to this Registration Statement, including post-effective amendments or any abbreviated registration statement and any amendments thereto filed, with all exhibits thereto and other documents in connection therewith, with the SEC, granting unto said attorneys-in-fact and agents, with full power of each to act alone, full power and authority to do and perform each and every act and thing requisite and necessary to be done in connection therewith, as fully for all intents and purposes as he might or could do in person, hereby ratifying and confirming all that said attorneys-in-fact and agents, or his or their substitute or substitutes, may lawfully do or cause to be done by virtue hereof.</w:t>
      </w:r>
    </w:p>
    <w:p>
      <w:pPr>
        <w:spacing w:after="0" w:line="19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484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David Kirn</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232"/>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David Kirn, M.D.</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760" w:type="dxa"/>
            <w:vAlign w:val="bottom"/>
          </w:tcPr>
          <w:p>
            <w:pPr>
              <w:spacing w:after="0"/>
              <w:rPr>
                <w:sz w:val="20"/>
                <w:szCs w:val="20"/>
                <w:color w:val="auto"/>
              </w:rPr>
            </w:pPr>
          </w:p>
        </w:tc>
      </w:tr>
      <w:tr>
        <w:trPr>
          <w:trHeight w:val="423"/>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Uneek Mehra</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and Business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232"/>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Uneek Mehra</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1760" w:type="dxa"/>
            <w:vAlign w:val="bottom"/>
          </w:tcPr>
          <w:p>
            <w:pPr>
              <w:spacing w:after="0"/>
              <w:rPr>
                <w:sz w:val="20"/>
                <w:szCs w:val="20"/>
                <w:color w:val="auto"/>
              </w:rPr>
            </w:pPr>
          </w:p>
        </w:tc>
      </w:tr>
      <w:tr>
        <w:trPr>
          <w:trHeight w:val="423"/>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John F. Milligan</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Executive Chairman</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232"/>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John F. Milligan, Ph.D.</w:t>
            </w:r>
          </w:p>
        </w:tc>
        <w:tc>
          <w:tcPr>
            <w:tcW w:w="1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23"/>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Jacob Chacko</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232"/>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Jacob Chacko, M.D., MBA</w:t>
            </w:r>
          </w:p>
        </w:tc>
        <w:tc>
          <w:tcPr>
            <w:tcW w:w="1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23"/>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Susannah Gray</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232"/>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Susannah Gray, MBA</w:t>
            </w:r>
          </w:p>
        </w:tc>
        <w:tc>
          <w:tcPr>
            <w:tcW w:w="1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23"/>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Nancy Miller-Rich</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232"/>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Nancy Miller-Rich</w:t>
            </w:r>
          </w:p>
        </w:tc>
        <w:tc>
          <w:tcPr>
            <w:tcW w:w="1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23"/>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Charles P. Theuer</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232"/>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Charles P. Theuer, M.D., Ph.D.</w:t>
            </w:r>
          </w:p>
        </w:tc>
        <w:tc>
          <w:tcPr>
            <w:tcW w:w="1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23"/>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Shawn Cline Tomasello</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232"/>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Shawn Cline Tomasello, MBA</w:t>
            </w:r>
          </w:p>
        </w:tc>
        <w:tc>
          <w:tcPr>
            <w:tcW w:w="1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86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w w:val="99"/>
              </w:rPr>
              <w:t>Exhibit 5.1</w:t>
            </w:r>
          </w:p>
        </w:tc>
      </w:tr>
      <w:tr>
        <w:trPr>
          <w:trHeight w:val="441"/>
        </w:trPr>
        <w:tc>
          <w:tcPr>
            <w:tcW w:w="5100" w:type="dxa"/>
            <w:vAlign w:val="bottom"/>
          </w:tcPr>
          <w:p>
            <w:pPr>
              <w:spacing w:after="0"/>
              <w:rPr>
                <w:sz w:val="24"/>
                <w:szCs w:val="24"/>
                <w:color w:val="auto"/>
              </w:rPr>
            </w:pPr>
          </w:p>
        </w:tc>
        <w:tc>
          <w:tcPr>
            <w:tcW w:w="40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140 Scott Drive</w:t>
            </w:r>
          </w:p>
        </w:tc>
        <w:tc>
          <w:tcPr>
            <w:tcW w:w="1860" w:type="dxa"/>
            <w:vAlign w:val="bottom"/>
          </w:tcPr>
          <w:p>
            <w:pPr>
              <w:spacing w:after="0"/>
              <w:rPr>
                <w:sz w:val="24"/>
                <w:szCs w:val="24"/>
                <w:color w:val="auto"/>
              </w:rPr>
            </w:pPr>
          </w:p>
        </w:tc>
      </w:tr>
      <w:tr>
        <w:trPr>
          <w:trHeight w:val="216"/>
        </w:trPr>
        <w:tc>
          <w:tcPr>
            <w:tcW w:w="5100" w:type="dxa"/>
            <w:vAlign w:val="bottom"/>
          </w:tcPr>
          <w:p>
            <w:pPr>
              <w:spacing w:after="0"/>
              <w:rPr>
                <w:sz w:val="18"/>
                <w:szCs w:val="18"/>
                <w:color w:val="auto"/>
              </w:rPr>
            </w:pPr>
          </w:p>
        </w:tc>
        <w:tc>
          <w:tcPr>
            <w:tcW w:w="594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Menlo Park, California 94025</w:t>
            </w:r>
          </w:p>
        </w:tc>
      </w:tr>
      <w:tr>
        <w:trPr>
          <w:trHeight w:val="216"/>
        </w:trPr>
        <w:tc>
          <w:tcPr>
            <w:tcW w:w="5100" w:type="dxa"/>
            <w:vAlign w:val="bottom"/>
          </w:tcPr>
          <w:p>
            <w:pPr>
              <w:spacing w:after="0"/>
              <w:rPr>
                <w:sz w:val="18"/>
                <w:szCs w:val="18"/>
                <w:color w:val="auto"/>
              </w:rPr>
            </w:pPr>
          </w:p>
        </w:tc>
        <w:tc>
          <w:tcPr>
            <w:tcW w:w="594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w w:val="98"/>
              </w:rPr>
              <w:t>Tel: +1.650.328.4600 Fax: +1.650.463.2600</w:t>
            </w:r>
          </w:p>
        </w:tc>
      </w:tr>
      <w:tr>
        <w:trPr>
          <w:trHeight w:val="234"/>
        </w:trPr>
        <w:tc>
          <w:tcPr>
            <w:tcW w:w="5100" w:type="dxa"/>
            <w:vAlign w:val="bottom"/>
          </w:tcPr>
          <w:p>
            <w:pPr>
              <w:spacing w:after="0"/>
              <w:rPr>
                <w:sz w:val="20"/>
                <w:szCs w:val="20"/>
                <w:color w:val="auto"/>
              </w:rPr>
            </w:pPr>
          </w:p>
        </w:tc>
        <w:tc>
          <w:tcPr>
            <w:tcW w:w="40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www.lw.com</w:t>
            </w:r>
          </w:p>
        </w:tc>
        <w:tc>
          <w:tcPr>
            <w:tcW w:w="1860" w:type="dxa"/>
            <w:vAlign w:val="bottom"/>
          </w:tcPr>
          <w:p>
            <w:pPr>
              <w:spacing w:after="0"/>
              <w:rPr>
                <w:sz w:val="20"/>
                <w:szCs w:val="20"/>
                <w:color w:val="auto"/>
              </w:rPr>
            </w:pPr>
          </w:p>
        </w:tc>
      </w:tr>
      <w:tr>
        <w:trPr>
          <w:trHeight w:val="319"/>
        </w:trPr>
        <w:tc>
          <w:tcPr>
            <w:tcW w:w="5100" w:type="dxa"/>
            <w:vAlign w:val="bottom"/>
          </w:tcPr>
          <w:p>
            <w:pPr>
              <w:spacing w:after="0"/>
              <w:rPr>
                <w:sz w:val="24"/>
                <w:szCs w:val="24"/>
                <w:color w:val="auto"/>
              </w:rPr>
            </w:pPr>
          </w:p>
        </w:tc>
        <w:tc>
          <w:tcPr>
            <w:tcW w:w="594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FIRM / AFFILIATE OFFICES</w:t>
            </w:r>
          </w:p>
        </w:tc>
      </w:tr>
      <w:tr>
        <w:trPr>
          <w:trHeight w:val="216"/>
        </w:trPr>
        <w:tc>
          <w:tcPr>
            <w:tcW w:w="5100" w:type="dxa"/>
            <w:vAlign w:val="bottom"/>
          </w:tcPr>
          <w:p>
            <w:pPr>
              <w:spacing w:after="0"/>
              <w:rPr>
                <w:sz w:val="18"/>
                <w:szCs w:val="18"/>
                <w:color w:val="auto"/>
              </w:rPr>
            </w:pPr>
          </w:p>
        </w:tc>
        <w:tc>
          <w:tcPr>
            <w:tcW w:w="40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Austin</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Milan</w:t>
            </w:r>
          </w:p>
        </w:tc>
      </w:tr>
      <w:tr>
        <w:trPr>
          <w:trHeight w:val="216"/>
        </w:trPr>
        <w:tc>
          <w:tcPr>
            <w:tcW w:w="5100" w:type="dxa"/>
            <w:vAlign w:val="bottom"/>
          </w:tcPr>
          <w:p>
            <w:pPr>
              <w:spacing w:after="0"/>
              <w:rPr>
                <w:sz w:val="18"/>
                <w:szCs w:val="18"/>
                <w:color w:val="auto"/>
              </w:rPr>
            </w:pPr>
          </w:p>
        </w:tc>
        <w:tc>
          <w:tcPr>
            <w:tcW w:w="40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Beijing</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Munich</w:t>
            </w:r>
          </w:p>
        </w:tc>
      </w:tr>
      <w:tr>
        <w:trPr>
          <w:trHeight w:val="216"/>
        </w:trPr>
        <w:tc>
          <w:tcPr>
            <w:tcW w:w="5100" w:type="dxa"/>
            <w:vAlign w:val="bottom"/>
          </w:tcPr>
          <w:p>
            <w:pPr>
              <w:spacing w:after="0"/>
              <w:rPr>
                <w:sz w:val="18"/>
                <w:szCs w:val="18"/>
                <w:color w:val="auto"/>
              </w:rPr>
            </w:pPr>
          </w:p>
        </w:tc>
        <w:tc>
          <w:tcPr>
            <w:tcW w:w="40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Boston</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5100" w:type="dxa"/>
            <w:vAlign w:val="bottom"/>
          </w:tcPr>
          <w:p>
            <w:pPr>
              <w:spacing w:after="0"/>
              <w:rPr>
                <w:sz w:val="18"/>
                <w:szCs w:val="18"/>
                <w:color w:val="auto"/>
              </w:rPr>
            </w:pPr>
          </w:p>
        </w:tc>
        <w:tc>
          <w:tcPr>
            <w:tcW w:w="40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Brussels</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Orange County</w:t>
            </w:r>
          </w:p>
        </w:tc>
      </w:tr>
      <w:tr>
        <w:trPr>
          <w:trHeight w:val="216"/>
        </w:trPr>
        <w:tc>
          <w:tcPr>
            <w:tcW w:w="5100" w:type="dxa"/>
            <w:vAlign w:val="bottom"/>
          </w:tcPr>
          <w:p>
            <w:pPr>
              <w:spacing w:after="0"/>
              <w:rPr>
                <w:sz w:val="18"/>
                <w:szCs w:val="18"/>
                <w:color w:val="auto"/>
              </w:rPr>
            </w:pPr>
          </w:p>
        </w:tc>
        <w:tc>
          <w:tcPr>
            <w:tcW w:w="40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Century City</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Paris</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2025</w:t>
            </w:r>
          </w:p>
        </w:tc>
        <w:tc>
          <w:tcPr>
            <w:tcW w:w="40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Chicago</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Riyadh</w:t>
            </w:r>
          </w:p>
        </w:tc>
      </w:tr>
      <w:tr>
        <w:trPr>
          <w:trHeight w:val="216"/>
        </w:trPr>
        <w:tc>
          <w:tcPr>
            <w:tcW w:w="5100" w:type="dxa"/>
            <w:vAlign w:val="bottom"/>
          </w:tcPr>
          <w:p>
            <w:pPr>
              <w:spacing w:after="0"/>
              <w:rPr>
                <w:sz w:val="18"/>
                <w:szCs w:val="18"/>
                <w:color w:val="auto"/>
              </w:rPr>
            </w:pPr>
          </w:p>
        </w:tc>
        <w:tc>
          <w:tcPr>
            <w:tcW w:w="40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Dubai</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San Diego</w:t>
            </w:r>
          </w:p>
        </w:tc>
      </w:tr>
      <w:tr>
        <w:trPr>
          <w:trHeight w:val="216"/>
        </w:trPr>
        <w:tc>
          <w:tcPr>
            <w:tcW w:w="5100" w:type="dxa"/>
            <w:vAlign w:val="bottom"/>
          </w:tcPr>
          <w:p>
            <w:pPr>
              <w:spacing w:after="0"/>
              <w:rPr>
                <w:sz w:val="18"/>
                <w:szCs w:val="18"/>
                <w:color w:val="auto"/>
              </w:rPr>
            </w:pPr>
          </w:p>
        </w:tc>
        <w:tc>
          <w:tcPr>
            <w:tcW w:w="40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Düsseldorf</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San Francisco</w:t>
            </w:r>
          </w:p>
        </w:tc>
      </w:tr>
      <w:tr>
        <w:trPr>
          <w:trHeight w:val="216"/>
        </w:trPr>
        <w:tc>
          <w:tcPr>
            <w:tcW w:w="5100" w:type="dxa"/>
            <w:vAlign w:val="bottom"/>
          </w:tcPr>
          <w:p>
            <w:pPr>
              <w:spacing w:after="0"/>
              <w:rPr>
                <w:sz w:val="18"/>
                <w:szCs w:val="18"/>
                <w:color w:val="auto"/>
              </w:rPr>
            </w:pPr>
          </w:p>
        </w:tc>
        <w:tc>
          <w:tcPr>
            <w:tcW w:w="40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Frankfurt</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Seoul</w:t>
            </w:r>
          </w:p>
        </w:tc>
      </w:tr>
      <w:tr>
        <w:trPr>
          <w:trHeight w:val="216"/>
        </w:trPr>
        <w:tc>
          <w:tcPr>
            <w:tcW w:w="5100" w:type="dxa"/>
            <w:vAlign w:val="bottom"/>
          </w:tcPr>
          <w:p>
            <w:pPr>
              <w:spacing w:after="0"/>
              <w:rPr>
                <w:sz w:val="18"/>
                <w:szCs w:val="18"/>
                <w:color w:val="auto"/>
              </w:rPr>
            </w:pPr>
          </w:p>
        </w:tc>
        <w:tc>
          <w:tcPr>
            <w:tcW w:w="40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Hamburg</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Silicon Valley</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4D Molecular Therapeutics, Inc.</w:t>
            </w:r>
          </w:p>
        </w:tc>
        <w:tc>
          <w:tcPr>
            <w:tcW w:w="40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Hong Kong</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5858 Horton Street #455</w:t>
            </w:r>
          </w:p>
        </w:tc>
        <w:tc>
          <w:tcPr>
            <w:tcW w:w="40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Houston</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Tel Aviv</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Emeryville, California 94608</w:t>
            </w:r>
          </w:p>
        </w:tc>
        <w:tc>
          <w:tcPr>
            <w:tcW w:w="40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London</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Tokyo</w:t>
            </w:r>
          </w:p>
        </w:tc>
      </w:tr>
      <w:tr>
        <w:trPr>
          <w:trHeight w:val="216"/>
        </w:trPr>
        <w:tc>
          <w:tcPr>
            <w:tcW w:w="5100" w:type="dxa"/>
            <w:vAlign w:val="bottom"/>
          </w:tcPr>
          <w:p>
            <w:pPr>
              <w:spacing w:after="0"/>
              <w:rPr>
                <w:sz w:val="18"/>
                <w:szCs w:val="18"/>
                <w:color w:val="auto"/>
              </w:rPr>
            </w:pPr>
          </w:p>
        </w:tc>
        <w:tc>
          <w:tcPr>
            <w:tcW w:w="40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Los Angeles</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Washington, D.C.</w:t>
            </w:r>
          </w:p>
        </w:tc>
      </w:tr>
      <w:tr>
        <w:trPr>
          <w:trHeight w:val="234"/>
        </w:trPr>
        <w:tc>
          <w:tcPr>
            <w:tcW w:w="5100" w:type="dxa"/>
            <w:vAlign w:val="bottom"/>
          </w:tcPr>
          <w:p>
            <w:pPr>
              <w:spacing w:after="0"/>
              <w:rPr>
                <w:sz w:val="20"/>
                <w:szCs w:val="20"/>
                <w:color w:val="auto"/>
              </w:rPr>
            </w:pPr>
          </w:p>
        </w:tc>
        <w:tc>
          <w:tcPr>
            <w:tcW w:w="40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Madrid</w:t>
            </w:r>
          </w:p>
        </w:tc>
        <w:tc>
          <w:tcPr>
            <w:tcW w:w="18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-2125345</wp:posOffset>
            </wp:positionV>
            <wp:extent cx="203136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4">
                      <a:extLst>
                        <a:ext uri="{28A0092B-C50C-407E-A947-70E740481C1C}"/>
                      </a:extLst>
                    </a:blip>
                    <a:srcRect/>
                    <a:stretch>
                      <a:fillRect/>
                    </a:stretch>
                  </pic:blipFill>
                  <pic:spPr bwMode="auto">
                    <a:xfrm>
                      <a:off x="0" y="0"/>
                      <a:ext cx="2031365" cy="13716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Registration Statement on Form S-8; 2,939,625 shares of Common Stock, par value $0.0001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addressee set forth above:</w:t>
      </w:r>
    </w:p>
    <w:p>
      <w:pPr>
        <w:spacing w:after="0" w:line="113"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We have acted as special counsel to 4D Molecular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registration by the Company of an aggregate of 2,939,625 shares of Common Stock of the Company, par value $0.0001 per share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issuable under the Company’s 2020 Equity Incentive Award Plan (the “</w:t>
      </w:r>
      <w:r>
        <w:rPr>
          <w:rFonts w:ascii="Times New Roman" w:cs="Times New Roman" w:eastAsia="Times New Roman" w:hAnsi="Times New Roman"/>
          <w:sz w:val="18"/>
          <w:szCs w:val="18"/>
          <w:b w:val="1"/>
          <w:bCs w:val="1"/>
          <w:i w:val="1"/>
          <w:iCs w:val="1"/>
          <w:color w:val="auto"/>
        </w:rPr>
        <w:t>2020 Plan</w:t>
      </w:r>
      <w:r>
        <w:rPr>
          <w:rFonts w:ascii="Times New Roman" w:cs="Times New Roman" w:eastAsia="Times New Roman" w:hAnsi="Times New Roman"/>
          <w:sz w:val="18"/>
          <w:szCs w:val="18"/>
          <w:color w:val="auto"/>
        </w:rPr>
        <w:t>”), the 2020 Employee Stock Purchase Plan (the “</w:t>
      </w:r>
      <w:r>
        <w:rPr>
          <w:rFonts w:ascii="Times New Roman" w:cs="Times New Roman" w:eastAsia="Times New Roman" w:hAnsi="Times New Roman"/>
          <w:sz w:val="18"/>
          <w:szCs w:val="18"/>
          <w:b w:val="1"/>
          <w:bCs w:val="1"/>
          <w:i w:val="1"/>
          <w:iCs w:val="1"/>
          <w:color w:val="auto"/>
        </w:rPr>
        <w:t>ESPP</w:t>
      </w:r>
      <w:r>
        <w:rPr>
          <w:rFonts w:ascii="Times New Roman" w:cs="Times New Roman" w:eastAsia="Times New Roman" w:hAnsi="Times New Roman"/>
          <w:sz w:val="18"/>
          <w:szCs w:val="18"/>
          <w:color w:val="auto"/>
        </w:rPr>
        <w:t>”) and the 2025 Employment Inducement Award Plan (the “</w:t>
      </w:r>
      <w:r>
        <w:rPr>
          <w:rFonts w:ascii="Times New Roman" w:cs="Times New Roman" w:eastAsia="Times New Roman" w:hAnsi="Times New Roman"/>
          <w:sz w:val="18"/>
          <w:szCs w:val="18"/>
          <w:b w:val="1"/>
          <w:bCs w:val="1"/>
          <w:i w:val="1"/>
          <w:iCs w:val="1"/>
          <w:color w:val="auto"/>
        </w:rPr>
        <w:t>Inducement Plan</w:t>
      </w:r>
      <w:r>
        <w:rPr>
          <w:rFonts w:ascii="Times New Roman" w:cs="Times New Roman" w:eastAsia="Times New Roman" w:hAnsi="Times New Roman"/>
          <w:sz w:val="18"/>
          <w:szCs w:val="18"/>
          <w:color w:val="auto"/>
        </w:rPr>
        <w:t>”) and together with the 2020 Plan and ESPP, the “</w:t>
      </w:r>
      <w:r>
        <w:rPr>
          <w:rFonts w:ascii="Times New Roman" w:cs="Times New Roman" w:eastAsia="Times New Roman" w:hAnsi="Times New Roman"/>
          <w:sz w:val="18"/>
          <w:szCs w:val="18"/>
          <w:b w:val="1"/>
          <w:bCs w:val="1"/>
          <w:i w:val="1"/>
          <w:iCs w:val="1"/>
          <w:color w:val="auto"/>
        </w:rPr>
        <w:t>Plans</w:t>
      </w:r>
      <w:r>
        <w:rPr>
          <w:rFonts w:ascii="Times New Roman" w:cs="Times New Roman" w:eastAsia="Times New Roman" w:hAnsi="Times New Roman"/>
          <w:sz w:val="18"/>
          <w:szCs w:val="18"/>
          <w:color w:val="auto"/>
        </w:rPr>
        <w:t>”). The Shares are included in a registration statement on Form S–8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February 28, 2025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This opinion is being furnished in connection with the requirements of Item 601(b)(5) of Regulation S-K under the Act, and no opinion is expressed herein as to any matter pertaining to the contents of the Registration Statement or the related prospectus, other than as expressly stated herein with respect to the issuance of the Shares .</w:t>
      </w:r>
    </w:p>
    <w:p>
      <w:pPr>
        <w:spacing w:after="0" w:line="189"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we express no opinion with respect to any other laws.</w:t>
      </w:r>
    </w:p>
    <w:p>
      <w:pPr>
        <w:spacing w:after="0" w:line="180"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for legal consideration in excess of par value in the circumstances contemplated by the Plans, assuming in each case that the individual issuances, grants or awards under the Plans</w:t>
      </w:r>
    </w:p>
    <w:p>
      <w:pPr>
        <w:sectPr>
          <w:pgSz w:w="11900" w:h="16838" w:orient="portrait"/>
          <w:cols w:equalWidth="0" w:num="1">
            <w:col w:w="11040"/>
          </w:cols>
          <w:pgMar w:left="440" w:top="117"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February 28, 2025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1388745" cy="939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6">
                      <a:extLst>
                        <a:ext uri="{28A0092B-C50C-407E-A947-70E740481C1C}"/>
                      </a:extLst>
                    </a:blip>
                    <a:srcRect/>
                    <a:stretch>
                      <a:fillRect/>
                    </a:stretch>
                  </pic:blipFill>
                  <pic:spPr bwMode="auto">
                    <a:xfrm>
                      <a:off x="0" y="0"/>
                      <a:ext cx="1388745" cy="93980"/>
                    </a:xfrm>
                    <a:prstGeom prst="rect">
                      <a:avLst/>
                    </a:prstGeom>
                    <a:noFill/>
                  </pic:spPr>
                </pic:pic>
              </a:graphicData>
            </a:graphic>
          </wp:anchor>
        </w:drawing>
      </w:r>
    </w:p>
    <w:p>
      <w:pPr>
        <w:spacing w:after="0" w:line="3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are duly authorized by all necessary corporate action and duly issued, granted or awarded and exercised in accordance with the requirements of law and the Plans (and the agreements and awards duly adopted thereunder and in accordance therewith), the issuance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Latham &amp; Watkins LLP</w:t>
      </w:r>
    </w:p>
    <w:p>
      <w:pPr>
        <w:sectPr>
          <w:pgSz w:w="11900" w:h="16838" w:orient="portrait"/>
          <w:cols w:equalWidth="0" w:num="1">
            <w:col w:w="10980"/>
          </w:cols>
          <w:pgMar w:left="440" w:top="266" w:right="47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4D Molecular Therapeutics, Inc. of our report dated February 28, 2025, relating to the financial statements and the effectiveness of internal control over financial reporting, which appears in 4D Molecular Therapeutics, Inc.’s Annual Report on Form 10-K for the year ended December 31, 2024. We also consent to the reference to us under the heading “Experts” in such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ectPr>
          <w:pgSz w:w="11900" w:h="16838" w:orient="portrait"/>
          <w:cols w:equalWidth="0" w:num="1">
            <w:col w:w="11020"/>
          </w:cols>
          <w:pgMar w:left="440" w:top="121" w:right="4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107.1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4D Molecular Therapeutics,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1—Newly Registered Securities</w:t>
      </w:r>
    </w:p>
    <w:p>
      <w:pPr>
        <w:spacing w:after="0" w:line="254" w:lineRule="exact"/>
        <w:rPr>
          <w:sz w:val="20"/>
          <w:szCs w:val="20"/>
          <w:color w:val="auto"/>
        </w:rPr>
      </w:pPr>
    </w:p>
    <w:tbl>
      <w:tblPr>
        <w:tblLayout w:type="fixed"/>
        <w:tblInd w:w="654" w:type="dxa"/>
        <w:tblCellMar>
          <w:top w:w="0" w:type="dxa"/>
          <w:left w:w="0" w:type="dxa"/>
          <w:bottom w:w="0" w:type="dxa"/>
          <w:right w:w="0" w:type="dxa"/>
        </w:tblCellMar>
      </w:tblPr>
      <w:tr>
        <w:trPr>
          <w:trHeight w:val="142"/>
        </w:trPr>
        <w:tc>
          <w:tcPr>
            <w:tcW w:w="940" w:type="dxa"/>
            <w:vAlign w:val="bottom"/>
            <w:tcBorders>
              <w:top w:val="single" w:sz="8" w:color="auto"/>
              <w:left w:val="single" w:sz="8" w:color="auto"/>
              <w:right w:val="single" w:sz="8" w:color="auto"/>
            </w:tcBorders>
          </w:tcPr>
          <w:p>
            <w:pPr>
              <w:spacing w:after="0"/>
              <w:rPr>
                <w:sz w:val="12"/>
                <w:szCs w:val="12"/>
                <w:color w:val="auto"/>
              </w:rPr>
            </w:pPr>
          </w:p>
        </w:tc>
        <w:tc>
          <w:tcPr>
            <w:tcW w:w="2100" w:type="dxa"/>
            <w:vAlign w:val="bottom"/>
            <w:tcBorders>
              <w:top w:val="single" w:sz="8" w:color="auto"/>
              <w:right w:val="single" w:sz="8" w:color="auto"/>
            </w:tcBorders>
          </w:tcPr>
          <w:p>
            <w:pPr>
              <w:spacing w:after="0"/>
              <w:rPr>
                <w:sz w:val="12"/>
                <w:szCs w:val="12"/>
                <w:color w:val="auto"/>
              </w:rPr>
            </w:pPr>
          </w:p>
        </w:tc>
        <w:tc>
          <w:tcPr>
            <w:tcW w:w="218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124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2100" w:type="dxa"/>
            <w:vAlign w:val="bottom"/>
            <w:tcBorders>
              <w:right w:val="single" w:sz="8" w:color="auto"/>
            </w:tcBorders>
          </w:tcPr>
          <w:p>
            <w:pPr>
              <w:spacing w:after="0"/>
              <w:rPr>
                <w:sz w:val="11"/>
                <w:szCs w:val="11"/>
                <w:color w:val="auto"/>
              </w:rPr>
            </w:pPr>
          </w:p>
        </w:tc>
        <w:tc>
          <w:tcPr>
            <w:tcW w:w="21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2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9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2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Security</w:t>
            </w:r>
          </w:p>
        </w:tc>
        <w:tc>
          <w:tcPr>
            <w:tcW w:w="21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Fee</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2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9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2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Class</w:t>
            </w:r>
          </w:p>
        </w:tc>
        <w:tc>
          <w:tcPr>
            <w:tcW w:w="21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to be</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12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Registration</w:t>
            </w:r>
          </w:p>
        </w:tc>
      </w:tr>
      <w:tr>
        <w:trPr>
          <w:trHeight w:val="181"/>
        </w:trPr>
        <w:tc>
          <w:tcPr>
            <w:tcW w:w="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w w:val="94"/>
              </w:rPr>
              <w:t>Security Type </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Title</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Rule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Registered(1)</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89"/>
              </w:rPr>
              <w:t>Unit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Fee</w:t>
            </w:r>
          </w:p>
        </w:tc>
      </w:tr>
      <w:tr>
        <w:trPr>
          <w:trHeight w:val="206"/>
        </w:trPr>
        <w:tc>
          <w:tcPr>
            <w:tcW w:w="940" w:type="dxa"/>
            <w:vAlign w:val="bottom"/>
            <w:tcBorders>
              <w:left w:val="single" w:sz="8" w:color="auto"/>
              <w:right w:val="single" w:sz="8" w:color="auto"/>
            </w:tcBorders>
          </w:tcPr>
          <w:p>
            <w:pPr>
              <w:ind w:left="280"/>
              <w:spacing w:after="0" w:line="206" w:lineRule="exact"/>
              <w:rPr>
                <w:sz w:val="20"/>
                <w:szCs w:val="20"/>
                <w:color w:val="auto"/>
              </w:rPr>
            </w:pPr>
            <w:r>
              <w:rPr>
                <w:rFonts w:ascii="Times New Roman" w:cs="Times New Roman" w:eastAsia="Times New Roman" w:hAnsi="Times New Roman"/>
                <w:sz w:val="18"/>
                <w:szCs w:val="18"/>
                <w:color w:val="auto"/>
              </w:rPr>
              <w:t>Equity</w:t>
            </w:r>
          </w:p>
        </w:tc>
        <w:tc>
          <w:tcPr>
            <w:tcW w:w="210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Common stock,</w:t>
            </w:r>
          </w:p>
        </w:tc>
        <w:tc>
          <w:tcPr>
            <w:tcW w:w="21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r>
      <w:tr>
        <w:trPr>
          <w:trHeight w:val="261"/>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 par value per share</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457(c) and Rule 457(h)</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2,289,625</w:t>
            </w:r>
            <w:r>
              <w:rPr>
                <w:rFonts w:ascii="Times New Roman" w:cs="Times New Roman" w:eastAsia="Times New Roman" w:hAnsi="Times New Roman"/>
                <w:sz w:val="22"/>
                <w:szCs w:val="22"/>
                <w:color w:val="auto"/>
                <w:w w:val="96"/>
                <w:vertAlign w:val="superscript"/>
              </w:rPr>
              <w:t>(2)</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$4.67</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8"/>
                <w:szCs w:val="18"/>
                <w:color w:val="auto"/>
              </w:rPr>
              <w:t xml:space="preserve"> </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$10,692,548.75 </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$0.0001531</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$1,637.03</w:t>
            </w:r>
          </w:p>
        </w:tc>
      </w:tr>
      <w:tr>
        <w:trPr>
          <w:trHeight w:val="205"/>
        </w:trPr>
        <w:tc>
          <w:tcPr>
            <w:tcW w:w="940" w:type="dxa"/>
            <w:vAlign w:val="bottom"/>
            <w:tcBorders>
              <w:left w:val="single" w:sz="8" w:color="auto"/>
              <w:right w:val="single" w:sz="8" w:color="auto"/>
            </w:tcBorders>
          </w:tcPr>
          <w:p>
            <w:pPr>
              <w:ind w:left="280"/>
              <w:spacing w:after="0" w:line="205" w:lineRule="exact"/>
              <w:rPr>
                <w:sz w:val="20"/>
                <w:szCs w:val="20"/>
                <w:color w:val="auto"/>
              </w:rPr>
            </w:pPr>
            <w:r>
              <w:rPr>
                <w:rFonts w:ascii="Times New Roman" w:cs="Times New Roman" w:eastAsia="Times New Roman" w:hAnsi="Times New Roman"/>
                <w:sz w:val="18"/>
                <w:szCs w:val="18"/>
                <w:color w:val="auto"/>
              </w:rPr>
              <w:t>Equity</w:t>
            </w:r>
          </w:p>
        </w:tc>
        <w:tc>
          <w:tcPr>
            <w:tcW w:w="210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Common stock,</w:t>
            </w:r>
          </w:p>
        </w:tc>
        <w:tc>
          <w:tcPr>
            <w:tcW w:w="21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r>
      <w:tr>
        <w:trPr>
          <w:trHeight w:val="261"/>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 par value per share</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457(c) and Rule 457(h)</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150,000</w:t>
            </w:r>
            <w:r>
              <w:rPr>
                <w:rFonts w:ascii="Times New Roman" w:cs="Times New Roman" w:eastAsia="Times New Roman" w:hAnsi="Times New Roman"/>
                <w:sz w:val="22"/>
                <w:szCs w:val="22"/>
                <w:color w:val="auto"/>
                <w:w w:val="95"/>
                <w:vertAlign w:val="superscript"/>
              </w:rPr>
              <w:t>(3)</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$3.97</w:t>
            </w:r>
            <w:r>
              <w:rPr>
                <w:rFonts w:ascii="Times New Roman" w:cs="Times New Roman" w:eastAsia="Times New Roman" w:hAnsi="Times New Roman"/>
                <w:sz w:val="22"/>
                <w:szCs w:val="22"/>
                <w:color w:val="auto"/>
                <w:w w:val="91"/>
                <w:vertAlign w:val="superscript"/>
              </w:rPr>
              <w:t xml:space="preserve">(6) </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$595,500.00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$0.0001531</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$91.18</w:t>
            </w:r>
          </w:p>
        </w:tc>
      </w:tr>
      <w:tr>
        <w:trPr>
          <w:trHeight w:val="205"/>
        </w:trPr>
        <w:tc>
          <w:tcPr>
            <w:tcW w:w="940" w:type="dxa"/>
            <w:vAlign w:val="bottom"/>
            <w:tcBorders>
              <w:left w:val="single" w:sz="8" w:color="auto"/>
              <w:right w:val="single" w:sz="8" w:color="auto"/>
            </w:tcBorders>
          </w:tcPr>
          <w:p>
            <w:pPr>
              <w:ind w:left="280"/>
              <w:spacing w:after="0" w:line="205" w:lineRule="exact"/>
              <w:rPr>
                <w:sz w:val="20"/>
                <w:szCs w:val="20"/>
                <w:color w:val="auto"/>
              </w:rPr>
            </w:pPr>
            <w:r>
              <w:rPr>
                <w:rFonts w:ascii="Times New Roman" w:cs="Times New Roman" w:eastAsia="Times New Roman" w:hAnsi="Times New Roman"/>
                <w:sz w:val="18"/>
                <w:szCs w:val="18"/>
                <w:color w:val="auto"/>
              </w:rPr>
              <w:t>Equity</w:t>
            </w:r>
          </w:p>
        </w:tc>
        <w:tc>
          <w:tcPr>
            <w:tcW w:w="210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Common stock,</w:t>
            </w:r>
          </w:p>
        </w:tc>
        <w:tc>
          <w:tcPr>
            <w:tcW w:w="21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r>
      <w:tr>
        <w:trPr>
          <w:trHeight w:val="261"/>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 par value per share </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Rule 457(c) and Rule 457(h) </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500,000</w:t>
            </w:r>
            <w:r>
              <w:rPr>
                <w:rFonts w:ascii="Times New Roman" w:cs="Times New Roman" w:eastAsia="Times New Roman" w:hAnsi="Times New Roman"/>
                <w:sz w:val="22"/>
                <w:szCs w:val="22"/>
                <w:color w:val="auto"/>
                <w:w w:val="95"/>
                <w:vertAlign w:val="superscript"/>
              </w:rPr>
              <w:t>(4)</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$4.67</w:t>
            </w:r>
            <w:r>
              <w:rPr>
                <w:rFonts w:ascii="Times New Roman" w:cs="Times New Roman" w:eastAsia="Times New Roman" w:hAnsi="Times New Roman"/>
                <w:sz w:val="22"/>
                <w:szCs w:val="22"/>
                <w:color w:val="auto"/>
                <w:w w:val="91"/>
                <w:vertAlign w:val="superscript"/>
              </w:rPr>
              <w:t xml:space="preserve">(5) </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$2,335,000.00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$0.0001531</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$357.49</w:t>
            </w:r>
          </w:p>
        </w:tc>
      </w:tr>
      <w:tr>
        <w:trPr>
          <w:trHeight w:val="234"/>
        </w:trPr>
        <w:tc>
          <w:tcPr>
            <w:tcW w:w="3040" w:type="dxa"/>
            <w:vAlign w:val="bottom"/>
            <w:tcBorders>
              <w:left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218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$13,623,048.75</w:t>
            </w:r>
          </w:p>
        </w:tc>
        <w:tc>
          <w:tcPr>
            <w:tcW w:w="9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$2,085.70</w:t>
            </w:r>
          </w:p>
        </w:tc>
      </w:tr>
      <w:tr>
        <w:trPr>
          <w:trHeight w:val="239"/>
        </w:trPr>
        <w:tc>
          <w:tcPr>
            <w:tcW w:w="3040" w:type="dxa"/>
            <w:vAlign w:val="bottom"/>
            <w:tcBorders>
              <w:left w:val="single" w:sz="8" w:color="auto"/>
              <w:bottom w:val="single" w:sz="8" w:color="auto"/>
            </w:tcBorders>
            <w:gridSpan w:val="2"/>
          </w:tcPr>
          <w:p>
            <w:pPr>
              <w:ind w:left="140"/>
              <w:spacing w:after="0" w:line="239" w:lineRule="exact"/>
              <w:rPr>
                <w:sz w:val="20"/>
                <w:szCs w:val="20"/>
                <w:color w:val="auto"/>
              </w:rPr>
            </w:pPr>
            <w:r>
              <w:rPr>
                <w:rFonts w:ascii="Times New Roman" w:cs="Times New Roman" w:eastAsia="Times New Roman" w:hAnsi="Times New Roman"/>
                <w:sz w:val="18"/>
                <w:szCs w:val="18"/>
                <w:b w:val="1"/>
                <w:bCs w:val="1"/>
                <w:color w:val="auto"/>
              </w:rPr>
              <w:t>Total Fee Offsets</w:t>
            </w:r>
            <w:r>
              <w:rPr>
                <w:rFonts w:ascii="Times New Roman" w:cs="Times New Roman" w:eastAsia="Times New Roman" w:hAnsi="Times New Roman"/>
                <w:sz w:val="22"/>
                <w:szCs w:val="22"/>
                <w:b w:val="1"/>
                <w:bCs w:val="1"/>
                <w:color w:val="auto"/>
                <w:vertAlign w:val="superscript"/>
              </w:rPr>
              <w:t>(7)</w:t>
            </w:r>
          </w:p>
        </w:tc>
        <w:tc>
          <w:tcPr>
            <w:tcW w:w="218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 —</w:t>
            </w:r>
          </w:p>
        </w:tc>
      </w:tr>
      <w:tr>
        <w:trPr>
          <w:trHeight w:val="234"/>
        </w:trPr>
        <w:tc>
          <w:tcPr>
            <w:tcW w:w="3040" w:type="dxa"/>
            <w:vAlign w:val="bottom"/>
            <w:tcBorders>
              <w:left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218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$2,085.70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100" w:hanging="424"/>
        <w:spacing w:after="0" w:line="254"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shall also cover any additional shares of 4D Molecular Therapeutics, Inc.’s (the “Registrant”) common stock that become issuable under the 2020 Incentive Award Plan (the “2020 Plan”), the 2020 Employee Stock Purchase Plan (the “ESPP”) and the 2025 Employment Inducement Award Plan (the “Inducement Plan”) by reason of any stock dividend, stock split, recapitalization or similar transaction effected without the Registrant’s receipt of consideration which would increase the number of outstanding shares of common stock.</w:t>
      </w:r>
    </w:p>
    <w:p>
      <w:pPr>
        <w:spacing w:after="0" w:line="3" w:lineRule="exact"/>
        <w:rPr>
          <w:rFonts w:ascii="Times New Roman" w:cs="Times New Roman" w:eastAsia="Times New Roman" w:hAnsi="Times New Roman"/>
          <w:sz w:val="18"/>
          <w:szCs w:val="18"/>
          <w:color w:val="auto"/>
        </w:rPr>
      </w:pPr>
    </w:p>
    <w:p>
      <w:pPr>
        <w:ind w:left="424" w:right="60" w:hanging="424"/>
        <w:spacing w:after="0" w:line="250"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additional shares of common stock available for future issuance under the Registrant’s 2020 Plan resulting from an annual increase as of January 1, 2025.</w:t>
      </w:r>
    </w:p>
    <w:p>
      <w:pPr>
        <w:ind w:left="424" w:right="180" w:hanging="424"/>
        <w:spacing w:after="0" w:line="250"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additional shares of common stock available for future issuance under the Registrant’s ESPP resulting from an annual increase as of January 1, 2025.</w:t>
      </w:r>
    </w:p>
    <w:p>
      <w:pPr>
        <w:ind w:left="424" w:right="60" w:hanging="424"/>
        <w:spacing w:after="0" w:line="250"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additional shares of common stock available for future issuance under the Registrant’s Inducement Plan resulting from its adoption as of February 3, 2025.</w:t>
      </w:r>
    </w:p>
    <w:p>
      <w:pPr>
        <w:ind w:left="424" w:right="40" w:hanging="424"/>
        <w:spacing w:after="0" w:line="250"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amount of the registration fee pursuant to Rule 457(h) and Rule 457(c) of the Securities Act. The proposed maximum offering price per share and the proposed maximum aggregate offering price for shares reserved for future issuance under the 2020 Plan, the ESPP and the Inducement Plan are based on the average of the high and the low price of Registrant’s Common Stock as reported on the Nasdaq Global Select Market on February 24, 2025, which was $4.67.</w:t>
      </w:r>
    </w:p>
    <w:p>
      <w:pPr>
        <w:spacing w:after="0" w:line="1" w:lineRule="exact"/>
        <w:rPr>
          <w:rFonts w:ascii="Times New Roman" w:cs="Times New Roman" w:eastAsia="Times New Roman" w:hAnsi="Times New Roman"/>
          <w:sz w:val="18"/>
          <w:szCs w:val="18"/>
          <w:color w:val="auto"/>
        </w:rPr>
      </w:pPr>
    </w:p>
    <w:p>
      <w:pPr>
        <w:ind w:left="424" w:right="80" w:hanging="424"/>
        <w:spacing w:after="0" w:line="250"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amount of the registration fee pursuant to Rule 457(h) and Rule 457(c) of the Securities Act on the basis of the average of the high and the low prices of common stock as reported on the Nasdaq Global Select Market on February 24, 2025, multiplied by 85%. Pursuant to the ESPP, the purchase price of the shares of common stock reserved for issuance thereunder will be at least 85% of the lower of the fair market value of a share of common stock on the applicable Grant Date or applicable Exercise Date.</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does not have any fee offsets.</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
      <w:numFmt w:val="bullet"/>
      <w:start w:val="1"/>
    </w:lvl>
  </w:abstractNum>
  <w:abstractNum w:abstractNumId="4">
    <w:nsid w:val="5BD062C2"/>
    <w:multiLevelType w:val="hybridMultilevel"/>
    <w:lvl w:ilvl="0">
      <w:lvlJc w:val="left"/>
      <w:lvlText w:val=" "/>
      <w:numFmt w:val="bullet"/>
      <w:start w:val="1"/>
    </w:lvl>
  </w:abstractNum>
  <w:abstractNum w:abstractNumId="5">
    <w:nsid w:val="12200854"/>
    <w:multiLevelType w:val="hybridMultilevel"/>
    <w:lvl w:ilvl="0">
      <w:lvlJc w:val="left"/>
      <w:lvlText w:val=" "/>
      <w:numFmt w:val="bullet"/>
      <w:start w:val="1"/>
    </w:lvl>
  </w:abstractNum>
  <w:abstractNum w:abstractNumId="6">
    <w:nsid w:val="4DB127F8"/>
    <w:multiLevelType w:val="hybridMultilevel"/>
    <w:lvl w:ilvl="0">
      <w:lvlJc w:val="left"/>
      <w:lvlText w:val="%1."/>
      <w:numFmt w:val="decimal"/>
      <w:start w:val="1"/>
    </w:lvl>
    <w:lvl w:ilvl="1">
      <w:lvlJc w:val="left"/>
      <w:lvlText w:val="(%2)"/>
      <w:numFmt w:val="lowerLetter"/>
      <w:start w:val="1"/>
    </w:lvl>
  </w:abstractNum>
  <w:abstractNum w:abstractNumId="7">
    <w:nsid w:val="216231B"/>
    <w:multiLevelType w:val="hybridMultilevel"/>
    <w:lvl w:ilvl="0">
      <w:lvlJc w:val="left"/>
      <w:lvlText w:val="%1"/>
      <w:numFmt w:val="decimal"/>
      <w:start w:val="1"/>
    </w:lvl>
    <w:lvl w:ilvl="1">
      <w:lvlJc w:val="left"/>
      <w:lvlText w:val="(%2)"/>
      <w:numFmt w:val="lowerLetter"/>
      <w:start w:val="9"/>
    </w:lvl>
  </w:abstractNum>
  <w:abstractNum w:abstractNumId="8">
    <w:nsid w:val="1F16E9E8"/>
    <w:multiLevelType w:val="hybridMultilevel"/>
    <w:lvl w:ilvl="0">
      <w:lvlJc w:val="left"/>
      <w:lvlText w:val="(%1)"/>
      <w:numFmt w:val="lowerRoman"/>
      <w:start w:val="2"/>
    </w:lvl>
  </w:abstractNum>
  <w:abstractNum w:abstractNumId="9">
    <w:nsid w:val="1190CDE7"/>
    <w:multiLevelType w:val="hybridMultilevel"/>
    <w:lvl w:ilvl="0">
      <w:lvlJc w:val="left"/>
      <w:lvlText w:val="(%1)"/>
      <w:numFmt w:val="lowerLetter"/>
      <w:start w:val="2"/>
    </w:lvl>
  </w:abstractNum>
  <w:abstractNum w:abstractNumId="10">
    <w:nsid w:val="66EF438D"/>
    <w:multiLevelType w:val="hybridMultilevel"/>
    <w:lvl w:ilvl="0">
      <w:lvlJc w:val="left"/>
      <w:lvlText w:val="%1"/>
      <w:numFmt w:val="decimal"/>
      <w:start w:val="1"/>
    </w:lvl>
    <w:lvl w:ilvl="1">
      <w:lvlJc w:val="left"/>
      <w:lvlText w:val="(%2)"/>
      <w:numFmt w:val="lowerRoman"/>
      <w:start w:val="2"/>
    </w:lvl>
  </w:abstractNum>
  <w:abstractNum w:abstractNumId="11">
    <w:nsid w:val="140E0F76"/>
    <w:multiLevelType w:val="hybridMultilevel"/>
    <w:lvl w:ilvl="0">
      <w:lvlJc w:val="left"/>
      <w:lvlText w:val="%1."/>
      <w:numFmt w:val="decimal"/>
      <w:start w:val="2"/>
    </w:lvl>
    <w:lvl w:ilvl="1">
      <w:lvlJc w:val="left"/>
      <w:lvlText w:val="%2"/>
      <w:numFmt w:val="lowerRoman"/>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39" Type="http://schemas.openxmlformats.org/officeDocument/2006/relationships/image" Target="media/image13.png"/><Relationship Id="rId40" Type="http://schemas.openxmlformats.org/officeDocument/2006/relationships/image" Target="media/image14.png"/><Relationship Id="rId41" Type="http://schemas.openxmlformats.org/officeDocument/2006/relationships/image" Target="media/image15.png"/><Relationship Id="rId42" Type="http://schemas.openxmlformats.org/officeDocument/2006/relationships/image" Target="media/image16.png"/><Relationship Id="rId43" Type="http://schemas.openxmlformats.org/officeDocument/2006/relationships/image" Target="media/image17.png"/><Relationship Id="rId44" Type="http://schemas.openxmlformats.org/officeDocument/2006/relationships/image" Target="media/image18.jpeg"/><Relationship Id="rId45" Type="http://schemas.openxmlformats.org/officeDocument/2006/relationships/image" Target="media/image19.png"/><Relationship Id="rId46" Type="http://schemas.openxmlformats.org/officeDocument/2006/relationships/image" Target="media/image20.jpeg"/><Relationship Id="rId47" Type="http://schemas.openxmlformats.org/officeDocument/2006/relationships/image" Target="media/image21.png"/><Relationship Id="rId18" Type="http://schemas.openxmlformats.org/officeDocument/2006/relationships/hyperlink" Target="http://www.sec.gov/ix?doc=/Archives/edgar/data/1650648/000095017025030056/fdmt-20241231.htm" TargetMode="External"/><Relationship Id="rId19" Type="http://schemas.openxmlformats.org/officeDocument/2006/relationships/hyperlink" Target="http://www.sec.gov/ix?doc=/Archives/edgar/data/1650648/000095017025003832/fdmt-20250110.htm" TargetMode="External"/><Relationship Id="rId20" Type="http://schemas.openxmlformats.org/officeDocument/2006/relationships/hyperlink" Target="http://www.sec.gov/ix?doc=/Archives/edgar/data/1650648/000095017025016708/fdmt-20250208.htm" TargetMode="External"/><Relationship Id="rId21" Type="http://schemas.openxmlformats.org/officeDocument/2006/relationships/hyperlink" Target="http://www.sec.gov/Archives/edgar/data/1650648/000119312520312833/d22604d8a12b.htm" TargetMode="External"/><Relationship Id="rId22" Type="http://schemas.openxmlformats.org/officeDocument/2006/relationships/hyperlink" Target="http://www.sec.gov/Archives/edgar/data/1650648/000095017025030056/fdmt-ex4_1.htm" TargetMode="External"/><Relationship Id="rId25" Type="http://schemas.openxmlformats.org/officeDocument/2006/relationships/hyperlink" Target="http://www.sec.gov/Archives/edgar/data/1650648/000119312520318186/d13863dex31.htm" TargetMode="External"/><Relationship Id="rId26" Type="http://schemas.openxmlformats.org/officeDocument/2006/relationships/hyperlink" Target="http://www.sec.gov/Archives/edgar/data/0001650648/000119312523282259/d797882dex31.htm" TargetMode="External"/><Relationship Id="rId27" Type="http://schemas.openxmlformats.org/officeDocument/2006/relationships/hyperlink" Target="http://www.sec.gov/Archives/edgar/data/1650648/000119312520311111/d69563dex42.htm" TargetMode="External"/><Relationship Id="rId28" Type="http://schemas.openxmlformats.org/officeDocument/2006/relationships/hyperlink" Target="http://www.sec.gov/Archives/edgar/data/1650648/000119312524030203/d185041dex41.htm" TargetMode="External"/><Relationship Id="rId29" Type="http://schemas.openxmlformats.org/officeDocument/2006/relationships/hyperlink" Target="http://www.sec.gov/Archives/edgar/data/1650648/000095017024126370/fdmt-ex4_4.htm" TargetMode="External"/><Relationship Id="rId30" Type="http://schemas.openxmlformats.org/officeDocument/2006/relationships/hyperlink" Target="http://www.sec.gov/Archives/edgar/data/1650648/000095017024135381/fdmt-ex4_1.htm" TargetMode="External"/><Relationship Id="rId31" Type="http://schemas.openxmlformats.org/officeDocument/2006/relationships/hyperlink" Target="http://www.sec.gov/Archives/edgar/data/0001650648/000119312520318232/d28592dex992a.htm" TargetMode="External"/><Relationship Id="rId32" Type="http://schemas.openxmlformats.org/officeDocument/2006/relationships/hyperlink" Target="http://www.sec.gov/Archives/edgar/data/1650648/000119312520311111/d69563dex102b.htm" TargetMode="External"/><Relationship Id="rId33" Type="http://schemas.openxmlformats.org/officeDocument/2006/relationships/hyperlink" Target="http://www.sec.gov/Archives/edgar/data/1650648/000119312520311111/d69563dex102c.htm" TargetMode="External"/><Relationship Id="rId34" Type="http://schemas.openxmlformats.org/officeDocument/2006/relationships/hyperlink" Target="http://www.sec.gov/Archives/edgar/data/1650648/000119312520311111/d69563dex102d.htm" TargetMode="External"/><Relationship Id="rId35" Type="http://schemas.openxmlformats.org/officeDocument/2006/relationships/hyperlink" Target="http://www.sec.gov/Archives/edgar/data/0001650648/000119312520318232/d28592dex993.htm" TargetMode="External"/><Relationship Id="rId36" Type="http://schemas.openxmlformats.org/officeDocument/2006/relationships/hyperlink" Target="http://www.sec.gov/Archives/edgar/data/1650648/000095017025030056/fdmt-ex10_19.htm" TargetMode="External"/><Relationship Id="rId37" Type="http://schemas.openxmlformats.org/officeDocument/2006/relationships/hyperlink" Target="http://www.sec.gov/Archives/edgar/data/1650648/000095017025030056/fdmt-ex10_20.htm" TargetMode="External"/><Relationship Id="rId38" Type="http://schemas.openxmlformats.org/officeDocument/2006/relationships/hyperlink" Target="http://www.sec.gov/Archives/edgar/data/1650648/000095017025030056/fdmt-ex10_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2025-02-28T17:15:55Z</dcterms:created>
  <dcterms:modified xsi:type="dcterms:W3CDTF">2025-02-28T17:15:55Z</dcterms:modified>
</cp:coreProperties>
</file>