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As filed with the Securities and Exchange Commission on March 28, 2022</w:t>
      </w:r>
    </w:p>
    <w:p>
      <w:pPr>
        <w:spacing w:after="0" w:line="4" w:lineRule="exact"/>
        <w:rPr>
          <w:sz w:val="24"/>
          <w:szCs w:val="24"/>
          <w:color w:val="auto"/>
        </w:rPr>
      </w:pPr>
    </w:p>
    <w:p>
      <w:pPr>
        <w:ind w:left="92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jc w:val="center"/>
        <w:ind w:right="-199"/>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ind w:right="-1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4D Molecular Therapeutics,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84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Delaware</w:t>
            </w:r>
          </w:p>
        </w:tc>
        <w:tc>
          <w:tcPr>
            <w:tcW w:w="3380" w:type="dxa"/>
            <w:vAlign w:val="bottom"/>
          </w:tcPr>
          <w:p>
            <w:pPr>
              <w:jc w:val="center"/>
              <w:ind w:left="1868"/>
              <w:spacing w:after="0"/>
              <w:rPr>
                <w:sz w:val="20"/>
                <w:szCs w:val="20"/>
                <w:color w:val="auto"/>
              </w:rPr>
            </w:pPr>
            <w:r>
              <w:rPr>
                <w:rFonts w:ascii="Arial" w:cs="Arial" w:eastAsia="Arial" w:hAnsi="Arial"/>
                <w:sz w:val="14"/>
                <w:szCs w:val="14"/>
                <w:b w:val="1"/>
                <w:bCs w:val="1"/>
                <w:color w:val="auto"/>
                <w:w w:val="90"/>
              </w:rPr>
              <w:t>47-3506994</w:t>
            </w:r>
          </w:p>
        </w:tc>
      </w:tr>
      <w:tr>
        <w:trPr>
          <w:trHeight w:val="148"/>
        </w:trPr>
        <w:tc>
          <w:tcPr>
            <w:tcW w:w="3840" w:type="dxa"/>
            <w:vAlign w:val="bottom"/>
          </w:tcPr>
          <w:p>
            <w:pPr>
              <w:jc w:val="center"/>
              <w:ind w:right="1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5858 Horton Street #455</w:t>
      </w:r>
    </w:p>
    <w:p>
      <w:pPr>
        <w:jc w:val="center"/>
        <w:ind w:right="-199"/>
        <w:spacing w:after="0" w:line="226" w:lineRule="auto"/>
        <w:rPr>
          <w:sz w:val="20"/>
          <w:szCs w:val="20"/>
          <w:color w:val="auto"/>
        </w:rPr>
      </w:pPr>
      <w:r>
        <w:rPr>
          <w:rFonts w:ascii="Arial" w:cs="Arial" w:eastAsia="Arial" w:hAnsi="Arial"/>
          <w:sz w:val="14"/>
          <w:szCs w:val="14"/>
          <w:b w:val="1"/>
          <w:bCs w:val="1"/>
          <w:color w:val="auto"/>
        </w:rPr>
        <w:t>Emeryville, California 94608</w:t>
      </w:r>
    </w:p>
    <w:p>
      <w:pPr>
        <w:jc w:val="center"/>
        <w:ind w:right="-199"/>
        <w:spacing w:after="0" w:line="221" w:lineRule="auto"/>
        <w:rPr>
          <w:sz w:val="20"/>
          <w:szCs w:val="20"/>
          <w:color w:val="auto"/>
        </w:rPr>
      </w:pPr>
      <w:r>
        <w:rPr>
          <w:rFonts w:ascii="Arial" w:cs="Arial" w:eastAsia="Arial" w:hAnsi="Arial"/>
          <w:sz w:val="14"/>
          <w:szCs w:val="14"/>
          <w:b w:val="1"/>
          <w:bCs w:val="1"/>
          <w:color w:val="auto"/>
        </w:rPr>
        <w:t>(510) 505-2680</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David Kirn, M.D.</w:t>
      </w:r>
    </w:p>
    <w:p>
      <w:pPr>
        <w:jc w:val="center"/>
        <w:ind w:right="-1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99"/>
        <w:spacing w:after="0" w:line="221" w:lineRule="auto"/>
        <w:rPr>
          <w:sz w:val="20"/>
          <w:szCs w:val="20"/>
          <w:color w:val="auto"/>
        </w:rPr>
      </w:pPr>
      <w:r>
        <w:rPr>
          <w:rFonts w:ascii="Arial" w:cs="Arial" w:eastAsia="Arial" w:hAnsi="Arial"/>
          <w:sz w:val="14"/>
          <w:szCs w:val="14"/>
          <w:b w:val="1"/>
          <w:bCs w:val="1"/>
          <w:color w:val="auto"/>
        </w:rPr>
        <w:t>4D Molecular Therapeutics, Inc.</w:t>
      </w:r>
    </w:p>
    <w:p>
      <w:pPr>
        <w:jc w:val="center"/>
        <w:ind w:right="-199"/>
        <w:spacing w:after="0" w:line="222" w:lineRule="auto"/>
        <w:rPr>
          <w:sz w:val="20"/>
          <w:szCs w:val="20"/>
          <w:color w:val="auto"/>
        </w:rPr>
      </w:pPr>
      <w:r>
        <w:rPr>
          <w:rFonts w:ascii="Arial" w:cs="Arial" w:eastAsia="Arial" w:hAnsi="Arial"/>
          <w:sz w:val="14"/>
          <w:szCs w:val="14"/>
          <w:b w:val="1"/>
          <w:bCs w:val="1"/>
          <w:color w:val="auto"/>
        </w:rPr>
        <w:t>5858 Horton Street #455</w:t>
      </w:r>
    </w:p>
    <w:p>
      <w:pPr>
        <w:jc w:val="center"/>
        <w:ind w:right="-199"/>
        <w:spacing w:after="0" w:line="221" w:lineRule="auto"/>
        <w:rPr>
          <w:sz w:val="20"/>
          <w:szCs w:val="20"/>
          <w:color w:val="auto"/>
        </w:rPr>
      </w:pPr>
      <w:r>
        <w:rPr>
          <w:rFonts w:ascii="Arial" w:cs="Arial" w:eastAsia="Arial" w:hAnsi="Arial"/>
          <w:sz w:val="14"/>
          <w:szCs w:val="14"/>
          <w:b w:val="1"/>
          <w:bCs w:val="1"/>
          <w:color w:val="auto"/>
        </w:rPr>
        <w:t>Emeryville, California 94608</w:t>
      </w:r>
    </w:p>
    <w:p>
      <w:pPr>
        <w:jc w:val="center"/>
        <w:ind w:right="-199"/>
        <w:spacing w:after="0" w:line="222" w:lineRule="auto"/>
        <w:rPr>
          <w:sz w:val="20"/>
          <w:szCs w:val="20"/>
          <w:color w:val="auto"/>
        </w:rPr>
      </w:pPr>
      <w:r>
        <w:rPr>
          <w:rFonts w:ascii="Arial" w:cs="Arial" w:eastAsia="Arial" w:hAnsi="Arial"/>
          <w:sz w:val="14"/>
          <w:szCs w:val="14"/>
          <w:b w:val="1"/>
          <w:bCs w:val="1"/>
          <w:color w:val="auto"/>
        </w:rPr>
        <w:t>(510) 505-2680</w:t>
      </w: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8" w:lineRule="exact"/>
        <w:rPr>
          <w:sz w:val="24"/>
          <w:szCs w:val="24"/>
          <w:color w:val="auto"/>
        </w:rPr>
      </w:pPr>
    </w:p>
    <w:tbl>
      <w:tblPr>
        <w:tblLayout w:type="fixed"/>
        <w:tblInd w:w="1980" w:type="dxa"/>
        <w:tblCellMar>
          <w:top w:w="0" w:type="dxa"/>
          <w:left w:w="0" w:type="dxa"/>
          <w:bottom w:w="0" w:type="dxa"/>
          <w:right w:w="0" w:type="dxa"/>
        </w:tblCellMar>
      </w:tblPr>
      <w:tr>
        <w:trPr>
          <w:trHeight w:val="206"/>
        </w:trPr>
        <w:tc>
          <w:tcPr>
            <w:tcW w:w="2580" w:type="dxa"/>
            <w:vAlign w:val="bottom"/>
          </w:tcPr>
          <w:p>
            <w:pPr>
              <w:spacing w:after="0"/>
              <w:rPr>
                <w:sz w:val="17"/>
                <w:szCs w:val="17"/>
                <w:color w:val="auto"/>
              </w:rPr>
            </w:pPr>
          </w:p>
        </w:tc>
        <w:tc>
          <w:tcPr>
            <w:tcW w:w="4900" w:type="dxa"/>
            <w:vAlign w:val="bottom"/>
          </w:tcPr>
          <w:p>
            <w:pPr>
              <w:ind w:left="720"/>
              <w:spacing w:after="0"/>
              <w:rPr>
                <w:sz w:val="20"/>
                <w:szCs w:val="20"/>
                <w:color w:val="auto"/>
              </w:rPr>
            </w:pPr>
            <w:r>
              <w:rPr>
                <w:rFonts w:ascii="Arial" w:cs="Arial" w:eastAsia="Arial" w:hAnsi="Arial"/>
                <w:sz w:val="16"/>
                <w:szCs w:val="16"/>
                <w:b w:val="1"/>
                <w:bCs w:val="1"/>
                <w:i w:val="1"/>
                <w:iCs w:val="1"/>
                <w:color w:val="auto"/>
              </w:rPr>
              <w:t>Copies to:</w:t>
            </w:r>
          </w:p>
        </w:tc>
      </w:tr>
      <w:tr>
        <w:trPr>
          <w:trHeight w:val="213"/>
        </w:trPr>
        <w:tc>
          <w:tcPr>
            <w:tcW w:w="2580" w:type="dxa"/>
            <w:vAlign w:val="bottom"/>
          </w:tcPr>
          <w:p>
            <w:pPr>
              <w:jc w:val="center"/>
              <w:ind w:right="668"/>
              <w:spacing w:after="0"/>
              <w:rPr>
                <w:sz w:val="20"/>
                <w:szCs w:val="20"/>
                <w:color w:val="auto"/>
              </w:rPr>
            </w:pPr>
            <w:r>
              <w:rPr>
                <w:rFonts w:ascii="Arial" w:cs="Arial" w:eastAsia="Arial" w:hAnsi="Arial"/>
                <w:sz w:val="14"/>
                <w:szCs w:val="14"/>
                <w:b w:val="1"/>
                <w:bCs w:val="1"/>
                <w:color w:val="auto"/>
                <w:w w:val="94"/>
              </w:rPr>
              <w:t>Mark V. Roeder, Esq.</w:t>
            </w:r>
          </w:p>
        </w:tc>
        <w:tc>
          <w:tcPr>
            <w:tcW w:w="4900" w:type="dxa"/>
            <w:vAlign w:val="bottom"/>
          </w:tcPr>
          <w:p>
            <w:pPr>
              <w:jc w:val="center"/>
              <w:ind w:left="2827"/>
              <w:spacing w:after="0"/>
              <w:rPr>
                <w:sz w:val="20"/>
                <w:szCs w:val="20"/>
                <w:color w:val="auto"/>
              </w:rPr>
            </w:pPr>
            <w:r>
              <w:rPr>
                <w:rFonts w:ascii="Arial" w:cs="Arial" w:eastAsia="Arial" w:hAnsi="Arial"/>
                <w:sz w:val="14"/>
                <w:szCs w:val="14"/>
                <w:b w:val="1"/>
                <w:bCs w:val="1"/>
                <w:color w:val="auto"/>
                <w:w w:val="94"/>
              </w:rPr>
              <w:t>August J. Moretti</w:t>
            </w:r>
          </w:p>
        </w:tc>
      </w:tr>
      <w:tr>
        <w:trPr>
          <w:trHeight w:val="148"/>
        </w:trPr>
        <w:tc>
          <w:tcPr>
            <w:tcW w:w="258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Phillip S. Stoup, Esq.</w:t>
            </w:r>
          </w:p>
        </w:tc>
        <w:tc>
          <w:tcPr>
            <w:tcW w:w="4900" w:type="dxa"/>
            <w:vAlign w:val="bottom"/>
          </w:tcPr>
          <w:p>
            <w:pPr>
              <w:jc w:val="center"/>
              <w:ind w:left="2807"/>
              <w:spacing w:after="0" w:line="149" w:lineRule="exact"/>
              <w:rPr>
                <w:sz w:val="20"/>
                <w:szCs w:val="20"/>
                <w:color w:val="auto"/>
              </w:rPr>
            </w:pPr>
            <w:r>
              <w:rPr>
                <w:rFonts w:ascii="Arial" w:cs="Arial" w:eastAsia="Arial" w:hAnsi="Arial"/>
                <w:sz w:val="14"/>
                <w:szCs w:val="14"/>
                <w:b w:val="1"/>
                <w:bCs w:val="1"/>
                <w:color w:val="auto"/>
                <w:w w:val="92"/>
              </w:rPr>
              <w:t>Scott Bizily</w:t>
            </w:r>
          </w:p>
        </w:tc>
      </w:tr>
      <w:tr>
        <w:trPr>
          <w:trHeight w:val="149"/>
        </w:trPr>
        <w:tc>
          <w:tcPr>
            <w:tcW w:w="258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rPr>
              <w:t>Latham &amp; Watkins LLP</w:t>
            </w:r>
          </w:p>
        </w:tc>
        <w:tc>
          <w:tcPr>
            <w:tcW w:w="4900" w:type="dxa"/>
            <w:vAlign w:val="bottom"/>
          </w:tcPr>
          <w:p>
            <w:pPr>
              <w:jc w:val="center"/>
              <w:ind w:left="2827"/>
              <w:spacing w:after="0" w:line="149" w:lineRule="exact"/>
              <w:rPr>
                <w:sz w:val="20"/>
                <w:szCs w:val="20"/>
                <w:color w:val="auto"/>
              </w:rPr>
            </w:pPr>
            <w:r>
              <w:rPr>
                <w:rFonts w:ascii="Arial" w:cs="Arial" w:eastAsia="Arial" w:hAnsi="Arial"/>
                <w:sz w:val="14"/>
                <w:szCs w:val="14"/>
                <w:b w:val="1"/>
                <w:bCs w:val="1"/>
                <w:color w:val="auto"/>
                <w:w w:val="95"/>
              </w:rPr>
              <w:t>4D Molecular Therapeutics, Inc.</w:t>
            </w:r>
          </w:p>
        </w:tc>
      </w:tr>
      <w:tr>
        <w:trPr>
          <w:trHeight w:val="148"/>
        </w:trPr>
        <w:tc>
          <w:tcPr>
            <w:tcW w:w="258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140 Scott Drive</w:t>
            </w:r>
          </w:p>
        </w:tc>
        <w:tc>
          <w:tcPr>
            <w:tcW w:w="4900" w:type="dxa"/>
            <w:vAlign w:val="bottom"/>
          </w:tcPr>
          <w:p>
            <w:pPr>
              <w:jc w:val="center"/>
              <w:ind w:left="2827"/>
              <w:spacing w:after="0" w:line="149" w:lineRule="exact"/>
              <w:rPr>
                <w:sz w:val="20"/>
                <w:szCs w:val="20"/>
                <w:color w:val="auto"/>
              </w:rPr>
            </w:pPr>
            <w:r>
              <w:rPr>
                <w:rFonts w:ascii="Arial" w:cs="Arial" w:eastAsia="Arial" w:hAnsi="Arial"/>
                <w:sz w:val="14"/>
                <w:szCs w:val="14"/>
                <w:b w:val="1"/>
                <w:bCs w:val="1"/>
                <w:color w:val="auto"/>
                <w:w w:val="92"/>
              </w:rPr>
              <w:t>5858 Horton Street #455</w:t>
            </w:r>
          </w:p>
        </w:tc>
      </w:tr>
      <w:tr>
        <w:trPr>
          <w:trHeight w:val="148"/>
        </w:trPr>
        <w:tc>
          <w:tcPr>
            <w:tcW w:w="258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6"/>
              </w:rPr>
              <w:t>Menlo Park, California 94025</w:t>
            </w:r>
          </w:p>
        </w:tc>
        <w:tc>
          <w:tcPr>
            <w:tcW w:w="4900" w:type="dxa"/>
            <w:vAlign w:val="bottom"/>
          </w:tcPr>
          <w:p>
            <w:pPr>
              <w:jc w:val="center"/>
              <w:ind w:left="2827"/>
              <w:spacing w:after="0" w:line="149" w:lineRule="exact"/>
              <w:rPr>
                <w:sz w:val="20"/>
                <w:szCs w:val="20"/>
                <w:color w:val="auto"/>
              </w:rPr>
            </w:pPr>
            <w:r>
              <w:rPr>
                <w:rFonts w:ascii="Arial" w:cs="Arial" w:eastAsia="Arial" w:hAnsi="Arial"/>
                <w:sz w:val="14"/>
                <w:szCs w:val="14"/>
                <w:b w:val="1"/>
                <w:bCs w:val="1"/>
                <w:color w:val="auto"/>
                <w:w w:val="95"/>
              </w:rPr>
              <w:t>Emeryville, California 94608</w:t>
            </w:r>
          </w:p>
        </w:tc>
      </w:tr>
      <w:tr>
        <w:trPr>
          <w:trHeight w:val="186"/>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w w:val="93"/>
              </w:rPr>
              <w:t>(650) 328-4600</w:t>
            </w:r>
          </w:p>
        </w:tc>
        <w:tc>
          <w:tcPr>
            <w:tcW w:w="4900" w:type="dxa"/>
            <w:vAlign w:val="bottom"/>
          </w:tcPr>
          <w:p>
            <w:pPr>
              <w:jc w:val="center"/>
              <w:ind w:left="2807"/>
              <w:spacing w:after="0"/>
              <w:rPr>
                <w:sz w:val="20"/>
                <w:szCs w:val="20"/>
                <w:color w:val="auto"/>
              </w:rPr>
            </w:pPr>
            <w:r>
              <w:rPr>
                <w:rFonts w:ascii="Arial" w:cs="Arial" w:eastAsia="Arial" w:hAnsi="Arial"/>
                <w:sz w:val="14"/>
                <w:szCs w:val="14"/>
                <w:b w:val="1"/>
                <w:bCs w:val="1"/>
                <w:color w:val="auto"/>
                <w:w w:val="93"/>
              </w:rPr>
              <w:t>(510) 505-2680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p>
      <w:pPr>
        <w:ind w:left="120" w:right="1060"/>
        <w:spacing w:after="0" w:line="223" w:lineRule="exact"/>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From time to time after the effective date of this registration statement.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32" w:lineRule="exact"/>
        <w:rPr>
          <w:sz w:val="24"/>
          <w:szCs w:val="24"/>
          <w:color w:val="auto"/>
        </w:rPr>
      </w:pPr>
    </w:p>
    <w:p>
      <w:pPr>
        <w:ind w:left="120" w:right="2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6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8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ectPr>
          <w:pgSz w:w="11900" w:h="16838" w:orient="portrait"/>
          <w:cols w:equalWidth="0" w:num="1">
            <w:col w:w="11060"/>
          </w:cols>
          <w:pgMar w:left="320" w:top="230" w:right="519" w:bottom="1440" w:gutter="0" w:footer="0" w:header="0"/>
        </w:sectPr>
      </w:pPr>
    </w:p>
    <w:p>
      <w:pPr>
        <w:spacing w:after="0" w:line="45" w:lineRule="exact"/>
        <w:rPr>
          <w:sz w:val="24"/>
          <w:szCs w:val="24"/>
          <w:color w:val="auto"/>
        </w:rPr>
      </w:pPr>
    </w:p>
    <w:p>
      <w:pPr>
        <w:ind w:left="1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120"/>
        <w:spacing w:after="0" w:line="161" w:lineRule="exact"/>
        <w:tabs>
          <w:tab w:leader="none" w:pos="1880" w:val="left"/>
          <w:tab w:leader="none" w:pos="87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23" w:lineRule="exact"/>
        <w:rPr>
          <w:sz w:val="24"/>
          <w:szCs w:val="24"/>
          <w:color w:val="auto"/>
        </w:rPr>
      </w:pPr>
    </w:p>
    <w:p>
      <w:pPr>
        <w:ind w:left="120"/>
        <w:spacing w:after="0" w:line="161" w:lineRule="exact"/>
        <w:tabs>
          <w:tab w:leader="none" w:pos="1880" w:val="left"/>
          <w:tab w:leader="none" w:pos="87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63" w:lineRule="exact"/>
        <w:rPr>
          <w:sz w:val="24"/>
          <w:szCs w:val="24"/>
          <w:color w:val="auto"/>
        </w:rPr>
      </w:pPr>
    </w:p>
    <w:p>
      <w:pPr>
        <w:ind w:left="87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2">
            <w:col w:w="10820" w:space="100"/>
            <w:col w:w="140"/>
          </w:cols>
          <w:pgMar w:left="320" w:top="230" w:right="519" w:bottom="1440" w:gutter="0" w:footer="0" w:header="0"/>
          <w:type w:val="continuous"/>
        </w:sectPr>
      </w:pPr>
    </w:p>
    <w:p>
      <w:pPr>
        <w:ind w:left="120"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ind w:left="120" w:right="20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right="740" w:hanging="424"/>
        <w:spacing w:after="0" w:line="308"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base prospectus which covers the offering, issuance and sale by the registrant of up to a maximum aggregate offering price of $300,000,000 of the registrant’s common stock, preferred stock, debt securities, warrants, and/or units;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prospectus supplement covering the offering, issuance and sale by the registrant of up to a maximum aggregate offering price of</w:t>
      </w:r>
    </w:p>
    <w:p>
      <w:pPr>
        <w:spacing w:after="0" w:line="34" w:lineRule="exact"/>
        <w:rPr>
          <w:rFonts w:ascii="Arial" w:cs="Arial" w:eastAsia="Arial" w:hAnsi="Arial"/>
          <w:sz w:val="17"/>
          <w:szCs w:val="17"/>
          <w:color w:val="auto"/>
        </w:rPr>
      </w:pPr>
    </w:p>
    <w:p>
      <w:pPr>
        <w:ind w:left="1080" w:right="140"/>
        <w:spacing w:after="0" w:line="260" w:lineRule="auto"/>
        <w:rPr>
          <w:rFonts w:ascii="Arial" w:cs="Arial" w:eastAsia="Arial" w:hAnsi="Arial"/>
          <w:sz w:val="17"/>
          <w:szCs w:val="17"/>
          <w:color w:val="auto"/>
        </w:rPr>
      </w:pPr>
      <w:r>
        <w:rPr>
          <w:rFonts w:ascii="Arial" w:cs="Arial" w:eastAsia="Arial" w:hAnsi="Arial"/>
          <w:sz w:val="18"/>
          <w:szCs w:val="18"/>
          <w:color w:val="auto"/>
        </w:rPr>
        <w:t>$100,000,000 of the registrant’s common stock that may be issued and sold under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(sale agreement) with Jefferies LLC.</w:t>
      </w:r>
    </w:p>
    <w:p>
      <w:pPr>
        <w:spacing w:after="0" w:line="18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base prospectus immediately follows this explanatory note. The prospectus supplement immediately follows the base prospectus. The common stock that may be offered, issued and sold by the registrant under the prospectus supplement is included in the $300 million of securities that may be offered, issued and sold by the registrant under the base prospectus. The $100 million of common stock that may be offered, issued and sold under the prospectus supplement is included in the $300 million of securities that may be offered, issued and sold by the Company under the base prospectus. Upon termination of the sale agreement, any portion of the $100 million included in the prospectus supplement that is not previously sold is available for sale in other offerings pursuant to the base prospectus, and if no shares are sold under the sale agreement, the full $300 million of securities may be sold in other offerings pursuant to the base prospectus and a corresponding prospectus supplement.</w:t>
      </w:r>
    </w:p>
    <w:p>
      <w:pPr>
        <w:sectPr>
          <w:pgSz w:w="11900" w:h="16838" w:orient="portrait"/>
          <w:cols w:equalWidth="0" w:num="1">
            <w:col w:w="10980"/>
          </w:cols>
          <w:pgMar w:left="320" w:top="459" w:right="5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March 28,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171450</wp:posOffset>
            </wp:positionV>
            <wp:extent cx="1962785"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278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4D Molecular Therapeutics, Inc.</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$300,000,000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may offer and sell up to $300,000,000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time we offer and sell securities, we will file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340" w:firstLine="4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THE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5 OF THIS PROSPECTUS AND ANY SIMILAR SECTION CONTAINED IN THE APPLICABLE PROSPECTUS SUPPLEMENT CONCERNING FACTORS YOU SHOULD CONSIDER BEFORE INVESTING IN OUR SECURITIES.</w:t>
      </w:r>
    </w:p>
    <w:p>
      <w:pPr>
        <w:spacing w:after="0" w:line="18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“FDMT.” On March 25, 2022, the last reported sale price of our common stock on the Nasdaq Global Select Market was $15.13 per share.</w:t>
      </w:r>
    </w:p>
    <w:p>
      <w:pPr>
        <w:spacing w:after="0" w:line="166" w:lineRule="exact"/>
        <w:rPr>
          <w:sz w:val="20"/>
          <w:szCs w:val="20"/>
          <w:color w:val="auto"/>
        </w:rPr>
      </w:pPr>
    </w:p>
    <w:p>
      <w:pPr>
        <w:ind w:left="120" w:righ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00"/>
          </w:cols>
          <w:pgMar w:left="320" w:top="459" w:right="47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840" w:type="dxa"/>
            <w:vAlign w:val="bottom"/>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2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TABLE OF CONTENTS</w:t>
            </w:r>
          </w:p>
        </w:tc>
        <w:tc>
          <w:tcPr>
            <w:tcW w:w="4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72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WHERE YOU CAN FIND MORE INFORMATION; INCORPORATION BY REFERENCE</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THE COMPANY</w:t>
              </w:r>
            </w:hyperlink>
          </w:p>
        </w:tc>
        <w:tc>
          <w:tcPr>
            <w:tcW w:w="544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USE OF PROCEEDS</w:t>
              </w:r>
            </w:hyperlink>
          </w:p>
        </w:tc>
        <w:tc>
          <w:tcPr>
            <w:tcW w:w="5140" w:type="dxa"/>
            <w:vAlign w:val="bottom"/>
            <w:gridSpan w:val="8"/>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CAPITAL STOCK</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DESCRIPTION OF DEBT SECURITIES</w:t>
              </w:r>
            </w:hyperlink>
          </w:p>
        </w:tc>
        <w:tc>
          <w:tcPr>
            <w:tcW w:w="370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DESCRIPTION OF WARRANTS</w:t>
              </w:r>
            </w:hyperlink>
          </w:p>
        </w:tc>
        <w:tc>
          <w:tcPr>
            <w:tcW w:w="424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DESCRIPTION OF UNITS</w:t>
              </w:r>
            </w:hyperlink>
          </w:p>
        </w:tc>
        <w:tc>
          <w:tcPr>
            <w:tcW w:w="4700" w:type="dxa"/>
            <w:vAlign w:val="bottom"/>
            <w:gridSpan w:val="6"/>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GLOBAL SECURITIES</w:t>
              </w:r>
            </w:hyperlink>
          </w:p>
        </w:tc>
        <w:tc>
          <w:tcPr>
            <w:tcW w:w="4920" w:type="dxa"/>
            <w:vAlign w:val="bottom"/>
            <w:gridSpan w:val="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PLAN OF DISTRIBUTION</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4680" w:type="dxa"/>
            <w:vAlign w:val="bottom"/>
            <w:gridSpan w:val="5"/>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ectPr>
          <w:pgSz w:w="11900" w:h="16838" w:orient="portrait"/>
          <w:cols w:equalWidth="0" w:num="1">
            <w:col w:w="11080"/>
          </w:cols>
          <w:pgMar w:left="320" w:top="44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(the SEC) using a “shelf” registration process. By using a shelf registration statement, we may sell securities from time to time and in one or more offerings up to a total dollar amount of $300,000,000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When we refer to “4D Molecular Therapeutics,” “4DMT,” “we,” “our,” “us” and the “Company” in this prospectus, we mean 4D Molecular Therapeutics, Inc., unless otherwise specified. When we refer to “you,” we mean the potential holders of the applicable series of securities.</w:t>
      </w:r>
    </w:p>
    <w:p>
      <w:pPr>
        <w:spacing w:after="0" w:line="12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4D Molecular Therapeutics</w:t>
      </w:r>
      <w:r>
        <w:rPr>
          <w:rFonts w:ascii="Arial" w:cs="Arial" w:eastAsia="Arial" w:hAnsi="Arial"/>
          <w:sz w:val="15"/>
          <w:szCs w:val="15"/>
          <w:color w:val="auto"/>
        </w:rPr>
        <w:t>™</w:t>
      </w:r>
      <w:r>
        <w:rPr>
          <w:rFonts w:ascii="Arial" w:cs="Arial" w:eastAsia="Arial" w:hAnsi="Arial"/>
          <w:sz w:val="18"/>
          <w:szCs w:val="18"/>
          <w:color w:val="auto"/>
        </w:rPr>
        <w:t>, Therapeutic Vector Evolution</w:t>
      </w:r>
      <w:r>
        <w:rPr>
          <w:rFonts w:ascii="Arial" w:cs="Arial" w:eastAsia="Arial" w:hAnsi="Arial"/>
          <w:sz w:val="15"/>
          <w:szCs w:val="15"/>
          <w:color w:val="auto"/>
        </w:rPr>
        <w:t>™</w:t>
      </w:r>
      <w:r>
        <w:rPr>
          <w:rFonts w:ascii="Arial" w:cs="Arial" w:eastAsia="Arial" w:hAnsi="Arial"/>
          <w:sz w:val="18"/>
          <w:szCs w:val="18"/>
          <w:color w:val="auto"/>
        </w:rPr>
        <w:t xml:space="preserve"> and our logo are some of our trademarks and tradenames used in this prospectus. This prospectus also includes trademarks, tradenames and service marks that are the property of other organizations. Solely for convenience, our trademarks and tradenames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web site address is www.4dmoleculartherapeutics.com. The information on our web site, however, is not, and should not be deemed to be, a part of this prospectus.</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28,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29">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February 22, 2022.</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w:t>
      </w:r>
      <w:hyperlink r:id="rId30">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filed with the SEC on March 28, 2022 and any amendment or report filed with the SEC for the purpose of updating the description.</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rights agreement, contained in </w:t>
      </w:r>
      <w:hyperlink r:id="rId31">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filed with the SEC on March 28, 2022 and any amendment or report filed with the SEC for the purpose of updating the description.</w:t>
      </w:r>
    </w:p>
    <w:p>
      <w:pPr>
        <w:spacing w:after="0" w:line="170" w:lineRule="exact"/>
        <w:rPr>
          <w:rFonts w:ascii="Arial" w:cs="Arial" w:eastAsia="Arial" w:hAnsi="Arial"/>
          <w:sz w:val="18"/>
          <w:szCs w:val="18"/>
          <w:color w:val="auto"/>
        </w:rPr>
      </w:pPr>
    </w:p>
    <w:p>
      <w:pPr>
        <w:ind w:left="120" w:firstLine="440"/>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0"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4D MOLECULAR THERAPEUTICS,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5858 HORTON STREET #455</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EMERYVILLE, CALIFORNIA 94608</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(510) 505-2680</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We believe key features of our targeted and evolved vectors will help us to potentially create targeted gene therapy product candidates with improved therapeutic profiles, and to address a broad range of both rare and large market diseases, including those that other gene therapies are unable to address.</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built a deep portfolio of gene therapy product candidates, with five product candidates in clinical trials: 4D-125 for the treatment of X-linked retinitis pigmentosa, 4D-150 for the treatment of wet age-related macular degeneration, 4D-110 for the treatment of choroideremia, 4D-310 for the treatment of Fabry disease, and 4D-710 for the treatment of cystic fibrosis lung disease.</w:t>
      </w:r>
    </w:p>
    <w:p>
      <w:pPr>
        <w:spacing w:after="0" w:line="18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believe we are positioned to create, develop, manufacture and, if approved, effectively commercialize targeted gene therapies that could transform the lives of patients suffering from debilitating diseases.</w:t>
      </w:r>
    </w:p>
    <w:p>
      <w:pPr>
        <w:spacing w:after="0" w:line="170"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We were formed on September 12, 2013 as a Delaware limited liability corporation under the name 4D Molecular Therapeutics, LLC. On March 11, 2015, 4D Molecular Therapeutics, Inc. was incorporated as a Delaware corporation. On March 20, 2015, 4D Molecular Therapeutics, LLC merged with 4D Molecular Therapeutics, Inc., with 4D Molecular Therapeutics, Inc. being the surviving entity. Our principal executive offices are located at 5858 Horton Street #455, Emeryville, California 94608, and our telephone number is (510) 505-2680. Our website address is www.4dmoleculartherapeutics.com. The information on, or that can be accessed through, our website is not part of this prospectus. We have included our website address as an inactive textual reference only.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320" w:top="459" w:right="7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4D Molecular Therapeutics, Inc. had one class of common stock registered under Section 12 of the Exchange Act.</w:t>
      </w:r>
    </w:p>
    <w:p>
      <w:pPr>
        <w:spacing w:after="0" w:line="248"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The following summary describes our capital stock and the material provisions of our amended and restated certificate of incorporation, our amended and restated bylaws, the amended and restated investors’ rights agreement to which we and certain of our stockholders are parties, and the Delaware General Corporation Law (the DGCL).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each of which is incorporated herein by reference as an exhibit to the Annual Report on Form 10-K filed with the SEC.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authorized capital stock consists of 300,000,000 shares of common stock, $0.0001 par value per share, and 10,000,000 shares of preferred stock, $0.0001 par value per share. As of December 31, 2021, there were outstanding:</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32,224,524 shares of our common stock held by approximately 31 stockholders of record;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3,881,274 shares of our common stock issuable upon exercise of outstanding stock options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is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and Preferences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Fully Paid and Nonassessable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or other corporate action. As of December 31, 2021, no shares of preferred stock are outstanding, and we have no present plan to issue any shares of preferred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December 31, 2021, we had outstanding options to purchase 3,881,274 shares of our common stock, with a per share weighted-average exercise price of $19.86, under our 2020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of December 31, 2021, we had warrants outstanding with the option to purchase 53,669 shares of our common stock, with a weighted-average exercise price of $11.47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Under our amended and restated investors’ rights agreement, based on the number of shares outstanding as of December 31, 2021, the holders of approximately 6.4 million shares of our common stock, or their transferees, have the right to require us to register their shares under the Securities Act of 1933, as amended (the Securities Act) so that those shares may be publicly resold, and the holders of approximately 6.4 million shares of our common stock, or their transferees, have the right to include their shares in any registration statement we file, in each case as described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Based on the number of shares outstanding as of December 31, 2021, the holders of approximately 6.4 million shares of our common stock (on an as-converted basis), or their transferees, are entitled to certain demand registration rights. The holders of at least 50% of these shares can, on not more than two occasions, request that we register all or a portion of their shares if the aggregate price to the public of the shares offered is at least $30.0 million (before deductions of underwriters’ commissions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Based on the number of shares outstanding as of December 31, 2021, in the event that we determine to register any of our securities under the Securities Act (subject to certain exceptions), either for our own account or for the account of other security holders, the holders of approximately 6.4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exclude or limit the number of shares such holders may include.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Form S-3 Registration Rights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Based on the number of shares outstanding as of December 31, 2021, the holders of approximately 6.4 million shares of our common stock (on an as-converted basis), or their transferees, are entitled to certain Form S-3 registration rights. The holders of at least 30% of these registrable securities then outstanding can make a written request that we register their shares on Form S-3 if we are eligible to file a registration statement on Form S-3 and if the aggregate price to the public of the shares offered is at least $5.0 million (before deductions of underwriters’ commissions and expenses). These stockholders may make an unlimited number of requests for registration on Form S-3, but in no event shall we be required to file more than two registrations on Form S-3 in any given twelve-month period.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 of Registration</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We will pay the registration expenses of the holders of the shares registered pursuant to the demand, piggyback and Form S-3 registration rights described above, including the expenses in an amount not to exceed $25,000 of one special counsel for the selling holders.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Expiration of Registration Rights</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demand, piggyback and Form S-3 registration rights described above will expire, with respect to any particular stockholder, upon the earlier of December 10, 2025 or when that stockholder can sell all of its shares under Rule 144 of the Securities Act during any three-month period (and without the requirement for us to be in compliance with the current public information required under Section c(1) of Rule 144 of the Securities Act).</w:t>
      </w:r>
    </w:p>
    <w:p>
      <w:pPr>
        <w:spacing w:after="0" w:line="253" w:lineRule="exact"/>
        <w:rPr>
          <w:sz w:val="20"/>
          <w:szCs w:val="20"/>
          <w:color w:val="auto"/>
        </w:rPr>
      </w:pPr>
    </w:p>
    <w:p>
      <w:pPr>
        <w:ind w:left="120" w:right="54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our common stock.</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Undesignated Preferred Stock</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Stockholder Meetings</w:t>
      </w:r>
    </w:p>
    <w:p>
      <w:pPr>
        <w:spacing w:after="0" w:line="117"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Our amended and restated bylaws provide that a special meeting of stockholders may be called at any time by our board of directors, or our President or Chief Executive Officer, but such special meetings may not be called by our stockholders or any other person or persons.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Our amended and restated bylaws established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do not provide for the right of stockholders to act by written consent without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Classified Board; Election and Removal of Directors; Filling Vacancies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board of directors is divided into three classes.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are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For more information on the classified board, see the section titled “Management—Board Composition” in our Definitive Proxy Statement on Schedule 14A, filed with the SEC on April 6, 2021. Furthermore, any vacancy on our board of directors, however occurring, including a vacancy resulting from an increase in the size of our board of directors, may only be filled by a resolution of our board of directors unless our board of directors determines that such vacancies shall be filled by our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Choice of Forum</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of fiduciary duty owed by any of our directors, officers or stockholders to us or to our stockholders; any action asserting a claim against us arising pursuant to the DGCL,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7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7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Charter Provisions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amendment of any of the above provisions in our amended and restated certificate of incorporation, except for the provision making it possible for our board of directors to issue undesignated preferred stock, requires approval by a stockholder vote by the holders of at least a 66 2/3% of the voting power of the then outstanding voting stock.</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89" w:lineRule="exact"/>
        <w:rPr>
          <w:sz w:val="20"/>
          <w:szCs w:val="20"/>
          <w:color w:val="auto"/>
        </w:rPr>
      </w:pPr>
    </w:p>
    <w:p>
      <w:pPr>
        <w:ind w:left="5540" w:right="5080" w:hanging="4884"/>
        <w:spacing w:after="0" w:line="535" w:lineRule="auto"/>
        <w:tabs>
          <w:tab w:leader="none" w:pos="1091"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our stockholders; 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Each of our amended and restated certificate of incorporation and amended and restated bylaws provides that we are required to indemnify our directors and officers, in each case to the fullest extent permitted by Delaware law. Our amended and restated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8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“FDMT.”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debt securities will be issued under an indenture between us and ,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54"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6"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(DTC), or a nominee of DTC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DTC, and registered in the name of DTC or a nominee of DTC. Please see “Global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(Article IV)</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0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the surviving entity or the successor person (if other than 4DMT) is a corporation, partnership, trust or other entity organized and validly existing under the laws and expressly assumes our obligations on the debt securities and under the indenture;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4DMT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4DMT;</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provides that, unless otherwise provided by the terms of the applicable series of debt securities, we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76" w:lineRule="exact"/>
        <w:rPr>
          <w:sz w:val="20"/>
          <w:szCs w:val="20"/>
          <w:color w:val="auto"/>
        </w:rPr>
      </w:pPr>
    </w:p>
    <w:p>
      <w:pPr>
        <w:ind w:left="1080" w:right="1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20" w:hanging="424"/>
        <w:spacing w:after="0" w:line="273"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80" w:right="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any rights as stockholders of 4DMT.</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9" w:right="5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as depositary,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such circumstances, in the event that a successor depositary is not obtained, securities certificates are required to be printed and delivered.</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6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459"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4D Molecular Therapeutics,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March 28,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171450</wp:posOffset>
            </wp:positionV>
            <wp:extent cx="2211705" cy="677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21170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Up to $100,000,000</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(sale agreement) with Jefferies LLC (Jefferies) dated March 28, 2022, relating to shares of our common stock offered by this prospectus supplement and the accompanying prospectus. In accordance with the terms of the sale agreement, pursuant to this prospectus supplement, we may offer and sell shares of our common stock, $0.0001 par value per share, having an aggregate offering price of up to $100,000,000 from time to time through Jefferies acting as agent.</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“FMDT.” On March 25, 2022, the last reported sale price of our common stock on the Nasdaq Global Select Market was $15.13 per share.</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Sales of our common stock, if any, under this prospectus supplement and the accompanying prospectus will be made in sales deemed to be “at the market offerings” as defined in Rule 415(a)(4) promulgated under the Securities Act of 1933, as amended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8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compensation to Jefferies for sales of common stock pursuant to the sale agreement will be an amount up to 3.0% of the gross proceeds of any shares of common stock sold under the sale agreement. In connection with the sale of the common stock on our behalf, Jefferies will be deemed to be an “underwriter” within the meaning of the Securities Act and the compensation of Jefferies will be deemed to be underwriting commissions or discounts.</w:t>
      </w:r>
    </w:p>
    <w:p>
      <w:pPr>
        <w:spacing w:after="0" w:line="2"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We have also agreed to provide indemnification and contribution to Jefferies with respect to certain liabilities, including liabilities under the Securities Act or the Securities Exchange Act of 1934, as amended (the Exchange Act). See “Plan of Distribution” beginning on page S-12 for additional information regarding the compensation to be paid to 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right="140" w:firstLine="551"/>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a high degree of risk. Before making an investment decision, please read the information under the heading “</w:t>
      </w:r>
      <w:hyperlink w:anchor="page42">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 and in the documents incorporated by reference into this prospectus supplement.</w:t>
      </w:r>
    </w:p>
    <w:p>
      <w:pPr>
        <w:spacing w:after="0" w:line="169" w:lineRule="exact"/>
        <w:rPr>
          <w:sz w:val="20"/>
          <w:szCs w:val="20"/>
          <w:color w:val="auto"/>
        </w:rPr>
      </w:pPr>
    </w:p>
    <w:p>
      <w:pPr>
        <w:ind w:left="120" w:right="1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245745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40"/>
          </w:cols>
          <w:pgMar w:left="320" w:top="459" w:right="4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60" w:type="dxa"/>
            <w:vAlign w:val="bottom"/>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gridSpan w:val="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ABOUT THIS PROSPECTUS SUPPLEMENT</w:t>
              </w:r>
            </w:hyperlink>
          </w:p>
        </w:tc>
        <w:tc>
          <w:tcPr>
            <w:tcW w:w="5100" w:type="dxa"/>
            <w:vAlign w:val="bottom"/>
            <w:gridSpan w:val="4"/>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MARKET, INDUSTRY AND OTHER DATA</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3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PROSPECTUS SUMMARY</w:t>
              </w:r>
            </w:hyperlink>
          </w:p>
        </w:tc>
        <w:tc>
          <w:tcPr>
            <w:tcW w:w="522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THE OFFERING</w:t>
              </w:r>
            </w:hyperlink>
          </w:p>
        </w:tc>
        <w:tc>
          <w:tcPr>
            <w:tcW w:w="800" w:type="dxa"/>
            <w:vAlign w:val="bottom"/>
            <w:tcBorders>
              <w:top w:val="single" w:sz="8" w:color="0000EE"/>
            </w:tcBorders>
            <w:gridSpan w:val="4"/>
          </w:tcPr>
          <w:p>
            <w:pPr>
              <w:spacing w:after="0"/>
              <w:rPr>
                <w:sz w:val="17"/>
                <w:szCs w:val="17"/>
                <w:color w:val="auto"/>
              </w:rPr>
            </w:pPr>
          </w:p>
        </w:tc>
        <w:tc>
          <w:tcPr>
            <w:tcW w:w="646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CAUTIONARY NOTE REGARDING FORWARD-LOOKING STATEMENTS</w:t>
              </w:r>
            </w:hyperlink>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USE OF PROCEEDS</w:t>
              </w:r>
            </w:hyperlink>
          </w:p>
        </w:tc>
        <w:tc>
          <w:tcPr>
            <w:tcW w:w="69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DILUTION</w:t>
              </w:r>
            </w:hyperlink>
          </w:p>
        </w:tc>
        <w:tc>
          <w:tcPr>
            <w:tcW w:w="76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650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20"/>
        </w:trPr>
        <w:tc>
          <w:tcPr>
            <w:tcW w:w="120" w:type="dxa"/>
            <w:vAlign w:val="bottom"/>
          </w:tcPr>
          <w:p>
            <w:pPr>
              <w:spacing w:after="0" w:line="20" w:lineRule="exact"/>
              <w:rPr>
                <w:sz w:val="1"/>
                <w:szCs w:val="1"/>
                <w:color w:val="auto"/>
              </w:rPr>
            </w:pPr>
          </w:p>
        </w:tc>
        <w:tc>
          <w:tcPr>
            <w:tcW w:w="3800" w:type="dxa"/>
            <w:vAlign w:val="bottom"/>
            <w:gridSpan w:val="11"/>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INFORMATION INCORPORATED BY REFERENCE</w:t>
              </w:r>
            </w:hyperlink>
          </w:p>
        </w:tc>
        <w:tc>
          <w:tcPr>
            <w:tcW w:w="452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bl>
    <w:p>
      <w:pPr>
        <w:sectPr>
          <w:pgSz w:w="11900" w:h="16838" w:orient="portrait"/>
          <w:cols w:equalWidth="0" w:num="1">
            <w:col w:w="11080"/>
          </w:cols>
          <w:pgMar w:left="320" w:top="44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0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U.S. Securities and Exchange Commission (the SEC) utilizing a “shelf” registration process. By using a shelf registration statement, we may offer shares of our common stock having an aggregate offering price of up to $100,000,000 from time to time under this prospectus supplement at prices and on terms to be determined by market conditions at the time of offering.</w:t>
      </w:r>
    </w:p>
    <w:p>
      <w:pPr>
        <w:spacing w:after="0" w:line="14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2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in any free writing prospectus that we may authorize for use in connection with this offering. We have not, and Jefferies has not, authorized any other person to provide you with different information. If anyone provides you with different or inconsistent information, you should not rely on it. We are not, and Jefferies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 of this prospectus entitled “Where You Can Find More Information; Incorporation by Reference.”</w:t>
      </w:r>
    </w:p>
    <w:p>
      <w:pPr>
        <w:spacing w:after="0" w:line="15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52"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When we refer to “4D Molecular Therapeutics,” “4DMT,” “we,” “our,” “us” and the “Company” in this prospectus, we mean 4D Molecular Therapeutics, Inc. unless otherwise specified. When we refer to “you,” we mean the potential holders of the applicable series of securities.</w:t>
      </w:r>
    </w:p>
    <w:p>
      <w:pPr>
        <w:spacing w:after="0" w:line="83"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4D Molecular Therapeutics</w:t>
      </w:r>
      <w:r>
        <w:rPr>
          <w:rFonts w:ascii="Arial" w:cs="Arial" w:eastAsia="Arial" w:hAnsi="Arial"/>
          <w:sz w:val="15"/>
          <w:szCs w:val="15"/>
          <w:color w:val="auto"/>
        </w:rPr>
        <w:t>™</w:t>
      </w:r>
      <w:r>
        <w:rPr>
          <w:rFonts w:ascii="Arial" w:cs="Arial" w:eastAsia="Arial" w:hAnsi="Arial"/>
          <w:sz w:val="18"/>
          <w:szCs w:val="18"/>
          <w:color w:val="auto"/>
        </w:rPr>
        <w:t>, Therapeutic Vector Evolution</w:t>
      </w:r>
      <w:r>
        <w:rPr>
          <w:rFonts w:ascii="Arial" w:cs="Arial" w:eastAsia="Arial" w:hAnsi="Arial"/>
          <w:sz w:val="15"/>
          <w:szCs w:val="15"/>
          <w:color w:val="auto"/>
        </w:rPr>
        <w:t>™</w:t>
      </w:r>
      <w:r>
        <w:rPr>
          <w:rFonts w:ascii="Arial" w:cs="Arial" w:eastAsia="Arial" w:hAnsi="Arial"/>
          <w:sz w:val="18"/>
          <w:szCs w:val="18"/>
          <w:color w:val="auto"/>
        </w:rPr>
        <w:t xml:space="preserve"> and our logo are some of our trademarks and tradenames used in this prospectus. This prospectus also includes trademarks, tradenames and service marks that are the property of other organizations. Solely for convenience, our trademarks and tradenames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including the information incorporated by reference, contains estimates, projections and other information concerning our industry, our business, and the market for gene therapy,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8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This industry, business, market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supplement and we believe the market position, market opportunity, market size and other information included or incorporated by reference in this prospectus supplement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supplement or in the documents incorporated by reference herein. These and other factors could cause results to differ materially from those expressed in the estimates made by the independent parties and by us.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i w:val="1"/>
          <w:iCs w:val="1"/>
          <w:color w:val="auto"/>
        </w:rPr>
        <w:t>This summary does not contain all of the information you should consider before buying our common stock. You should read the entire prospectus carefully, especially the “Risk Factors” section beginning on page S-6, our most recent annual report on Form 10-K and our consolidated financial statements and the related notes incorporated by reference into this prospectus, before deciding to invest in our common stock.</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We believe key features of our targeted and evolved vectors will help us to potentially create targeted gene therapy product candidates with improved therapeutic profiles, and to address a broad range of both rare and large market diseases, including those that other gene therapies are unable to address.</w:t>
      </w:r>
    </w:p>
    <w:p>
      <w:pPr>
        <w:spacing w:after="0" w:line="192"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have built a deep portfolio of gene therapy product candidates, with five product candidates in clinical trials: 4D-125 for the treatment of X-linked retinitis pigmentosa, 4D-150 for the treatment of wet age-related macular degeneration, 4D-110 for the treatment of choroideremia, 4D-310 for the treatment of Fabry disease, and 4D-710 for the treatment of cystic fibrosis lung disease.</w:t>
      </w:r>
    </w:p>
    <w:p>
      <w:pPr>
        <w:spacing w:after="0" w:line="184"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We believe we are positioned to create, develop, manufacture and, if approved, effectively commercialize targeted gene therapies that could transform the lives of patients suffering from debilitating diseases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We were formed on September 12, 2013 as a Delaware limited liability corporation under the name 4D Molecular Therapeutics, LLC. On March 11, 2015, 4D Molecular Therapeutics, Inc. was incorporated as a Delaware corporation. On March 20, 2015, 4D Molecular Therapeutics, LLC merged with 4D Molecular Therapeutics, Inc., with 4D Molecular Therapeutics, Inc. being the surviving entity. Our principal executive offices are located at 5858 Horton Street #455, Emeryville, California 94608, and our telephone number is (510) 505-2680. Our website address is www.4dmoleculartherapeutics.com. The information on, or that can be accessed through, our website is not part of this prospectus. We have included our website address as an inactive textual reference only.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earlier of (i) December 31, 2025, (ii) the last day of the year in which we have total annual gross revenue of at least $1.07 billion, (iii) the last day of the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72" w:lineRule="exact"/>
        <w:rPr>
          <w:sz w:val="20"/>
          <w:szCs w:val="20"/>
          <w:color w:val="auto"/>
        </w:rPr>
      </w:pPr>
    </w:p>
    <w:p>
      <w:pPr>
        <w:ind w:left="1240" w:right="2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present only two years of audited financial statements, plus unaudited financial statements for any interim period, and related management’s discussion and analysis of financial condition and results of operations;</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40"/>
          </w:cols>
          <w:pgMar w:left="320" w:top="459" w:right="7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61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998970" cy="2661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20" w:hanging="415"/>
        <w:spacing w:after="0" w:line="342"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will avail ourselves of the exemption from the requirement to obtain an attestation and report from our auditors on the assessment of our internal control over financial reporting pursuant to the Sarbanes-Oxley Act of 2002 (the Sarbanes-Oxley Act);</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will not require stockholder non-binding advisory votes on executive compensation or golden parachute arrangements; and</w:t>
      </w:r>
    </w:p>
    <w:p>
      <w:pPr>
        <w:spacing w:after="0" w:line="142" w:lineRule="exact"/>
        <w:rPr>
          <w:rFonts w:ascii="Arial" w:cs="Arial" w:eastAsia="Arial" w:hAnsi="Arial"/>
          <w:sz w:val="17"/>
          <w:szCs w:val="17"/>
          <w:color w:val="auto"/>
        </w:rPr>
      </w:pPr>
    </w:p>
    <w:p>
      <w:pPr>
        <w:ind w:left="1240" w:right="220" w:hanging="415"/>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take advantage of extended transition periods to comply with new or revised accounting standards, delaying the adoption of these accounting standards until they would apply to private companies.</w:t>
      </w:r>
    </w:p>
    <w:p>
      <w:pPr>
        <w:spacing w:after="0" w:line="170"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We are also a “smaller reporting company” as defined in the Securities Act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64"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$100,000,000.</w:t>
      </w:r>
    </w:p>
    <w:p>
      <w:pPr>
        <w:spacing w:after="0" w:line="16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160"/>
        <w:spacing w:after="0" w:line="301" w:lineRule="auto"/>
        <w:rPr>
          <w:sz w:val="20"/>
          <w:szCs w:val="20"/>
          <w:color w:val="auto"/>
        </w:rPr>
      </w:pPr>
      <w:r>
        <w:rPr>
          <w:rFonts w:ascii="Arial" w:cs="Arial" w:eastAsia="Arial" w:hAnsi="Arial"/>
          <w:sz w:val="16"/>
          <w:szCs w:val="16"/>
          <w:color w:val="auto"/>
        </w:rPr>
        <w:t>Up to 6,609,385 shares, assuming sales of 6,609,385 shares of our common stock in this offering at an offering price of $15.13 per share, which was the last reported sale price of our common stock on the Nasdaq Global Select Market on March 25, 2022. The actual number of shares issued will vary depending on the sales price under this offering.</w:t>
      </w:r>
    </w:p>
    <w:p>
      <w:pPr>
        <w:spacing w:after="0" w:line="63" w:lineRule="exact"/>
        <w:rPr>
          <w:sz w:val="20"/>
          <w:szCs w:val="20"/>
          <w:color w:val="auto"/>
        </w:rPr>
      </w:pPr>
    </w:p>
    <w:p>
      <w:pPr>
        <w:sectPr>
          <w:pgSz w:w="11900" w:h="16838" w:orient="portrait"/>
          <w:cols w:equalWidth="0" w:num="2">
            <w:col w:w="3980" w:space="36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Plan of Distribution</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Jefferies. See “Plan of Distribution” on page S-12.</w:t>
      </w:r>
    </w:p>
    <w:p>
      <w:pPr>
        <w:spacing w:after="0" w:line="76"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We intend to use the net proceeds from this offering, if any, for general corporate purposes, which may include, among other things, increasing our working capital and funding research and development, commercial activities, and capital expenditures. See “Use of Proceeds” on page S-9.</w:t>
      </w:r>
    </w:p>
    <w:p>
      <w:pPr>
        <w:spacing w:after="0" w:line="92"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You should read the “Risk Factors” section of this prospectus and in the documents incorporated by reference in this prospectus for a discussion of factors to consider before deciding to purchase shares of our common stock.</w:t>
      </w:r>
    </w:p>
    <w:p>
      <w:pPr>
        <w:spacing w:after="0" w:line="89"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Symbol on the Nasdaq Global Select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“FDMT”</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9"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32,224,524 shares of our common stock outstanding as of December 31, 2021, and excludes:</w:t>
      </w:r>
    </w:p>
    <w:p>
      <w:pPr>
        <w:spacing w:after="0" w:line="76" w:lineRule="exact"/>
        <w:rPr>
          <w:sz w:val="20"/>
          <w:szCs w:val="20"/>
          <w:color w:val="auto"/>
        </w:rPr>
      </w:pPr>
    </w:p>
    <w:p>
      <w:pPr>
        <w:ind w:left="124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3,881,274 shares of our common stock issuable upon the exercise of stock options to purchase common stock that were outstanding as of December 31, 2021, with a weighted-average exercise price of $19.86 per share;</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53,669 shares of our common stock issuable upon the exercise of outstanding warrants, with a weighted-average exercise price of $11.47 per share;</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1,167,086 shares of our common stock issuable upon the exercise of stock options to purchase common stock that were granted after December 31, 2021, with a weighted-average exercise price of $15.21 per share;</w:t>
      </w:r>
    </w:p>
    <w:p>
      <w:pPr>
        <w:spacing w:after="0" w:line="75" w:lineRule="exact"/>
        <w:rPr>
          <w:rFonts w:ascii="Arial" w:cs="Arial" w:eastAsia="Arial" w:hAnsi="Arial"/>
          <w:sz w:val="18"/>
          <w:szCs w:val="18"/>
          <w:color w:val="auto"/>
        </w:rPr>
      </w:pPr>
    </w:p>
    <w:p>
      <w:pPr>
        <w:jc w:val="both"/>
        <w:ind w:left="1240" w:right="160" w:hanging="415"/>
        <w:spacing w:after="0" w:line="263"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2,690,097 shares of our common stock reserved for issuance pursuant to future awards under our 2020 Equity Incentive Award Plan (the 2020 Plan), as well as any automatic increases in the number of shares of our common stock reserved for future issuance under this plan; and</w:t>
      </w:r>
    </w:p>
    <w:p>
      <w:pPr>
        <w:spacing w:after="0" w:line="89"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498,747 shares of our common stock reserved for issuance pursuant to future awards under our 2020 Employee Stock Purchase Plan (the ESPP), as well as any automatic increases in the number of shares of our common stock reserved for future issuance under this plan.</w:t>
      </w:r>
    </w:p>
    <w:p>
      <w:pPr>
        <w:spacing w:after="0" w:line="184"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In addition, unless we specifically state otherwise, all information in this prospectus reflects and assumes no exercise of outstanding stock options or warrants described above.</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00"/>
          </w:cols>
          <w:pgMar w:left="320" w:top="459" w:right="6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You should consider carefully the risks described below and discussed under the section captioned “Risk Factors” contained in our most recent annual report on Form 10-K, as updated by our subsequent filings under the Exchange Act, each of which is incorporated by reference in this prospectus in their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6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management will have broad discretion over the use of proceeds from this offering. The net proceeds from this offering will be used for general corporate purposes, which may include, among other things, increasing our working capital and funding research and development, commercial activities, and capital expenditures.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You may experience immediate and substantial dilution in the net tangible book value per share of the common stock you purchase in this offering.</w:t>
      </w:r>
    </w:p>
    <w:p>
      <w:pPr>
        <w:spacing w:after="0" w:line="15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common stock outstanding prior to this offering. Assuming that an aggregate of 6,609,385 shares are sold at a price of $15.13 per share, the last reported sale price of our common stock on the Nasdaq Global Select Market on March 25, 2022, for aggregate proceeds of $96.6 million in this offering, and after deducting commissions and estimated aggregate offering expenses payable by us, you will suffer immediate and substantial dilution of $4.42 per share, representing the difference between the as adjusted net tangible book value per share of our common stock as of December 31, 2021 after giving effect to this offering and the assumed offering price. See the section entitled “Dilution” below for a more detailed discussion of the dilution you will incur if you purchase common stock in this offering.</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December 31, 2021, 7,123,787 shares of common stock that are either subject to outstanding options, reserved for future issuance under our equity incentive plans or subject to outstanding warrants are eligible for sale in the public market to the extent permitted by the provisions of various vesting schedules and Rule 144 and Rule 701 under the Securities Act.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83" w:lineRule="exact"/>
        <w:rPr>
          <w:sz w:val="20"/>
          <w:szCs w:val="20"/>
          <w:color w:val="auto"/>
        </w:rPr>
      </w:pPr>
    </w:p>
    <w:p>
      <w:pPr>
        <w:ind w:left="1080" w:right="2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and clinical trials, including our clinical trials for 4D-310, 4D-125, 4D-110, 4D-150 and 4D-710;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into future clinical trials in humans;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any manufacturing runs for materials to be used in patient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size and design of our planned clinical trials, and what regulatory authorities may require to obtain marketing approval;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effects of the COVID-19 pandemic on our preclinical and clinical programs and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develop and commercialize our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including our relationship with uniQure,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anticipated use of the proceeds from this offering;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 and the documents incorporated by reference herein.</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the section titled “Risk Factors” and elsewhere in this prospectus and the documents incorporated by reference herein.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the section titled “Where You Can Find More Information.”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amount of proceeds from this offering will depend upon the number of shares of our common stock sold and the market price at which they are sold. There can be no assurance that we will be able to sell any shares under or fully utilize the sale agreement with Jefferies as a source of financing. We intend to use the net proceeds, if any, from this offering for general corporate purposes, which may include, among other things, increasing our working capital and funding research and development, commercial activities and capital expenditures.</w:t>
      </w:r>
    </w:p>
    <w:p>
      <w:pPr>
        <w:spacing w:after="0" w:line="17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amounts and timing of our actual expenditures will depend on numerous factors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short-term, investment-grade, interest-bearing securities.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Our net tangible book value as of December 31, 2021 was approximately $319.1 million, or $9.90 per share. Net tangible book value per share is determined by dividing our total tangible assets, less total liabilities, by the number of shares of our common stock outstanding as of 32,224,524.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5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After giving effect to the assumed sale of our common stock in the aggregate amount of $100 million in this offering at an assumed offering price of $15.13, the last reported sale price of our common stock on the Nasdaq Global Select Market on March 25, 2022, and after deducting commissions and estimated aggregate offering expenses payable by us, our as adjusted net tangible book value as of December 31, 2021 would have been approximately $415.7 million, or $10.71 per share. This represents an immediate increase in net tangible book value of $0.81 per share to existing stockholders and immediate dilution in net tangible book value of $4.42 per share to new investors purchasing our common stock in this offering. The following table illustrates this dilution on a per share basis: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December 31, 2021</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$9.90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net tangible book value per share attributable to new investors in this</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0.81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color w:val="auto"/>
              </w:rPr>
              <w:t>As adjusted net tangible book value per share as of December 31, 2021 after this</w:t>
            </w:r>
          </w:p>
        </w:tc>
        <w:tc>
          <w:tcPr>
            <w:tcW w:w="4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$10.71</w:t>
            </w:r>
          </w:p>
        </w:tc>
        <w:tc>
          <w:tcPr>
            <w:tcW w:w="4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r>
      <w:tr>
        <w:trPr>
          <w:trHeight w:val="20"/>
        </w:trPr>
        <w:tc>
          <w:tcPr>
            <w:tcW w:w="6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The shares sold in this offering, if any, will be sold from time to time at various prices. An increase of $1.00 per share in the price at which the shares are sold from the assumed offering price of $15.13 per share shown in the table above, assuming all of our common stock in the aggregate amount of $100 million is sold at that price, would increase our as adjusted net tangible book value per share after the offering to $10.82 per share and would increase the dilution in net tangible book value per share to new investors to $5.31 per share, after deducting commissions and estimated aggregate offering expenses payable by us. A decrease of $1.00 per share in the price at which the shares are sold from the assumed offering price of $15.13 per share shown in the table above, assuming all of our common stock in the aggregate amount of $100.0 million is sold at that price, would decrease our as adjusted net tangible book value per share after the offering to $10.58 per share and would decrease the dilution in net tangible book value per share to new investors to $3.55 per share, after deducting commissions and estimated aggregate offering expenses payable by us. This information is supplied for illustrative purposes only.</w:t>
      </w:r>
    </w:p>
    <w:p>
      <w:pPr>
        <w:spacing w:after="0" w:line="18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To the extent that outstanding options or warrants are exercised or outstanding restricted stock units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above discussion and table are based on 32,224,524 shares of our common stock outstanding as of December 31, 2021, and excludes:</w:t>
      </w:r>
    </w:p>
    <w:p>
      <w:pPr>
        <w:spacing w:after="0" w:line="142" w:lineRule="exact"/>
        <w:rPr>
          <w:sz w:val="20"/>
          <w:szCs w:val="20"/>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3,881,274 shares of our common stock issuable upon the exercise of stock options to purchase common stock that were outstanding as of December 31, 2021, with a weighted-average exercise price of $19.86 per share;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53,669 shares of our common stock issuable upon the exercise of outstanding warrants, with a weighted-average exercise price of $11.47 per share;</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1,167,086 shares of our common stock issuable upon the exercise of stock options to purchase common stock that were granted after December 31, 2021, with a weighted-average exercise price of $15.21 per share;</w:t>
      </w:r>
    </w:p>
    <w:p>
      <w:pPr>
        <w:spacing w:after="0" w:line="7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2,690,097 shares of our common stock reserved for issuance pursuant to future awards under our 2020 Equity Incentive Award Plan (the 2020 Plan), as well as any automatic increases in the number of shares of our common stock reserved for future issuance under this plan; and</w:t>
      </w:r>
    </w:p>
    <w:p>
      <w:pPr>
        <w:spacing w:after="0" w:line="89"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498,747 shares of our common stock reserved for issuance pursuant to future awards under our 2020 Employee Stock Purchase Plan (the ESPP), as well as any automatic increases in the number of shares of our common stock reserved for future issuance under this plan.</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unless we specifically state otherwise, all information in this prospectus reflects and assumes no exercise of outstanding stock options or warrants described above.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entered into a sale agreement with Jefferies, under which we may offer and sell our shares of common stock from time to time through Jefferies acting as agent. Pursuant to this prospectus supplement, we may offer and sell up to $100,000,000 of our shares of common stock. Sales of our shares of common stock, if any, under this prospectus supplement and the accompanying prospectus will be made by any method that is deemed to be an “at the market offering” as defined in Rule 415(a)(4) under the Securities Act.</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time we wish to issue and sell shares of common stock under the sale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 agreement to sell our shares of common stock are subject to a number of conditions that we must meet.</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 agreement,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 agreement, will be approximately $375,000. The remaining sale proceeds, after deducting any other transaction fees, will equal our net proceeds from the sale of such shares.</w:t>
      </w:r>
    </w:p>
    <w:p>
      <w:pPr>
        <w:spacing w:after="0" w:line="17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Global Select Market on the day following each day on which shares of common stock are sold under the sale agreement. Each confirmation will include the number of shares sold on that day, the aggregate gross proceeds of such sales and the proceeds to us.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offering of our shares of common stock pursuant to the sale agreement will terminate upon the earlier of (i) the sale of all shares of common stock subject to the sale agreement and (ii) the termination of the sale agreement as permitted therein.</w:t>
      </w:r>
    </w:p>
    <w:p>
      <w:pPr>
        <w:spacing w:after="0" w:line="170"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This summary of the material provisions of the sale agreement does not purport to be a complete statement of its terms and conditions. A copy of the sale agreement is filed as an exhibit to the registration statement of which this prospectus supplement forms a part.</w:t>
      </w:r>
    </w:p>
    <w:p>
      <w:pPr>
        <w:spacing w:after="0" w:line="14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receive customary fees. In the course of its business, Jefferies may actively trade our securities for its own account or for the accounts of customers, and, accordingly, Jefferies may at any time hold long or short positions in such securities.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Latham &amp; Watkins LLP will pass upon certain legal matters relating to the issuance and sale of the securities offered hereby on behalf of 4D Molecular Therapeutics, Inc. Jefferies LLC is being represented in connection with this offering by Cooley LLP, New York, New York.</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the securities we are offering under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9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We file reports, proxy statements and other information with the SEC under the Exchange Act. You may read and copy this information from the Public Reference Room of the SEC, 100 F Street, N.E., Room 1580, Washington, D.C. 20549, at prescribed rates.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information filed (rather than furnished) with the SEC under 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28,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29">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February 22, 2022.</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w:t>
      </w:r>
      <w:hyperlink r:id="rId30">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filed with the SEC on March 28, 2022 and any amendment or report filed with the SEC for the purpose of updating the description.</w:t>
      </w:r>
    </w:p>
    <w:p>
      <w:pPr>
        <w:spacing w:after="0" w:line="10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description of the rights agreement, contained in </w:t>
      </w:r>
      <w:hyperlink r:id="rId31">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filed with the SEC on March 28, 2022 and any amendment or report filed with the SEC for the purpose of updating the description.</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4D MOLECULAR THERAPEUTICS,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5858 HORTON STREET #455</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EMERYVILLE, CALIFORNIA 94608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(510) 505-2680</w:t>
      </w:r>
    </w:p>
    <w:p>
      <w:pPr>
        <w:spacing w:after="0" w:line="21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2697480</wp:posOffset>
            </wp:positionV>
            <wp:extent cx="2503170" cy="779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503170" cy="77978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Up to $100,000,000</w:t>
      </w:r>
    </w:p>
    <w:p>
      <w:pPr>
        <w:spacing w:after="0" w:line="3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1125855</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247650</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following is an estimate (other than the SEC registration fee and FINRA filing fee) of the expenses (all of which are to be paid by the registrant) that we may incur in connection with the securities being registered hereby.</w:t>
      </w:r>
    </w:p>
    <w:p>
      <w:pPr>
        <w:sectPr>
          <w:pgSz w:w="11900" w:h="16838" w:orient="portrait"/>
          <w:cols w:equalWidth="0" w:num="1">
            <w:col w:w="11100"/>
          </w:cols>
          <w:pgMar w:left="320" w:top="459" w:right="47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Blue Sky, qualification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20320</wp:posOffset>
            </wp:positionV>
            <wp:extent cx="474916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Transfer agent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Trustee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Warrant agent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right="1840"/>
        <w:spacing w:after="0" w:line="291" w:lineRule="auto"/>
        <w:rPr>
          <w:sz w:val="20"/>
          <w:szCs w:val="20"/>
          <w:color w:val="auto"/>
        </w:rPr>
      </w:pPr>
      <w:r>
        <w:rPr>
          <w:rFonts w:ascii="Arial" w:cs="Arial" w:eastAsia="Arial" w:hAnsi="Arial"/>
          <w:sz w:val="16"/>
          <w:szCs w:val="16"/>
          <w:color w:val="auto"/>
        </w:rPr>
        <w:t>$27,810 $45,500</w:t>
      </w:r>
    </w:p>
    <w:p>
      <w:pPr>
        <w:ind w:left="440" w:hanging="439"/>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color w:val="auto"/>
        </w:rPr>
      </w:pPr>
    </w:p>
    <w:p>
      <w:pPr>
        <w:ind w:left="440" w:hanging="439"/>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w:t>
      </w:r>
    </w:p>
    <w:p>
      <w:pPr>
        <w:spacing w:after="0" w:line="21" w:lineRule="exact"/>
        <w:rPr>
          <w:rFonts w:ascii="Arial" w:cs="Arial" w:eastAsia="Arial" w:hAnsi="Arial"/>
          <w:sz w:val="18"/>
          <w:szCs w:val="18"/>
          <w:color w:val="auto"/>
        </w:rPr>
      </w:pPr>
    </w:p>
    <w:p>
      <w:pPr>
        <w:ind w:left="440" w:hanging="439"/>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3771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3771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3771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440"/>
          </w:cols>
          <w:pgMar w:left="320" w:top="459" w:right="479" w:bottom="1440" w:gutter="0" w:footer="0" w:header="0"/>
          <w:type w:val="continuous"/>
        </w:sectPr>
      </w:pPr>
    </w:p>
    <w:p>
      <w:pPr>
        <w:spacing w:after="0" w:line="106"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estimated at this time.</w:t>
      </w:r>
    </w:p>
    <w:p>
      <w:pPr>
        <w:spacing w:after="0" w:line="38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amended and restated bylaws that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93"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These limitations of liability do not affect the availability of equitable remedies such as injunctive relief or rescission. Our amended and restated certificate of incorporation will also authorize us to indemnify our officers, directors and other agents to the fullest extent permitted under Delaware law.</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131" w:lineRule="exact"/>
        <w:rPr>
          <w:sz w:val="20"/>
          <w:szCs w:val="20"/>
          <w:color w:val="auto"/>
        </w:rPr>
      </w:pPr>
    </w:p>
    <w:p>
      <w:pPr>
        <w:ind w:left="1080" w:right="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amended and restated certificate of incorporation provides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6640" w:type="dxa"/>
            <w:vAlign w:val="bottom"/>
            <w:gridSpan w:val="16"/>
          </w:tcPr>
          <w:p>
            <w:pPr>
              <w:ind w:left="180"/>
              <w:spacing w:after="0"/>
              <w:rPr>
                <w:sz w:val="20"/>
                <w:szCs w:val="20"/>
                <w:color w:val="auto"/>
              </w:rPr>
            </w:pPr>
            <w:r>
              <w:rPr>
                <w:rFonts w:ascii="Arial" w:cs="Arial" w:eastAsia="Arial" w:hAnsi="Arial"/>
                <w:sz w:val="18"/>
                <w:szCs w:val="18"/>
                <w:b w:val="1"/>
                <w:bCs w:val="1"/>
                <w:i w:val="1"/>
                <w:iCs w:val="1"/>
                <w:color w:val="auto"/>
              </w:rPr>
              <w:t>Exhibits</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Incorporated by</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Reference</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9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8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Form</w:t>
            </w: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jc w:val="right"/>
              <w:ind w:right="55"/>
              <w:spacing w:after="0" w:line="115"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80" w:type="dxa"/>
            <w:vAlign w:val="bottom"/>
            <w:gridSpan w:val="10"/>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5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2160" w:type="dxa"/>
            <w:vAlign w:val="bottom"/>
            <w:tcBorders>
              <w:top w:val="single" w:sz="8" w:color="auto"/>
              <w:bottom w:val="single" w:sz="8" w:color="auto"/>
            </w:tcBorders>
            <w:gridSpan w:val="3"/>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Open Market Sale Agreement</w:t>
              </w:r>
            </w:hyperlink>
          </w:p>
        </w:tc>
        <w:tc>
          <w:tcPr>
            <w:tcW w:w="220" w:type="dxa"/>
            <w:vAlign w:val="bottom"/>
            <w:tcBorders>
              <w:top w:val="single" w:sz="8" w:color="auto"/>
              <w:bottom w:val="single" w:sz="8" w:color="0000EE"/>
            </w:tcBorders>
            <w:gridSpan w:val="2"/>
          </w:tcPr>
          <w:p>
            <w:pPr>
              <w:spacing w:after="0"/>
              <w:rPr>
                <w:rFonts w:ascii="Arial" w:cs="Arial" w:eastAsia="Arial" w:hAnsi="Arial"/>
                <w:sz w:val="15"/>
                <w:szCs w:val="15"/>
                <w:color w:val="0000EE"/>
                <w:w w:val="88"/>
              </w:rPr>
            </w:pPr>
            <w:hyperlink w:anchor="page59">
              <w:r>
                <w:rPr>
                  <w:rFonts w:ascii="Arial" w:cs="Arial" w:eastAsia="Arial" w:hAnsi="Arial"/>
                  <w:sz w:val="15"/>
                  <w:szCs w:val="15"/>
                  <w:color w:val="0000EE"/>
                  <w:w w:val="88"/>
                </w:rPr>
                <w:t>SM</w:t>
              </w:r>
            </w:hyperlink>
          </w:p>
        </w:tc>
        <w:tc>
          <w:tcPr>
            <w:tcW w:w="3960" w:type="dxa"/>
            <w:vAlign w:val="bottom"/>
            <w:tcBorders>
              <w:top w:val="single" w:sz="8" w:color="auto"/>
              <w:bottom w:val="single" w:sz="8" w:color="auto"/>
            </w:tcBorders>
            <w:gridSpan w:val="10"/>
          </w:tcPr>
          <w:p>
            <w:pPr>
              <w:ind w:left="40"/>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by and between the Registrant and Jefferies LLC</w:t>
              </w:r>
            </w:hyperlink>
          </w:p>
        </w:tc>
        <w:tc>
          <w:tcPr>
            <w:tcW w:w="3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1000" w:type="dxa"/>
            <w:vAlign w:val="bottom"/>
            <w:tcBorders>
              <w:bottom w:val="single" w:sz="8" w:color="0000EE"/>
            </w:tcBorders>
          </w:tcPr>
          <w:p>
            <w:pPr>
              <w:spacing w:after="0" w:line="20" w:lineRule="exact"/>
              <w:rPr>
                <w:sz w:val="1"/>
                <w:szCs w:val="1"/>
                <w:color w:val="auto"/>
              </w:rPr>
            </w:pPr>
          </w:p>
        </w:tc>
        <w:tc>
          <w:tcPr>
            <w:tcW w:w="8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2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62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6280" w:type="dxa"/>
            <w:vAlign w:val="bottom"/>
            <w:tcBorders>
              <w:bottom w:val="single" w:sz="8" w:color="0000EE"/>
            </w:tcBorders>
            <w:gridSpan w:val="14"/>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Amended and Restated Certificate of Incorporation of 4D Molecular Therapeutics, Inc.</w:t>
              </w:r>
            </w:hyperlink>
          </w:p>
        </w:tc>
        <w:tc>
          <w:tcPr>
            <w:tcW w:w="360" w:type="dxa"/>
            <w:vAlign w:val="bottom"/>
            <w:gridSpan w:val="2"/>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8-K</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12/15/2020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4840" w:type="dxa"/>
            <w:vAlign w:val="bottom"/>
            <w:tcBorders>
              <w:bottom w:val="single" w:sz="8" w:color="0000EE"/>
            </w:tcBorders>
            <w:gridSpan w:val="9"/>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Amended and Restated Bylaws of 4D Molecular Therapeutics, Inc.</w:t>
              </w:r>
            </w:hyperlink>
          </w:p>
        </w:tc>
        <w:tc>
          <w:tcPr>
            <w:tcW w:w="1800" w:type="dxa"/>
            <w:vAlign w:val="bottom"/>
            <w:gridSpan w:val="7"/>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8-K</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12/15/2020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6640" w:type="dxa"/>
            <w:vAlign w:val="bottom"/>
            <w:gridSpan w:val="16"/>
          </w:tcPr>
          <w:p>
            <w:pPr>
              <w:spacing w:after="0"/>
              <w:rPr>
                <w:rFonts w:ascii="Arial" w:cs="Arial" w:eastAsia="Arial" w:hAnsi="Arial"/>
                <w:sz w:val="18"/>
                <w:szCs w:val="18"/>
                <w:color w:val="0000EE"/>
                <w:w w:val="96"/>
              </w:rPr>
            </w:pPr>
            <w:hyperlink r:id="rId31">
              <w:r>
                <w:rPr>
                  <w:rFonts w:ascii="Arial" w:cs="Arial" w:eastAsia="Arial" w:hAnsi="Arial"/>
                  <w:sz w:val="18"/>
                  <w:szCs w:val="18"/>
                  <w:color w:val="0000EE"/>
                  <w:w w:val="96"/>
                </w:rPr>
                <w:t>Amended and Restated Investors’ Rights Agreement, dated April 29, 2020, among the</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Registrant and the investors party thereto</w:t>
              </w:r>
            </w:hyperlink>
          </w:p>
        </w:tc>
        <w:tc>
          <w:tcPr>
            <w:tcW w:w="380" w:type="dxa"/>
            <w:vAlign w:val="bottom"/>
            <w:gridSpan w:val="3"/>
          </w:tcPr>
          <w:p>
            <w:pPr>
              <w:spacing w:after="0"/>
              <w:rPr>
                <w:sz w:val="17"/>
                <w:szCs w:val="17"/>
                <w:color w:val="auto"/>
              </w:rPr>
            </w:pPr>
          </w:p>
        </w:tc>
        <w:tc>
          <w:tcPr>
            <w:tcW w:w="7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S-1</w:t>
            </w:r>
          </w:p>
        </w:tc>
        <w:tc>
          <w:tcPr>
            <w:tcW w:w="124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12/7/2020</w:t>
            </w:r>
          </w:p>
        </w:tc>
        <w:tc>
          <w:tcPr>
            <w:tcW w:w="88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4.3</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Common Stock Certificate</w:t>
              </w:r>
            </w:hyperlink>
          </w:p>
        </w:tc>
        <w:tc>
          <w:tcPr>
            <w:tcW w:w="400" w:type="dxa"/>
            <w:vAlign w:val="bottom"/>
            <w:tcBorders>
              <w:top w:val="single" w:sz="8" w:color="0000EE"/>
            </w:tcBorders>
          </w:tcPr>
          <w:p>
            <w:pPr>
              <w:spacing w:after="0"/>
              <w:rPr>
                <w:sz w:val="24"/>
                <w:szCs w:val="24"/>
                <w:color w:val="auto"/>
              </w:rPr>
            </w:pPr>
          </w:p>
        </w:tc>
        <w:tc>
          <w:tcPr>
            <w:tcW w:w="3680" w:type="dxa"/>
            <w:vAlign w:val="bottom"/>
            <w:gridSpan w:val="9"/>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S-1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12/7/2020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Form of Indenture</w:t>
              </w:r>
            </w:hyperlink>
          </w:p>
        </w:tc>
        <w:tc>
          <w:tcPr>
            <w:tcW w:w="532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5"/>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6640" w:type="dxa"/>
            <w:vAlign w:val="bottom"/>
            <w:gridSpan w:val="16"/>
          </w:tcPr>
          <w:p>
            <w:pPr>
              <w:spacing w:after="0"/>
              <w:rPr>
                <w:sz w:val="20"/>
                <w:szCs w:val="20"/>
                <w:color w:val="auto"/>
              </w:rPr>
            </w:pPr>
            <w:r>
              <w:rPr>
                <w:rFonts w:ascii="Arial" w:cs="Arial" w:eastAsia="Arial" w:hAnsi="Arial"/>
                <w:sz w:val="18"/>
                <w:szCs w:val="18"/>
                <w:color w:val="auto"/>
              </w:rPr>
              <w:t>Form of Note</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6640" w:type="dxa"/>
            <w:vAlign w:val="bottom"/>
            <w:gridSpan w:val="16"/>
          </w:tcPr>
          <w:p>
            <w:pPr>
              <w:spacing w:after="0"/>
              <w:rPr>
                <w:sz w:val="20"/>
                <w:szCs w:val="20"/>
                <w:color w:val="auto"/>
              </w:rPr>
            </w:pPr>
            <w:r>
              <w:rPr>
                <w:rFonts w:ascii="Arial" w:cs="Arial" w:eastAsia="Arial" w:hAnsi="Arial"/>
                <w:sz w:val="18"/>
                <w:szCs w:val="18"/>
                <w:color w:val="auto"/>
              </w:rPr>
              <w:t>Form of Warrant</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4"/>
                <w:szCs w:val="24"/>
                <w:color w:val="auto"/>
              </w:rPr>
            </w:pPr>
          </w:p>
        </w:tc>
        <w:tc>
          <w:tcPr>
            <w:tcW w:w="6640" w:type="dxa"/>
            <w:vAlign w:val="bottom"/>
            <w:gridSpan w:val="16"/>
          </w:tcPr>
          <w:p>
            <w:pPr>
              <w:spacing w:after="0"/>
              <w:rPr>
                <w:sz w:val="20"/>
                <w:szCs w:val="20"/>
                <w:color w:val="auto"/>
              </w:rPr>
            </w:pPr>
            <w:r>
              <w:rPr>
                <w:rFonts w:ascii="Arial" w:cs="Arial" w:eastAsia="Arial" w:hAnsi="Arial"/>
                <w:sz w:val="18"/>
                <w:szCs w:val="18"/>
                <w:color w:val="auto"/>
              </w:rPr>
              <w:t>Form of Warrant Agreement</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6640" w:type="dxa"/>
            <w:vAlign w:val="bottom"/>
            <w:gridSpan w:val="16"/>
          </w:tcPr>
          <w:p>
            <w:pPr>
              <w:spacing w:after="0"/>
              <w:rPr>
                <w:sz w:val="20"/>
                <w:szCs w:val="20"/>
                <w:color w:val="auto"/>
              </w:rPr>
            </w:pPr>
            <w:r>
              <w:rPr>
                <w:rFonts w:ascii="Arial" w:cs="Arial" w:eastAsia="Arial" w:hAnsi="Arial"/>
                <w:sz w:val="18"/>
                <w:szCs w:val="18"/>
                <w:color w:val="auto"/>
              </w:rPr>
              <w:t>Form of Unit Agreement</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4"/>
                <w:szCs w:val="24"/>
                <w:color w:val="auto"/>
              </w:rPr>
            </w:pPr>
          </w:p>
        </w:tc>
        <w:tc>
          <w:tcPr>
            <w:tcW w:w="256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Opinion of Latham &amp; Watkins LLP</w:t>
              </w:r>
            </w:hyperlink>
          </w:p>
        </w:tc>
        <w:tc>
          <w:tcPr>
            <w:tcW w:w="408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23.1</w:t>
            </w:r>
          </w:p>
        </w:tc>
        <w:tc>
          <w:tcPr>
            <w:tcW w:w="400" w:type="dxa"/>
            <w:vAlign w:val="bottom"/>
          </w:tcPr>
          <w:p>
            <w:pPr>
              <w:spacing w:after="0"/>
              <w:rPr>
                <w:sz w:val="24"/>
                <w:szCs w:val="24"/>
                <w:color w:val="auto"/>
              </w:rPr>
            </w:pPr>
          </w:p>
        </w:tc>
        <w:tc>
          <w:tcPr>
            <w:tcW w:w="43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49">
              <w:r>
                <w:rPr>
                  <w:rFonts w:ascii="Arial" w:cs="Arial" w:eastAsia="Arial" w:hAnsi="Arial"/>
                  <w:sz w:val="18"/>
                  <w:szCs w:val="18"/>
                  <w:color w:val="0000EE"/>
                  <w:w w:val="93"/>
                </w:rPr>
                <w:t>Consent of Latham &amp; Watkins LLP (included in Exhibit 5.1)</w:t>
              </w:r>
            </w:hyperlink>
          </w:p>
        </w:tc>
        <w:tc>
          <w:tcPr>
            <w:tcW w:w="226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23.2</w:t>
            </w:r>
          </w:p>
        </w:tc>
        <w:tc>
          <w:tcPr>
            <w:tcW w:w="400" w:type="dxa"/>
            <w:vAlign w:val="bottom"/>
          </w:tcPr>
          <w:p>
            <w:pPr>
              <w:spacing w:after="0"/>
              <w:rPr>
                <w:sz w:val="24"/>
                <w:szCs w:val="24"/>
                <w:color w:val="auto"/>
              </w:rPr>
            </w:pPr>
          </w:p>
        </w:tc>
        <w:tc>
          <w:tcPr>
            <w:tcW w:w="6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54">
              <w:r>
                <w:rPr>
                  <w:rFonts w:ascii="Arial" w:cs="Arial" w:eastAsia="Arial" w:hAnsi="Arial"/>
                  <w:sz w:val="18"/>
                  <w:szCs w:val="18"/>
                  <w:color w:val="0000EE"/>
                  <w:w w:val="89"/>
                </w:rPr>
                <w:t>Consent of PricewaterhouseCoopers LLP, independent registered public accounting</w:t>
              </w:r>
            </w:hyperlink>
          </w:p>
        </w:tc>
        <w:tc>
          <w:tcPr>
            <w:tcW w:w="6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154">
              <w:r>
                <w:rPr>
                  <w:rFonts w:ascii="Arial" w:cs="Arial" w:eastAsia="Arial" w:hAnsi="Arial"/>
                  <w:sz w:val="18"/>
                  <w:szCs w:val="18"/>
                  <w:color w:val="0000EE"/>
                  <w:w w:val="99"/>
                </w:rPr>
                <w:t>firm</w:t>
              </w:r>
            </w:hyperlink>
          </w:p>
        </w:tc>
        <w:tc>
          <w:tcPr>
            <w:tcW w:w="6320" w:type="dxa"/>
            <w:vAlign w:val="bottom"/>
            <w:gridSpan w:val="15"/>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24.1</w:t>
            </w:r>
          </w:p>
        </w:tc>
        <w:tc>
          <w:tcPr>
            <w:tcW w:w="40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Powers of Attorney (incorporated by reference to the signature page hereto)</w:t>
              </w:r>
            </w:hyperlink>
          </w:p>
        </w:tc>
        <w:tc>
          <w:tcPr>
            <w:tcW w:w="11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60" w:type="dxa"/>
            <w:vAlign w:val="bottom"/>
            <w:gridSpan w:val="8"/>
          </w:tcPr>
          <w:p>
            <w:pPr>
              <w:ind w:left="80"/>
              <w:spacing w:after="0"/>
              <w:rPr>
                <w:sz w:val="20"/>
                <w:szCs w:val="20"/>
                <w:color w:val="auto"/>
              </w:rPr>
            </w:pPr>
            <w:r>
              <w:rPr>
                <w:rFonts w:ascii="Arial" w:cs="Arial" w:eastAsia="Arial" w:hAnsi="Arial"/>
                <w:sz w:val="18"/>
                <w:szCs w:val="18"/>
                <w:color w:val="auto"/>
              </w:rPr>
              <w:t>II-2</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Incorporated by</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88"/>
              </w:rPr>
              <w:t>Reference</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9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460" w:type="dxa"/>
            <w:vAlign w:val="bottom"/>
            <w:vMerge w:val="restart"/>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jc w:val="right"/>
              <w:ind w:right="64"/>
              <w:spacing w:after="0" w:line="115"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25.1*</w:t>
            </w:r>
          </w:p>
        </w:tc>
        <w:tc>
          <w:tcPr>
            <w:tcW w:w="540" w:type="dxa"/>
            <w:vAlign w:val="bottom"/>
          </w:tcPr>
          <w:p>
            <w:pPr>
              <w:spacing w:after="0"/>
              <w:rPr>
                <w:sz w:val="24"/>
                <w:szCs w:val="24"/>
                <w:color w:val="auto"/>
              </w:rPr>
            </w:pPr>
          </w:p>
        </w:tc>
        <w:tc>
          <w:tcPr>
            <w:tcW w:w="6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Statement of Eligibility on Form T-1 under the Trust Indenture Act of 1939, as</w:t>
            </w:r>
          </w:p>
        </w:tc>
        <w:tc>
          <w:tcPr>
            <w:tcW w:w="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amended, of the trustee, as trustee under the indenture filed as Exhibit 4.3 above</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Certificate</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107.1</w:t>
            </w:r>
          </w:p>
        </w:tc>
        <w:tc>
          <w:tcPr>
            <w:tcW w:w="540" w:type="dxa"/>
            <w:vAlign w:val="bottom"/>
          </w:tcPr>
          <w:p>
            <w:pPr>
              <w:spacing w:after="0"/>
              <w:rPr>
                <w:sz w:val="24"/>
                <w:szCs w:val="24"/>
                <w:color w:val="auto"/>
              </w:rPr>
            </w:pPr>
          </w:p>
        </w:tc>
        <w:tc>
          <w:tcPr>
            <w:tcW w:w="6680" w:type="dxa"/>
            <w:vAlign w:val="bottom"/>
            <w:gridSpan w:val="3"/>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Fee Table Exhibit</w:t>
              </w:r>
            </w:hyperlink>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 or incorporated by reference in connection with the offering of the securities.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100" w:right="40" w:firstLine="408"/>
        <w:spacing w:after="0" w:line="272" w:lineRule="auto"/>
        <w:tabs>
          <w:tab w:leader="none" w:pos="1766" w:val="left"/>
        </w:tabs>
        <w:numPr>
          <w:ilvl w:val="2"/>
          <w:numId w:val="4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100" w:right="40" w:firstLine="408"/>
        <w:spacing w:after="0" w:line="277" w:lineRule="auto"/>
        <w:tabs>
          <w:tab w:leader="none" w:pos="1816"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9" w:lineRule="exact"/>
        <w:rPr>
          <w:sz w:val="20"/>
          <w:szCs w:val="20"/>
          <w:color w:val="auto"/>
        </w:rPr>
      </w:pPr>
    </w:p>
    <w:p>
      <w:pPr>
        <w:jc w:val="both"/>
        <w:ind w:left="560" w:firstLine="419"/>
        <w:spacing w:after="0" w:line="263" w:lineRule="auto"/>
        <w:tabs>
          <w:tab w:leader="none" w:pos="12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560" w:right="180" w:firstLine="419"/>
        <w:spacing w:after="0" w:line="277" w:lineRule="auto"/>
        <w:tabs>
          <w:tab w:leader="none" w:pos="12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1240" w:hanging="26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100" w:right="180" w:firstLine="408"/>
        <w:spacing w:after="0" w:line="277" w:lineRule="auto"/>
        <w:tabs>
          <w:tab w:leader="none" w:pos="17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jc w:val="both"/>
        <w:ind w:left="1100" w:right="40" w:firstLine="408"/>
        <w:spacing w:after="0" w:line="311" w:lineRule="auto"/>
        <w:tabs>
          <w:tab w:leader="none" w:pos="1786"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3" w:lineRule="auto"/>
        <w:rPr>
          <w:sz w:val="20"/>
          <w:szCs w:val="20"/>
          <w:color w:val="auto"/>
        </w:rPr>
      </w:pPr>
      <w:r>
        <w:rPr>
          <w:rFonts w:ascii="Arial" w:cs="Arial" w:eastAsia="Arial" w:hAnsi="Arial"/>
          <w:sz w:val="18"/>
          <w:szCs w:val="18"/>
          <w:color w:val="auto"/>
        </w:rPr>
        <w:t xml:space="preserve">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8" w:lineRule="exact"/>
        <w:rPr>
          <w:sz w:val="20"/>
          <w:szCs w:val="20"/>
          <w:color w:val="auto"/>
        </w:rPr>
      </w:pPr>
    </w:p>
    <w:p>
      <w:pPr>
        <w:ind w:left="560" w:right="100" w:firstLine="419"/>
        <w:spacing w:after="0" w:line="277" w:lineRule="auto"/>
        <w:tabs>
          <w:tab w:leader="none" w:pos="12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62" w:lineRule="exact"/>
        <w:rPr>
          <w:sz w:val="20"/>
          <w:szCs w:val="20"/>
          <w:color w:val="auto"/>
        </w:rPr>
      </w:pPr>
    </w:p>
    <w:p>
      <w:pPr>
        <w:ind w:left="1100" w:firstLine="401"/>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100" w:right="360" w:firstLine="408"/>
        <w:spacing w:after="0" w:line="277" w:lineRule="auto"/>
        <w:tabs>
          <w:tab w:leader="none" w:pos="171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100" w:right="200" w:firstLine="408"/>
        <w:spacing w:after="0" w:line="277" w:lineRule="auto"/>
        <w:tabs>
          <w:tab w:leader="none" w:pos="17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100" w:right="220" w:firstLine="408"/>
        <w:spacing w:after="0" w:line="277" w:lineRule="auto"/>
        <w:tabs>
          <w:tab w:leader="none" w:pos="181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right="40" w:firstLine="436"/>
        <w:spacing w:after="0" w:line="257" w:lineRule="auto"/>
        <w:tabs>
          <w:tab w:leader="none" w:pos="8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sz w:val="20"/>
          <w:szCs w:val="20"/>
          <w:color w:val="auto"/>
        </w:rPr>
      </w:pPr>
    </w:p>
    <w:p>
      <w:pPr>
        <w:ind w:left="120" w:right="40" w:firstLine="436"/>
        <w:spacing w:after="0" w:line="271" w:lineRule="auto"/>
        <w:tabs>
          <w:tab w:leader="none" w:pos="8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120" w:right="280" w:firstLine="436"/>
        <w:spacing w:after="0" w:line="263" w:lineRule="auto"/>
        <w:tabs>
          <w:tab w:leader="none" w:pos="7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Emeryville, California, on March 28,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4D MOLECULAR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Kirn, M.D.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David Kirn, M.D. and August Moretti,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SIGNATURE</w:t>
            </w:r>
          </w:p>
        </w:tc>
        <w:tc>
          <w:tcPr>
            <w:tcW w:w="220" w:type="dxa"/>
            <w:vAlign w:val="bottom"/>
          </w:tcPr>
          <w:p>
            <w:pPr>
              <w:spacing w:after="0"/>
              <w:rPr>
                <w:sz w:val="15"/>
                <w:szCs w:val="15"/>
                <w:color w:val="auto"/>
              </w:rPr>
            </w:pPr>
          </w:p>
        </w:tc>
        <w:tc>
          <w:tcPr>
            <w:tcW w:w="384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r>
      <w:tr>
        <w:trPr>
          <w:trHeight w:val="412"/>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David Kirn</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7"/>
              </w:rPr>
              <w:t>David Kirn, M.D.</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60" w:type="dxa"/>
            <w:vAlign w:val="bottom"/>
          </w:tcPr>
          <w:p>
            <w:pPr>
              <w:spacing w:after="0"/>
              <w:rPr>
                <w:sz w:val="19"/>
                <w:szCs w:val="19"/>
                <w:color w:val="auto"/>
              </w:rPr>
            </w:pPr>
          </w:p>
        </w:tc>
      </w:tr>
      <w:tr>
        <w:trPr>
          <w:trHeight w:val="418"/>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August J. Moretti</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182"/>
        </w:trPr>
        <w:tc>
          <w:tcPr>
            <w:tcW w:w="4080" w:type="dxa"/>
            <w:vAlign w:val="bottom"/>
          </w:tcPr>
          <w:p>
            <w:pPr>
              <w:jc w:val="center"/>
              <w:spacing w:after="0" w:line="182" w:lineRule="exact"/>
              <w:rPr>
                <w:sz w:val="20"/>
                <w:szCs w:val="20"/>
                <w:color w:val="auto"/>
              </w:rPr>
            </w:pPr>
            <w:r>
              <w:rPr>
                <w:rFonts w:ascii="Arial" w:cs="Arial" w:eastAsia="Arial" w:hAnsi="Arial"/>
                <w:sz w:val="18"/>
                <w:szCs w:val="18"/>
                <w:color w:val="auto"/>
                <w:w w:val="93"/>
              </w:rPr>
              <w:t>August J. Moretti</w:t>
            </w:r>
          </w:p>
        </w:tc>
        <w:tc>
          <w:tcPr>
            <w:tcW w:w="428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w:t>
            </w:r>
          </w:p>
        </w:tc>
        <w:tc>
          <w:tcPr>
            <w:tcW w:w="266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p>
        </w:tc>
        <w:tc>
          <w:tcPr>
            <w:tcW w:w="4280" w:type="dxa"/>
            <w:vAlign w:val="bottom"/>
            <w:gridSpan w:val="3"/>
          </w:tcPr>
          <w:p>
            <w:pPr>
              <w:ind w:left="22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2660" w:type="dxa"/>
            <w:vAlign w:val="bottom"/>
          </w:tcPr>
          <w:p>
            <w:pPr>
              <w:spacing w:after="0"/>
              <w:rPr>
                <w:sz w:val="20"/>
                <w:szCs w:val="20"/>
                <w:color w:val="auto"/>
              </w:rPr>
            </w:pPr>
          </w:p>
        </w:tc>
      </w:tr>
      <w:tr>
        <w:trPr>
          <w:trHeight w:val="432"/>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F. Milligan</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Executive Chairman</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2"/>
              </w:rPr>
              <w:t>John F. Milligan, Ph.D.</w:t>
            </w:r>
          </w:p>
        </w:tc>
        <w:tc>
          <w:tcPr>
            <w:tcW w:w="2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18"/>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Jacob Chacko</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1"/>
              </w:rPr>
              <w:t>Jacob Chacko, M.D.</w:t>
            </w:r>
          </w:p>
        </w:tc>
        <w:tc>
          <w:tcPr>
            <w:tcW w:w="2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18"/>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Susannah Gray</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87"/>
              </w:rPr>
              <w:t>Susannah Gray</w:t>
            </w:r>
          </w:p>
        </w:tc>
        <w:tc>
          <w:tcPr>
            <w:tcW w:w="2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18"/>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Nancy Miller-Rich</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6"/>
              </w:rPr>
              <w:t>Nancy Miller-Rich</w:t>
            </w:r>
          </w:p>
        </w:tc>
        <w:tc>
          <w:tcPr>
            <w:tcW w:w="2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SIGNATURE</w:t>
            </w:r>
          </w:p>
        </w:tc>
        <w:tc>
          <w:tcPr>
            <w:tcW w:w="220" w:type="dxa"/>
            <w:vAlign w:val="bottom"/>
          </w:tcPr>
          <w:p>
            <w:pPr>
              <w:spacing w:after="0"/>
              <w:rPr>
                <w:sz w:val="15"/>
                <w:szCs w:val="15"/>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Charles P. Theuer</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March 28,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9"/>
              </w:rPr>
              <w:t>Charles P. Theuer, M.D., Ph.D.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Shawn Cline Tomasello</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March 28,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Shawn Cline Tomasello, MBA</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4D Molecular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right="720" w:firstLine="436"/>
        <w:spacing w:after="0" w:line="277"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59" w:name="page60"/>
    <w:bookmarkEnd w:id="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(3.0%)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Common Shares issued or issuable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60" w:name="page61"/>
    <w:bookmarkEnd w:id="6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REPRESENTATIONS AND WARRANTIES OF THE COMPANY</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ind w:left="4" w:hanging="4"/>
        <w:spacing w:after="0" w:line="253" w:lineRule="auto"/>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each Settlement Date, (4) each Triggering Event Date (as defined below) with respect to which the Company is obligated to deliver a certificate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and (5) as of each Time of Sale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192" w:lineRule="exact"/>
        <w:rPr>
          <w:rFonts w:ascii="Arial" w:cs="Arial" w:eastAsia="Arial" w:hAnsi="Arial"/>
          <w:sz w:val="18"/>
          <w:szCs w:val="18"/>
          <w:color w:val="auto"/>
        </w:rPr>
      </w:pPr>
    </w:p>
    <w:p>
      <w:pPr>
        <w:ind w:left="4" w:firstLine="436"/>
        <w:spacing w:after="0" w:line="285" w:lineRule="auto"/>
        <w:tabs>
          <w:tab w:leader="none" w:pos="689"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or will file, with the Commission a shelf registration statement on Form S-3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Base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or becomes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6"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the Commission’s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61" w:name="page62"/>
    <w:bookmarkEnd w:id="61"/>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the Original Registration Statement was or will be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7" w:lineRule="exact"/>
        <w:rPr>
          <w:sz w:val="20"/>
          <w:szCs w:val="20"/>
          <w:color w:val="auto"/>
        </w:rPr>
      </w:pPr>
    </w:p>
    <w:p>
      <w:pPr>
        <w:ind w:right="220" w:firstLine="436"/>
        <w:spacing w:after="0" w:line="25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8"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The Prospectus when filed complied or will comply in all material respects with the Securities Act and, if filed with the Commission through EDGAR) (except as may be permitted by Regulation S 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62" w:name="page63"/>
    <w:bookmarkEnd w:id="62"/>
    <w:p>
      <w:pPr>
        <w:ind w:left="-20" w:firstLine="436"/>
        <w:spacing w:after="0" w:line="269" w:lineRule="auto"/>
        <w:tabs>
          <w:tab w:leader="none" w:pos="66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Ineligible Issuer Status</w:t>
      </w:r>
      <w:r>
        <w:rPr>
          <w:rFonts w:ascii="Arial" w:cs="Arial" w:eastAsia="Arial" w:hAnsi="Arial"/>
          <w:sz w:val="17"/>
          <w:szCs w:val="17"/>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each Representation Date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85" w:lineRule="exact"/>
        <w:rPr>
          <w:rFonts w:ascii="Arial" w:cs="Arial" w:eastAsia="Arial" w:hAnsi="Arial"/>
          <w:sz w:val="17"/>
          <w:szCs w:val="17"/>
          <w:color w:val="auto"/>
        </w:rPr>
      </w:pPr>
    </w:p>
    <w:p>
      <w:pPr>
        <w:ind w:left="-20" w:firstLine="436"/>
        <w:spacing w:after="0" w:line="254" w:lineRule="auto"/>
        <w:tabs>
          <w:tab w:leader="none" w:pos="67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 The representation and warranty set forth in the immediately preceding sentence does not apply to statements in or omissions from the Registration Statement, any Rule 462(b) Registration Statement, or any post-effective amendment thereto, or the Prospectus, or any amendments or supplements thereto, made in reliance upon and in conformity with the Agent Information (as defined below) furnished to the Company in writing by the Agent expressly for use therein.</w:t>
      </w:r>
    </w:p>
    <w:p>
      <w:pPr>
        <w:spacing w:after="0" w:line="191" w:lineRule="exact"/>
        <w:rPr>
          <w:rFonts w:ascii="Arial" w:cs="Arial" w:eastAsia="Arial" w:hAnsi="Arial"/>
          <w:sz w:val="18"/>
          <w:szCs w:val="18"/>
          <w:color w:val="auto"/>
        </w:rPr>
      </w:pPr>
    </w:p>
    <w:p>
      <w:pPr>
        <w:ind w:left="-20" w:right="20" w:firstLine="436"/>
        <w:spacing w:after="0" w:line="293" w:lineRule="auto"/>
        <w:tabs>
          <w:tab w:leader="none" w:pos="66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64" w:lineRule="exact"/>
        <w:rPr>
          <w:rFonts w:ascii="Arial" w:cs="Arial" w:eastAsia="Arial" w:hAnsi="Arial"/>
          <w:sz w:val="16"/>
          <w:szCs w:val="16"/>
          <w:color w:val="auto"/>
        </w:rPr>
      </w:pPr>
    </w:p>
    <w:p>
      <w:pPr>
        <w:ind w:left="-20" w:right="160" w:firstLine="436"/>
        <w:spacing w:after="0" w:line="257" w:lineRule="auto"/>
        <w:tabs>
          <w:tab w:leader="none" w:pos="64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Neither the Company nor any of its subsidiaries has, since the date of the latest audited financial statements included or incorporated by reference in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63" w:name="page64"/>
    <w:bookmarkEnd w:id="63"/>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its subsidiaries, taken as a whole, in each case otherwise than as set forth or contemplated in the Prospectus; and, since the respective dates as of which information is given in the Registration Statement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Prospectus or (ii) the issuance, if any, of stock upon conversion of Company securities as described in the Prospectus) or long-term debt of the Company or any of its subsidiaries or (y) any Material Adverse Effect (as defined below); as used in this Agreement, “</w:t>
      </w:r>
      <w:r>
        <w:rPr>
          <w:rFonts w:ascii="Arial" w:cs="Arial" w:eastAsia="Arial" w:hAnsi="Arial"/>
          <w:sz w:val="16"/>
          <w:szCs w:val="16"/>
          <w:b w:val="1"/>
          <w:bCs w:val="1"/>
          <w:color w:val="auto"/>
        </w:rPr>
        <w:t>Material Adverse Effect</w:t>
      </w:r>
      <w:r>
        <w:rPr>
          <w:rFonts w:ascii="Arial" w:cs="Arial" w:eastAsia="Arial" w:hAnsi="Arial"/>
          <w:sz w:val="16"/>
          <w:szCs w:val="16"/>
          <w:color w:val="auto"/>
        </w:rPr>
        <w:t>” shall mean a material adverse change or effect, or any development involving a prospective material adverse change or effect, in or affecting (i) the business, properties, general affairs, management, financial position, stockholders’ equity, prospects or results of operations of the Company and its subsidiaries, taken as a whole or (ii) the ability of the Company to perform its obligations under this Agreement, including the issuance and sale of the Shares, or to consummate the transactions contemplated in the Prospectus.</w:t>
      </w:r>
    </w:p>
    <w:p>
      <w:pPr>
        <w:spacing w:after="0" w:line="166" w:lineRule="exact"/>
        <w:rPr>
          <w:sz w:val="20"/>
          <w:szCs w:val="20"/>
          <w:color w:val="auto"/>
        </w:rPr>
      </w:pPr>
    </w:p>
    <w:p>
      <w:pPr>
        <w:ind w:right="80" w:firstLine="436"/>
        <w:spacing w:after="0" w:line="254"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Title to Properties</w:t>
      </w:r>
      <w:r>
        <w:rPr>
          <w:rFonts w:ascii="Arial" w:cs="Arial" w:eastAsia="Arial" w:hAnsi="Arial"/>
          <w:sz w:val="18"/>
          <w:szCs w:val="18"/>
          <w:color w:val="auto"/>
        </w:rPr>
        <w:t>. The Company and its subsidiaries do not own any real property and have good and marketable title to all personal property owned by them (other than with respect to Intellectual Property (as defined below), which is addressed exclusively in subsection (aa) below), in each case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194" w:lineRule="exact"/>
        <w:rPr>
          <w:rFonts w:ascii="Arial" w:cs="Arial" w:eastAsia="Arial" w:hAnsi="Arial"/>
          <w:sz w:val="18"/>
          <w:szCs w:val="18"/>
          <w:color w:val="auto"/>
        </w:rPr>
      </w:pPr>
    </w:p>
    <w:p>
      <w:pPr>
        <w:ind w:firstLine="436"/>
        <w:spacing w:after="0" w:line="272"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Incorporation and Good Standing of the Company and its Subsidiaries</w:t>
      </w:r>
      <w:r>
        <w:rPr>
          <w:rFonts w:ascii="Arial" w:cs="Arial" w:eastAsia="Arial" w:hAnsi="Arial"/>
          <w:sz w:val="17"/>
          <w:szCs w:val="17"/>
          <w:color w:val="auto"/>
        </w:rPr>
        <w:t>. Each of the Company and its subsidiaries (for purposes of this Agreement, as defined in Rule 405 under the Securities Act) has been (i) duly organized and is validly existing and in good standing under the laws of its jurisdiction of organization, with power and authority (corporate and other) to own, lease and operate its properties and conduct its business as described in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subsidiary of the Company has been listed in the Registration Statement.</w:t>
      </w:r>
    </w:p>
    <w:p>
      <w:pPr>
        <w:spacing w:after="0" w:line="177" w:lineRule="exact"/>
        <w:rPr>
          <w:rFonts w:ascii="Arial" w:cs="Arial" w:eastAsia="Arial" w:hAnsi="Arial"/>
          <w:sz w:val="17"/>
          <w:szCs w:val="17"/>
          <w:color w:val="auto"/>
        </w:rPr>
      </w:pPr>
    </w:p>
    <w:p>
      <w:pPr>
        <w:ind w:firstLine="436"/>
        <w:spacing w:after="0" w:line="272"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4" w:name="page65"/>
    <w:bookmarkEnd w:id="64"/>
    <w:p>
      <w:pPr>
        <w:ind w:right="60" w:firstLine="436"/>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Arial" w:cs="Arial" w:eastAsia="Arial" w:hAnsi="Arial"/>
          <w:sz w:val="18"/>
          <w:szCs w:val="18"/>
          <w:color w:val="auto"/>
        </w:rPr>
        <w:t>. The Company has an authorized capitalization as set forth in the Prospectus and all of the issued shares of capital stock of the Company have been duly and validly authorized and issued and are fully paid and non-assessable and conform in all material respects to the description of the Shares contained in the Prospectus.</w:t>
      </w:r>
    </w:p>
    <w:p>
      <w:pPr>
        <w:spacing w:after="0" w:line="183" w:lineRule="exact"/>
        <w:rPr>
          <w:rFonts w:ascii="Arial" w:cs="Arial" w:eastAsia="Arial" w:hAnsi="Arial"/>
          <w:sz w:val="18"/>
          <w:szCs w:val="18"/>
          <w:color w:val="auto"/>
        </w:rPr>
      </w:pPr>
    </w:p>
    <w:p>
      <w:pPr>
        <w:ind w:right="140" w:firstLine="436"/>
        <w:spacing w:after="0" w:line="259"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Authorization of the Shares; Other Capital Stock Matters</w:t>
      </w:r>
      <w:r>
        <w:rPr>
          <w:rFonts w:ascii="Arial" w:cs="Arial" w:eastAsia="Arial" w:hAnsi="Arial"/>
          <w:sz w:val="18"/>
          <w:szCs w:val="18"/>
          <w:color w:val="auto"/>
        </w:rPr>
        <w:t>. The Shares have been duly and validly authorized and, when issued and delivered against payment therefor as provided herein, will be duly and validly issued and fully paid and non-assessable and will conform in all material respects to the description of the Shares contained in the Prospectus; and the issuance of the Shares is not subject to any preemptive or similar rights that have not been complied with or otherwise effectively waived.</w:t>
      </w:r>
    </w:p>
    <w:p>
      <w:pPr>
        <w:spacing w:after="0" w:line="186" w:lineRule="exact"/>
        <w:rPr>
          <w:rFonts w:ascii="Arial" w:cs="Arial" w:eastAsia="Arial" w:hAnsi="Arial"/>
          <w:sz w:val="18"/>
          <w:szCs w:val="18"/>
          <w:color w:val="auto"/>
        </w:rPr>
      </w:pPr>
    </w:p>
    <w:p>
      <w:pPr>
        <w:ind w:right="40" w:firstLine="436"/>
        <w:spacing w:after="0" w:line="268" w:lineRule="auto"/>
        <w:tabs>
          <w:tab w:leader="none" w:pos="65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Non-Contravention of Existing Instruments; No Further Authorizations or Approvals Required</w:t>
      </w:r>
      <w:r>
        <w:rPr>
          <w:rFonts w:ascii="Arial" w:cs="Arial" w:eastAsia="Arial" w:hAnsi="Arial"/>
          <w:sz w:val="17"/>
          <w:szCs w:val="17"/>
          <w:color w:val="auto"/>
        </w:rPr>
        <w:t>. The issue and sale of the Shares and the compliance by the Company with this Agreement and the consummation of the transactions contemplated in this Agreement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or (C), for such defaults, breaches, or violations that would not, individually or in the aggregate,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Securities Act, the approval by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and such consents, approvals, authorizations, registrations or qualifications as may be required under state securities or Blue Sky laws in connection with the purchase and distribution of the Shares.</w:t>
      </w:r>
    </w:p>
    <w:p>
      <w:pPr>
        <w:spacing w:after="0" w:line="186" w:lineRule="exact"/>
        <w:rPr>
          <w:rFonts w:ascii="Arial" w:cs="Arial" w:eastAsia="Arial" w:hAnsi="Arial"/>
          <w:sz w:val="17"/>
          <w:szCs w:val="17"/>
          <w:color w:val="auto"/>
        </w:rPr>
      </w:pPr>
    </w:p>
    <w:p>
      <w:pPr>
        <w:ind w:firstLine="436"/>
        <w:spacing w:after="0" w:line="273" w:lineRule="auto"/>
        <w:tabs>
          <w:tab w:leader="none" w:pos="74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5" w:name="page66"/>
    <w:bookmarkEnd w:id="65"/>
    <w:p>
      <w:pPr>
        <w:ind w:left="4" w:firstLine="436"/>
        <w:spacing w:after="0" w:line="277" w:lineRule="auto"/>
        <w:tabs>
          <w:tab w:leader="none" w:pos="69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Accuracy of Prospectus</w:t>
      </w:r>
      <w:r>
        <w:rPr>
          <w:rFonts w:ascii="Arial" w:cs="Arial" w:eastAsia="Arial" w:hAnsi="Arial"/>
          <w:sz w:val="18"/>
          <w:szCs w:val="18"/>
          <w:color w:val="auto"/>
        </w:rPr>
        <w:t>. The statements set forth in the Prospectus insofar as they purport to describe the provisions of the laws and documents referred to therein, under the caption “Plan of Distribution”, are accurate, complete and fair in all material respects.</w:t>
      </w:r>
    </w:p>
    <w:p>
      <w:pPr>
        <w:spacing w:after="0" w:line="170" w:lineRule="exact"/>
        <w:rPr>
          <w:rFonts w:ascii="Arial" w:cs="Arial" w:eastAsia="Arial" w:hAnsi="Arial"/>
          <w:sz w:val="18"/>
          <w:szCs w:val="18"/>
          <w:color w:val="auto"/>
        </w:rPr>
      </w:pPr>
    </w:p>
    <w:p>
      <w:pPr>
        <w:ind w:left="4" w:right="80" w:firstLine="436"/>
        <w:spacing w:after="0" w:line="257" w:lineRule="auto"/>
        <w:tabs>
          <w:tab w:leader="none" w:pos="69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No Material Actions or Proceedings</w:t>
      </w:r>
      <w:r>
        <w:rPr>
          <w:rFonts w:ascii="Arial" w:cs="Arial" w:eastAsia="Arial" w:hAnsi="Arial"/>
          <w:sz w:val="18"/>
          <w:szCs w:val="18"/>
          <w:color w:val="auto"/>
        </w:rPr>
        <w:t>. Other than as set forth in the Prospectus, there are no legal or governmental proceedings pending to which the Company or any of its subsidiaries, to the Company’s knowledge, any officer or director of the Company, is a party or of which any property of the Company or any of its subsidiaries,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w:t>
      </w:r>
    </w:p>
    <w:p>
      <w:pPr>
        <w:spacing w:after="0" w:line="187"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Company Not an “Investment Company</w:t>
      </w:r>
      <w:r>
        <w:rPr>
          <w:rFonts w:ascii="Arial" w:cs="Arial" w:eastAsia="Arial" w:hAnsi="Arial"/>
          <w:sz w:val="18"/>
          <w:szCs w:val="18"/>
          <w:color w:val="auto"/>
        </w:rPr>
        <w:t>.” The Company is not and, after giving effect to the offering and sale of the Shares and the application of the proceeds thereof as described in the Prospectus, will not be an “investment company”, as such term is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140" w:firstLine="436"/>
        <w:spacing w:after="0" w:line="263" w:lineRule="auto"/>
        <w:tabs>
          <w:tab w:leader="none" w:pos="69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PricewaterhouseCoopers LLP, who have certified certain financial statements of the Company and its subsidiaries, are independent public accountants as required by the Securities Act and the rules and regulations of the Commission and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220" w:firstLine="436"/>
        <w:spacing w:after="0" w:line="286" w:lineRule="auto"/>
        <w:tabs>
          <w:tab w:leader="none" w:pos="669"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Internal Control Over Financial Reporting</w:t>
      </w:r>
      <w:r>
        <w:rPr>
          <w:rFonts w:ascii="Arial" w:cs="Arial" w:eastAsia="Arial" w:hAnsi="Arial"/>
          <w:sz w:val="16"/>
          <w:szCs w:val="16"/>
          <w:color w:val="auto"/>
        </w:rPr>
        <w:t>. The Company maintains a system of internal control over financial reporting (as such term is defined in Rule 13a-15(f) under the Exchange Act) that (i)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 is designed to provide reasonable assurance that</w:t>
      </w:r>
    </w:p>
    <w:p>
      <w:pPr>
        <w:spacing w:after="0" w:line="1" w:lineRule="exact"/>
        <w:rPr>
          <w:rFonts w:ascii="Arial" w:cs="Arial" w:eastAsia="Arial" w:hAnsi="Arial"/>
          <w:sz w:val="16"/>
          <w:szCs w:val="16"/>
          <w:color w:val="auto"/>
        </w:rPr>
      </w:pPr>
    </w:p>
    <w:p>
      <w:pPr>
        <w:ind w:left="4" w:right="60" w:hanging="4"/>
        <w:spacing w:after="0" w:line="268" w:lineRule="auto"/>
        <w:tabs>
          <w:tab w:leader="none" w:pos="299" w:val="left"/>
        </w:tabs>
        <w:numPr>
          <w:ilvl w:val="0"/>
          <w:numId w:val="57"/>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The Company is not aware of any significant deficiencies or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p>
    <w:p>
      <w:pPr>
        <w:spacing w:after="0" w:line="181" w:lineRule="exact"/>
        <w:rPr>
          <w:rFonts w:ascii="Arial" w:cs="Arial" w:eastAsia="Arial" w:hAnsi="Arial"/>
          <w:sz w:val="17"/>
          <w:szCs w:val="17"/>
          <w:color w:val="auto"/>
        </w:rPr>
      </w:pPr>
    </w:p>
    <w:p>
      <w:pPr>
        <w:ind w:left="4" w:right="320" w:firstLine="436"/>
        <w:spacing w:after="0" w:line="311" w:lineRule="auto"/>
        <w:tabs>
          <w:tab w:leader="none" w:pos="679"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No Material Changes to Company’s Internal Control Over Financial Reporting</w:t>
      </w:r>
      <w:r>
        <w:rPr>
          <w:rFonts w:ascii="Arial" w:cs="Arial" w:eastAsia="Arial" w:hAnsi="Arial"/>
          <w:sz w:val="16"/>
          <w:szCs w:val="16"/>
          <w:color w:val="auto"/>
        </w:rPr>
        <w:t>. 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6" w:name="page67"/>
    <w:bookmarkEnd w:id="6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 </w:t>
      </w: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maintains disclosure controls and procedures (as such term is defined in</w:t>
      </w:r>
    </w:p>
    <w:p>
      <w:pPr>
        <w:spacing w:after="0" w:line="23" w:lineRule="exact"/>
        <w:rPr>
          <w:sz w:val="20"/>
          <w:szCs w:val="20"/>
          <w:color w:val="auto"/>
        </w:rPr>
      </w:pPr>
    </w:p>
    <w:p>
      <w:pPr>
        <w:ind w:left="4" w:right="120"/>
        <w:spacing w:after="0" w:line="253" w:lineRule="auto"/>
        <w:rPr>
          <w:sz w:val="20"/>
          <w:szCs w:val="20"/>
          <w:color w:val="auto"/>
        </w:rPr>
      </w:pPr>
      <w:r>
        <w:rPr>
          <w:rFonts w:ascii="Arial" w:cs="Arial" w:eastAsia="Arial" w:hAnsi="Arial"/>
          <w:sz w:val="18"/>
          <w:szCs w:val="18"/>
          <w:color w:val="auto"/>
        </w:rPr>
        <w:t>Rule 13a-15(e) under the Exchange Act), which (i) have been designed to ensure that material information relating to the Company and its subsidiaries is made known to the Company’s principal executive officer and principal financial officer by others within these entities; (ii) have been evaluated by management of the Company for effectiveness as of the end of the Company’s most recent fiscal quarter; and (iii) are effective at the reasonable assurance level to perform the functions for which they were established.</w:t>
      </w:r>
    </w:p>
    <w:p>
      <w:pPr>
        <w:spacing w:after="0" w:line="193" w:lineRule="exact"/>
        <w:rPr>
          <w:sz w:val="20"/>
          <w:szCs w:val="20"/>
          <w:color w:val="auto"/>
        </w:rPr>
      </w:pPr>
    </w:p>
    <w:p>
      <w:pPr>
        <w:ind w:left="704" w:hanging="264"/>
        <w:spacing w:after="0"/>
        <w:tabs>
          <w:tab w:leader="none" w:pos="704"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left="4" w:right="80" w:firstLine="436"/>
        <w:spacing w:after="0" w:line="285" w:lineRule="auto"/>
        <w:tabs>
          <w:tab w:leader="none" w:pos="699"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Anti-Corruption and Anti-Bribery Laws</w:t>
      </w:r>
      <w:r>
        <w:rPr>
          <w:rFonts w:ascii="Arial" w:cs="Arial" w:eastAsia="Arial" w:hAnsi="Arial"/>
          <w:sz w:val="16"/>
          <w:szCs w:val="16"/>
          <w:color w:val="auto"/>
        </w:rPr>
        <w:t>. Neither the Company nor any of its subsidiaries nor any director, officer, or to the knowledge of the Company, any employee, agent, affiliate or other person associated with or acting on behalf of the Company has (i) directly or indirectly made, offered, promised or authorized any unlawful payment, contribution, gift, entertainment or other unlawful benefit or expense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or</w:t>
      </w:r>
    </w:p>
    <w:p>
      <w:pPr>
        <w:spacing w:after="0" w:line="1" w:lineRule="exact"/>
        <w:rPr>
          <w:rFonts w:ascii="Arial" w:cs="Arial" w:eastAsia="Arial" w:hAnsi="Arial"/>
          <w:sz w:val="16"/>
          <w:szCs w:val="16"/>
          <w:color w:val="auto"/>
        </w:rPr>
      </w:pPr>
    </w:p>
    <w:p>
      <w:pPr>
        <w:ind w:left="4" w:right="20" w:hanging="4"/>
        <w:spacing w:after="0" w:line="253"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U.S. Foreign Corrupt Practices Act of 1977, as amended, the Bribery Act 2010 of the United Kingdom or any other applicable anti-bribery or anti-corruption law.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 Each of the Company and its subsidiaries has conducted its business in compliance with applicable anti-corruption laws.</w:t>
      </w:r>
    </w:p>
    <w:p>
      <w:pPr>
        <w:spacing w:after="0" w:line="190" w:lineRule="exact"/>
        <w:rPr>
          <w:rFonts w:ascii="Arial" w:cs="Arial" w:eastAsia="Arial" w:hAnsi="Arial"/>
          <w:sz w:val="18"/>
          <w:szCs w:val="18"/>
          <w:color w:val="auto"/>
        </w:rPr>
      </w:pPr>
    </w:p>
    <w:p>
      <w:pPr>
        <w:ind w:left="4" w:firstLine="436"/>
        <w:spacing w:after="0" w:line="255" w:lineRule="auto"/>
        <w:tabs>
          <w:tab w:leader="none" w:pos="739"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92" w:lineRule="exact"/>
        <w:rPr>
          <w:rFonts w:ascii="Arial" w:cs="Arial" w:eastAsia="Arial" w:hAnsi="Arial"/>
          <w:sz w:val="18"/>
          <w:szCs w:val="18"/>
          <w:color w:val="auto"/>
        </w:rPr>
      </w:pPr>
    </w:p>
    <w:p>
      <w:pPr>
        <w:ind w:left="4" w:right="80" w:firstLine="436"/>
        <w:spacing w:after="0" w:line="257" w:lineRule="auto"/>
        <w:tabs>
          <w:tab w:leader="none" w:pos="699"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Neither the Company nor any director, officer, or to the knowledge of the Company, any employee, agent or affiliate of the Company is, or is 50% or more owned or otherwise controlled by a person that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8"/>
          <w:szCs w:val="18"/>
          <w:b w:val="1"/>
          <w:bCs w:val="1"/>
          <w:color w:val="auto"/>
        </w:rPr>
        <w:t>OFAC</w:t>
      </w:r>
      <w:r>
        <w:rPr>
          <w:rFonts w:ascii="Arial" w:cs="Arial" w:eastAsia="Arial" w:hAnsi="Arial"/>
          <w:sz w:val="18"/>
          <w:szCs w:val="18"/>
          <w:color w:val="auto"/>
        </w:rPr>
        <w:t>”), or the U.S. Department of State and including, without limitation, the designation as a “specially designated national” or “blocked person”) the European Union, Her Majesty’s Treasury, the United Nations Security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67" w:name="page68"/>
    <w:bookmarkEnd w:id="6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Council,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target of Sanctions including, without limitation, Cuba, Iran, North Korea, Syria, and Crimea,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164" w:lineRule="exact"/>
        <w:rPr>
          <w:sz w:val="20"/>
          <w:szCs w:val="20"/>
          <w:color w:val="auto"/>
        </w:rPr>
      </w:pPr>
    </w:p>
    <w:p>
      <w:pPr>
        <w:ind w:right="60" w:firstLine="436"/>
        <w:spacing w:after="0" w:line="277"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Sanctions</w:t>
      </w:r>
      <w:r>
        <w:rPr>
          <w:rFonts w:ascii="Arial" w:cs="Arial" w:eastAsia="Arial" w:hAnsi="Arial"/>
          <w:sz w:val="18"/>
          <w:szCs w:val="18"/>
          <w:color w:val="auto"/>
        </w:rPr>
        <w:t>. Each of the Company and its subsidiaries has not, is not, and will not engage in any transactions or dealings with any person, or in any country or territory, that at the time of the dealing or transaction is or was the subject or target of Sanctions.</w:t>
      </w:r>
    </w:p>
    <w:p>
      <w:pPr>
        <w:spacing w:after="0" w:line="170" w:lineRule="exact"/>
        <w:rPr>
          <w:rFonts w:ascii="Arial" w:cs="Arial" w:eastAsia="Arial" w:hAnsi="Arial"/>
          <w:sz w:val="18"/>
          <w:szCs w:val="18"/>
          <w:color w:val="auto"/>
        </w:rPr>
      </w:pPr>
    </w:p>
    <w:p>
      <w:pPr>
        <w:ind w:firstLine="436"/>
        <w:spacing w:after="0" w:line="269" w:lineRule="auto"/>
        <w:tabs>
          <w:tab w:leader="none" w:pos="68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included in the Registration Statement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The supporting schedules, if any, present fairly in accordance with GAAP the information required to be stated therein. The financial data and information included in the Registration Statement and the Prospectus present fairly in all material respects the information shown therein and have been compiled on a basis consistent with that of the audited financial statements included therein.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historical or pro forma financial statements or supporting schedules are required to be included in the Registration Statement or the Prospectus under the Securities Act or the rules and regulations promulgated thereunder.</w:t>
      </w:r>
    </w:p>
    <w:p>
      <w:pPr>
        <w:spacing w:after="0" w:line="182" w:lineRule="exact"/>
        <w:rPr>
          <w:sz w:val="20"/>
          <w:szCs w:val="20"/>
          <w:color w:val="auto"/>
        </w:rPr>
      </w:pPr>
    </w:p>
    <w:p>
      <w:pPr>
        <w:ind w:right="180" w:firstLine="436"/>
        <w:spacing w:after="0" w:line="308" w:lineRule="auto"/>
        <w:tabs>
          <w:tab w:leader="none" w:pos="765"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Emerging Growth Company Status</w:t>
      </w:r>
      <w:r>
        <w:rPr>
          <w:rFonts w:ascii="Arial" w:cs="Arial" w:eastAsia="Arial" w:hAnsi="Arial"/>
          <w:sz w:val="17"/>
          <w:szCs w:val="17"/>
          <w:color w:val="auto"/>
        </w:rPr>
        <w:t>. The Company is, and has been, since the time of the initial filing of the Registration Statement with the Commission, an “emerging growth company” as defined in Section 2(a)(19) of the Securities Act (an “</w:t>
      </w:r>
      <w:r>
        <w:rPr>
          <w:rFonts w:ascii="Arial" w:cs="Arial" w:eastAsia="Arial" w:hAnsi="Arial"/>
          <w:sz w:val="17"/>
          <w:szCs w:val="17"/>
          <w:b w:val="1"/>
          <w:bCs w:val="1"/>
          <w:color w:val="auto"/>
        </w:rPr>
        <w:t>Emerging Growth Company</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436"/>
        <w:spacing w:after="0" w:line="263" w:lineRule="auto"/>
        <w:tabs>
          <w:tab w:leader="none" w:pos="78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rights or other similar rights to have any securities registered pursuant to the Registration Statement or otherwise registered by the Company under the Securities Act except as have been validly waived or complied with in connection with the offering of the Shares.</w:t>
      </w:r>
    </w:p>
    <w:p>
      <w:pPr>
        <w:spacing w:after="0" w:line="183" w:lineRule="exact"/>
        <w:rPr>
          <w:rFonts w:ascii="Arial" w:cs="Arial" w:eastAsia="Arial" w:hAnsi="Arial"/>
          <w:sz w:val="18"/>
          <w:szCs w:val="18"/>
          <w:color w:val="auto"/>
        </w:rPr>
      </w:pPr>
    </w:p>
    <w:p>
      <w:pPr>
        <w:jc w:val="both"/>
        <w:ind w:right="100" w:firstLine="436"/>
        <w:spacing w:after="0" w:line="259" w:lineRule="auto"/>
        <w:tabs>
          <w:tab w:leader="none" w:pos="76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 Material Labor Dispute</w:t>
      </w:r>
      <w:r>
        <w:rPr>
          <w:rFonts w:ascii="Arial" w:cs="Arial" w:eastAsia="Arial" w:hAnsi="Arial"/>
          <w:sz w:val="18"/>
          <w:szCs w:val="18"/>
          <w:color w:val="auto"/>
        </w:rPr>
        <w:t>. No labor disturbance by or dispute with current or former employees or officers of the Company exists or, to the Company’s knowledge, is contemplated or threatened, and the Company is not aware of any existing or imminent labor disturbance by, or dispute with, the employees of any of the Company’s principal suppliers, manufacturers or contractors. The Company is not a party to any collective bargaining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68" w:name="page69"/>
    <w:bookmarkEnd w:id="68"/>
    <w:p>
      <w:pPr>
        <w:ind w:left="4" w:right="60" w:firstLine="436"/>
        <w:spacing w:after="0" w:line="273" w:lineRule="auto"/>
        <w:tabs>
          <w:tab w:leader="none" w:pos="789"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Arial" w:cs="Arial" w:eastAsia="Arial" w:hAnsi="Arial"/>
          <w:sz w:val="17"/>
          <w:szCs w:val="17"/>
          <w:color w:val="auto"/>
        </w:rPr>
        <w:t>. The Company and its subsidiaries have insurance covering their respective properties, operations, personnel and business, including business interruption insurance, which insurance is in amounts and insures against such losses and risks as are reasonable and is ordinary and customary for comparable companies in the same or similar businesses; and neither the Company nor any of its subsidiaries has (i) received notice from any insurer or agent of such insurer that capital improvements or other expenditures are required or necessary to be made in order to continue such insurance nor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77" w:lineRule="exact"/>
        <w:rPr>
          <w:rFonts w:ascii="Arial" w:cs="Arial" w:eastAsia="Arial" w:hAnsi="Arial"/>
          <w:sz w:val="17"/>
          <w:szCs w:val="17"/>
          <w:color w:val="auto"/>
        </w:rPr>
      </w:pPr>
    </w:p>
    <w:p>
      <w:pPr>
        <w:ind w:left="4" w:firstLine="436"/>
        <w:spacing w:after="0" w:line="284" w:lineRule="auto"/>
        <w:tabs>
          <w:tab w:leader="none" w:pos="769"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Compliance with Health Care Laws</w:t>
      </w:r>
      <w:r>
        <w:rPr>
          <w:rFonts w:ascii="Arial" w:cs="Arial" w:eastAsia="Arial" w:hAnsi="Arial"/>
          <w:sz w:val="16"/>
          <w:szCs w:val="16"/>
          <w:color w:val="auto"/>
        </w:rPr>
        <w:t>. Except as would not, individually or in the aggregate, reasonably be expected to have a Material Adverse Effect, the Company and its subsidiaries, are, and at all times, have been, in compliance with all applicable Health Care Laws (defined herein), including, but not limited to, the rules and regulations of the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the U.S. Department of Health and Human Services (“</w:t>
      </w:r>
      <w:r>
        <w:rPr>
          <w:rFonts w:ascii="Arial" w:cs="Arial" w:eastAsia="Arial" w:hAnsi="Arial"/>
          <w:sz w:val="16"/>
          <w:szCs w:val="16"/>
          <w:b w:val="1"/>
          <w:bCs w:val="1"/>
          <w:color w:val="auto"/>
        </w:rPr>
        <w:t>HHS</w:t>
      </w:r>
      <w:r>
        <w:rPr>
          <w:rFonts w:ascii="Arial" w:cs="Arial" w:eastAsia="Arial" w:hAnsi="Arial"/>
          <w:sz w:val="16"/>
          <w:szCs w:val="16"/>
          <w:color w:val="auto"/>
        </w:rPr>
        <w:t>”) Office of Inspector General, the Centers for Medicare &amp; Medicaid Services, the HHS Office for Civil Rights, the U.S. Department of Justice and any other governmental agency or body having jurisdiction over the Company or any of its properties, and have not engaged in any activities which are, as applicable, cause for false claims liability, civil penalties, or mandatory or permissive exclusion from Medicare, Medicaid, or any other local, state or federal healthcare program.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shall mean the federal Anti-kickback Statute (42 U.S.C.</w:t>
      </w:r>
    </w:p>
    <w:p>
      <w:pPr>
        <w:spacing w:after="0" w:line="2" w:lineRule="exact"/>
        <w:rPr>
          <w:rFonts w:ascii="Arial" w:cs="Arial" w:eastAsia="Arial" w:hAnsi="Arial"/>
          <w:sz w:val="16"/>
          <w:szCs w:val="16"/>
          <w:color w:val="auto"/>
        </w:rPr>
      </w:pPr>
    </w:p>
    <w:p>
      <w:pPr>
        <w:ind w:left="4" w:right="20" w:hanging="4"/>
        <w:spacing w:after="0" w:line="284" w:lineRule="auto"/>
        <w:tabs>
          <w:tab w:leader="none" w:pos="139" w:val="left"/>
        </w:tabs>
        <w:numPr>
          <w:ilvl w:val="0"/>
          <w:numId w:val="62"/>
        </w:numPr>
        <w:rPr>
          <w:rFonts w:ascii="Arial" w:cs="Arial" w:eastAsia="Arial" w:hAnsi="Arial"/>
          <w:sz w:val="16"/>
          <w:szCs w:val="16"/>
          <w:color w:val="auto"/>
        </w:rPr>
      </w:pPr>
      <w:r>
        <w:rPr>
          <w:rFonts w:ascii="Arial" w:cs="Arial" w:eastAsia="Arial" w:hAnsi="Arial"/>
          <w:sz w:val="16"/>
          <w:szCs w:val="16"/>
          <w:color w:val="auto"/>
        </w:rPr>
        <w:t>1320a-7b(b)), the Physician Payments Sunshine Act (42 U.S.C. § 1320a-7h), the civil False Claims Act (31 U.S.C. §§ 3729 et seq.), the criminal False Claims Act (42 U.S.C. § 1320a-7b(a)), all criminal laws relating to health care fraud and abuse, including but not limited to 18 U.S.C. Sections 286, 287, 1035, 1347 and 1349, and the health care fraud criminal provisions under the Health Insurance Portability and Accountability Act of 1996 (42 U.S.C. §§ 1320d et seq.) (“</w:t>
      </w:r>
      <w:r>
        <w:rPr>
          <w:rFonts w:ascii="Arial" w:cs="Arial" w:eastAsia="Arial" w:hAnsi="Arial"/>
          <w:sz w:val="16"/>
          <w:szCs w:val="16"/>
          <w:b w:val="1"/>
          <w:bCs w:val="1"/>
          <w:color w:val="auto"/>
        </w:rPr>
        <w:t>HIPAA</w:t>
      </w:r>
      <w:r>
        <w:rPr>
          <w:rFonts w:ascii="Arial" w:cs="Arial" w:eastAsia="Arial" w:hAnsi="Arial"/>
          <w:sz w:val="16"/>
          <w:szCs w:val="16"/>
          <w:color w:val="auto"/>
        </w:rPr>
        <w:t>”), the exclusion law (42 U.S.C. § 1320a-7), the civil monetary penalties law (42 U.S.C. § 1320a-7a), HIPAA, as amended by the Health Information Technology for Economic and Clinical Health Act (42 U.S.C. §§ 17921 et seq.), the Federal Food, Drug, and Cosmetic Act (21 U.S.C. §§ 301 et seq.), the statutes, regulations and directives of applicable federal healthcare programs, including but not limited to Medicare (Title XVIII of the Social Security Act) and Medicaid (Title XIX of the Social Security Act), and any rules and regulations promulgated pursuant to the statutes listed herein.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written notification, correspondence or any other written communication, including, without limitation, any written notice of adverse finding, warning letter, untitled letter or other correspondence or notice from the FDA or any similar regulatory authority in each case alleging material noncompliance, or any written notification of any pending or threatened claim, suit, proceeding, hearing, enforcement, investigation, arbitration or other action, from any court, arbitrator, governmental or regulatory authority or third party, of potential or actual material non-compliance by, or material liability of, the Company under any Health Care Laws.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69" w:name="page70"/>
    <w:bookmarkEnd w:id="69"/>
    <w:p>
      <w:pPr>
        <w:ind w:firstLine="436"/>
        <w:spacing w:after="0" w:line="269" w:lineRule="auto"/>
        <w:tabs>
          <w:tab w:leader="none" w:pos="722"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Licenses</w:t>
      </w:r>
      <w:r>
        <w:rPr>
          <w:rFonts w:ascii="Arial" w:cs="Arial" w:eastAsia="Arial" w:hAnsi="Arial"/>
          <w:sz w:val="17"/>
          <w:szCs w:val="17"/>
          <w:color w:val="auto"/>
        </w:rPr>
        <w:t>. Except as would not, individually or in the aggregate, reasonably be expected to have a Material Adverse Effect, each of the Company and its subsidiaries possesses, and is in compliance with the terms of, all applications, certificates, approvals, clearances, registrations, exemptions, franchises, licenses, permits, consents and other authorizations necessary to conduct their respective businesses (collectively, “</w:t>
      </w:r>
      <w:r>
        <w:rPr>
          <w:rFonts w:ascii="Arial" w:cs="Arial" w:eastAsia="Arial" w:hAnsi="Arial"/>
          <w:sz w:val="17"/>
          <w:szCs w:val="17"/>
          <w:b w:val="1"/>
          <w:bCs w:val="1"/>
          <w:color w:val="auto"/>
        </w:rPr>
        <w:t>Licenses</w:t>
      </w:r>
      <w:r>
        <w:rPr>
          <w:rFonts w:ascii="Arial" w:cs="Arial" w:eastAsia="Arial" w:hAnsi="Arial"/>
          <w:sz w:val="17"/>
          <w:szCs w:val="17"/>
          <w:color w:val="auto"/>
        </w:rPr>
        <w:t>”), issued by the appropriate Governmental Authorities, including, without limitation, all Licenses required by the FDA, or any component thereof, and/or by any other U.S., state, local or foreign government or drug regulatory agency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All such Licenses are in full force and effect and the Company is not in violation of any term or conditions of any such License, except as would not, individually or in the aggregate, reasonably be expected to have a Material Adverse Effect. Each of the Company and its subsidiaries has fulfilled and performed all of its respective material obligations with respect to such Licenses and, no event has occurred which allows, or after notice or lapse of time would allow, revocation or termination thereof or results in any other impairment of the rights of the holder of any such License. The Company has not received any written notice of proceedings relating to the revocation or modification of any such Licenses and to the knowledge of the Company, no Regulatory Agency has taken any action to limit, suspend or revoke any such License possessed by the Company.</w:t>
      </w:r>
    </w:p>
    <w:p>
      <w:pPr>
        <w:spacing w:after="0" w:line="181" w:lineRule="exact"/>
        <w:rPr>
          <w:rFonts w:ascii="Arial" w:cs="Arial" w:eastAsia="Arial" w:hAnsi="Arial"/>
          <w:sz w:val="17"/>
          <w:szCs w:val="17"/>
          <w:color w:val="auto"/>
        </w:rPr>
      </w:pPr>
    </w:p>
    <w:p>
      <w:pPr>
        <w:ind w:firstLine="436"/>
        <w:spacing w:after="0" w:line="272" w:lineRule="auto"/>
        <w:tabs>
          <w:tab w:leader="none" w:pos="78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Clinical Data and Regulatory Compliance</w:t>
      </w:r>
      <w:r>
        <w:rPr>
          <w:rFonts w:ascii="Arial" w:cs="Arial" w:eastAsia="Arial" w:hAnsi="Arial"/>
          <w:sz w:val="17"/>
          <w:szCs w:val="17"/>
          <w:color w:val="auto"/>
        </w:rPr>
        <w:t>. The pre-clinical studies and clinical trials that are described in the Registration Statement and the Prospectus were and, if still pending, are being, conducted in all material respects in accordance with the protocols submitted to the FDA or any foreign governmental body exercising comparable authority, and pursuant to, where applicable, all applicable laws and regulations; the Company is not aware of any other pre-clinical studies or clinical trials, the results of which reasonably and materially call into question the results described in the Registration Statement and the Prospectus; and the Company has not received any written notices or correspondence from the FDA, any foreign, state or local governmental body exercising comparable authority or any Institutional Review Board requiring the termination, suspension or material modification of any pre-clinical studies or clinical trials conducted by or on behalf of the Company.</w:t>
      </w:r>
    </w:p>
    <w:p>
      <w:pPr>
        <w:spacing w:after="0" w:line="177" w:lineRule="exact"/>
        <w:rPr>
          <w:rFonts w:ascii="Arial" w:cs="Arial" w:eastAsia="Arial" w:hAnsi="Arial"/>
          <w:sz w:val="17"/>
          <w:szCs w:val="17"/>
          <w:color w:val="auto"/>
        </w:rPr>
      </w:pPr>
    </w:p>
    <w:p>
      <w:pPr>
        <w:ind w:right="100" w:firstLine="436"/>
        <w:spacing w:after="0" w:line="257" w:lineRule="auto"/>
        <w:tabs>
          <w:tab w:leader="none" w:pos="78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Debarments</w:t>
      </w:r>
      <w:r>
        <w:rPr>
          <w:rFonts w:ascii="Arial" w:cs="Arial" w:eastAsia="Arial" w:hAnsi="Arial"/>
          <w:sz w:val="18"/>
          <w:szCs w:val="18"/>
          <w:color w:val="auto"/>
        </w:rPr>
        <w:t>. Neither the Company nor its subsidiaries nor any of its or their respective officers, employees, directors, agents or clinical investigators,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42 U.S.C. § 1320a-7 or 21 U.S.C. § 335a.</w:t>
      </w:r>
    </w:p>
    <w:p>
      <w:pPr>
        <w:spacing w:after="0" w:line="187" w:lineRule="exact"/>
        <w:rPr>
          <w:rFonts w:ascii="Arial" w:cs="Arial" w:eastAsia="Arial" w:hAnsi="Arial"/>
          <w:sz w:val="18"/>
          <w:szCs w:val="18"/>
          <w:color w:val="auto"/>
        </w:rPr>
      </w:pPr>
    </w:p>
    <w:p>
      <w:pPr>
        <w:ind w:right="80" w:firstLine="436"/>
        <w:spacing w:after="0" w:line="290"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Except as disclosed in the Registration Statement and the Prospectus, 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the conduct of the business now of the Company or the proposed conduct of the business of the Company in the manner described in the Registration Statement and the Prospectus (collectively, the “</w:t>
      </w:r>
      <w:r>
        <w:rPr>
          <w:rFonts w:ascii="Arial" w:cs="Arial" w:eastAsia="Arial" w:hAnsi="Arial"/>
          <w:sz w:val="16"/>
          <w:szCs w:val="16"/>
          <w:b w:val="1"/>
          <w:bCs w:val="1"/>
          <w:color w:val="auto"/>
        </w:rPr>
        <w:t>Company Intellectual Property</w:t>
      </w:r>
      <w:r>
        <w:rPr>
          <w:rFonts w:ascii="Arial" w:cs="Arial" w:eastAsia="Arial" w:hAnsi="Arial"/>
          <w:sz w:val="16"/>
          <w:szCs w:val="16"/>
          <w:color w:val="auto"/>
        </w:rPr>
        <w:t>”); except as disclosed in the Registration Statement and the Prospectus, the patents included in the Intellectual Property are subsisting and have not lapsed and the patent applications in the Intellectual Property are subsisting and have not been abandoned; the Company Intellectual Property has not been adjudged by a court of competent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70" w:name="page71"/>
    <w:bookmarkEnd w:id="7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jurisdiction invalid or unenforceable in whole or in part; there are no material defects in any of the patents or patent applications within the Intellectual Property; and to the Company’s knowledge, there are no rights of third parties to any of the Company Intellectual Property (except for customary reversion rights of third-party licensors with respect to Intellectual Property that is disclosed in the Registration Statement and Prospectus and licensed to the Company), and such intellectual property is owned by the Company free and clear of all material liens, security interests, or encumbrances; to the Company’s knowledge, there is no infringement by third parties of any of the Company Intellectual Property; other than as disclosed in the Pricing Prospectus and the Prospectus, (i) no action, suit, claim or other proceeding is pending or, to the knowledge of the Company, is threatened, alleging that the Company is infringing, misappropriating, diluting or otherwise violating any rights of others, or would, with respect to any of the Company’s product candidates, processes or intellectual property, (ii) no action, suit, claim or other proceeding is pending or, to the knowledge of the Company, is threatened, challenging the validity, enforceability, scope, registration, ownership or use of any of the Company’s Intellectual Property, (iii) no action, suit, claim or other proceeding is pending or, to the knowledge of the Company, is threatened, challenging the Company’s rights in or to any Company Intellectual Property, (iv) the Company has not received notice of any claim of infringement, misappropriation or conflict with any asserted rights of others with respect to any of the Company’s products, proposed products, processes or Company Intellectual Property, (v) the Company has taken commercially reasonable measures to protect its confidential information and trade secrets and to maintain and safeguard the Company’s Intellectual Property, including the execution of appropriate nondisclosure and confidentiality agreements and (vi) the Company has complied with the terms of each agreement pursuant to which Intellectual Property has been licensed to the Company, and all such agreements are in full force and effect, except in each case covered by clauses (i) — (vi) such as would not, if determined adversely to the Company, individually or in the aggregate, have a Material Adverse Effect.</w:t>
      </w:r>
    </w:p>
    <w:p>
      <w:pPr>
        <w:spacing w:after="0" w:line="191" w:lineRule="exact"/>
        <w:rPr>
          <w:sz w:val="20"/>
          <w:szCs w:val="20"/>
          <w:color w:val="auto"/>
        </w:rPr>
      </w:pPr>
    </w:p>
    <w:p>
      <w:pPr>
        <w:ind w:right="20" w:firstLine="436"/>
        <w:spacing w:after="0" w:line="286"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Except as would not, individually or in the aggregate, reasonably be expected to have a Material Adverse Effect, the Company’s and its subsidiaries’ information technology assets and equipment, computers, technology systems and other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to ensure the privacy, confidentiality, integrity, continuous operation, redundancy and security of all physical storage facilities, IT Systems, and data used in connection with the operation of the Company or its subsidiaries (including any information that relates to an identified or identifiable individual or is otherwise considered “personal information,” “personally identifiable information” or “personal data” under applicable law, sensitive data, confidential information or regulated data in any form (collectively, the “</w:t>
      </w:r>
      <w:r>
        <w:rPr>
          <w:rFonts w:ascii="Arial" w:cs="Arial" w:eastAsia="Arial" w:hAnsi="Arial"/>
          <w:sz w:val="16"/>
          <w:szCs w:val="16"/>
          <w:b w:val="1"/>
          <w:bCs w:val="1"/>
          <w:color w:val="auto"/>
        </w:rPr>
        <w:t>Protected Information</w:t>
      </w:r>
      <w:r>
        <w:rPr>
          <w:rFonts w:ascii="Arial" w:cs="Arial" w:eastAsia="Arial" w:hAnsi="Arial"/>
          <w:sz w:val="16"/>
          <w:szCs w:val="16"/>
          <w:color w:val="auto"/>
        </w:rPr>
        <w:t>”)). The Company and its subsidiaries have taken all commercially reasonable steps to protect the IT Systems, Protected Information and any other data used in connection with the operation of the Company and its subsidiaries, and have established and maintained commercially reasonable disaster recovery and security plans, procedures and facilities for the business, including, without limitation, for the IT Systems, Protected Information and data held or used by or for the Company and its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71" w:name="page72"/>
    <w:bookmarkEnd w:id="71"/>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have been no material security breaches or attacks, violations, outages, accidental or unlawful destruction, loss, alteration or unauthorized uses or disclosures of or access to any IT Systems or Protected Information, or any other material incidents or compromises of or relating to any IT Systems or Protected Information, nor any notifications by any third parties of any of the foregoing.</w:t>
      </w:r>
    </w:p>
    <w:p>
      <w:pPr>
        <w:spacing w:after="0" w:line="184" w:lineRule="exact"/>
        <w:rPr>
          <w:sz w:val="20"/>
          <w:szCs w:val="20"/>
          <w:color w:val="auto"/>
        </w:rPr>
      </w:pPr>
    </w:p>
    <w:p>
      <w:pPr>
        <w:ind w:firstLine="436"/>
        <w:spacing w:after="0" w:line="268" w:lineRule="auto"/>
        <w:tabs>
          <w:tab w:leader="none" w:pos="78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Compliance with Data Privacy Laws</w:t>
      </w:r>
      <w:r>
        <w:rPr>
          <w:rFonts w:ascii="Arial" w:cs="Arial" w:eastAsia="Arial" w:hAnsi="Arial"/>
          <w:sz w:val="17"/>
          <w:szCs w:val="17"/>
          <w:color w:val="auto"/>
        </w:rPr>
        <w:t>. Except as would not, individually or in the aggregate, reasonably be expected to have a Material Adverse Effect, the Company and its subsidiaries have at all times complied with all (x) data protection, privacy and security policies applicable to the Company or its subsidiaries, (y) contractual obligations of the Company or its subsidiaries concerning data protection, privacy, security of Protected Information, and (z) applicable laws, statutes, regulations directives, or applicable self-regulatory guidelines or standards and all judgments, orders, rules and regulations of any court or arbitrator or governmental or regulatory authority relating to the privacy and security of IT Systems and Protected Information or to the protection of such IT Systems and Protected Information from unauthorized use, access, misappropriation or modification (collectively, the “</w:t>
      </w:r>
      <w:r>
        <w:rPr>
          <w:rFonts w:ascii="Arial" w:cs="Arial" w:eastAsia="Arial" w:hAnsi="Arial"/>
          <w:sz w:val="17"/>
          <w:szCs w:val="17"/>
          <w:b w:val="1"/>
          <w:bCs w:val="1"/>
          <w:color w:val="auto"/>
        </w:rPr>
        <w:t>Data Protection Requirements</w:t>
      </w:r>
      <w:r>
        <w:rPr>
          <w:rFonts w:ascii="Arial" w:cs="Arial" w:eastAsia="Arial" w:hAnsi="Arial"/>
          <w:sz w:val="17"/>
          <w:szCs w:val="17"/>
          <w:color w:val="auto"/>
        </w:rPr>
        <w:t>”). The Company and its subsidiaries have at all times provided adequate notice to and obtained any necessary consents from data subjects for any past and present collection, use, disclosure, international transfer and other processing of Protected Information by or for the Company, except where the failure to do so would not, individually or in the aggregate, have a Material Adverse Effect. The Company and its subsidiaries (x) have not received written notice of any actual or potential liability under or relating to, or actual or potential violation of, any of the Data Protection Requirements, and have no knowledge of any event or condition that would reasonably be expected to result in any such notice; (y) are not currently conducting or paying for, in whole or in part, any investigation, remediation, or other corrective action relating to any Data Protection Requirement; and (z) are not a party to any order, decree, or agreement by any court or arbitrator or governmental or regulatory authority that imposes any obligation or liability relating to any Data Protection Requirement.</w:t>
      </w:r>
    </w:p>
    <w:p>
      <w:pPr>
        <w:spacing w:after="0" w:line="184" w:lineRule="exact"/>
        <w:rPr>
          <w:rFonts w:ascii="Arial" w:cs="Arial" w:eastAsia="Arial" w:hAnsi="Arial"/>
          <w:sz w:val="17"/>
          <w:szCs w:val="17"/>
          <w:color w:val="auto"/>
        </w:rPr>
      </w:pPr>
    </w:p>
    <w:p>
      <w:pPr>
        <w:ind w:right="40" w:firstLine="436"/>
        <w:spacing w:after="0" w:line="272" w:lineRule="auto"/>
        <w:tabs>
          <w:tab w:leader="none" w:pos="70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Patents</w:t>
      </w:r>
      <w:r>
        <w:rPr>
          <w:rFonts w:ascii="Arial" w:cs="Arial" w:eastAsia="Arial" w:hAnsi="Arial"/>
          <w:sz w:val="17"/>
          <w:szCs w:val="17"/>
          <w:color w:val="auto"/>
        </w:rPr>
        <w:t>. 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 Patent and Trademark Office (the “</w:t>
      </w:r>
      <w:r>
        <w:rPr>
          <w:rFonts w:ascii="Arial" w:cs="Arial" w:eastAsia="Arial" w:hAnsi="Arial"/>
          <w:sz w:val="17"/>
          <w:szCs w:val="17"/>
          <w:b w:val="1"/>
          <w:bCs w:val="1"/>
          <w:color w:val="auto"/>
        </w:rPr>
        <w:t>USPTO</w:t>
      </w:r>
      <w:r>
        <w:rPr>
          <w:rFonts w:ascii="Arial" w:cs="Arial" w:eastAsia="Arial" w:hAnsi="Arial"/>
          <w:sz w:val="17"/>
          <w:szCs w:val="17"/>
          <w:color w:val="auto"/>
        </w:rPr>
        <w:t>”) in connection with such applications;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 and to the Company’s knowledge, none of the Company Intellectual Property has been adjudged by a court of competent jurisdiction invalid or unenforceable in whole or in part.</w:t>
      </w:r>
    </w:p>
    <w:p>
      <w:pPr>
        <w:spacing w:after="0" w:line="177" w:lineRule="exact"/>
        <w:rPr>
          <w:rFonts w:ascii="Arial" w:cs="Arial" w:eastAsia="Arial" w:hAnsi="Arial"/>
          <w:sz w:val="17"/>
          <w:szCs w:val="17"/>
          <w:color w:val="auto"/>
        </w:rPr>
      </w:pPr>
    </w:p>
    <w:p>
      <w:pPr>
        <w:ind w:right="80" w:firstLine="436"/>
        <w:spacing w:after="0" w:line="263" w:lineRule="auto"/>
        <w:tabs>
          <w:tab w:leader="none" w:pos="88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Any statistical, industry-related and market-related data included in the Registration Statement and the Prospectus are based on or derived from sources that the Company believes to be reliable and accurate and, to the extent required, the Company has obtained the written consent to the use of such data from such sources.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72" w:name="page73"/>
    <w:bookmarkEnd w:id="72"/>
    <w:p>
      <w:pPr>
        <w:ind w:left="-20" w:right="20" w:firstLine="436"/>
        <w:spacing w:after="0" w:line="272" w:lineRule="auto"/>
        <w:tabs>
          <w:tab w:leader="none" w:pos="76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Necessary Permits</w:t>
      </w:r>
      <w:r>
        <w:rPr>
          <w:rFonts w:ascii="Arial" w:cs="Arial" w:eastAsia="Arial" w:hAnsi="Arial"/>
          <w:sz w:val="17"/>
          <w:szCs w:val="17"/>
          <w:color w:val="auto"/>
        </w:rPr>
        <w:t>. The Company and its subsidiaries possess all licenses, certificates, permits and other authorizations issued by, and has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 as described in the Registration Statement and the Prospectus, except where the failure to possess or make the same would not, individually or in the aggregate, reasonably be expected to have a Material Adverse Effect; and the Company has not received written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177" w:lineRule="exact"/>
        <w:rPr>
          <w:rFonts w:ascii="Arial" w:cs="Arial" w:eastAsia="Arial" w:hAnsi="Arial"/>
          <w:sz w:val="17"/>
          <w:szCs w:val="17"/>
          <w:color w:val="auto"/>
        </w:rPr>
      </w:pPr>
    </w:p>
    <w:p>
      <w:pPr>
        <w:ind w:left="-20" w:firstLine="436"/>
        <w:spacing w:after="0" w:line="269" w:lineRule="auto"/>
        <w:tabs>
          <w:tab w:leader="none" w:pos="76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Tax Law Compliance</w:t>
      </w:r>
      <w:r>
        <w:rPr>
          <w:rFonts w:ascii="Arial" w:cs="Arial" w:eastAsia="Arial" w:hAnsi="Arial"/>
          <w:sz w:val="17"/>
          <w:szCs w:val="17"/>
          <w:color w:val="auto"/>
        </w:rPr>
        <w:t>. All United States federal income tax returns and all other tax returns that are required to have been filed by them pursuant to applicable foreign, state or local laws of the Company and its subsidiaries required by law to be filed have been filed and all taxes shown as due on such returns or that otherwise have been assessed, which are due and payable, have been paid, except assessments against which appeals have been or will be promptly taken and as to which adequate reserves have been provided, except insofar as the failure to file such returns would not, individually or in the aggregate, reasonably be expected to have a Material Adverse Effect, and has paid all taxes due pursuant to such returns or pursuant to any assessment received by the Company and its subsidiaries, except for such taxes, if any, as are being contested in good faith.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individually or in the aggregate, reasonably be expected to have a Material Adverse Effect. No tax deficiency has been determined adversely to the Company or its subsidiaries which has (nor does the Company or its subsidiaries have any written notice or knowledge of any tax deficiency which could reasonably be expected to be determined adversely to the Company or its subsidiaries and which would, individually or in the aggregate, reasonably be expected to have) a Material Adverse Effect.</w:t>
      </w:r>
    </w:p>
    <w:p>
      <w:pPr>
        <w:spacing w:after="0" w:line="178" w:lineRule="exact"/>
        <w:rPr>
          <w:rFonts w:ascii="Arial" w:cs="Arial" w:eastAsia="Arial" w:hAnsi="Arial"/>
          <w:sz w:val="17"/>
          <w:szCs w:val="17"/>
          <w:color w:val="auto"/>
        </w:rPr>
      </w:pPr>
    </w:p>
    <w:p>
      <w:pPr>
        <w:ind w:left="-20" w:right="100" w:firstLine="436"/>
        <w:spacing w:after="0" w:line="257" w:lineRule="auto"/>
        <w:tabs>
          <w:tab w:leader="none" w:pos="76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 Compliance with Regulation M</w:t>
      </w:r>
      <w:r>
        <w:rPr>
          <w:rFonts w:ascii="Arial" w:cs="Arial" w:eastAsia="Arial" w:hAnsi="Arial"/>
          <w:sz w:val="18"/>
          <w:szCs w:val="18"/>
          <w:color w:val="auto"/>
        </w:rPr>
        <w:t>. Neither the Company nor any of its subsidiaries has taken and will not take, directly or indirectly, any action that is designed to or that has constituted or might reasonably be expected to cause or result in stabilization or manipulation of the price of the Shares or of any “reference security” (as defined in Rule 100 of Regulation M under the Exchange Act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8"/>
          <w:szCs w:val="18"/>
          <w:color w:val="auto"/>
        </w:rPr>
        <w:t>”)), with respect to the Shares, whether to facilitate resale of the Shares or otherwise, and has taken no action which would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violate Regulation M.</w:t>
      </w:r>
    </w:p>
    <w:p>
      <w:pPr>
        <w:spacing w:after="0" w:line="187" w:lineRule="exact"/>
        <w:rPr>
          <w:rFonts w:ascii="Arial" w:cs="Arial" w:eastAsia="Arial" w:hAnsi="Arial"/>
          <w:sz w:val="18"/>
          <w:szCs w:val="18"/>
          <w:color w:val="auto"/>
        </w:rPr>
      </w:pPr>
    </w:p>
    <w:p>
      <w:pPr>
        <w:ind w:left="-20" w:right="100" w:firstLine="436"/>
        <w:spacing w:after="0" w:line="277" w:lineRule="auto"/>
        <w:tabs>
          <w:tab w:leader="none" w:pos="76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rFonts w:ascii="Arial" w:cs="Arial" w:eastAsia="Arial" w:hAnsi="Arial"/>
          <w:sz w:val="18"/>
          <w:szCs w:val="18"/>
          <w:color w:val="auto"/>
        </w:rPr>
      </w:pPr>
    </w:p>
    <w:p>
      <w:pPr>
        <w:jc w:val="both"/>
        <w:ind w:left="-20" w:right="380" w:firstLine="436"/>
        <w:spacing w:after="0" w:line="311"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No relationship, direct or indirect, exists between or among the Company, on the one hand, and the directors, officers, stockholders, customers or suppliers of the Company, on the other, that is required by the Securities Act to be described in the Registration Statement and the Prospectus and that is not so described in such documents and the Registration Statement and the Prospectus.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73" w:name="page74"/>
    <w:bookmarkEnd w:id="73"/>
    <w:p>
      <w:pPr>
        <w:ind w:left="-20" w:right="40" w:firstLine="436"/>
        <w:spacing w:after="0" w:line="263" w:lineRule="auto"/>
        <w:tabs>
          <w:tab w:leader="none" w:pos="72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w:t>
      </w:r>
      <w:r>
        <w:rPr>
          <w:rFonts w:ascii="Arial" w:cs="Arial" w:eastAsia="Arial" w:hAnsi="Arial"/>
          <w:sz w:val="18"/>
          <w:szCs w:val="18"/>
          <w:color w:val="auto"/>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including Section 402 related to loans.</w:t>
      </w:r>
    </w:p>
    <w:p>
      <w:pPr>
        <w:spacing w:after="0" w:line="183" w:lineRule="exact"/>
        <w:rPr>
          <w:rFonts w:ascii="Arial" w:cs="Arial" w:eastAsia="Arial" w:hAnsi="Arial"/>
          <w:sz w:val="18"/>
          <w:szCs w:val="18"/>
          <w:color w:val="auto"/>
        </w:rPr>
      </w:pPr>
    </w:p>
    <w:p>
      <w:pPr>
        <w:ind w:left="-20" w:right="580" w:firstLine="436"/>
        <w:spacing w:after="0" w:line="277" w:lineRule="auto"/>
        <w:tabs>
          <w:tab w:leader="none" w:pos="68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Debt</w:t>
      </w:r>
      <w:r>
        <w:rPr>
          <w:rFonts w:ascii="Arial" w:cs="Arial" w:eastAsia="Arial" w:hAnsi="Arial"/>
          <w:sz w:val="18"/>
          <w:szCs w:val="18"/>
          <w:color w:val="auto"/>
        </w:rPr>
        <w:t>. The are no debt securities issued or guaranteed by the Company that are rated by any “nationally recognized statistical rating organization”, as that term is defined by the Commission for purposes of Rule 436(g)(2) under the Securities Act.</w:t>
      </w:r>
    </w:p>
    <w:p>
      <w:pPr>
        <w:spacing w:after="0" w:line="166" w:lineRule="exact"/>
        <w:rPr>
          <w:rFonts w:ascii="Arial" w:cs="Arial" w:eastAsia="Arial" w:hAnsi="Arial"/>
          <w:sz w:val="18"/>
          <w:szCs w:val="18"/>
          <w:color w:val="auto"/>
        </w:rPr>
      </w:pPr>
    </w:p>
    <w:p>
      <w:pPr>
        <w:ind w:left="-20" w:firstLine="436"/>
        <w:spacing w:after="0" w:line="269" w:lineRule="auto"/>
        <w:tabs>
          <w:tab w:leader="none" w:pos="76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With respect to the stock options (the “</w:t>
      </w:r>
      <w:r>
        <w:rPr>
          <w:rFonts w:ascii="Arial" w:cs="Arial" w:eastAsia="Arial" w:hAnsi="Arial"/>
          <w:sz w:val="17"/>
          <w:szCs w:val="17"/>
          <w:b w:val="1"/>
          <w:bCs w:val="1"/>
          <w:color w:val="auto"/>
        </w:rPr>
        <w:t>Stock Options</w:t>
      </w:r>
      <w:r>
        <w:rPr>
          <w:rFonts w:ascii="Arial" w:cs="Arial" w:eastAsia="Arial" w:hAnsi="Arial"/>
          <w:sz w:val="17"/>
          <w:szCs w:val="17"/>
          <w:color w:val="auto"/>
        </w:rPr>
        <w:t>”) granted pursuant to the stock-based compensation plans of the Company and its subsidiaries (the “</w:t>
      </w:r>
      <w:r>
        <w:rPr>
          <w:rFonts w:ascii="Arial" w:cs="Arial" w:eastAsia="Arial" w:hAnsi="Arial"/>
          <w:sz w:val="17"/>
          <w:szCs w:val="17"/>
          <w:b w:val="1"/>
          <w:bCs w:val="1"/>
          <w:color w:val="auto"/>
        </w:rPr>
        <w:t>Company Stock Plans</w:t>
      </w:r>
      <w:r>
        <w:rPr>
          <w:rFonts w:ascii="Arial" w:cs="Arial" w:eastAsia="Arial" w:hAnsi="Arial"/>
          <w:sz w:val="17"/>
          <w:szCs w:val="17"/>
          <w:color w:val="auto"/>
        </w:rPr>
        <w:t>”), (i) each Stock Option intended to qualify as an “incentive stock option” under Section 422 of the Internal Revenue Code of 1986, as amended, so qualifies, except where the failure to so qualify would not, individually or in the aggregate, reasonably be expected to have a Materially Adverse Effect,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to the knowledge of the Company (other than with respect to due execution and delivery by the Company),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Principal Market and any other exchange on which Company securities are traded, and (iv) each such grant was properly accounted for in accordance with GAAP in the financial statements (including the related notes) of the Company.</w:t>
      </w:r>
    </w:p>
    <w:p>
      <w:pPr>
        <w:spacing w:after="0" w:line="185" w:lineRule="exact"/>
        <w:rPr>
          <w:rFonts w:ascii="Arial" w:cs="Arial" w:eastAsia="Arial" w:hAnsi="Arial"/>
          <w:sz w:val="17"/>
          <w:szCs w:val="17"/>
          <w:color w:val="auto"/>
        </w:rPr>
      </w:pPr>
    </w:p>
    <w:p>
      <w:pPr>
        <w:ind w:left="-20" w:firstLine="436"/>
        <w:spacing w:after="0" w:line="259" w:lineRule="auto"/>
        <w:tabs>
          <w:tab w:leader="none" w:pos="76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FINRA rules and any letters, filings or other supplemental information provided to FINRA pursuant to FINRA Rules or NASD Conduct Rules is true, complete and correct.</w:t>
      </w:r>
    </w:p>
    <w:p>
      <w:pPr>
        <w:spacing w:after="0" w:line="186" w:lineRule="exact"/>
        <w:rPr>
          <w:rFonts w:ascii="Arial" w:cs="Arial" w:eastAsia="Arial" w:hAnsi="Arial"/>
          <w:sz w:val="18"/>
          <w:szCs w:val="18"/>
          <w:color w:val="auto"/>
        </w:rPr>
      </w:pPr>
    </w:p>
    <w:p>
      <w:pPr>
        <w:ind w:left="-20" w:firstLine="436"/>
        <w:spacing w:after="0" w:line="270" w:lineRule="auto"/>
        <w:tabs>
          <w:tab w:leader="none" w:pos="84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7"/>
          <w:szCs w:val="17"/>
          <w:b w:val="1"/>
          <w:bCs w:val="1"/>
          <w:color w:val="auto"/>
        </w:rPr>
        <w:t>ERISA</w:t>
      </w:r>
      <w:r>
        <w:rPr>
          <w:rFonts w:ascii="Arial" w:cs="Arial" w:eastAsia="Arial" w:hAnsi="Arial"/>
          <w:sz w:val="17"/>
          <w:szCs w:val="17"/>
          <w:color w:val="auto"/>
        </w:rPr>
        <w:t>”)) established or maintained by the Company, its subsidiaries or their “ERISA Affiliates” (as defined below) are in compliance in all material respects with ERISA. “</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74" w:name="page75"/>
    <w:bookmarkEnd w:id="74"/>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76" w:lineRule="exact"/>
        <w:rPr>
          <w:sz w:val="20"/>
          <w:szCs w:val="20"/>
          <w:color w:val="auto"/>
        </w:rPr>
      </w:pPr>
    </w:p>
    <w:p>
      <w:pPr>
        <w:ind w:firstLine="436"/>
        <w:spacing w:after="0" w:line="277" w:lineRule="auto"/>
        <w:tabs>
          <w:tab w:leader="none" w:pos="78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70" w:lineRule="exact"/>
        <w:rPr>
          <w:rFonts w:ascii="Arial" w:cs="Arial" w:eastAsia="Arial" w:hAnsi="Arial"/>
          <w:sz w:val="18"/>
          <w:szCs w:val="18"/>
          <w:color w:val="auto"/>
        </w:rPr>
      </w:pPr>
    </w:p>
    <w:p>
      <w:pPr>
        <w:ind w:right="160" w:firstLine="436"/>
        <w:spacing w:after="0" w:line="257" w:lineRule="auto"/>
        <w:tabs>
          <w:tab w:leader="none" w:pos="78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7" w:lineRule="exact"/>
        <w:rPr>
          <w:rFonts w:ascii="Arial" w:cs="Arial" w:eastAsia="Arial" w:hAnsi="Arial"/>
          <w:sz w:val="18"/>
          <w:szCs w:val="18"/>
          <w:color w:val="auto"/>
        </w:rPr>
      </w:pPr>
    </w:p>
    <w:p>
      <w:pPr>
        <w:jc w:val="both"/>
        <w:ind w:firstLine="436"/>
        <w:spacing w:after="0" w:line="263" w:lineRule="auto"/>
        <w:tabs>
          <w:tab w:leader="none" w:pos="76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ind w:right="40" w:firstLine="436"/>
        <w:spacing w:after="0" w:line="259"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75" w:name="page76"/>
    <w:bookmarkEnd w:id="75"/>
    <w:p>
      <w:pPr>
        <w:ind w:left="704" w:hanging="264"/>
        <w:spacing w:after="0"/>
        <w:tabs>
          <w:tab w:leader="none" w:pos="70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Issuances</w:t>
      </w:r>
      <w:r>
        <w:rPr>
          <w:rFonts w:ascii="Arial" w:cs="Arial" w:eastAsia="Arial" w:hAnsi="Arial"/>
          <w:sz w:val="18"/>
          <w:szCs w:val="18"/>
          <w:color w:val="auto"/>
        </w:rPr>
        <w:t>.</w:t>
      </w:r>
    </w:p>
    <w:p>
      <w:pPr>
        <w:spacing w:after="0" w:line="225" w:lineRule="exact"/>
        <w:rPr>
          <w:sz w:val="20"/>
          <w:szCs w:val="20"/>
          <w:color w:val="auto"/>
        </w:rPr>
      </w:pPr>
    </w:p>
    <w:p>
      <w:pPr>
        <w:ind w:left="4" w:right="260" w:firstLine="436"/>
        <w:spacing w:after="0" w:line="287" w:lineRule="auto"/>
        <w:tabs>
          <w:tab w:leader="none" w:pos="659"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provided, however, that (A) in no event may the Company deliver an Issuance Notice to the extent that</w:t>
      </w:r>
    </w:p>
    <w:p>
      <w:pPr>
        <w:spacing w:after="0" w:line="2" w:lineRule="exact"/>
        <w:rPr>
          <w:rFonts w:ascii="Arial" w:cs="Arial" w:eastAsia="Arial" w:hAnsi="Arial"/>
          <w:sz w:val="16"/>
          <w:szCs w:val="16"/>
          <w:color w:val="auto"/>
        </w:rPr>
      </w:pPr>
    </w:p>
    <w:p>
      <w:pPr>
        <w:ind w:left="4" w:right="120" w:hanging="4"/>
        <w:spacing w:after="0" w:line="252" w:lineRule="auto"/>
        <w:tabs>
          <w:tab w:leader="none" w:pos="22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93" w:lineRule="exact"/>
        <w:rPr>
          <w:rFonts w:ascii="Arial" w:cs="Arial" w:eastAsia="Arial" w:hAnsi="Arial"/>
          <w:sz w:val="18"/>
          <w:szCs w:val="18"/>
          <w:color w:val="auto"/>
        </w:rPr>
      </w:pPr>
    </w:p>
    <w:p>
      <w:pPr>
        <w:ind w:left="4" w:firstLine="436"/>
        <w:spacing w:after="0" w:line="296" w:lineRule="auto"/>
        <w:tabs>
          <w:tab w:leader="none" w:pos="70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61" w:lineRule="exact"/>
        <w:rPr>
          <w:rFonts w:ascii="Arial" w:cs="Arial" w:eastAsia="Arial" w:hAnsi="Arial"/>
          <w:sz w:val="16"/>
          <w:szCs w:val="16"/>
          <w:color w:val="auto"/>
        </w:rPr>
      </w:pPr>
    </w:p>
    <w:p>
      <w:pPr>
        <w:ind w:left="4" w:right="100" w:firstLine="436"/>
        <w:spacing w:after="0" w:line="275" w:lineRule="auto"/>
        <w:tabs>
          <w:tab w:leader="none" w:pos="759"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Method of Offer and Sale</w:t>
      </w:r>
      <w:r>
        <w:rPr>
          <w:rFonts w:ascii="Arial" w:cs="Arial" w:eastAsia="Arial" w:hAnsi="Arial"/>
          <w:sz w:val="17"/>
          <w:szCs w:val="17"/>
          <w:color w:val="auto"/>
        </w:rPr>
        <w:t>. The Shares may be offered and sold (A) in negotiated transactions with the consent of the Company or (B) by any other method permitted by law deemed to be an “</w:t>
      </w:r>
      <w:r>
        <w:rPr>
          <w:rFonts w:ascii="Arial" w:cs="Arial" w:eastAsia="Arial" w:hAnsi="Arial"/>
          <w:sz w:val="17"/>
          <w:szCs w:val="17"/>
          <w:b w:val="1"/>
          <w:bCs w:val="1"/>
          <w:color w:val="auto"/>
        </w:rPr>
        <w:t>at the market offering</w:t>
      </w:r>
      <w:r>
        <w:rPr>
          <w:rFonts w:ascii="Arial" w:cs="Arial" w:eastAsia="Arial" w:hAnsi="Arial"/>
          <w:sz w:val="17"/>
          <w:szCs w:val="17"/>
          <w:color w:val="auto"/>
        </w:rPr>
        <w:t>”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76" w:lineRule="exact"/>
        <w:rPr>
          <w:rFonts w:ascii="Arial" w:cs="Arial" w:eastAsia="Arial" w:hAnsi="Arial"/>
          <w:sz w:val="17"/>
          <w:szCs w:val="17"/>
          <w:color w:val="auto"/>
        </w:rPr>
      </w:pPr>
    </w:p>
    <w:p>
      <w:pPr>
        <w:ind w:left="4" w:right="60" w:firstLine="436"/>
        <w:spacing w:after="0" w:line="286" w:lineRule="auto"/>
        <w:tabs>
          <w:tab w:leader="none" w:pos="749"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65" w:lineRule="exact"/>
        <w:rPr>
          <w:rFonts w:ascii="Arial" w:cs="Arial" w:eastAsia="Arial" w:hAnsi="Arial"/>
          <w:sz w:val="17"/>
          <w:szCs w:val="17"/>
          <w:color w:val="auto"/>
        </w:rPr>
      </w:pPr>
    </w:p>
    <w:p>
      <w:pPr>
        <w:ind w:left="4" w:right="20" w:firstLine="436"/>
        <w:spacing w:after="0" w:line="291" w:lineRule="auto"/>
        <w:tabs>
          <w:tab w:leader="none" w:pos="69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Each issuance of Shares will be settled on the applicable Settlement Date for such issuance of Shares and,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6"/>
          <w:szCs w:val="16"/>
          <w:b w:val="1"/>
          <w:bCs w:val="1"/>
          <w:color w:val="auto"/>
        </w:rPr>
        <w:t>Time of Sale</w:t>
      </w:r>
      <w:r>
        <w:rPr>
          <w:rFonts w:ascii="Arial" w:cs="Arial" w:eastAsia="Arial" w:hAnsi="Arial"/>
          <w:sz w:val="16"/>
          <w:szCs w:val="16"/>
          <w:color w:val="auto"/>
        </w:rPr>
        <w: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76" w:name="page77"/>
    <w:bookmarkEnd w:id="76"/>
    <w:p>
      <w:pPr>
        <w:ind w:left="4" w:right="80" w:firstLine="436"/>
        <w:spacing w:after="0" w:line="283" w:lineRule="auto"/>
        <w:tabs>
          <w:tab w:leader="none" w:pos="749"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(including by email correspondence to each of the individuals of the other party whose names are set forth on Schedule A hereto)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w:t>
      </w:r>
    </w:p>
    <w:p>
      <w:pPr>
        <w:spacing w:after="0" w:line="4" w:lineRule="exact"/>
        <w:rPr>
          <w:rFonts w:ascii="Arial" w:cs="Arial" w:eastAsia="Arial" w:hAnsi="Arial"/>
          <w:sz w:val="16"/>
          <w:szCs w:val="16"/>
          <w:color w:val="auto"/>
        </w:rPr>
      </w:pPr>
    </w:p>
    <w:p>
      <w:pPr>
        <w:ind w:left="4" w:right="200" w:hanging="4"/>
        <w:spacing w:after="0" w:line="260" w:lineRule="auto"/>
        <w:tabs>
          <w:tab w:leader="none" w:pos="2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 w:firstLine="436"/>
        <w:spacing w:after="0" w:line="259" w:lineRule="auto"/>
        <w:tabs>
          <w:tab w:leader="none" w:pos="799"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6" w:lineRule="exact"/>
        <w:rPr>
          <w:rFonts w:ascii="Arial" w:cs="Arial" w:eastAsia="Arial" w:hAnsi="Arial"/>
          <w:sz w:val="18"/>
          <w:szCs w:val="18"/>
          <w:color w:val="auto"/>
        </w:rPr>
      </w:pPr>
    </w:p>
    <w:p>
      <w:pPr>
        <w:ind w:left="4" w:right="220" w:firstLine="436"/>
        <w:spacing w:after="0" w:line="263" w:lineRule="auto"/>
        <w:tabs>
          <w:tab w:leader="none" w:pos="849"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4" w:lineRule="exact"/>
        <w:rPr>
          <w:sz w:val="20"/>
          <w:szCs w:val="20"/>
          <w:color w:val="auto"/>
        </w:rPr>
      </w:pPr>
    </w:p>
    <w:p>
      <w:pPr>
        <w:jc w:val="both"/>
        <w:ind w:left="4" w:right="20" w:firstLine="436"/>
        <w:spacing w:after="0" w:line="263" w:lineRule="auto"/>
        <w:tabs>
          <w:tab w:leader="none" w:pos="68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by the Agent deducting the Selling Commission from the applicable Issuance Amount.</w:t>
      </w:r>
    </w:p>
    <w:p>
      <w:pPr>
        <w:spacing w:after="0" w:line="183" w:lineRule="exact"/>
        <w:rPr>
          <w:rFonts w:ascii="Arial" w:cs="Arial" w:eastAsia="Arial" w:hAnsi="Arial"/>
          <w:sz w:val="18"/>
          <w:szCs w:val="18"/>
          <w:color w:val="auto"/>
        </w:rPr>
      </w:pPr>
    </w:p>
    <w:p>
      <w:pPr>
        <w:ind w:left="4" w:right="100" w:firstLine="436"/>
        <w:spacing w:after="0" w:line="257" w:lineRule="auto"/>
        <w:tabs>
          <w:tab w:leader="none" w:pos="69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77" w:name="page78"/>
    <w:bookmarkEnd w:id="77"/>
    <w:p>
      <w:pPr>
        <w:ind w:left="4" w:hanging="4"/>
        <w:spacing w:after="0" w:line="285" w:lineRule="auto"/>
        <w:tabs>
          <w:tab w:leader="none" w:pos="259"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$50,000 in connection with execution of this Agreement and (B) $15,000 in connection with each Triggering Event Date (as defined below) on which the Company is required to provide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w:t>
      </w:r>
    </w:p>
    <w:p>
      <w:pPr>
        <w:spacing w:after="0" w:line="38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 w:firstLine="436"/>
        <w:spacing w:after="0" w:line="254" w:lineRule="auto"/>
        <w:tabs>
          <w:tab w:leader="none" w:pos="68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8"/>
          <w:szCs w:val="18"/>
          <w:b w:val="1"/>
          <w:bCs w:val="1"/>
          <w:color w:val="auto"/>
        </w:rPr>
        <w:t>Interim Prospectus Supplement</w:t>
      </w:r>
      <w:r>
        <w:rPr>
          <w:rFonts w:ascii="Arial" w:cs="Arial" w:eastAsia="Arial" w:hAnsi="Arial"/>
          <w:sz w:val="18"/>
          <w:szCs w:val="18"/>
          <w:color w:val="auto"/>
        </w:rPr>
        <w:t xml:space="preserve">”), such summary information and, at least once a quarter and subject to this </w:t>
      </w:r>
      <w:r>
        <w:rPr>
          <w:rFonts w:ascii="Arial" w:cs="Arial" w:eastAsia="Arial" w:hAnsi="Arial"/>
          <w:sz w:val="18"/>
          <w:szCs w:val="18"/>
          <w:u w:val="single" w:color="auto"/>
          <w:color w:val="auto"/>
        </w:rPr>
        <w:t>Section 4</w:t>
      </w:r>
      <w:r>
        <w:rPr>
          <w:rFonts w:ascii="Arial" w:cs="Arial" w:eastAsia="Arial" w:hAnsi="Arial"/>
          <w:sz w:val="18"/>
          <w:szCs w:val="18"/>
          <w:color w:val="auto"/>
        </w:rPr>
        <w:t>, file such Interim Prospectus Supplement pursuant to Rule 424(b) under the Securities Act (and within the time periods required by Rule 424(b) and Rule 430B under the Securities Act)).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78" w:name="page79"/>
    <w:bookmarkEnd w:id="78"/>
    <w:p>
      <w:pPr>
        <w:ind w:firstLine="436"/>
        <w:spacing w:after="0" w:line="287"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67" w:lineRule="exact"/>
        <w:rPr>
          <w:rFonts w:ascii="Arial" w:cs="Arial" w:eastAsia="Arial" w:hAnsi="Arial"/>
          <w:sz w:val="16"/>
          <w:szCs w:val="16"/>
          <w:color w:val="auto"/>
        </w:rPr>
      </w:pPr>
    </w:p>
    <w:p>
      <w:pPr>
        <w:ind w:right="40" w:firstLine="436"/>
        <w:spacing w:after="0" w:line="285"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only remedy the Agent shall have with respect to the failure by the Company to make such filing (other than the Agent’s rights under Section 3(d) or Section 6 hereof) shall be to cease making sales under this Agreement until such amendment or supplement is filed;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 Notwithstanding the foregoing, the Company shall not be required to file such amendment or supplement if there is no pending Issuance Notice and the Company believes that it is in its best interest not to file such amendment or supplement.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79" w:name="page80"/>
    <w:bookmarkEnd w:id="79"/>
    <w:p>
      <w:pPr>
        <w:ind w:right="60" w:firstLine="436"/>
        <w:spacing w:after="0" w:line="254"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Review of Proposed Amendments and Supplements</w:t>
      </w:r>
      <w:r>
        <w:rPr>
          <w:rFonts w:ascii="Arial" w:cs="Arial" w:eastAsia="Arial" w:hAnsi="Arial"/>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relates to the Shares or transactions contemplated hereby,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94" w:lineRule="exact"/>
        <w:rPr>
          <w:rFonts w:ascii="Arial" w:cs="Arial" w:eastAsia="Arial" w:hAnsi="Arial"/>
          <w:sz w:val="18"/>
          <w:szCs w:val="18"/>
          <w:color w:val="auto"/>
        </w:rPr>
      </w:pPr>
    </w:p>
    <w:p>
      <w:pPr>
        <w:jc w:val="both"/>
        <w:ind w:right="60" w:firstLine="436"/>
        <w:spacing w:after="0" w:line="259"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36"/>
        <w:spacing w:after="0" w:line="285" w:lineRule="auto"/>
        <w:tabs>
          <w:tab w:leader="none" w:pos="66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free writing prospectus or amendment or supplement relates to the Shares,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insofar as such free writing prospectus relates to the Shares or the transactions contemplated hereby,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73" w:lineRule="exact"/>
        <w:rPr>
          <w:rFonts w:ascii="Arial" w:cs="Arial" w:eastAsia="Arial" w:hAnsi="Arial"/>
          <w:sz w:val="16"/>
          <w:szCs w:val="16"/>
          <w:color w:val="auto"/>
        </w:rPr>
      </w:pPr>
    </w:p>
    <w:p>
      <w:pPr>
        <w:ind w:right="220" w:firstLine="436"/>
        <w:spacing w:after="0" w:line="263"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80" w:name="page81"/>
    <w:bookmarkEnd w:id="80"/>
    <w:p>
      <w:pPr>
        <w:ind w:left="-60" w:firstLine="436"/>
        <w:spacing w:after="0" w:line="285" w:lineRule="auto"/>
        <w:tabs>
          <w:tab w:leader="none" w:pos="63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73" w:lineRule="exact"/>
        <w:rPr>
          <w:rFonts w:ascii="Arial" w:cs="Arial" w:eastAsia="Arial" w:hAnsi="Arial"/>
          <w:sz w:val="16"/>
          <w:szCs w:val="16"/>
          <w:color w:val="auto"/>
        </w:rPr>
      </w:pPr>
    </w:p>
    <w:p>
      <w:pPr>
        <w:ind w:left="-60" w:right="40" w:firstLine="436"/>
        <w:spacing w:after="0" w:line="270" w:lineRule="auto"/>
        <w:tabs>
          <w:tab w:leader="none" w:pos="59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as soon as practicable.</w:t>
      </w:r>
    </w:p>
    <w:p>
      <w:pPr>
        <w:spacing w:after="0" w:line="180" w:lineRule="exact"/>
        <w:rPr>
          <w:rFonts w:ascii="Arial" w:cs="Arial" w:eastAsia="Arial" w:hAnsi="Arial"/>
          <w:sz w:val="17"/>
          <w:szCs w:val="17"/>
          <w:color w:val="auto"/>
        </w:rPr>
      </w:pPr>
    </w:p>
    <w:p>
      <w:pPr>
        <w:ind w:left="-60" w:right="20" w:firstLine="436"/>
        <w:spacing w:after="0" w:line="311" w:lineRule="auto"/>
        <w:tabs>
          <w:tab w:leader="none" w:pos="59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500" w:top="274" w:right="519" w:bottom="1440" w:gutter="0" w:footer="0" w:header="0"/>
        </w:sectPr>
      </w:pPr>
    </w:p>
    <w:bookmarkStart w:id="81" w:name="page82"/>
    <w:bookmarkEnd w:id="81"/>
    <w:p>
      <w:pPr>
        <w:jc w:val="both"/>
        <w:ind w:left="-40" w:right="260" w:firstLine="436"/>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83" w:lineRule="exact"/>
        <w:rPr>
          <w:rFonts w:ascii="Arial" w:cs="Arial" w:eastAsia="Arial" w:hAnsi="Arial"/>
          <w:sz w:val="18"/>
          <w:szCs w:val="18"/>
          <w:color w:val="auto"/>
        </w:rPr>
      </w:pPr>
    </w:p>
    <w:p>
      <w:pPr>
        <w:ind w:left="620" w:hanging="224"/>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ind w:left="-40" w:right="180" w:firstLine="436"/>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ind w:left="-40" w:firstLine="436"/>
        <w:spacing w:after="0" w:line="291" w:lineRule="auto"/>
        <w:tabs>
          <w:tab w:leader="none" w:pos="65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6" w:lineRule="exact"/>
        <w:rPr>
          <w:rFonts w:ascii="Arial" w:cs="Arial" w:eastAsia="Arial" w:hAnsi="Arial"/>
          <w:sz w:val="16"/>
          <w:szCs w:val="16"/>
          <w:color w:val="auto"/>
        </w:rPr>
      </w:pPr>
    </w:p>
    <w:p>
      <w:pPr>
        <w:ind w:left="-40" w:right="140" w:firstLine="436"/>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The Company agrees that on or prior to the date of the first Issuance Notice and, during the term of this Agreement after the date of the first Issuance Notice, upon:</w:t>
      </w:r>
    </w:p>
    <w:p>
      <w:pPr>
        <w:spacing w:after="0" w:line="170" w:lineRule="exact"/>
        <w:rPr>
          <w:sz w:val="20"/>
          <w:szCs w:val="20"/>
          <w:color w:val="auto"/>
        </w:rPr>
      </w:pPr>
    </w:p>
    <w:p>
      <w:pPr>
        <w:ind w:left="-40" w:right="20" w:firstLine="436"/>
        <w:spacing w:after="0" w:line="311"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148" w:lineRule="exact"/>
        <w:rPr>
          <w:rFonts w:ascii="Arial" w:cs="Arial" w:eastAsia="Arial" w:hAnsi="Arial"/>
          <w:sz w:val="16"/>
          <w:szCs w:val="16"/>
          <w:color w:val="auto"/>
        </w:rPr>
      </w:pPr>
    </w:p>
    <w:p>
      <w:pPr>
        <w:jc w:val="both"/>
        <w:ind w:left="-40" w:right="200" w:firstLine="436"/>
        <w:spacing w:after="0" w:line="263" w:lineRule="auto"/>
        <w:tabs>
          <w:tab w:leader="none" w:pos="6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3" w:lineRule="exact"/>
        <w:rPr>
          <w:rFonts w:ascii="Arial" w:cs="Arial" w:eastAsia="Arial" w:hAnsi="Arial"/>
          <w:sz w:val="18"/>
          <w:szCs w:val="18"/>
          <w:color w:val="auto"/>
        </w:rPr>
      </w:pPr>
    </w:p>
    <w:p>
      <w:pPr>
        <w:ind w:left="-40" w:right="540" w:firstLine="436"/>
        <w:spacing w:after="0" w:line="259" w:lineRule="auto"/>
        <w:tabs>
          <w:tab w:leader="none" w:pos="6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80" w:top="274" w:right="499" w:bottom="1440" w:gutter="0" w:footer="0" w:header="0"/>
        </w:sectPr>
      </w:pPr>
    </w:p>
    <w:bookmarkStart w:id="82" w:name="page83"/>
    <w:bookmarkEnd w:id="82"/>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event, a “</w:t>
      </w:r>
      <w:r>
        <w:rPr>
          <w:rFonts w:ascii="Arial" w:cs="Arial" w:eastAsia="Arial" w:hAnsi="Arial"/>
          <w:sz w:val="17"/>
          <w:szCs w:val="17"/>
          <w:b w:val="1"/>
          <w:bCs w:val="1"/>
          <w:color w:val="auto"/>
        </w:rPr>
        <w:t>Triggering Event Date</w:t>
      </w:r>
      <w:r>
        <w:rPr>
          <w:rFonts w:ascii="Arial" w:cs="Arial" w:eastAsia="Arial" w:hAnsi="Arial"/>
          <w:sz w:val="17"/>
          <w:szCs w:val="17"/>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7"/>
          <w:szCs w:val="17"/>
          <w:u w:val="single" w:color="auto"/>
          <w:color w:val="auto"/>
        </w:rPr>
        <w:t>Section 5(a)(iii)</w:t>
      </w:r>
      <w:r>
        <w:rPr>
          <w:rFonts w:ascii="Arial" w:cs="Arial" w:eastAsia="Arial" w:hAnsi="Arial"/>
          <w:sz w:val="17"/>
          <w:szCs w:val="17"/>
          <w:color w:val="auto"/>
        </w:rPr>
        <w:t xml:space="preserve">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dated as of the date that the instructions for the sale of Shares are issued.</w:t>
      </w:r>
    </w:p>
    <w:p>
      <w:pPr>
        <w:spacing w:after="0" w:line="188" w:lineRule="exact"/>
        <w:rPr>
          <w:sz w:val="20"/>
          <w:szCs w:val="20"/>
          <w:color w:val="auto"/>
        </w:rPr>
      </w:pPr>
    </w:p>
    <w:p>
      <w:pPr>
        <w:ind w:firstLine="436"/>
        <w:spacing w:after="0" w:line="270" w:lineRule="auto"/>
        <w:tabs>
          <w:tab w:leader="none" w:pos="69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a negative assurances letter and the written legal opinion of Latham &amp; Watkins LLP, counsel to the Company, and Much Shelist, P.C.,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83" w:name="page84"/>
    <w:bookmarkEnd w:id="83"/>
    <w:p>
      <w:pPr>
        <w:ind w:left="4" w:firstLine="436"/>
        <w:spacing w:after="0" w:line="287" w:lineRule="auto"/>
        <w:tabs>
          <w:tab w:leader="none" w:pos="699"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Comfort Letter</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in connection with any material transaction or event requiring the filing of a current report on Form 8-K containing material amended financial information of the Company, including the restatement of the Company’s financial statements; provided, that, such comfort letter shall not be required to be delivered to the Agent unless and until the Company delivers an Issuance Notice that is effective on or after the date of occurrence of such material transaction or event. The Company shall be required to furnish no more than one comfort letter hereunder per each filing of an annual report on Form 10-K or a quarterly report on Form 10-Q.</w:t>
      </w:r>
    </w:p>
    <w:p>
      <w:pPr>
        <w:spacing w:after="0" w:line="167" w:lineRule="exact"/>
        <w:rPr>
          <w:rFonts w:ascii="Arial" w:cs="Arial" w:eastAsia="Arial" w:hAnsi="Arial"/>
          <w:sz w:val="16"/>
          <w:szCs w:val="16"/>
          <w:color w:val="auto"/>
        </w:rPr>
      </w:pPr>
    </w:p>
    <w:p>
      <w:pPr>
        <w:ind w:left="4" w:firstLine="436"/>
        <w:spacing w:after="0" w:line="287" w:lineRule="auto"/>
        <w:tabs>
          <w:tab w:leader="none" w:pos="669"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Secretary’s Certificate</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 the Company shall furnish the Agent a certificate executed by the Secretary of the Company, signing in such capacity, dated the date of delivery</w:t>
      </w:r>
    </w:p>
    <w:p>
      <w:pPr>
        <w:spacing w:after="0" w:line="2" w:lineRule="exact"/>
        <w:rPr>
          <w:rFonts w:ascii="Arial" w:cs="Arial" w:eastAsia="Arial" w:hAnsi="Arial"/>
          <w:sz w:val="16"/>
          <w:szCs w:val="16"/>
          <w:color w:val="auto"/>
        </w:rPr>
      </w:pPr>
    </w:p>
    <w:p>
      <w:pPr>
        <w:ind w:left="4" w:hanging="4"/>
        <w:spacing w:after="0" w:line="271" w:lineRule="auto"/>
        <w:tabs>
          <w:tab w:leader="none" w:pos="219" w:val="left"/>
        </w:tabs>
        <w:numPr>
          <w:ilvl w:val="0"/>
          <w:numId w:val="85"/>
        </w:numPr>
        <w:rPr>
          <w:rFonts w:ascii="Arial" w:cs="Arial" w:eastAsia="Arial" w:hAnsi="Arial"/>
          <w:sz w:val="17"/>
          <w:szCs w:val="17"/>
          <w:color w:val="auto"/>
        </w:rPr>
      </w:pPr>
      <w:r>
        <w:rPr>
          <w:rFonts w:ascii="Arial" w:cs="Arial" w:eastAsia="Arial" w:hAnsi="Arial"/>
          <w:sz w:val="17"/>
          <w:szCs w:val="17"/>
          <w:color w:val="auto"/>
        </w:rPr>
        <w:t>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78" w:lineRule="exact"/>
        <w:rPr>
          <w:rFonts w:ascii="Arial" w:cs="Arial" w:eastAsia="Arial" w:hAnsi="Arial"/>
          <w:sz w:val="17"/>
          <w:szCs w:val="17"/>
          <w:color w:val="auto"/>
        </w:rPr>
      </w:pPr>
    </w:p>
    <w:p>
      <w:pPr>
        <w:ind w:left="4" w:right="380" w:firstLine="436"/>
        <w:spacing w:after="0" w:line="342" w:lineRule="auto"/>
        <w:tabs>
          <w:tab w:leader="none" w:pos="679"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left="4" w:right="280" w:firstLine="436"/>
        <w:spacing w:after="0" w:line="342" w:lineRule="auto"/>
        <w:tabs>
          <w:tab w:leader="none" w:pos="659"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ind w:left="4" w:right="140" w:firstLine="436"/>
        <w:spacing w:after="0" w:line="291" w:lineRule="auto"/>
        <w:tabs>
          <w:tab w:leader="none" w:pos="699"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84" w:name="page85"/>
    <w:bookmarkEnd w:id="84"/>
    <w:p>
      <w:pPr>
        <w:ind w:left="4" w:firstLine="436"/>
        <w:spacing w:after="0" w:line="283" w:lineRule="auto"/>
        <w:tabs>
          <w:tab w:leader="none" w:pos="69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w:t>
      </w:r>
    </w:p>
    <w:p>
      <w:pPr>
        <w:spacing w:after="0" w:line="5" w:lineRule="exact"/>
        <w:rPr>
          <w:rFonts w:ascii="Arial" w:cs="Arial" w:eastAsia="Arial" w:hAnsi="Arial"/>
          <w:sz w:val="16"/>
          <w:szCs w:val="16"/>
          <w:color w:val="auto"/>
        </w:rPr>
      </w:pPr>
    </w:p>
    <w:p>
      <w:pPr>
        <w:ind w:left="4" w:right="20" w:hanging="4"/>
        <w:spacing w:after="0" w:line="286" w:lineRule="auto"/>
        <w:tabs>
          <w:tab w:leader="none" w:pos="219" w:val="left"/>
        </w:tabs>
        <w:numPr>
          <w:ilvl w:val="0"/>
          <w:numId w:val="87"/>
        </w:numPr>
        <w:rPr>
          <w:rFonts w:ascii="Arial" w:cs="Arial" w:eastAsia="Arial" w:hAnsi="Arial"/>
          <w:sz w:val="16"/>
          <w:szCs w:val="16"/>
          <w:color w:val="auto"/>
        </w:rPr>
      </w:pPr>
      <w:r>
        <w:rPr>
          <w:rFonts w:ascii="Arial" w:cs="Arial" w:eastAsia="Arial" w:hAnsi="Arial"/>
          <w:sz w:val="16"/>
          <w:szCs w:val="16"/>
          <w:color w:val="auto"/>
        </w:rPr>
        <w:t>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modification of any outstanding options, warrants of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provided, however, that the aggregate number of Common Shares, or securities convertible into or exchangeable for Common Shares, that the Company may issue or agree to issue pursuant to this clause (iv) shall not exceed 7.5% of the aggregate number of Common Shares outstanding immediately prior to giving effect to such issuance.</w:t>
      </w:r>
    </w:p>
    <w:p>
      <w:pPr>
        <w:spacing w:after="0" w:line="169" w:lineRule="exact"/>
        <w:rPr>
          <w:rFonts w:ascii="Arial" w:cs="Arial" w:eastAsia="Arial" w:hAnsi="Arial"/>
          <w:sz w:val="16"/>
          <w:szCs w:val="16"/>
          <w:color w:val="auto"/>
        </w:rPr>
      </w:pPr>
    </w:p>
    <w:p>
      <w:pPr>
        <w:ind w:left="4" w:right="480" w:firstLine="436"/>
        <w:spacing w:after="0" w:line="277" w:lineRule="auto"/>
        <w:tabs>
          <w:tab w:leader="none" w:pos="73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During the Agency Period, the Company agrees to notify the Agent as soon as practicable upon the Company ceasing to be an Emerging Growth Company.</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ind w:left="4" w:right="40" w:firstLine="436"/>
        <w:spacing w:after="0" w:line="301" w:lineRule="auto"/>
        <w:tabs>
          <w:tab w:leader="none" w:pos="689"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85" w:name="page86"/>
    <w:bookmarkEnd w:id="85"/>
    <w:p>
      <w:pPr>
        <w:ind w:left="-40" w:right="100" w:firstLine="436"/>
        <w:spacing w:after="0" w:line="257" w:lineRule="auto"/>
        <w:tabs>
          <w:tab w:leader="none" w:pos="61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0" w:firstLine="436"/>
        <w:spacing w:after="0" w:line="257" w:lineRule="auto"/>
        <w:tabs>
          <w:tab w:leader="none" w:pos="66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7" w:lineRule="exact"/>
        <w:rPr>
          <w:rFonts w:ascii="Arial" w:cs="Arial" w:eastAsia="Arial" w:hAnsi="Arial"/>
          <w:sz w:val="18"/>
          <w:szCs w:val="18"/>
          <w:color w:val="auto"/>
        </w:rPr>
      </w:pPr>
    </w:p>
    <w:p>
      <w:pPr>
        <w:ind w:left="-40" w:firstLine="436"/>
        <w:spacing w:after="0" w:line="257" w:lineRule="auto"/>
        <w:tabs>
          <w:tab w:leader="none" w:pos="71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Material Adverse Effects</w:t>
      </w:r>
      <w:r>
        <w:rPr>
          <w:rFonts w:ascii="Arial" w:cs="Arial" w:eastAsia="Arial" w:hAnsi="Arial"/>
          <w:sz w:val="18"/>
          <w:szCs w:val="18"/>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7" w:lineRule="exact"/>
        <w:rPr>
          <w:rFonts w:ascii="Arial" w:cs="Arial" w:eastAsia="Arial" w:hAnsi="Arial"/>
          <w:sz w:val="18"/>
          <w:szCs w:val="18"/>
          <w:color w:val="auto"/>
        </w:rPr>
      </w:pPr>
    </w:p>
    <w:p>
      <w:pPr>
        <w:ind w:left="-40" w:right="20" w:firstLine="436"/>
        <w:spacing w:after="0" w:line="269" w:lineRule="auto"/>
        <w:tabs>
          <w:tab w:leader="none" w:pos="70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80" w:top="274" w:right="499" w:bottom="1440" w:gutter="0" w:footer="0" w:header="0"/>
        </w:sectPr>
      </w:pPr>
    </w:p>
    <w:bookmarkStart w:id="86" w:name="page87"/>
    <w:bookmarkEnd w:id="86"/>
    <w:p>
      <w:pPr>
        <w:ind w:left="4" w:right="20" w:firstLine="436"/>
        <w:spacing w:after="0" w:line="275" w:lineRule="auto"/>
        <w:tabs>
          <w:tab w:leader="none" w:pos="699"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76" w:lineRule="exact"/>
        <w:rPr>
          <w:rFonts w:ascii="Arial" w:cs="Arial" w:eastAsia="Arial" w:hAnsi="Arial"/>
          <w:sz w:val="17"/>
          <w:szCs w:val="17"/>
          <w:color w:val="auto"/>
        </w:rPr>
      </w:pPr>
    </w:p>
    <w:p>
      <w:pPr>
        <w:jc w:val="both"/>
        <w:ind w:left="4" w:firstLine="436"/>
        <w:spacing w:after="0" w:line="259" w:lineRule="auto"/>
        <w:tabs>
          <w:tab w:leader="none" w:pos="689"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6" w:lineRule="exact"/>
        <w:rPr>
          <w:rFonts w:ascii="Arial" w:cs="Arial" w:eastAsia="Arial" w:hAnsi="Arial"/>
          <w:sz w:val="18"/>
          <w:szCs w:val="18"/>
          <w:color w:val="auto"/>
        </w:rPr>
      </w:pPr>
    </w:p>
    <w:p>
      <w:pPr>
        <w:jc w:val="both"/>
        <w:ind w:left="4" w:right="20" w:firstLine="436"/>
        <w:spacing w:after="0" w:line="311" w:lineRule="auto"/>
        <w:tabs>
          <w:tab w:leader="none" w:pos="699"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Agent Counsel Legal Opinion</w:t>
      </w:r>
      <w:r>
        <w:rPr>
          <w:rFonts w:ascii="Arial" w:cs="Arial" w:eastAsia="Arial" w:hAnsi="Arial"/>
          <w:sz w:val="16"/>
          <w:szCs w:val="16"/>
          <w:color w:val="auto"/>
        </w:rPr>
        <w:t xml:space="preserve">. Agent shall have received from Cooley LLP, counsel for Agent, such opinion or opinions, on or before the date on which the delivery of the Company counsel legal opinion is required pursuant to </w:t>
      </w:r>
      <w:r>
        <w:rPr>
          <w:rFonts w:ascii="Arial" w:cs="Arial" w:eastAsia="Arial" w:hAnsi="Arial"/>
          <w:sz w:val="16"/>
          <w:szCs w:val="16"/>
          <w:u w:val="single" w:color="auto"/>
          <w:color w:val="auto"/>
        </w:rPr>
        <w:t>Section 4(q)</w:t>
      </w:r>
      <w:r>
        <w:rPr>
          <w:rFonts w:ascii="Arial" w:cs="Arial" w:eastAsia="Arial" w:hAnsi="Arial"/>
          <w:sz w:val="16"/>
          <w:szCs w:val="16"/>
          <w:color w:val="auto"/>
        </w:rPr>
        <w:t>, with respect to such matters as Agent may reasonably require, and the Company shall have furnished to such counsel such documents as they request for enabling them to pass upon such matters.</w:t>
      </w:r>
    </w:p>
    <w:p>
      <w:pPr>
        <w:spacing w:after="0" w:line="14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ind w:left="4" w:right="80" w:firstLine="436"/>
        <w:spacing w:after="0" w:line="284" w:lineRule="auto"/>
        <w:tabs>
          <w:tab w:leader="none" w:pos="689"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w:t>
      </w:r>
    </w:p>
    <w:p>
      <w:pPr>
        <w:ind w:left="4" w:hanging="4"/>
        <w:spacing w:after="0" w:line="268" w:lineRule="auto"/>
        <w:tabs>
          <w:tab w:leader="none" w:pos="269"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reasonable and documented expenses (including the fees and disbursements of counsel chosen by the Agent) as such expenses are documented and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4"/>
          </w:cols>
          <w:pgMar w:left="436" w:top="274" w:right="499" w:bottom="1440" w:gutter="0" w:footer="0" w:header="0"/>
        </w:sectPr>
      </w:pPr>
    </w:p>
    <w:bookmarkStart w:id="87" w:name="page88"/>
    <w:bookmarkEnd w:id="87"/>
    <w:p>
      <w:pPr>
        <w:ind w:right="3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shall be in addition to any liabilities that the Company may otherwise have.</w:t>
      </w:r>
    </w:p>
    <w:p>
      <w:pPr>
        <w:spacing w:after="0" w:line="188" w:lineRule="exact"/>
        <w:rPr>
          <w:sz w:val="20"/>
          <w:szCs w:val="20"/>
          <w:color w:val="auto"/>
        </w:rPr>
      </w:pPr>
    </w:p>
    <w:p>
      <w:pPr>
        <w:ind w:firstLine="436"/>
        <w:spacing w:after="0" w:line="285"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or the Company may otherwise have.</w:t>
      </w:r>
    </w:p>
    <w:p>
      <w:pPr>
        <w:spacing w:after="0" w:line="384" w:lineRule="exact"/>
        <w:rPr>
          <w:rFonts w:ascii="Arial" w:cs="Arial" w:eastAsia="Arial" w:hAnsi="Arial"/>
          <w:sz w:val="16"/>
          <w:szCs w:val="16"/>
          <w:color w:val="auto"/>
        </w:rPr>
      </w:pPr>
    </w:p>
    <w:p>
      <w:pPr>
        <w:ind w:right="20" w:firstLine="436"/>
        <w:spacing w:after="0" w:line="255" w:lineRule="auto"/>
        <w:tabs>
          <w:tab w:leader="none" w:pos="68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Notifications and Other Indemnification Procedures</w:t>
      </w:r>
      <w:r>
        <w:rPr>
          <w:rFonts w:ascii="Arial" w:cs="Arial" w:eastAsia="Arial" w:hAnsi="Arial"/>
          <w:sz w:val="18"/>
          <w:szCs w:val="18"/>
          <w:color w:val="auto"/>
        </w:rPr>
        <w:t xml:space="preserve">. Promptly after receipt by an indemnified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notice of the commencement of any action, such indemnified party will, if a claim in respect thereof is to be made against an indemnifying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to the extent it is not prejudiced as a proximate result of such failure. In case any such action is brought against any indemnified party and such indemnified party seeks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88" w:name="page89"/>
    <w:bookmarkEnd w:id="88"/>
    <w:p>
      <w:pPr>
        <w:ind w:left="4"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71" w:lineRule="exact"/>
        <w:rPr>
          <w:sz w:val="20"/>
          <w:szCs w:val="20"/>
          <w:color w:val="auto"/>
        </w:rPr>
      </w:pPr>
    </w:p>
    <w:p>
      <w:pPr>
        <w:ind w:left="4" w:firstLine="436"/>
        <w:spacing w:after="0" w:line="285" w:lineRule="auto"/>
        <w:tabs>
          <w:tab w:leader="none" w:pos="699"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60" w:hanging="4"/>
        <w:spacing w:after="0" w:line="270" w:lineRule="auto"/>
        <w:tabs>
          <w:tab w:leader="none" w:pos="219"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89" w:name="page90"/>
    <w:bookmarkEnd w:id="89"/>
    <w:p>
      <w:pPr>
        <w:ind w:firstLine="436"/>
        <w:spacing w:after="0" w:line="286" w:lineRule="auto"/>
        <w:tabs>
          <w:tab w:leader="none" w:pos="68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7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provided, however,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6(e)</w:t>
      </w:r>
      <w:r>
        <w:rPr>
          <w:rFonts w:ascii="Arial" w:cs="Arial" w:eastAsia="Arial" w:hAnsi="Arial"/>
          <w:sz w:val="16"/>
          <w:szCs w:val="16"/>
          <w:color w:val="auto"/>
        </w:rPr>
        <w:t>.</w:t>
      </w:r>
    </w:p>
    <w:p>
      <w:pPr>
        <w:spacing w:after="0" w:line="12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TERMINATION &amp; SURVIVAL</w:t>
      </w:r>
    </w:p>
    <w:p>
      <w:pPr>
        <w:spacing w:after="0" w:line="229" w:lineRule="exact"/>
        <w:rPr>
          <w:sz w:val="20"/>
          <w:szCs w:val="20"/>
          <w:color w:val="auto"/>
        </w:rPr>
      </w:pPr>
    </w:p>
    <w:p>
      <w:pPr>
        <w:ind w:right="20" w:firstLine="436"/>
        <w:spacing w:after="0" w:line="277" w:lineRule="auto"/>
        <w:tabs>
          <w:tab w:leader="none" w:pos="68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75" w:lineRule="auto"/>
        <w:tabs>
          <w:tab w:leader="none" w:pos="65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(B)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76" w:lineRule="exact"/>
        <w:rPr>
          <w:rFonts w:ascii="Arial" w:cs="Arial" w:eastAsia="Arial" w:hAnsi="Arial"/>
          <w:sz w:val="17"/>
          <w:szCs w:val="17"/>
          <w:color w:val="auto"/>
        </w:rPr>
      </w:pPr>
    </w:p>
    <w:p>
      <w:pPr>
        <w:ind w:firstLine="436"/>
        <w:spacing w:after="0" w:line="257"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ind w:firstLine="436"/>
        <w:spacing w:after="0" w:line="268" w:lineRule="auto"/>
        <w:tabs>
          <w:tab w:leader="none" w:pos="68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Current Report on Form 8 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other than disclosure regarding sales of Common Shares pursuant hereto on current reports on Form 8-K, quarterly reports on Form 10-Q or annual reports on Form 10-K, is so required (provided that such disclosure in such press release or public statement related to such sales of Common Shares and the proceeds thereof is not inconsistent with the disclosure for such sales),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91" w:name="page92"/>
    <w:bookmarkEnd w:id="91"/>
    <w:p>
      <w:pPr>
        <w:ind w:left="-40" w:firstLine="436"/>
        <w:spacing w:after="0" w:line="289" w:lineRule="auto"/>
        <w:tabs>
          <w:tab w:leader="none" w:pos="65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6"/>
          <w:szCs w:val="16"/>
          <w:color w:val="auto"/>
        </w:rPr>
      </w:pPr>
    </w:p>
    <w:p>
      <w:pPr>
        <w:ind w:left="-40" w:right="80" w:firstLine="436"/>
        <w:spacing w:after="0" w:line="254" w:lineRule="auto"/>
        <w:tabs>
          <w:tab w:leader="none" w:pos="64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left="-40" w:right="460" w:firstLine="436"/>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sent via electronic mail (if applicable) or telecopied and confirmed to the parties hereto as follows: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If to the Agent: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jc w:val="both"/>
        <w:ind w:left="400" w:right="8560" w:hanging="4"/>
        <w:spacing w:after="0" w:line="295" w:lineRule="auto"/>
        <w:tabs>
          <w:tab w:leader="none" w:pos="7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Madison Avenue New York, NY 10022 Facsimile: (646) 786-5719 Attention: General Counsel</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Attention: Daniel I. Goldberg, Esq.</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dgoldberg@cooley.com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80" w:top="274" w:right="479" w:bottom="1440" w:gutter="0" w:footer="0" w:header="0"/>
        </w:sectPr>
      </w:pPr>
    </w:p>
    <w:bookmarkStart w:id="92" w:name="page93"/>
    <w:bookmarkEnd w:id="92"/>
    <w:p>
      <w:pPr>
        <w:ind w:lef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4D Molecular Therapeutics,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5858 Horton Street #455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Emeryville, California 94608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amoretti@4dmt.com</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Latham &amp; Watkins</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Mark Roeder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mark.roeder@LW.com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jc w:val="both"/>
        <w:ind w:right="240" w:firstLine="436"/>
        <w:spacing w:after="0" w:line="311" w:lineRule="auto"/>
        <w:tabs>
          <w:tab w:leader="none" w:pos="68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ind w:right="220" w:firstLine="436"/>
        <w:spacing w:after="0" w:line="259" w:lineRule="auto"/>
        <w:tabs>
          <w:tab w:leader="none" w:pos="66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ind w:firstLine="436"/>
        <w:spacing w:after="0" w:line="269" w:lineRule="auto"/>
        <w:tabs>
          <w:tab w:leader="none" w:pos="69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93" w:name="page94"/>
    <w:bookmarkEnd w:id="93"/>
    <w:p>
      <w:pPr>
        <w:ind w:left="-60" w:firstLine="436"/>
        <w:spacing w:after="0" w:line="290" w:lineRule="auto"/>
        <w:tabs>
          <w:tab w:leader="none" w:pos="63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w:t>
      </w:r>
      <w:r>
        <w:rPr>
          <w:rFonts w:ascii="Arial" w:cs="Arial" w:eastAsia="Arial" w:hAnsi="Arial"/>
          <w:sz w:val="16"/>
          <w:szCs w:val="16"/>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80"/>
          </w:cols>
          <w:pgMar w:left="500" w:top="274" w:right="519" w:bottom="1440" w:gutter="0" w:footer="0" w:header="0"/>
        </w:sectPr>
      </w:pPr>
    </w:p>
    <w:bookmarkStart w:id="94" w:name="page95"/>
    <w:bookmarkEnd w:id="94"/>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4D MOLECULAR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August J.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August J. Moretti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Donald Lynaugh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700"/>
          </w:cols>
          <w:pgMar w:left="440" w:top="274" w:right="75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ISSUANCE NOTICE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Reference is made to the Open Market Sale Agreement</w:t>
      </w:r>
      <w:r>
        <w:rPr>
          <w:rFonts w:ascii="Arial" w:cs="Arial" w:eastAsia="Arial" w:hAnsi="Arial"/>
          <w:sz w:val="14"/>
          <w:szCs w:val="14"/>
          <w:color w:val="auto"/>
        </w:rPr>
        <w:t>SM</w:t>
      </w:r>
      <w:r>
        <w:rPr>
          <w:rFonts w:ascii="Arial" w:cs="Arial" w:eastAsia="Arial" w:hAnsi="Arial"/>
          <w:sz w:val="17"/>
          <w:szCs w:val="17"/>
          <w:color w:val="auto"/>
        </w:rPr>
        <w:t xml:space="preserve"> between 4D Molecular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 2022. The Company confirms that all conditions to the delivery of this Issuance Notice are satisfied as of the date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-10160</wp:posOffset>
            </wp:positionV>
            <wp:extent cx="22561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2256155"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126365</wp:posOffset>
            </wp:positionV>
            <wp:extent cx="11709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288925</wp:posOffset>
            </wp:positionV>
            <wp:extent cx="33515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443230</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-10160</wp:posOffset>
            </wp:positionV>
            <wp:extent cx="54552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54552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13709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440" w:top="270" w:right="499" w:bottom="1440" w:gutter="0" w:footer="0" w:header="0"/>
        </w:sectPr>
      </w:pPr>
    </w:p>
    <w:bookmarkStart w:id="96" w:name="page97"/>
    <w:bookmarkEnd w:id="96"/>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Kirn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J. Moretti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Lynaugh</w:t>
      </w:r>
    </w:p>
    <w:p>
      <w:pPr>
        <w:sectPr>
          <w:pgSz w:w="11900" w:h="16838" w:orient="portrait"/>
          <w:cols w:equalWidth="0" w:num="1">
            <w:col w:w="10019"/>
          </w:cols>
          <w:pgMar w:left="440" w:top="270"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4D MOLECULAR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12" w:lineRule="exact"/>
        <w:rPr>
          <w:sz w:val="20"/>
          <w:szCs w:val="20"/>
          <w:color w:val="auto"/>
        </w:rPr>
      </w:pPr>
    </w:p>
    <w:tbl>
      <w:tblPr>
        <w:tblLayout w:type="fixed"/>
        <w:tblInd w:w="35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w w:val="91"/>
              </w:rPr>
              <w:t>Dated as of</w:t>
            </w:r>
          </w:p>
        </w:tc>
        <w:tc>
          <w:tcPr>
            <w:tcW w:w="540" w:type="dxa"/>
            <w:vAlign w:val="bottom"/>
            <w:tcBorders>
              <w:bottom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 20</w:t>
            </w:r>
          </w:p>
        </w:tc>
        <w:tc>
          <w:tcPr>
            <w:tcW w:w="18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ind w:left="4140" w:right="5160" w:firstLine="12"/>
        <w:spacing w:after="0" w:line="681" w:lineRule="auto"/>
        <w:tabs>
          <w:tab w:leader="none" w:pos="4751"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-37465</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-500380</wp:posOffset>
            </wp:positionV>
            <wp:extent cx="3429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6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2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26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260" w:type="dxa"/>
            <w:vAlign w:val="bottom"/>
          </w:tcPr>
          <w:p>
            <w:pPr>
              <w:ind w:left="10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260" w:type="dxa"/>
            <w:vAlign w:val="bottom"/>
          </w:tcPr>
          <w:p>
            <w:pPr>
              <w:ind w:left="100"/>
              <w:spacing w:after="0"/>
              <w:rPr>
                <w:sz w:val="20"/>
                <w:szCs w:val="20"/>
                <w:color w:val="auto"/>
              </w:rPr>
            </w:pPr>
            <w:r>
              <w:rPr>
                <w:rFonts w:ascii="Arial" w:cs="Arial" w:eastAsia="Arial" w:hAnsi="Arial"/>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3"/>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260" w:type="dxa"/>
            <w:vAlign w:val="bottom"/>
          </w:tcPr>
          <w:p>
            <w:pPr>
              <w:ind w:left="100"/>
              <w:spacing w:after="0"/>
              <w:rPr>
                <w:sz w:val="20"/>
                <w:szCs w:val="20"/>
                <w:color w:val="auto"/>
              </w:rPr>
            </w:pPr>
            <w:r>
              <w:rPr>
                <w:rFonts w:ascii="Arial" w:cs="Arial" w:eastAsia="Arial" w:hAnsi="Arial"/>
                <w:sz w:val="18"/>
                <w:szCs w:val="18"/>
                <w:color w:val="auto"/>
              </w:rPr>
              <w:t>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260" w:type="dxa"/>
            <w:vAlign w:val="bottom"/>
          </w:tcPr>
          <w:p>
            <w:pPr>
              <w:ind w:left="100"/>
              <w:spacing w:after="0"/>
              <w:rPr>
                <w:sz w:val="20"/>
                <w:szCs w:val="20"/>
                <w:color w:val="auto"/>
              </w:rPr>
            </w:pPr>
            <w:r>
              <w:rPr>
                <w:rFonts w:ascii="Arial" w:cs="Arial" w:eastAsia="Arial" w:hAnsi="Arial"/>
                <w:sz w:val="18"/>
                <w:szCs w:val="18"/>
                <w:color w:val="auto"/>
              </w:rPr>
              <w:t>Establishment of Terms of Series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260" w:type="dxa"/>
            <w:vAlign w:val="bottom"/>
          </w:tcPr>
          <w:p>
            <w:pPr>
              <w:ind w:left="100"/>
              <w:spacing w:after="0"/>
              <w:rPr>
                <w:sz w:val="20"/>
                <w:szCs w:val="20"/>
                <w:color w:val="auto"/>
              </w:rPr>
            </w:pPr>
            <w:r>
              <w:rPr>
                <w:rFonts w:ascii="Arial" w:cs="Arial" w:eastAsia="Arial" w:hAnsi="Arial"/>
                <w:sz w:val="18"/>
                <w:szCs w:val="18"/>
                <w:color w:val="auto"/>
              </w:rPr>
              <w:t>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260" w:type="dxa"/>
            <w:vAlign w:val="bottom"/>
          </w:tcPr>
          <w:p>
            <w:pPr>
              <w:ind w:left="100"/>
              <w:spacing w:after="0"/>
              <w:rPr>
                <w:sz w:val="20"/>
                <w:szCs w:val="20"/>
                <w:color w:val="auto"/>
              </w:rPr>
            </w:pPr>
            <w:r>
              <w:rPr>
                <w:rFonts w:ascii="Arial" w:cs="Arial" w:eastAsia="Arial" w:hAnsi="Arial"/>
                <w:sz w:val="18"/>
                <w:szCs w:val="18"/>
                <w:color w:val="auto"/>
              </w:rPr>
              <w:t>Registrar and Paying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260" w:type="dxa"/>
            <w:vAlign w:val="bottom"/>
          </w:tcPr>
          <w:p>
            <w:pPr>
              <w:ind w:left="100"/>
              <w:spacing w:after="0"/>
              <w:rPr>
                <w:sz w:val="20"/>
                <w:szCs w:val="20"/>
                <w:color w:val="auto"/>
              </w:rPr>
            </w:pPr>
            <w:r>
              <w:rPr>
                <w:rFonts w:ascii="Arial" w:cs="Arial" w:eastAsia="Arial" w:hAnsi="Arial"/>
                <w:sz w:val="18"/>
                <w:szCs w:val="18"/>
                <w:color w:val="auto"/>
              </w:rPr>
              <w:t>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260" w:type="dxa"/>
            <w:vAlign w:val="bottom"/>
          </w:tcPr>
          <w:p>
            <w:pPr>
              <w:ind w:left="100"/>
              <w:spacing w:after="0"/>
              <w:rPr>
                <w:sz w:val="20"/>
                <w:szCs w:val="20"/>
                <w:color w:val="auto"/>
              </w:rPr>
            </w:pPr>
            <w:r>
              <w:rPr>
                <w:rFonts w:ascii="Arial" w:cs="Arial" w:eastAsia="Arial" w:hAnsi="Arial"/>
                <w:sz w:val="18"/>
                <w:szCs w:val="18"/>
                <w:color w:val="auto"/>
              </w:rPr>
              <w:t>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260" w:type="dxa"/>
            <w:vAlign w:val="bottom"/>
          </w:tcPr>
          <w:p>
            <w:pPr>
              <w:ind w:left="100"/>
              <w:spacing w:after="0"/>
              <w:rPr>
                <w:sz w:val="20"/>
                <w:szCs w:val="20"/>
                <w:color w:val="auto"/>
              </w:rPr>
            </w:pPr>
            <w:r>
              <w:rPr>
                <w:rFonts w:ascii="Arial" w:cs="Arial" w:eastAsia="Arial" w:hAnsi="Arial"/>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260" w:type="dxa"/>
            <w:vAlign w:val="bottom"/>
          </w:tcPr>
          <w:p>
            <w:pPr>
              <w:ind w:left="10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260" w:type="dxa"/>
            <w:vAlign w:val="bottom"/>
          </w:tcPr>
          <w:p>
            <w:pPr>
              <w:ind w:left="100"/>
              <w:spacing w:after="0"/>
              <w:rPr>
                <w:sz w:val="20"/>
                <w:szCs w:val="20"/>
                <w:color w:val="auto"/>
              </w:rPr>
            </w:pPr>
            <w:r>
              <w:rPr>
                <w:rFonts w:ascii="Arial" w:cs="Arial" w:eastAsia="Arial" w:hAnsi="Arial"/>
                <w:sz w:val="18"/>
                <w:szCs w:val="18"/>
                <w:color w:val="auto"/>
              </w:rPr>
              <w:t>Outstanding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2.10.</w:t>
            </w:r>
          </w:p>
        </w:tc>
        <w:tc>
          <w:tcPr>
            <w:tcW w:w="9260" w:type="dxa"/>
            <w:vAlign w:val="bottom"/>
          </w:tcPr>
          <w:p>
            <w:pPr>
              <w:ind w:left="100"/>
              <w:spacing w:after="0"/>
              <w:rPr>
                <w:sz w:val="20"/>
                <w:szCs w:val="20"/>
                <w:color w:val="auto"/>
              </w:rPr>
            </w:pPr>
            <w:r>
              <w:rPr>
                <w:rFonts w:ascii="Arial" w:cs="Arial" w:eastAsia="Arial" w:hAnsi="Arial"/>
                <w:sz w:val="18"/>
                <w:szCs w:val="18"/>
                <w:color w:val="auto"/>
              </w:rPr>
              <w:t>Treasury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2.11.</w:t>
            </w:r>
          </w:p>
        </w:tc>
        <w:tc>
          <w:tcPr>
            <w:tcW w:w="926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2.12.</w:t>
            </w:r>
          </w:p>
        </w:tc>
        <w:tc>
          <w:tcPr>
            <w:tcW w:w="926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2.13.</w:t>
            </w:r>
          </w:p>
        </w:tc>
        <w:tc>
          <w:tcPr>
            <w:tcW w:w="926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2.14.</w:t>
            </w:r>
          </w:p>
        </w:tc>
        <w:tc>
          <w:tcPr>
            <w:tcW w:w="9260" w:type="dxa"/>
            <w:vAlign w:val="bottom"/>
          </w:tcPr>
          <w:p>
            <w:pPr>
              <w:ind w:left="100"/>
              <w:spacing w:after="0"/>
              <w:rPr>
                <w:sz w:val="20"/>
                <w:szCs w:val="20"/>
                <w:color w:val="auto"/>
              </w:rPr>
            </w:pPr>
            <w:r>
              <w:rPr>
                <w:rFonts w:ascii="Arial" w:cs="Arial" w:eastAsia="Arial" w:hAnsi="Arial"/>
                <w:sz w:val="18"/>
                <w:szCs w:val="18"/>
                <w:color w:val="auto"/>
              </w:rPr>
              <w:t>Global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2.15.</w:t>
            </w:r>
          </w:p>
        </w:tc>
        <w:tc>
          <w:tcPr>
            <w:tcW w:w="926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3"/>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260" w:type="dxa"/>
            <w:vAlign w:val="bottom"/>
          </w:tcPr>
          <w:p>
            <w:pPr>
              <w:ind w:left="100"/>
              <w:spacing w:after="0"/>
              <w:rPr>
                <w:sz w:val="20"/>
                <w:szCs w:val="20"/>
                <w:color w:val="auto"/>
              </w:rPr>
            </w:pPr>
            <w:r>
              <w:rPr>
                <w:rFonts w:ascii="Arial" w:cs="Arial" w:eastAsia="Arial" w:hAnsi="Arial"/>
                <w:sz w:val="18"/>
                <w:szCs w:val="18"/>
                <w:color w:val="auto"/>
              </w:rPr>
              <w:t>Notice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260" w:type="dxa"/>
            <w:vAlign w:val="bottom"/>
          </w:tcPr>
          <w:p>
            <w:pPr>
              <w:ind w:left="100"/>
              <w:spacing w:after="0"/>
              <w:rPr>
                <w:sz w:val="20"/>
                <w:szCs w:val="20"/>
                <w:color w:val="auto"/>
              </w:rPr>
            </w:pPr>
            <w:r>
              <w:rPr>
                <w:rFonts w:ascii="Arial" w:cs="Arial" w:eastAsia="Arial" w:hAnsi="Arial"/>
                <w:sz w:val="18"/>
                <w:szCs w:val="18"/>
                <w:color w:val="auto"/>
              </w:rPr>
              <w:t>Selection of Securities to be Redeemed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260" w:type="dxa"/>
            <w:vAlign w:val="bottom"/>
          </w:tcPr>
          <w:p>
            <w:pPr>
              <w:ind w:left="100"/>
              <w:spacing w:after="0"/>
              <w:rPr>
                <w:sz w:val="20"/>
                <w:szCs w:val="20"/>
                <w:color w:val="auto"/>
              </w:rPr>
            </w:pPr>
            <w:r>
              <w:rPr>
                <w:rFonts w:ascii="Arial" w:cs="Arial" w:eastAsia="Arial" w:hAnsi="Arial"/>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260" w:type="dxa"/>
            <w:vAlign w:val="bottom"/>
          </w:tcPr>
          <w:p>
            <w:pPr>
              <w:ind w:left="100"/>
              <w:spacing w:after="0"/>
              <w:rPr>
                <w:sz w:val="20"/>
                <w:szCs w:val="20"/>
                <w:color w:val="auto"/>
              </w:rPr>
            </w:pPr>
            <w:r>
              <w:rPr>
                <w:rFonts w:ascii="Arial" w:cs="Arial" w:eastAsia="Arial" w:hAnsi="Arial"/>
                <w:sz w:val="18"/>
                <w:szCs w:val="18"/>
                <w:color w:val="auto"/>
              </w:rPr>
              <w:t>Effect of 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260" w:type="dxa"/>
            <w:vAlign w:val="bottom"/>
          </w:tcPr>
          <w:p>
            <w:pPr>
              <w:ind w:left="100"/>
              <w:spacing w:after="0"/>
              <w:rPr>
                <w:sz w:val="20"/>
                <w:szCs w:val="20"/>
                <w:color w:val="auto"/>
              </w:rPr>
            </w:pPr>
            <w:r>
              <w:rPr>
                <w:rFonts w:ascii="Arial" w:cs="Arial" w:eastAsia="Arial" w:hAnsi="Arial"/>
                <w:sz w:val="18"/>
                <w:szCs w:val="18"/>
                <w:color w:val="auto"/>
              </w:rPr>
              <w:t>Deposit of Redemption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260" w:type="dxa"/>
            <w:vAlign w:val="bottom"/>
          </w:tcPr>
          <w:p>
            <w:pPr>
              <w:ind w:left="100"/>
              <w:spacing w:after="0"/>
              <w:rPr>
                <w:sz w:val="20"/>
                <w:szCs w:val="20"/>
                <w:color w:val="auto"/>
              </w:rPr>
            </w:pPr>
            <w:r>
              <w:rPr>
                <w:rFonts w:ascii="Arial" w:cs="Arial" w:eastAsia="Arial" w:hAnsi="Arial"/>
                <w:sz w:val="18"/>
                <w:szCs w:val="18"/>
                <w:color w:val="auto"/>
              </w:rPr>
              <w:t>Securities Redeemed in Part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3"/>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260" w:type="dxa"/>
            <w:vAlign w:val="bottom"/>
          </w:tcPr>
          <w:p>
            <w:pPr>
              <w:ind w:left="100"/>
              <w:spacing w:after="0"/>
              <w:rPr>
                <w:sz w:val="20"/>
                <w:szCs w:val="20"/>
                <w:color w:val="auto"/>
              </w:rPr>
            </w:pPr>
            <w:r>
              <w:rPr>
                <w:rFonts w:ascii="Arial" w:cs="Arial" w:eastAsia="Arial" w:hAnsi="Arial"/>
                <w:sz w:val="18"/>
                <w:szCs w:val="18"/>
                <w:color w:val="auto"/>
              </w:rPr>
              <w:t>Payment of Principal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260" w:type="dxa"/>
            <w:vAlign w:val="bottom"/>
          </w:tcPr>
          <w:p>
            <w:pPr>
              <w:ind w:left="100"/>
              <w:spacing w:after="0"/>
              <w:rPr>
                <w:sz w:val="20"/>
                <w:szCs w:val="20"/>
                <w:color w:val="auto"/>
              </w:rPr>
            </w:pPr>
            <w:r>
              <w:rPr>
                <w:rFonts w:ascii="Arial" w:cs="Arial" w:eastAsia="Arial" w:hAnsi="Arial"/>
                <w:sz w:val="18"/>
                <w:szCs w:val="18"/>
                <w:color w:val="auto"/>
              </w:rPr>
              <w:t>SEC 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26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260" w:type="dxa"/>
            <w:vAlign w:val="bottom"/>
          </w:tcPr>
          <w:p>
            <w:pPr>
              <w:ind w:left="100"/>
              <w:spacing w:after="0"/>
              <w:rPr>
                <w:sz w:val="20"/>
                <w:szCs w:val="20"/>
                <w:color w:val="auto"/>
              </w:rPr>
            </w:pPr>
            <w:r>
              <w:rPr>
                <w:rFonts w:ascii="Arial" w:cs="Arial" w:eastAsia="Arial" w:hAnsi="Arial"/>
                <w:sz w:val="18"/>
                <w:szCs w:val="18"/>
                <w:color w:val="auto"/>
              </w:rPr>
              <w:t>Stay, Extension and Usury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3"/>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260" w:type="dxa"/>
            <w:vAlign w:val="bottom"/>
          </w:tcPr>
          <w:p>
            <w:pPr>
              <w:ind w:left="100"/>
              <w:spacing w:after="0"/>
              <w:rPr>
                <w:sz w:val="20"/>
                <w:szCs w:val="20"/>
                <w:color w:val="auto"/>
              </w:rPr>
            </w:pPr>
            <w:r>
              <w:rPr>
                <w:rFonts w:ascii="Arial" w:cs="Arial" w:eastAsia="Arial" w:hAnsi="Arial"/>
                <w:sz w:val="18"/>
                <w:szCs w:val="18"/>
                <w:color w:val="auto"/>
              </w:rPr>
              <w:t>When Company May Merge,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260" w:type="dxa"/>
            <w:vAlign w:val="bottom"/>
          </w:tcPr>
          <w:p>
            <w:pPr>
              <w:ind w:left="100"/>
              <w:spacing w:after="0"/>
              <w:rPr>
                <w:sz w:val="20"/>
                <w:szCs w:val="20"/>
                <w:color w:val="auto"/>
              </w:rPr>
            </w:pPr>
            <w:r>
              <w:rPr>
                <w:rFonts w:ascii="Arial" w:cs="Arial" w:eastAsia="Arial" w:hAnsi="Arial"/>
                <w:sz w:val="18"/>
                <w:szCs w:val="18"/>
                <w:color w:val="auto"/>
              </w:rPr>
              <w:t>Successor Corporation Substituted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9"/>
        </w:trPr>
        <w:tc>
          <w:tcPr>
            <w:tcW w:w="848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06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060" w:type="dxa"/>
            <w:vAlign w:val="bottom"/>
          </w:tcPr>
          <w:p>
            <w:pPr>
              <w:ind w:left="100"/>
              <w:spacing w:after="0"/>
              <w:rPr>
                <w:sz w:val="20"/>
                <w:szCs w:val="20"/>
                <w:color w:val="auto"/>
              </w:rPr>
            </w:pPr>
            <w:r>
              <w:rPr>
                <w:rFonts w:ascii="Arial" w:cs="Arial" w:eastAsia="Arial" w:hAnsi="Arial"/>
                <w:sz w:val="18"/>
                <w:szCs w:val="18"/>
                <w:color w:val="auto"/>
              </w:rPr>
              <w:t>Acceleration of Maturity; Rescission and Annulment</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060" w:type="dxa"/>
            <w:vAlign w:val="bottom"/>
          </w:tcPr>
          <w:p>
            <w:pPr>
              <w:ind w:left="100"/>
              <w:spacing w:after="0"/>
              <w:rPr>
                <w:sz w:val="20"/>
                <w:szCs w:val="20"/>
                <w:color w:val="auto"/>
              </w:rPr>
            </w:pPr>
            <w:r>
              <w:rPr>
                <w:rFonts w:ascii="Arial" w:cs="Arial" w:eastAsia="Arial" w:hAnsi="Arial"/>
                <w:sz w:val="18"/>
                <w:szCs w:val="18"/>
                <w:color w:val="auto"/>
              </w:rPr>
              <w:t>Collection of Indebtedness and Suits for Enforcement by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060" w:type="dxa"/>
            <w:vAlign w:val="bottom"/>
          </w:tcPr>
          <w:p>
            <w:pPr>
              <w:ind w:left="100"/>
              <w:spacing w:after="0"/>
              <w:rPr>
                <w:sz w:val="20"/>
                <w:szCs w:val="20"/>
                <w:color w:val="auto"/>
              </w:rPr>
            </w:pPr>
            <w:r>
              <w:rPr>
                <w:rFonts w:ascii="Arial" w:cs="Arial" w:eastAsia="Arial" w:hAnsi="Arial"/>
                <w:sz w:val="18"/>
                <w:szCs w:val="18"/>
                <w:color w:val="auto"/>
              </w:rPr>
              <w:t>Trustee May File Proofs of Claim</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060" w:type="dxa"/>
            <w:vAlign w:val="bottom"/>
          </w:tcPr>
          <w:p>
            <w:pPr>
              <w:ind w:left="100"/>
              <w:spacing w:after="0"/>
              <w:rPr>
                <w:sz w:val="20"/>
                <w:szCs w:val="20"/>
                <w:color w:val="auto"/>
              </w:rPr>
            </w:pPr>
            <w:r>
              <w:rPr>
                <w:rFonts w:ascii="Arial" w:cs="Arial" w:eastAsia="Arial" w:hAnsi="Arial"/>
                <w:sz w:val="18"/>
                <w:szCs w:val="18"/>
                <w:color w:val="auto"/>
              </w:rPr>
              <w:t>Trustee May Enforce Claims Without Possession of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060" w:type="dxa"/>
            <w:vAlign w:val="bottom"/>
          </w:tcPr>
          <w:p>
            <w:pPr>
              <w:ind w:left="100"/>
              <w:spacing w:after="0"/>
              <w:rPr>
                <w:sz w:val="20"/>
                <w:szCs w:val="20"/>
                <w:color w:val="auto"/>
              </w:rPr>
            </w:pPr>
            <w:r>
              <w:rPr>
                <w:rFonts w:ascii="Arial" w:cs="Arial" w:eastAsia="Arial" w:hAnsi="Arial"/>
                <w:sz w:val="18"/>
                <w:szCs w:val="18"/>
                <w:color w:val="auto"/>
              </w:rPr>
              <w:t>Application of Money Collected</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060" w:type="dxa"/>
            <w:vAlign w:val="bottom"/>
          </w:tcPr>
          <w:p>
            <w:pPr>
              <w:ind w:left="100"/>
              <w:spacing w:after="0"/>
              <w:rPr>
                <w:sz w:val="20"/>
                <w:szCs w:val="20"/>
                <w:color w:val="auto"/>
              </w:rPr>
            </w:pPr>
            <w:r>
              <w:rPr>
                <w:rFonts w:ascii="Arial" w:cs="Arial" w:eastAsia="Arial" w:hAnsi="Arial"/>
                <w:sz w:val="18"/>
                <w:szCs w:val="18"/>
                <w:color w:val="auto"/>
              </w:rPr>
              <w:t>Limitation on Suits</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7060" w:type="dxa"/>
            <w:vAlign w:val="bottom"/>
          </w:tcPr>
          <w:p>
            <w:pPr>
              <w:ind w:left="10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7060" w:type="dxa"/>
            <w:vAlign w:val="bottom"/>
          </w:tcPr>
          <w:p>
            <w:pPr>
              <w:ind w:left="100"/>
              <w:spacing w:after="0"/>
              <w:rPr>
                <w:sz w:val="20"/>
                <w:szCs w:val="20"/>
                <w:color w:val="auto"/>
              </w:rPr>
            </w:pPr>
            <w:r>
              <w:rPr>
                <w:rFonts w:ascii="Arial" w:cs="Arial" w:eastAsia="Arial" w:hAnsi="Arial"/>
                <w:sz w:val="18"/>
                <w:szCs w:val="18"/>
                <w:color w:val="auto"/>
              </w:rPr>
              <w:t>Restoration of Rights and Remedies</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6.10.</w:t>
            </w:r>
          </w:p>
        </w:tc>
        <w:tc>
          <w:tcPr>
            <w:tcW w:w="7060" w:type="dxa"/>
            <w:vAlign w:val="bottom"/>
          </w:tcPr>
          <w:p>
            <w:pPr>
              <w:ind w:left="100"/>
              <w:spacing w:after="0"/>
              <w:rPr>
                <w:sz w:val="20"/>
                <w:szCs w:val="20"/>
                <w:color w:val="auto"/>
              </w:rPr>
            </w:pPr>
            <w:r>
              <w:rPr>
                <w:rFonts w:ascii="Arial" w:cs="Arial" w:eastAsia="Arial" w:hAnsi="Arial"/>
                <w:sz w:val="18"/>
                <w:szCs w:val="18"/>
                <w:color w:val="auto"/>
              </w:rPr>
              <w:t>Rights and Remedies Cumulative</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6.11.</w:t>
            </w:r>
          </w:p>
        </w:tc>
        <w:tc>
          <w:tcPr>
            <w:tcW w:w="7060" w:type="dxa"/>
            <w:vAlign w:val="bottom"/>
          </w:tcPr>
          <w:p>
            <w:pPr>
              <w:ind w:left="100"/>
              <w:spacing w:after="0"/>
              <w:rPr>
                <w:sz w:val="20"/>
                <w:szCs w:val="20"/>
                <w:color w:val="auto"/>
              </w:rPr>
            </w:pPr>
            <w:r>
              <w:rPr>
                <w:rFonts w:ascii="Arial" w:cs="Arial" w:eastAsia="Arial" w:hAnsi="Arial"/>
                <w:sz w:val="18"/>
                <w:szCs w:val="18"/>
                <w:color w:val="auto"/>
              </w:rPr>
              <w:t>Delay or Omission Not Waiver</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6.12.</w:t>
            </w:r>
          </w:p>
        </w:tc>
        <w:tc>
          <w:tcPr>
            <w:tcW w:w="7060" w:type="dxa"/>
            <w:vAlign w:val="bottom"/>
          </w:tcPr>
          <w:p>
            <w:pPr>
              <w:ind w:left="100"/>
              <w:spacing w:after="0"/>
              <w:rPr>
                <w:sz w:val="20"/>
                <w:szCs w:val="20"/>
                <w:color w:val="auto"/>
              </w:rPr>
            </w:pPr>
            <w:r>
              <w:rPr>
                <w:rFonts w:ascii="Arial" w:cs="Arial" w:eastAsia="Arial" w:hAnsi="Arial"/>
                <w:sz w:val="18"/>
                <w:szCs w:val="18"/>
                <w:color w:val="auto"/>
              </w:rPr>
              <w:t>Control by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6.13.</w:t>
            </w:r>
          </w:p>
        </w:tc>
        <w:tc>
          <w:tcPr>
            <w:tcW w:w="706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6.14.</w:t>
            </w:r>
          </w:p>
        </w:tc>
        <w:tc>
          <w:tcPr>
            <w:tcW w:w="7060" w:type="dxa"/>
            <w:vAlign w:val="bottom"/>
          </w:tcPr>
          <w:p>
            <w:pPr>
              <w:ind w:left="100"/>
              <w:spacing w:after="0"/>
              <w:rPr>
                <w:sz w:val="20"/>
                <w:szCs w:val="20"/>
                <w:color w:val="auto"/>
              </w:rPr>
            </w:pPr>
            <w:r>
              <w:rPr>
                <w:rFonts w:ascii="Arial" w:cs="Arial" w:eastAsia="Arial" w:hAnsi="Arial"/>
                <w:sz w:val="18"/>
                <w:szCs w:val="18"/>
                <w:color w:val="auto"/>
              </w:rPr>
              <w:t>Undertaking for Costs</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3"/>
        </w:trPr>
        <w:tc>
          <w:tcPr>
            <w:tcW w:w="848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060" w:type="dxa"/>
            <w:vAlign w:val="bottom"/>
          </w:tcPr>
          <w:p>
            <w:pPr>
              <w:ind w:left="100"/>
              <w:spacing w:after="0"/>
              <w:rPr>
                <w:sz w:val="20"/>
                <w:szCs w:val="20"/>
                <w:color w:val="auto"/>
              </w:rPr>
            </w:pPr>
            <w:r>
              <w:rPr>
                <w:rFonts w:ascii="Arial" w:cs="Arial" w:eastAsia="Arial" w:hAnsi="Arial"/>
                <w:sz w:val="18"/>
                <w:szCs w:val="18"/>
                <w:color w:val="auto"/>
              </w:rPr>
              <w:t>Duties of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060" w:type="dxa"/>
            <w:vAlign w:val="bottom"/>
          </w:tcPr>
          <w:p>
            <w:pPr>
              <w:ind w:left="100"/>
              <w:spacing w:after="0"/>
              <w:rPr>
                <w:sz w:val="20"/>
                <w:szCs w:val="20"/>
                <w:color w:val="auto"/>
              </w:rPr>
            </w:pPr>
            <w:r>
              <w:rPr>
                <w:rFonts w:ascii="Arial" w:cs="Arial" w:eastAsia="Arial" w:hAnsi="Arial"/>
                <w:sz w:val="18"/>
                <w:szCs w:val="18"/>
                <w:color w:val="auto"/>
              </w:rPr>
              <w:t>Rights of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060" w:type="dxa"/>
            <w:vAlign w:val="bottom"/>
          </w:tcPr>
          <w:p>
            <w:pPr>
              <w:ind w:left="100"/>
              <w:spacing w:after="0"/>
              <w:rPr>
                <w:sz w:val="20"/>
                <w:szCs w:val="20"/>
                <w:color w:val="auto"/>
              </w:rPr>
            </w:pPr>
            <w:r>
              <w:rPr>
                <w:rFonts w:ascii="Arial" w:cs="Arial" w:eastAsia="Arial" w:hAnsi="Arial"/>
                <w:sz w:val="18"/>
                <w:szCs w:val="18"/>
                <w:color w:val="auto"/>
              </w:rPr>
              <w:t>Individual Rights of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06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060" w:type="dxa"/>
            <w:vAlign w:val="bottom"/>
          </w:tcPr>
          <w:p>
            <w:pPr>
              <w:ind w:left="100"/>
              <w:spacing w:after="0"/>
              <w:rPr>
                <w:sz w:val="20"/>
                <w:szCs w:val="20"/>
                <w:color w:val="auto"/>
              </w:rPr>
            </w:pPr>
            <w:r>
              <w:rPr>
                <w:rFonts w:ascii="Arial" w:cs="Arial" w:eastAsia="Arial" w:hAnsi="Arial"/>
                <w:sz w:val="18"/>
                <w:szCs w:val="18"/>
                <w:color w:val="auto"/>
              </w:rPr>
              <w:t>Notice of Defaults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060" w:type="dxa"/>
            <w:vAlign w:val="bottom"/>
          </w:tcPr>
          <w:p>
            <w:pPr>
              <w:ind w:left="100"/>
              <w:spacing w:after="0"/>
              <w:rPr>
                <w:sz w:val="20"/>
                <w:szCs w:val="20"/>
                <w:color w:val="auto"/>
              </w:rPr>
            </w:pPr>
            <w:r>
              <w:rPr>
                <w:rFonts w:ascii="Arial" w:cs="Arial" w:eastAsia="Arial" w:hAnsi="Arial"/>
                <w:sz w:val="18"/>
                <w:szCs w:val="18"/>
                <w:color w:val="auto"/>
              </w:rPr>
              <w:t>Reports by Trustee to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060" w:type="dxa"/>
            <w:vAlign w:val="bottom"/>
          </w:tcPr>
          <w:p>
            <w:pPr>
              <w:ind w:left="100"/>
              <w:spacing w:after="0"/>
              <w:rPr>
                <w:sz w:val="20"/>
                <w:szCs w:val="20"/>
                <w:color w:val="auto"/>
              </w:rPr>
            </w:pPr>
            <w:r>
              <w:rPr>
                <w:rFonts w:ascii="Arial" w:cs="Arial" w:eastAsia="Arial" w:hAnsi="Arial"/>
                <w:sz w:val="18"/>
                <w:szCs w:val="18"/>
                <w:color w:val="auto"/>
              </w:rPr>
              <w:t>Compensation and Indemnity</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060" w:type="dxa"/>
            <w:vAlign w:val="bottom"/>
          </w:tcPr>
          <w:p>
            <w:pPr>
              <w:ind w:left="100"/>
              <w:spacing w:after="0"/>
              <w:rPr>
                <w:sz w:val="20"/>
                <w:szCs w:val="20"/>
                <w:color w:val="auto"/>
              </w:rPr>
            </w:pPr>
            <w:r>
              <w:rPr>
                <w:rFonts w:ascii="Arial" w:cs="Arial" w:eastAsia="Arial" w:hAnsi="Arial"/>
                <w:sz w:val="18"/>
                <w:szCs w:val="18"/>
                <w:color w:val="auto"/>
              </w:rPr>
              <w:t>Replacement of Trustee</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060" w:type="dxa"/>
            <w:vAlign w:val="bottom"/>
          </w:tcPr>
          <w:p>
            <w:pPr>
              <w:ind w:left="100"/>
              <w:spacing w:after="0"/>
              <w:rPr>
                <w:sz w:val="20"/>
                <w:szCs w:val="20"/>
                <w:color w:val="auto"/>
              </w:rPr>
            </w:pPr>
            <w:r>
              <w:rPr>
                <w:rFonts w:ascii="Arial" w:cs="Arial" w:eastAsia="Arial" w:hAnsi="Arial"/>
                <w:sz w:val="18"/>
                <w:szCs w:val="18"/>
                <w:color w:val="auto"/>
              </w:rPr>
              <w:t>Successor Trustee by Merger, Etc.</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7.10.</w:t>
            </w:r>
          </w:p>
        </w:tc>
        <w:tc>
          <w:tcPr>
            <w:tcW w:w="706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7.11.</w:t>
            </w:r>
          </w:p>
        </w:tc>
        <w:tc>
          <w:tcPr>
            <w:tcW w:w="7060" w:type="dxa"/>
            <w:vAlign w:val="bottom"/>
          </w:tcPr>
          <w:p>
            <w:pPr>
              <w:ind w:left="100"/>
              <w:spacing w:after="0"/>
              <w:rPr>
                <w:sz w:val="20"/>
                <w:szCs w:val="20"/>
                <w:color w:val="auto"/>
              </w:rPr>
            </w:pPr>
            <w:r>
              <w:rPr>
                <w:rFonts w:ascii="Arial" w:cs="Arial" w:eastAsia="Arial" w:hAnsi="Arial"/>
                <w:sz w:val="18"/>
                <w:szCs w:val="18"/>
                <w:color w:val="auto"/>
              </w:rPr>
              <w:t>Preferential Collection of Claims Against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3"/>
        </w:trPr>
        <w:tc>
          <w:tcPr>
            <w:tcW w:w="848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06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060" w:type="dxa"/>
            <w:vAlign w:val="bottom"/>
          </w:tcPr>
          <w:p>
            <w:pPr>
              <w:ind w:left="100"/>
              <w:spacing w:after="0"/>
              <w:rPr>
                <w:sz w:val="20"/>
                <w:szCs w:val="20"/>
                <w:color w:val="auto"/>
              </w:rPr>
            </w:pPr>
            <w:r>
              <w:rPr>
                <w:rFonts w:ascii="Arial" w:cs="Arial" w:eastAsia="Arial" w:hAnsi="Arial"/>
                <w:sz w:val="18"/>
                <w:szCs w:val="18"/>
                <w:color w:val="auto"/>
              </w:rPr>
              <w:t>Application of Trust Funds; Indemnification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060" w:type="dxa"/>
            <w:vAlign w:val="bottom"/>
          </w:tcPr>
          <w:p>
            <w:pPr>
              <w:ind w:left="100"/>
              <w:spacing w:after="0"/>
              <w:rPr>
                <w:sz w:val="20"/>
                <w:szCs w:val="20"/>
                <w:color w:val="auto"/>
              </w:rPr>
            </w:pPr>
            <w:r>
              <w:rPr>
                <w:rFonts w:ascii="Arial" w:cs="Arial" w:eastAsia="Arial" w:hAnsi="Arial"/>
                <w:sz w:val="18"/>
                <w:szCs w:val="18"/>
                <w:color w:val="auto"/>
              </w:rPr>
              <w:t>Legal Defeasance of Securities of any Series</w:t>
            </w: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060" w:type="dxa"/>
            <w:vAlign w:val="bottom"/>
          </w:tcPr>
          <w:p>
            <w:pPr>
              <w:ind w:left="100"/>
              <w:spacing w:after="0"/>
              <w:rPr>
                <w:sz w:val="20"/>
                <w:szCs w:val="20"/>
                <w:color w:val="auto"/>
              </w:rPr>
            </w:pPr>
            <w:r>
              <w:rPr>
                <w:rFonts w:ascii="Arial" w:cs="Arial" w:eastAsia="Arial" w:hAnsi="Arial"/>
                <w:sz w:val="18"/>
                <w:szCs w:val="18"/>
                <w:color w:val="auto"/>
              </w:rPr>
              <w:t>Covenant Defeasance</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706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706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3"/>
        </w:trPr>
        <w:tc>
          <w:tcPr>
            <w:tcW w:w="848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060" w:type="dxa"/>
            <w:vAlign w:val="bottom"/>
          </w:tcPr>
          <w:p>
            <w:pPr>
              <w:ind w:left="100"/>
              <w:spacing w:after="0"/>
              <w:rPr>
                <w:sz w:val="20"/>
                <w:szCs w:val="20"/>
                <w:color w:val="auto"/>
              </w:rPr>
            </w:pPr>
            <w:r>
              <w:rPr>
                <w:rFonts w:ascii="Arial" w:cs="Arial" w:eastAsia="Arial" w:hAnsi="Arial"/>
                <w:sz w:val="18"/>
                <w:szCs w:val="18"/>
                <w:color w:val="auto"/>
              </w:rPr>
              <w:t>Without Consent of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060" w:type="dxa"/>
            <w:vAlign w:val="bottom"/>
          </w:tcPr>
          <w:p>
            <w:pPr>
              <w:ind w:left="100"/>
              <w:spacing w:after="0"/>
              <w:rPr>
                <w:sz w:val="20"/>
                <w:szCs w:val="20"/>
                <w:color w:val="auto"/>
              </w:rPr>
            </w:pPr>
            <w:r>
              <w:rPr>
                <w:rFonts w:ascii="Arial" w:cs="Arial" w:eastAsia="Arial" w:hAnsi="Arial"/>
                <w:sz w:val="18"/>
                <w:szCs w:val="18"/>
                <w:color w:val="auto"/>
              </w:rPr>
              <w:t>With Consent of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060" w:type="dxa"/>
            <w:vAlign w:val="bottom"/>
          </w:tcPr>
          <w:p>
            <w:pPr>
              <w:ind w:left="100"/>
              <w:spacing w:after="0"/>
              <w:rPr>
                <w:sz w:val="20"/>
                <w:szCs w:val="20"/>
                <w:color w:val="auto"/>
              </w:rPr>
            </w:pPr>
            <w:r>
              <w:rPr>
                <w:rFonts w:ascii="Arial" w:cs="Arial" w:eastAsia="Arial" w:hAnsi="Arial"/>
                <w:sz w:val="18"/>
                <w:szCs w:val="18"/>
                <w:color w:val="auto"/>
              </w:rPr>
              <w:t>Limitations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060" w:type="dxa"/>
            <w:vAlign w:val="bottom"/>
          </w:tcPr>
          <w:p>
            <w:pPr>
              <w:ind w:left="100"/>
              <w:spacing w:after="0"/>
              <w:rPr>
                <w:sz w:val="20"/>
                <w:szCs w:val="20"/>
                <w:color w:val="auto"/>
              </w:rPr>
            </w:pPr>
            <w:r>
              <w:rPr>
                <w:rFonts w:ascii="Arial" w:cs="Arial" w:eastAsia="Arial" w:hAnsi="Arial"/>
                <w:sz w:val="18"/>
                <w:szCs w:val="18"/>
                <w:color w:val="auto"/>
              </w:rPr>
              <w:t>Compliance with Trust Indenture Act</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06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060" w:type="dxa"/>
            <w:vAlign w:val="bottom"/>
          </w:tcPr>
          <w:p>
            <w:pPr>
              <w:ind w:left="100"/>
              <w:spacing w:after="0"/>
              <w:rPr>
                <w:sz w:val="20"/>
                <w:szCs w:val="20"/>
                <w:color w:val="auto"/>
              </w:rPr>
            </w:pPr>
            <w:r>
              <w:rPr>
                <w:rFonts w:ascii="Arial" w:cs="Arial" w:eastAsia="Arial" w:hAnsi="Arial"/>
                <w:sz w:val="18"/>
                <w:szCs w:val="18"/>
                <w:color w:val="auto"/>
              </w:rPr>
              <w:t>Notation on or Exchange of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060" w:type="dxa"/>
            <w:vAlign w:val="bottom"/>
          </w:tcPr>
          <w:p>
            <w:pPr>
              <w:ind w:left="100"/>
              <w:spacing w:after="0"/>
              <w:rPr>
                <w:sz w:val="20"/>
                <w:szCs w:val="20"/>
                <w:color w:val="auto"/>
              </w:rPr>
            </w:pPr>
            <w:r>
              <w:rPr>
                <w:rFonts w:ascii="Arial" w:cs="Arial" w:eastAsia="Arial" w:hAnsi="Arial"/>
                <w:sz w:val="18"/>
                <w:szCs w:val="18"/>
                <w:color w:val="auto"/>
              </w:rPr>
              <w:t>Trustee Protected</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9"/>
        </w:trPr>
        <w:tc>
          <w:tcPr>
            <w:tcW w:w="836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6900" w:type="dxa"/>
            <w:vAlign w:val="bottom"/>
          </w:tcPr>
          <w:p>
            <w:pPr>
              <w:ind w:left="60"/>
              <w:spacing w:after="0"/>
              <w:rPr>
                <w:sz w:val="20"/>
                <w:szCs w:val="20"/>
                <w:color w:val="auto"/>
              </w:rPr>
            </w:pPr>
            <w:r>
              <w:rPr>
                <w:rFonts w:ascii="Arial" w:cs="Arial" w:eastAsia="Arial" w:hAnsi="Arial"/>
                <w:sz w:val="18"/>
                <w:szCs w:val="18"/>
                <w:color w:val="auto"/>
              </w:rPr>
              <w:t>Trust Indenture Act Controls</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6900" w:type="dxa"/>
            <w:vAlign w:val="bottom"/>
          </w:tcPr>
          <w:p>
            <w:pPr>
              <w:ind w:left="60"/>
              <w:spacing w:after="0"/>
              <w:rPr>
                <w:sz w:val="20"/>
                <w:szCs w:val="20"/>
                <w:color w:val="auto"/>
              </w:rPr>
            </w:pPr>
            <w:r>
              <w:rPr>
                <w:rFonts w:ascii="Arial" w:cs="Arial" w:eastAsia="Arial" w:hAnsi="Arial"/>
                <w:sz w:val="18"/>
                <w:szCs w:val="18"/>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6900" w:type="dxa"/>
            <w:vAlign w:val="bottom"/>
          </w:tcPr>
          <w:p>
            <w:pPr>
              <w:ind w:left="60"/>
              <w:spacing w:after="0"/>
              <w:rPr>
                <w:sz w:val="20"/>
                <w:szCs w:val="20"/>
                <w:color w:val="auto"/>
              </w:rPr>
            </w:pPr>
            <w:r>
              <w:rPr>
                <w:rFonts w:ascii="Arial" w:cs="Arial" w:eastAsia="Arial" w:hAnsi="Arial"/>
                <w:sz w:val="18"/>
                <w:szCs w:val="18"/>
                <w:color w:val="auto"/>
              </w:rPr>
              <w:t>Communication by Holders with Other 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6900" w:type="dxa"/>
            <w:vAlign w:val="bottom"/>
          </w:tcPr>
          <w:p>
            <w:pPr>
              <w:ind w:left="60"/>
              <w:spacing w:after="0"/>
              <w:rPr>
                <w:sz w:val="20"/>
                <w:szCs w:val="20"/>
                <w:color w:val="auto"/>
              </w:rPr>
            </w:pPr>
            <w:r>
              <w:rPr>
                <w:rFonts w:ascii="Arial" w:cs="Arial" w:eastAsia="Arial" w:hAnsi="Arial"/>
                <w:sz w:val="18"/>
                <w:szCs w:val="18"/>
                <w:color w:val="auto"/>
              </w:rPr>
              <w:t>Certificate and Opinion as to Conditions Precedent</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6900" w:type="dxa"/>
            <w:vAlign w:val="bottom"/>
          </w:tcPr>
          <w:p>
            <w:pPr>
              <w:ind w:left="60"/>
              <w:spacing w:after="0"/>
              <w:rPr>
                <w:sz w:val="20"/>
                <w:szCs w:val="20"/>
                <w:color w:val="auto"/>
              </w:rPr>
            </w:pPr>
            <w:r>
              <w:rPr>
                <w:rFonts w:ascii="Arial" w:cs="Arial" w:eastAsia="Arial" w:hAnsi="Arial"/>
                <w:sz w:val="18"/>
                <w:szCs w:val="18"/>
                <w:color w:val="auto"/>
              </w:rPr>
              <w:t>Statements Required in Certificate or Opinion</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6900" w:type="dxa"/>
            <w:vAlign w:val="bottom"/>
          </w:tcPr>
          <w:p>
            <w:pPr>
              <w:ind w:left="60"/>
              <w:spacing w:after="0"/>
              <w:rPr>
                <w:sz w:val="20"/>
                <w:szCs w:val="20"/>
                <w:color w:val="auto"/>
              </w:rPr>
            </w:pPr>
            <w:r>
              <w:rPr>
                <w:rFonts w:ascii="Arial" w:cs="Arial" w:eastAsia="Arial" w:hAnsi="Arial"/>
                <w:sz w:val="18"/>
                <w:szCs w:val="18"/>
                <w:color w:val="auto"/>
              </w:rPr>
              <w:t>Rules by Trustee and Agents</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6900" w:type="dxa"/>
            <w:vAlign w:val="bottom"/>
          </w:tcPr>
          <w:p>
            <w:pPr>
              <w:ind w:left="60"/>
              <w:spacing w:after="0"/>
              <w:rPr>
                <w:sz w:val="20"/>
                <w:szCs w:val="20"/>
                <w:color w:val="auto"/>
              </w:rPr>
            </w:pPr>
            <w:r>
              <w:rPr>
                <w:rFonts w:ascii="Arial" w:cs="Arial" w:eastAsia="Arial" w:hAnsi="Arial"/>
                <w:sz w:val="18"/>
                <w:szCs w:val="18"/>
                <w:color w:val="auto"/>
              </w:rPr>
              <w:t>Legal Holidays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6900" w:type="dxa"/>
            <w:vAlign w:val="bottom"/>
          </w:tcPr>
          <w:p>
            <w:pPr>
              <w:ind w:left="60"/>
              <w:spacing w:after="0"/>
              <w:rPr>
                <w:sz w:val="20"/>
                <w:szCs w:val="20"/>
                <w:color w:val="auto"/>
              </w:rPr>
            </w:pPr>
            <w:r>
              <w:rPr>
                <w:rFonts w:ascii="Arial" w:cs="Arial" w:eastAsia="Arial" w:hAnsi="Arial"/>
                <w:sz w:val="18"/>
                <w:szCs w:val="18"/>
                <w:color w:val="auto"/>
              </w:rPr>
              <w:t>No Recourse Against Others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69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10.10.</w:t>
            </w:r>
          </w:p>
        </w:tc>
        <w:tc>
          <w:tcPr>
            <w:tcW w:w="6900" w:type="dxa"/>
            <w:vAlign w:val="bottom"/>
          </w:tcPr>
          <w:p>
            <w:pPr>
              <w:ind w:left="60"/>
              <w:spacing w:after="0"/>
              <w:rPr>
                <w:sz w:val="20"/>
                <w:szCs w:val="20"/>
                <w:color w:val="auto"/>
              </w:rPr>
            </w:pPr>
            <w:r>
              <w:rPr>
                <w:rFonts w:ascii="Arial" w:cs="Arial" w:eastAsia="Arial" w:hAnsi="Arial"/>
                <w:sz w:val="18"/>
                <w:szCs w:val="18"/>
                <w:color w:val="auto"/>
              </w:rPr>
              <w:t>Governing Law; Waiver of Jury Trial; Consent to Jurisdiction</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10.11.</w:t>
            </w:r>
          </w:p>
        </w:tc>
        <w:tc>
          <w:tcPr>
            <w:tcW w:w="6900" w:type="dxa"/>
            <w:vAlign w:val="bottom"/>
          </w:tcPr>
          <w:p>
            <w:pPr>
              <w:ind w:left="60"/>
              <w:spacing w:after="0"/>
              <w:rPr>
                <w:sz w:val="20"/>
                <w:szCs w:val="20"/>
                <w:color w:val="auto"/>
              </w:rPr>
            </w:pPr>
            <w:r>
              <w:rPr>
                <w:rFonts w:ascii="Arial" w:cs="Arial" w:eastAsia="Arial" w:hAnsi="Arial"/>
                <w:sz w:val="18"/>
                <w:szCs w:val="18"/>
                <w:color w:val="auto"/>
              </w:rPr>
              <w:t>No Adverse Interpretation of Other Agreements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10.12.</w:t>
            </w:r>
          </w:p>
        </w:tc>
        <w:tc>
          <w:tcPr>
            <w:tcW w:w="6900" w:type="dxa"/>
            <w:vAlign w:val="bottom"/>
          </w:tcPr>
          <w:p>
            <w:pPr>
              <w:ind w:left="60"/>
              <w:spacing w:after="0"/>
              <w:rPr>
                <w:sz w:val="20"/>
                <w:szCs w:val="20"/>
                <w:color w:val="auto"/>
              </w:rPr>
            </w:pPr>
            <w:r>
              <w:rPr>
                <w:rFonts w:ascii="Arial" w:cs="Arial" w:eastAsia="Arial" w:hAnsi="Arial"/>
                <w:sz w:val="18"/>
                <w:szCs w:val="18"/>
                <w:color w:val="auto"/>
              </w:rPr>
              <w:t>Successors</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10.13.</w:t>
            </w:r>
          </w:p>
        </w:tc>
        <w:tc>
          <w:tcPr>
            <w:tcW w:w="69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10.14.</w:t>
            </w:r>
          </w:p>
        </w:tc>
        <w:tc>
          <w:tcPr>
            <w:tcW w:w="6900" w:type="dxa"/>
            <w:vAlign w:val="bottom"/>
          </w:tcPr>
          <w:p>
            <w:pPr>
              <w:ind w:left="60"/>
              <w:spacing w:after="0"/>
              <w:rPr>
                <w:sz w:val="20"/>
                <w:szCs w:val="20"/>
                <w:color w:val="auto"/>
              </w:rPr>
            </w:pPr>
            <w:r>
              <w:rPr>
                <w:rFonts w:ascii="Arial" w:cs="Arial" w:eastAsia="Arial" w:hAnsi="Arial"/>
                <w:sz w:val="18"/>
                <w:szCs w:val="18"/>
                <w:color w:val="auto"/>
              </w:rPr>
              <w:t>Table of Contents, Headings, Etc.</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10.15.</w:t>
            </w:r>
          </w:p>
        </w:tc>
        <w:tc>
          <w:tcPr>
            <w:tcW w:w="6900" w:type="dxa"/>
            <w:vAlign w:val="bottom"/>
          </w:tcPr>
          <w:p>
            <w:pPr>
              <w:ind w:left="60"/>
              <w:spacing w:after="0"/>
              <w:rPr>
                <w:sz w:val="20"/>
                <w:szCs w:val="20"/>
                <w:color w:val="auto"/>
              </w:rPr>
            </w:pPr>
            <w:r>
              <w:rPr>
                <w:rFonts w:ascii="Arial" w:cs="Arial" w:eastAsia="Arial" w:hAnsi="Arial"/>
                <w:sz w:val="18"/>
                <w:szCs w:val="18"/>
                <w:color w:val="auto"/>
              </w:rPr>
              <w:t>Securities in a Foreign Currency</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10.16.</w:t>
            </w:r>
          </w:p>
        </w:tc>
        <w:tc>
          <w:tcPr>
            <w:tcW w:w="6900" w:type="dxa"/>
            <w:vAlign w:val="bottom"/>
          </w:tcPr>
          <w:p>
            <w:pPr>
              <w:ind w:left="60"/>
              <w:spacing w:after="0"/>
              <w:rPr>
                <w:sz w:val="20"/>
                <w:szCs w:val="20"/>
                <w:color w:val="auto"/>
              </w:rPr>
            </w:pPr>
            <w:r>
              <w:rPr>
                <w:rFonts w:ascii="Arial" w:cs="Arial" w:eastAsia="Arial" w:hAnsi="Arial"/>
                <w:sz w:val="18"/>
                <w:szCs w:val="18"/>
                <w:color w:val="auto"/>
              </w:rPr>
              <w:t>Judgment Currency</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10.17.</w:t>
            </w:r>
          </w:p>
        </w:tc>
        <w:tc>
          <w:tcPr>
            <w:tcW w:w="690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10.18.</w:t>
            </w:r>
          </w:p>
        </w:tc>
        <w:tc>
          <w:tcPr>
            <w:tcW w:w="6900" w:type="dxa"/>
            <w:vAlign w:val="bottom"/>
          </w:tcPr>
          <w:p>
            <w:pPr>
              <w:ind w:left="60"/>
              <w:spacing w:after="0"/>
              <w:rPr>
                <w:sz w:val="20"/>
                <w:szCs w:val="20"/>
                <w:color w:val="auto"/>
              </w:rPr>
            </w:pPr>
            <w:r>
              <w:rPr>
                <w:rFonts w:ascii="Arial" w:cs="Arial" w:eastAsia="Arial" w:hAnsi="Arial"/>
                <w:sz w:val="18"/>
                <w:szCs w:val="18"/>
                <w:color w:val="auto"/>
              </w:rPr>
              <w:t>U.S.A. Patriot Act</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3"/>
        </w:trPr>
        <w:tc>
          <w:tcPr>
            <w:tcW w:w="836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900" w:type="dxa"/>
            <w:vAlign w:val="bottom"/>
          </w:tcPr>
          <w:p>
            <w:pPr>
              <w:ind w:left="60"/>
              <w:spacing w:after="0"/>
              <w:rPr>
                <w:sz w:val="20"/>
                <w:szCs w:val="20"/>
                <w:color w:val="auto"/>
              </w:rPr>
            </w:pPr>
            <w:r>
              <w:rPr>
                <w:rFonts w:ascii="Arial" w:cs="Arial" w:eastAsia="Arial" w:hAnsi="Arial"/>
                <w:sz w:val="18"/>
                <w:szCs w:val="18"/>
                <w:color w:val="auto"/>
              </w:rPr>
              <w:t>Applicability of Article</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900" w:type="dxa"/>
            <w:vAlign w:val="bottom"/>
          </w:tcPr>
          <w:p>
            <w:pPr>
              <w:ind w:left="60"/>
              <w:spacing w:after="0"/>
              <w:rPr>
                <w:sz w:val="20"/>
                <w:szCs w:val="20"/>
                <w:color w:val="auto"/>
              </w:rPr>
            </w:pPr>
            <w:r>
              <w:rPr>
                <w:rFonts w:ascii="Arial" w:cs="Arial" w:eastAsia="Arial" w:hAnsi="Arial"/>
                <w:sz w:val="18"/>
                <w:szCs w:val="18"/>
                <w:color w:val="auto"/>
              </w:rPr>
              <w:t>Satisfaction of Sinking Fund Payments with Securities</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6900" w:type="dxa"/>
            <w:vAlign w:val="bottom"/>
          </w:tcPr>
          <w:p>
            <w:pPr>
              <w:ind w:left="60"/>
              <w:spacing w:after="0"/>
              <w:rPr>
                <w:sz w:val="20"/>
                <w:szCs w:val="20"/>
                <w:color w:val="auto"/>
              </w:rPr>
            </w:pPr>
            <w:r>
              <w:rPr>
                <w:rFonts w:ascii="Arial" w:cs="Arial" w:eastAsia="Arial" w:hAnsi="Arial"/>
                <w:sz w:val="18"/>
                <w:szCs w:val="18"/>
                <w:color w:val="auto"/>
              </w:rPr>
              <w:t>Redemption of Securities for Sinking Fund</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382" w:right="499" w:bottom="1440" w:gutter="0" w:footer="0" w:header="0"/>
        </w:sectPr>
      </w:pPr>
    </w:p>
    <w:bookmarkStart w:id="101" w:name="page102"/>
    <w:bookmarkEnd w:id="101"/>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4D MOLECULAR THERAPEUTICS, INC.</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Reconciliation and tie between Trust Indenture Act of 1939 and</w:t>
      </w:r>
    </w:p>
    <w:tbl>
      <w:tblPr>
        <w:tblLayout w:type="fixed"/>
        <w:tblInd w:w="440" w:type="dxa"/>
        <w:tblCellMar>
          <w:top w:w="0" w:type="dxa"/>
          <w:left w:w="0" w:type="dxa"/>
          <w:bottom w:w="0" w:type="dxa"/>
          <w:right w:w="0" w:type="dxa"/>
        </w:tblCellMar>
      </w:tblPr>
      <w:tr>
        <w:trPr>
          <w:trHeight w:val="199"/>
        </w:trPr>
        <w:tc>
          <w:tcPr>
            <w:tcW w:w="5200" w:type="dxa"/>
            <w:vAlign w:val="bottom"/>
          </w:tcPr>
          <w:p>
            <w:pPr>
              <w:jc w:val="right"/>
              <w:spacing w:after="0" w:line="199" w:lineRule="exact"/>
              <w:rPr>
                <w:sz w:val="20"/>
                <w:szCs w:val="20"/>
                <w:color w:val="auto"/>
              </w:rPr>
            </w:pPr>
            <w:r>
              <w:rPr>
                <w:rFonts w:ascii="Arial" w:cs="Arial" w:eastAsia="Arial" w:hAnsi="Arial"/>
                <w:sz w:val="18"/>
                <w:szCs w:val="18"/>
                <w:color w:val="auto"/>
              </w:rPr>
              <w:t>Indenture, dated as of</w:t>
            </w:r>
          </w:p>
        </w:tc>
        <w:tc>
          <w:tcPr>
            <w:tcW w:w="5040" w:type="dxa"/>
            <w:vAlign w:val="bottom"/>
            <w:gridSpan w:val="2"/>
          </w:tcPr>
          <w:p>
            <w:pPr>
              <w:jc w:val="right"/>
              <w:ind w:right="3610"/>
              <w:spacing w:after="0" w:line="199" w:lineRule="exact"/>
              <w:rPr>
                <w:sz w:val="20"/>
                <w:szCs w:val="20"/>
                <w:color w:val="auto"/>
              </w:rPr>
            </w:pPr>
            <w:r>
              <w:rPr>
                <w:rFonts w:ascii="Arial" w:cs="Arial" w:eastAsia="Arial" w:hAnsi="Arial"/>
                <w:sz w:val="18"/>
                <w:szCs w:val="18"/>
                <w:color w:val="auto"/>
              </w:rPr>
              <w:t>, 20__</w:t>
            </w:r>
          </w:p>
        </w:tc>
      </w:tr>
      <w:tr>
        <w:trPr>
          <w:trHeight w:val="465"/>
        </w:trPr>
        <w:tc>
          <w:tcPr>
            <w:tcW w:w="5200" w:type="dxa"/>
            <w:vAlign w:val="bottom"/>
          </w:tcPr>
          <w:p>
            <w:pPr>
              <w:jc w:val="right"/>
              <w:ind w:right="4330"/>
              <w:spacing w:after="0"/>
              <w:rPr>
                <w:sz w:val="20"/>
                <w:szCs w:val="20"/>
                <w:color w:val="auto"/>
              </w:rPr>
            </w:pPr>
            <w:r>
              <w:rPr>
                <w:rFonts w:ascii="Arial" w:cs="Arial" w:eastAsia="Arial" w:hAnsi="Arial"/>
                <w:sz w:val="18"/>
                <w:szCs w:val="18"/>
                <w:color w:val="auto"/>
                <w:w w:val="90"/>
              </w:rPr>
              <w:t>§310(a)(1)</w:t>
            </w:r>
          </w:p>
        </w:tc>
        <w:tc>
          <w:tcPr>
            <w:tcW w:w="900" w:type="dxa"/>
            <w:vAlign w:val="bottom"/>
            <w:tcBorders>
              <w:top w:val="single" w:sz="8" w:color="auto"/>
            </w:tcBorders>
          </w:tcPr>
          <w:p>
            <w:pPr>
              <w:spacing w:after="0"/>
              <w:rPr>
                <w:sz w:val="24"/>
                <w:szCs w:val="24"/>
                <w:color w:val="auto"/>
              </w:rPr>
            </w:pPr>
          </w:p>
        </w:tc>
        <w:tc>
          <w:tcPr>
            <w:tcW w:w="4140" w:type="dxa"/>
            <w:vAlign w:val="bottom"/>
          </w:tcPr>
          <w:p>
            <w:pPr>
              <w:ind w:left="3040"/>
              <w:spacing w:after="0"/>
              <w:rPr>
                <w:sz w:val="20"/>
                <w:szCs w:val="20"/>
                <w:color w:val="auto"/>
              </w:rPr>
            </w:pPr>
            <w:r>
              <w:rPr>
                <w:rFonts w:ascii="Arial" w:cs="Arial" w:eastAsia="Arial" w:hAnsi="Arial"/>
                <w:sz w:val="18"/>
                <w:szCs w:val="18"/>
                <w:color w:val="auto"/>
              </w:rPr>
              <w:t>7.10</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(a)(2)</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7.10</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(a)(3)</w:t>
            </w:r>
          </w:p>
        </w:tc>
        <w:tc>
          <w:tcPr>
            <w:tcW w:w="900" w:type="dxa"/>
            <w:vAlign w:val="bottom"/>
          </w:tcPr>
          <w:p>
            <w:pPr>
              <w:spacing w:after="0"/>
              <w:rPr>
                <w:sz w:val="18"/>
                <w:szCs w:val="18"/>
                <w:color w:val="auto"/>
              </w:rPr>
            </w:pPr>
          </w:p>
        </w:tc>
        <w:tc>
          <w:tcPr>
            <w:tcW w:w="4140" w:type="dxa"/>
            <w:vAlign w:val="bottom"/>
          </w:tcPr>
          <w:p>
            <w:pPr>
              <w:ind w:left="3040"/>
              <w:spacing w:after="0"/>
              <w:rPr>
                <w:sz w:val="20"/>
                <w:szCs w:val="20"/>
                <w:color w:val="auto"/>
              </w:rPr>
            </w:pPr>
            <w:r>
              <w:rPr>
                <w:rFonts w:ascii="Arial" w:cs="Arial" w:eastAsia="Arial" w:hAnsi="Arial"/>
                <w:sz w:val="18"/>
                <w:szCs w:val="18"/>
                <w:color w:val="auto"/>
                <w:w w:val="93"/>
              </w:rPr>
              <w:t>Not Applicable</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(a)(4)</w:t>
            </w:r>
          </w:p>
        </w:tc>
        <w:tc>
          <w:tcPr>
            <w:tcW w:w="900" w:type="dxa"/>
            <w:vAlign w:val="bottom"/>
          </w:tcPr>
          <w:p>
            <w:pPr>
              <w:spacing w:after="0"/>
              <w:rPr>
                <w:sz w:val="18"/>
                <w:szCs w:val="18"/>
                <w:color w:val="auto"/>
              </w:rPr>
            </w:pPr>
          </w:p>
        </w:tc>
        <w:tc>
          <w:tcPr>
            <w:tcW w:w="4140" w:type="dxa"/>
            <w:vAlign w:val="bottom"/>
          </w:tcPr>
          <w:p>
            <w:pPr>
              <w:ind w:left="3040"/>
              <w:spacing w:after="0"/>
              <w:rPr>
                <w:sz w:val="20"/>
                <w:szCs w:val="20"/>
                <w:color w:val="auto"/>
              </w:rPr>
            </w:pPr>
            <w:r>
              <w:rPr>
                <w:rFonts w:ascii="Arial" w:cs="Arial" w:eastAsia="Arial" w:hAnsi="Arial"/>
                <w:sz w:val="18"/>
                <w:szCs w:val="18"/>
                <w:color w:val="auto"/>
                <w:w w:val="93"/>
              </w:rPr>
              <w:t>Not Applicable</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(a)(5)</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7.10</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7.10</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 311(a)</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7.11</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7.11</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18"/>
                <w:szCs w:val="18"/>
                <w:color w:val="auto"/>
              </w:rPr>
            </w:pPr>
          </w:p>
        </w:tc>
        <w:tc>
          <w:tcPr>
            <w:tcW w:w="4140" w:type="dxa"/>
            <w:vAlign w:val="bottom"/>
          </w:tcPr>
          <w:p>
            <w:pPr>
              <w:ind w:left="3040"/>
              <w:spacing w:after="0"/>
              <w:rPr>
                <w:sz w:val="20"/>
                <w:szCs w:val="20"/>
                <w:color w:val="auto"/>
              </w:rPr>
            </w:pPr>
            <w:r>
              <w:rPr>
                <w:rFonts w:ascii="Arial" w:cs="Arial" w:eastAsia="Arial" w:hAnsi="Arial"/>
                <w:sz w:val="18"/>
                <w:szCs w:val="18"/>
                <w:color w:val="auto"/>
                <w:w w:val="93"/>
              </w:rPr>
              <w:t>Not Applicable</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 312(a)</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2.6</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10.3</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(c)</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10.3</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 313(a)</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7.6</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(b)(1)</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7.6</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(b)(2)</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7.6</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(c)(1)</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7.6</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(d)</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7.6</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 314(a)</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4.2, 10.5</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w:t>
            </w:r>
          </w:p>
        </w:tc>
        <w:tc>
          <w:tcPr>
            <w:tcW w:w="900" w:type="dxa"/>
            <w:vAlign w:val="bottom"/>
          </w:tcPr>
          <w:p>
            <w:pPr>
              <w:spacing w:after="0"/>
              <w:rPr>
                <w:sz w:val="18"/>
                <w:szCs w:val="18"/>
                <w:color w:val="auto"/>
              </w:rPr>
            </w:pPr>
          </w:p>
        </w:tc>
        <w:tc>
          <w:tcPr>
            <w:tcW w:w="4140" w:type="dxa"/>
            <w:vAlign w:val="bottom"/>
          </w:tcPr>
          <w:p>
            <w:pPr>
              <w:ind w:left="3040"/>
              <w:spacing w:after="0"/>
              <w:rPr>
                <w:sz w:val="20"/>
                <w:szCs w:val="20"/>
                <w:color w:val="auto"/>
              </w:rPr>
            </w:pPr>
            <w:r>
              <w:rPr>
                <w:rFonts w:ascii="Arial" w:cs="Arial" w:eastAsia="Arial" w:hAnsi="Arial"/>
                <w:sz w:val="18"/>
                <w:szCs w:val="18"/>
                <w:color w:val="auto"/>
                <w:w w:val="93"/>
              </w:rPr>
              <w:t>Not Applicable</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(c)(1)</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10.4</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(c)(2)</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10.4</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(c)(3)</w:t>
            </w:r>
          </w:p>
        </w:tc>
        <w:tc>
          <w:tcPr>
            <w:tcW w:w="900" w:type="dxa"/>
            <w:vAlign w:val="bottom"/>
          </w:tcPr>
          <w:p>
            <w:pPr>
              <w:spacing w:after="0"/>
              <w:rPr>
                <w:sz w:val="18"/>
                <w:szCs w:val="18"/>
                <w:color w:val="auto"/>
              </w:rPr>
            </w:pPr>
          </w:p>
        </w:tc>
        <w:tc>
          <w:tcPr>
            <w:tcW w:w="4140" w:type="dxa"/>
            <w:vAlign w:val="bottom"/>
          </w:tcPr>
          <w:p>
            <w:pPr>
              <w:ind w:left="3040"/>
              <w:spacing w:after="0"/>
              <w:rPr>
                <w:sz w:val="20"/>
                <w:szCs w:val="20"/>
                <w:color w:val="auto"/>
              </w:rPr>
            </w:pPr>
            <w:r>
              <w:rPr>
                <w:rFonts w:ascii="Arial" w:cs="Arial" w:eastAsia="Arial" w:hAnsi="Arial"/>
                <w:sz w:val="18"/>
                <w:szCs w:val="18"/>
                <w:color w:val="auto"/>
                <w:w w:val="93"/>
              </w:rPr>
              <w:t>Not Applicable</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(d)</w:t>
            </w:r>
          </w:p>
        </w:tc>
        <w:tc>
          <w:tcPr>
            <w:tcW w:w="900" w:type="dxa"/>
            <w:vAlign w:val="bottom"/>
          </w:tcPr>
          <w:p>
            <w:pPr>
              <w:spacing w:after="0"/>
              <w:rPr>
                <w:sz w:val="18"/>
                <w:szCs w:val="18"/>
                <w:color w:val="auto"/>
              </w:rPr>
            </w:pPr>
          </w:p>
        </w:tc>
        <w:tc>
          <w:tcPr>
            <w:tcW w:w="4140" w:type="dxa"/>
            <w:vAlign w:val="bottom"/>
          </w:tcPr>
          <w:p>
            <w:pPr>
              <w:ind w:left="3040"/>
              <w:spacing w:after="0"/>
              <w:rPr>
                <w:sz w:val="20"/>
                <w:szCs w:val="20"/>
                <w:color w:val="auto"/>
              </w:rPr>
            </w:pPr>
            <w:r>
              <w:rPr>
                <w:rFonts w:ascii="Arial" w:cs="Arial" w:eastAsia="Arial" w:hAnsi="Arial"/>
                <w:sz w:val="18"/>
                <w:szCs w:val="18"/>
                <w:color w:val="auto"/>
                <w:w w:val="93"/>
              </w:rPr>
              <w:t>Not Applicable</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(e)</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10.5</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(f)</w:t>
            </w:r>
          </w:p>
        </w:tc>
        <w:tc>
          <w:tcPr>
            <w:tcW w:w="900" w:type="dxa"/>
            <w:vAlign w:val="bottom"/>
          </w:tcPr>
          <w:p>
            <w:pPr>
              <w:spacing w:after="0"/>
              <w:rPr>
                <w:sz w:val="18"/>
                <w:szCs w:val="18"/>
                <w:color w:val="auto"/>
              </w:rPr>
            </w:pPr>
          </w:p>
        </w:tc>
        <w:tc>
          <w:tcPr>
            <w:tcW w:w="4140" w:type="dxa"/>
            <w:vAlign w:val="bottom"/>
          </w:tcPr>
          <w:p>
            <w:pPr>
              <w:ind w:left="3040"/>
              <w:spacing w:after="0"/>
              <w:rPr>
                <w:sz w:val="20"/>
                <w:szCs w:val="20"/>
                <w:color w:val="auto"/>
              </w:rPr>
            </w:pPr>
            <w:r>
              <w:rPr>
                <w:rFonts w:ascii="Arial" w:cs="Arial" w:eastAsia="Arial" w:hAnsi="Arial"/>
                <w:sz w:val="18"/>
                <w:szCs w:val="18"/>
                <w:color w:val="auto"/>
                <w:w w:val="93"/>
              </w:rPr>
              <w:t>Not Applicable</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 315(a)</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7.1</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7.5</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(c)</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7.1</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(d)</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7.1</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(e)</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6.14</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 316(a)</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2.10</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(a)(1)(A)</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6.12</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(a)(1)(B)</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6.13</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6.8</w:t>
            </w:r>
          </w:p>
        </w:tc>
      </w:tr>
      <w:tr>
        <w:trPr>
          <w:trHeight w:val="230"/>
        </w:trPr>
        <w:tc>
          <w:tcPr>
            <w:tcW w:w="5200" w:type="dxa"/>
            <w:vAlign w:val="bottom"/>
          </w:tcPr>
          <w:p>
            <w:pPr>
              <w:jc w:val="right"/>
              <w:ind w:right="4330"/>
              <w:spacing w:after="0"/>
              <w:rPr>
                <w:sz w:val="20"/>
                <w:szCs w:val="20"/>
                <w:color w:val="auto"/>
              </w:rPr>
            </w:pPr>
            <w:r>
              <w:rPr>
                <w:rFonts w:ascii="Arial" w:cs="Arial" w:eastAsia="Arial" w:hAnsi="Arial"/>
                <w:sz w:val="18"/>
                <w:szCs w:val="18"/>
                <w:color w:val="auto"/>
                <w:w w:val="90"/>
              </w:rPr>
              <w:t>§317(a)(1)</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6.3</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(a)(2)</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6.4</w:t>
            </w:r>
          </w:p>
        </w:tc>
      </w:tr>
      <w:tr>
        <w:trPr>
          <w:trHeight w:val="216"/>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(b)</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2.5</w:t>
            </w:r>
          </w:p>
        </w:tc>
      </w:tr>
      <w:tr>
        <w:trPr>
          <w:trHeight w:val="230"/>
        </w:trPr>
        <w:tc>
          <w:tcPr>
            <w:tcW w:w="5200" w:type="dxa"/>
            <w:vAlign w:val="bottom"/>
          </w:tcPr>
          <w:p>
            <w:pPr>
              <w:jc w:val="right"/>
              <w:ind w:right="4330"/>
              <w:spacing w:after="0"/>
              <w:rPr>
                <w:sz w:val="20"/>
                <w:szCs w:val="20"/>
                <w:color w:val="auto"/>
              </w:rPr>
            </w:pPr>
            <w:r>
              <w:rPr>
                <w:rFonts w:ascii="Arial" w:cs="Arial" w:eastAsia="Arial" w:hAnsi="Arial"/>
                <w:sz w:val="18"/>
                <w:szCs w:val="18"/>
                <w:color w:val="auto"/>
              </w:rPr>
              <w:t>§ 318(a)</w:t>
            </w:r>
          </w:p>
        </w:tc>
        <w:tc>
          <w:tcPr>
            <w:tcW w:w="5040" w:type="dxa"/>
            <w:vAlign w:val="bottom"/>
            <w:gridSpan w:val="2"/>
          </w:tcPr>
          <w:p>
            <w:pPr>
              <w:ind w:left="394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771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80"/>
          </w:cols>
          <w:pgMar w:left="440" w:top="274" w:right="779" w:bottom="1440" w:gutter="0" w:footer="0" w:header="0"/>
        </w:sectPr>
      </w:pPr>
    </w:p>
    <w:bookmarkStart w:id="102" w:name="page103"/>
    <w:bookmarkEnd w:id="10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__________, 20__ between 4D Molecular Therapeutics, Inc., a company incorporated under the laws of Delaware</w:t>
      </w:r>
    </w:p>
    <w:p>
      <w:pPr>
        <w:spacing w:after="0" w:line="46"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and [</w:t>
      </w:r>
      <w:r>
        <w:rPr>
          <w:sz w:val="20"/>
          <w:szCs w:val="20"/>
          <w:color w:val="auto"/>
        </w:rPr>
        <w:tab/>
      </w:r>
      <w:r>
        <w:rPr>
          <w:rFonts w:ascii="Arial" w:cs="Arial" w:eastAsia="Arial" w:hAnsi="Arial"/>
          <w:sz w:val="17"/>
          <w:szCs w:val="17"/>
          <w:color w:val="auto"/>
        </w:rPr>
        <w:t>]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21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means any and all shares, interests, participations, rights or other equivalents (however designated) of corporate stock.</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ectPr>
          <w:pgSz w:w="11900" w:h="16838" w:orient="portrait"/>
          <w:cols w:equalWidth="0" w:num="1">
            <w:col w:w="11000"/>
          </w:cols>
          <w:pgMar w:left="440" w:top="274" w:right="459" w:bottom="1440" w:gutter="0" w:footer="0" w:header="0"/>
        </w:sectPr>
      </w:pPr>
    </w:p>
    <w:bookmarkStart w:id="103" w:name="page104"/>
    <w:bookmarkEnd w:id="103"/>
    <w:p>
      <w:pPr>
        <w:ind w:right="6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ind w:right="20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Government Obligations</w:t>
      </w:r>
      <w:r>
        <w:rPr>
          <w:rFonts w:ascii="Arial" w:cs="Arial" w:eastAsia="Arial" w:hAnsi="Arial"/>
          <w:sz w:val="17"/>
          <w:szCs w:val="17"/>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the United States of America set forth in the opinions and pronouncements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104" w:name="page105"/>
    <w:bookmarkEnd w:id="10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interest</w:t>
      </w:r>
      <w:r>
        <w:rPr>
          <w:rFonts w:ascii="Arial" w:cs="Arial" w:eastAsia="Arial" w:hAnsi="Arial"/>
          <w:sz w:val="16"/>
          <w:szCs w:val="16"/>
          <w:color w:val="auto"/>
        </w:rPr>
        <w:t>” with respect to any Discount Security which by its terms bears interest only after Maturity, means interest payable after Maturity.</w:t>
      </w:r>
    </w:p>
    <w:p>
      <w:pPr>
        <w:spacing w:after="0" w:line="248"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Maturity</w:t>
      </w:r>
      <w:r>
        <w:rPr>
          <w:rFonts w:ascii="Arial" w:cs="Arial" w:eastAsia="Arial" w:hAnsi="Arial"/>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46"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05" w:name="page106"/>
    <w:bookmarkEnd w:id="105"/>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TERM</w:t>
            </w:r>
          </w:p>
        </w:tc>
        <w:tc>
          <w:tcPr>
            <w:tcW w:w="800" w:type="dxa"/>
            <w:vAlign w:val="bottom"/>
          </w:tcPr>
          <w:p>
            <w:pPr>
              <w:jc w:val="center"/>
              <w:spacing w:after="0"/>
              <w:rPr>
                <w:sz w:val="20"/>
                <w:szCs w:val="20"/>
                <w:color w:val="auto"/>
              </w:rPr>
            </w:pPr>
            <w:r>
              <w:rPr>
                <w:rFonts w:ascii="Arial" w:cs="Arial" w:eastAsia="Arial" w:hAnsi="Arial"/>
                <w:sz w:val="14"/>
                <w:szCs w:val="14"/>
                <w:color w:val="auto"/>
              </w:rPr>
              <w:t>DEFINED IN</w:t>
            </w:r>
          </w:p>
        </w:tc>
        <w:tc>
          <w:tcPr>
            <w:tcW w:w="0" w:type="dxa"/>
            <w:vAlign w:val="bottom"/>
          </w:tcPr>
          <w:p>
            <w:pPr>
              <w:spacing w:after="0"/>
              <w:rPr>
                <w:sz w:val="1"/>
                <w:szCs w:val="1"/>
                <w:color w:val="auto"/>
              </w:rPr>
            </w:pPr>
          </w:p>
        </w:tc>
      </w:tr>
      <w:tr>
        <w:trPr>
          <w:trHeight w:val="154"/>
        </w:trPr>
        <w:tc>
          <w:tcPr>
            <w:tcW w:w="5300" w:type="dxa"/>
            <w:vAlign w:val="bottom"/>
            <w:gridSpan w:val="2"/>
            <w:vMerge w:val="continue"/>
          </w:tcPr>
          <w:p>
            <w:pPr>
              <w:spacing w:after="0"/>
              <w:rPr>
                <w:sz w:val="13"/>
                <w:szCs w:val="13"/>
                <w:color w:val="auto"/>
              </w:rPr>
            </w:pPr>
          </w:p>
        </w:tc>
        <w:tc>
          <w:tcPr>
            <w:tcW w:w="800" w:type="dxa"/>
            <w:vAlign w:val="bottom"/>
          </w:tcPr>
          <w:p>
            <w:pPr>
              <w:jc w:val="center"/>
              <w:spacing w:after="0" w:line="154" w:lineRule="exact"/>
              <w:rPr>
                <w:sz w:val="20"/>
                <w:szCs w:val="20"/>
                <w:color w:val="auto"/>
              </w:rPr>
            </w:pPr>
            <w:r>
              <w:rPr>
                <w:rFonts w:ascii="Arial" w:cs="Arial" w:eastAsia="Arial" w:hAnsi="Arial"/>
                <w:sz w:val="14"/>
                <w:szCs w:val="14"/>
                <w:color w:val="auto"/>
                <w:w w:val="96"/>
              </w:rPr>
              <w:t>SECTION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“Bankruptcy Law”</w:t>
            </w:r>
          </w:p>
        </w:tc>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“Custodian”</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“Judgment Currency”</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“Legal Holiday”</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“mandatory sinking fund payment”</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“New York Banking Day”</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“Notice Agent”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“optional sinking fund payment”</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“Required Currency”</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“Specified Courts”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“successor person”</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06" w:name="page107"/>
    <w:bookmarkEnd w:id="1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07" w:name="page108"/>
    <w:bookmarkEnd w:id="1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79"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2.2.2. the price or prices (expressed as a percentage of the principal amount thereof) at which the Securities of the Series will be issued;</w:t>
      </w:r>
    </w:p>
    <w:p>
      <w:pPr>
        <w:spacing w:after="0" w:line="248"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2.2.4. the date or dates on which the principal of the Securities of the Series is payable;</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8" w:name="page109"/>
    <w:bookmarkEnd w:id="108"/>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2.2.10. if other than minimum denominations of $1,000 and any integral multiple in excess thereof, the denominations in which the Securities of the Series shall be issuable;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00" w:firstLine="991"/>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6"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225"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2.2.19. any addition to, deletion of or change in the covenants set forth in Articles IV or V which applies to Securities of the Series;</w:t>
      </w:r>
    </w:p>
    <w:p>
      <w:pPr>
        <w:spacing w:after="0" w:line="23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or other agents with respect to Securities of such Series if other than those appointed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09" w:name="page110"/>
    <w:bookmarkEnd w:id="109"/>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Officer shall sign the Securities for the Company by manual, facsimile or electronic signature.</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or facsimile of the Trustee or an authenticating agent. The signature shall be conclusive evidence that the Security has been authenticated under this Indenture.</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relying on: (a) the Board Resolution, supplemental indenture hereto or Officer’s Certificate establishing the form of the Securities of that Series 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within that Series and the terms of the Securities of that Series or of Securities within that Series, (b) an Officer’s Certificate complying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10.4, and (c) an Opinion of Counsel complying with Section 10.4.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10" w:name="page111"/>
    <w:bookmarkEnd w:id="110"/>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8"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serve as Registrar or Paying Agent.</w:t>
      </w:r>
    </w:p>
    <w:p>
      <w:pPr>
        <w:spacing w:after="0" w:line="195"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11" w:name="page112"/>
    <w:bookmarkEnd w:id="1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91"/>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2" w:name="page113"/>
    <w:bookmarkEnd w:id="112"/>
    <w:p>
      <w:pPr>
        <w:ind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3" w:name="page114"/>
    <w:bookmarkEnd w:id="11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purchase or otherwise acquire the Securities, whether by open market purchases, negotiated transactions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Security does not cease to be outstanding because the Company or an Affiliate of the Company holds the Security (but see Section 2.10 below).</w:t>
      </w:r>
    </w:p>
    <w:p>
      <w:pPr>
        <w:spacing w:after="0" w:line="23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14" w:name="page115"/>
    <w:bookmarkEnd w:id="114"/>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4"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15" w:name="page116"/>
    <w:bookmarkEnd w:id="115"/>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so long as the Depository Trust Company (“DTC”) is the Depositary, each Global Note registered in the name of DTC or its nominee shall bear a legend in substantially the following form:</w:t>
      </w:r>
    </w:p>
    <w:p>
      <w:pPr>
        <w:spacing w:after="0" w:line="62" w:lineRule="exact"/>
        <w:rPr>
          <w:sz w:val="20"/>
          <w:szCs w:val="20"/>
          <w:color w:val="auto"/>
        </w:rPr>
      </w:pPr>
    </w:p>
    <w:p>
      <w:pPr>
        <w:ind w:right="300" w:firstLine="991"/>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minimum amounts of $1,000 or whole multiples of $1,000 in excess thereof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17" w:name="page118"/>
    <w:bookmarkEnd w:id="11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notice shall identify the Securities of the Series to be redeemed and shall state:</w:t>
      </w:r>
    </w:p>
    <w:p>
      <w:pPr>
        <w:spacing w:after="0" w:line="117" w:lineRule="exact"/>
        <w:rPr>
          <w:sz w:val="20"/>
          <w:szCs w:val="20"/>
          <w:color w:val="auto"/>
        </w:rPr>
      </w:pPr>
    </w:p>
    <w:p>
      <w:pPr>
        <w:ind w:left="1100" w:hanging="241"/>
        <w:spacing w:after="0"/>
        <w:tabs>
          <w:tab w:leader="none" w:pos="11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jc w:val="both"/>
        <w:ind w:left="440" w:right="340" w:firstLine="419"/>
        <w:spacing w:after="0" w:line="286" w:lineRule="auto"/>
        <w:tabs>
          <w:tab w:leader="none" w:pos="111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57" w:lineRule="exact"/>
        <w:rPr>
          <w:rFonts w:ascii="Arial" w:cs="Arial" w:eastAsia="Arial" w:hAnsi="Arial"/>
          <w:sz w:val="17"/>
          <w:szCs w:val="17"/>
          <w:color w:val="auto"/>
        </w:rPr>
      </w:pPr>
    </w:p>
    <w:p>
      <w:pPr>
        <w:ind w:left="1100" w:hanging="241"/>
        <w:spacing w:after="0"/>
        <w:tabs>
          <w:tab w:leader="none" w:pos="11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440" w:firstLine="419"/>
        <w:spacing w:after="0" w:line="277" w:lineRule="auto"/>
        <w:tabs>
          <w:tab w:leader="none" w:pos="10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ten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18" w:name="page119"/>
    <w:bookmarkEnd w:id="118"/>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6"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119" w:name="page120"/>
    <w:bookmarkEnd w:id="1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62" w:lineRule="exact"/>
        <w:rPr>
          <w:sz w:val="20"/>
          <w:szCs w:val="20"/>
          <w:color w:val="auto"/>
        </w:rPr>
      </w:pPr>
    </w:p>
    <w:p>
      <w:pPr>
        <w:ind w:left="440" w:firstLine="419"/>
        <w:spacing w:after="0" w:line="263" w:lineRule="auto"/>
        <w:tabs>
          <w:tab w:leader="none" w:pos="11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is the surviving entity or the successor person (if other than the Company) is a corporation, partnership, trust or other entity organized and validly existing under the laws of any U.S. domestic jurisdiction and expressly assumes the Company’s obligations on the Securities and under this Indenture;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46"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20" w:name="page121"/>
    <w:bookmarkEnd w:id="12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76" w:lineRule="exact"/>
        <w:rPr>
          <w:sz w:val="20"/>
          <w:szCs w:val="20"/>
          <w:color w:val="auto"/>
        </w:rPr>
      </w:pPr>
    </w:p>
    <w:p>
      <w:pPr>
        <w:jc w:val="both"/>
        <w:ind w:left="440" w:right="100" w:firstLine="419"/>
        <w:spacing w:after="0" w:line="263" w:lineRule="auto"/>
        <w:tabs>
          <w:tab w:leader="none" w:pos="11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15"/>
          <w:szCs w:val="15"/>
          <w:color w:val="auto"/>
        </w:rPr>
        <w:t>th</w:t>
      </w:r>
      <w:r>
        <w:rPr>
          <w:rFonts w:ascii="Arial" w:cs="Arial" w:eastAsia="Arial" w:hAnsi="Arial"/>
          <w:sz w:val="18"/>
          <w:szCs w:val="18"/>
          <w:color w:val="auto"/>
        </w:rPr>
        <w:t xml:space="preserve"> day of such period);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117" w:lineRule="exact"/>
        <w:rPr>
          <w:rFonts w:ascii="Arial" w:cs="Arial" w:eastAsia="Arial" w:hAnsi="Arial"/>
          <w:sz w:val="18"/>
          <w:szCs w:val="18"/>
          <w:color w:val="auto"/>
        </w:rPr>
      </w:pPr>
    </w:p>
    <w:p>
      <w:pPr>
        <w:ind w:left="440" w:firstLine="419"/>
        <w:spacing w:after="0" w:line="255" w:lineRule="auto"/>
        <w:tabs>
          <w:tab w:leader="none" w:pos="11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400" w:hanging="223"/>
        <w:spacing w:after="0"/>
        <w:tabs>
          <w:tab w:leader="none" w:pos="14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440" w:hanging="263"/>
        <w:spacing w:after="0"/>
        <w:tabs>
          <w:tab w:leader="none" w:pos="14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500" w:hanging="323"/>
        <w:spacing w:after="0"/>
        <w:tabs>
          <w:tab w:leader="none" w:pos="15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480" w:hanging="303"/>
        <w:spacing w:after="0"/>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440" w:hanging="263"/>
        <w:spacing w:after="0"/>
        <w:tabs>
          <w:tab w:leader="none" w:pos="14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400" w:hanging="223"/>
        <w:spacing w:after="0"/>
        <w:tabs>
          <w:tab w:leader="none" w:pos="14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40" w:top="274" w:right="559" w:bottom="1440" w:gutter="0" w:footer="0" w:header="0"/>
        </w:sectPr>
      </w:pPr>
    </w:p>
    <w:bookmarkStart w:id="121" w:name="page122"/>
    <w:bookmarkEnd w:id="121"/>
    <w:p>
      <w:pPr>
        <w:ind w:left="1440" w:hanging="263"/>
        <w:spacing w:after="0"/>
        <w:tabs>
          <w:tab w:leader="none" w:pos="1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500" w:hanging="323"/>
        <w:spacing w:after="0"/>
        <w:tabs>
          <w:tab w:leader="none" w:pos="1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117" w:lineRule="exact"/>
        <w:rPr>
          <w:sz w:val="20"/>
          <w:szCs w:val="20"/>
          <w:color w:val="auto"/>
        </w:rPr>
      </w:pPr>
    </w:p>
    <w:p>
      <w:pPr>
        <w:ind w:left="440" w:right="220" w:firstLine="419"/>
        <w:spacing w:after="0" w:line="277" w:lineRule="auto"/>
        <w:tabs>
          <w:tab w:leader="none" w:pos="10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any declaration or other act on the part of the Trustee or any Holder.</w:t>
      </w:r>
    </w:p>
    <w:p>
      <w:pPr>
        <w:spacing w:after="0" w:line="16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122" w:name="page123"/>
    <w:bookmarkEnd w:id="1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40" w:right="200" w:firstLine="419"/>
        <w:spacing w:after="0" w:line="277" w:lineRule="auto"/>
        <w:tabs>
          <w:tab w:leader="none" w:pos="11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23" w:name="page124"/>
    <w:bookmarkEnd w:id="123"/>
    <w:p>
      <w:pPr>
        <w:ind w:left="440" w:right="100" w:firstLine="419"/>
        <w:spacing w:after="0" w:line="259" w:lineRule="auto"/>
        <w:tabs>
          <w:tab w:leader="none" w:pos="1108"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Third: To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24" w:name="page125"/>
    <w:bookmarkEnd w:id="1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00" w:hanging="241"/>
        <w:spacing w:after="0"/>
        <w:tabs>
          <w:tab w:leader="none" w:pos="11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Series;</w:t>
      </w:r>
    </w:p>
    <w:p>
      <w:pPr>
        <w:spacing w:after="0" w:line="102" w:lineRule="exact"/>
        <w:rPr>
          <w:rFonts w:ascii="Arial" w:cs="Arial" w:eastAsia="Arial" w:hAnsi="Arial"/>
          <w:sz w:val="17"/>
          <w:szCs w:val="17"/>
          <w:color w:val="auto"/>
        </w:rPr>
      </w:pPr>
    </w:p>
    <w:p>
      <w:pPr>
        <w:ind w:left="440" w:right="220" w:firstLine="419"/>
        <w:spacing w:after="0" w:line="277" w:lineRule="auto"/>
        <w:tabs>
          <w:tab w:leader="none" w:pos="111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10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40" w:lineRule="exact"/>
        <w:rPr>
          <w:rFonts w:ascii="Arial" w:cs="Arial" w:eastAsia="Arial" w:hAnsi="Arial"/>
          <w:sz w:val="16"/>
          <w:szCs w:val="16"/>
          <w:color w:val="auto"/>
        </w:rPr>
      </w:pPr>
    </w:p>
    <w:p>
      <w:pPr>
        <w:ind w:left="440" w:right="100" w:firstLine="419"/>
        <w:spacing w:after="0" w:line="277" w:lineRule="auto"/>
        <w:tabs>
          <w:tab w:leader="none" w:pos="110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25" w:name="page126"/>
    <w:bookmarkEnd w:id="1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1100" w:hanging="241"/>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rFonts w:ascii="Arial" w:cs="Arial" w:eastAsia="Arial" w:hAnsi="Arial"/>
          <w:sz w:val="18"/>
          <w:szCs w:val="18"/>
          <w:color w:val="auto"/>
        </w:rPr>
      </w:pPr>
    </w:p>
    <w:p>
      <w:pPr>
        <w:ind w:left="440" w:firstLine="419"/>
        <w:spacing w:after="0" w:line="342" w:lineRule="auto"/>
        <w:tabs>
          <w:tab w:leader="none" w:pos="110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5" w:lineRule="exact"/>
        <w:rPr>
          <w:rFonts w:ascii="Arial" w:cs="Arial" w:eastAsia="Arial" w:hAnsi="Arial"/>
          <w:sz w:val="16"/>
          <w:szCs w:val="16"/>
          <w:color w:val="auto"/>
        </w:rPr>
      </w:pPr>
    </w:p>
    <w:p>
      <w:pPr>
        <w:ind w:left="440" w:right="40" w:firstLine="419"/>
        <w:spacing w:after="0" w:line="277" w:lineRule="auto"/>
        <w:tabs>
          <w:tab w:leader="none" w:pos="111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26" w:name="page127"/>
    <w:bookmarkEnd w:id="1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440" w:right="180" w:firstLine="419"/>
        <w:spacing w:after="0" w:line="263" w:lineRule="auto"/>
        <w:tabs>
          <w:tab w:leader="none" w:pos="110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1400" w:hanging="223"/>
        <w:spacing w:after="0"/>
        <w:tabs>
          <w:tab w:leader="none" w:pos="14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117" w:lineRule="exact"/>
        <w:rPr>
          <w:rFonts w:ascii="Arial" w:cs="Arial" w:eastAsia="Arial" w:hAnsi="Arial"/>
          <w:sz w:val="18"/>
          <w:szCs w:val="18"/>
          <w:color w:val="auto"/>
        </w:rPr>
      </w:pPr>
    </w:p>
    <w:p>
      <w:pPr>
        <w:ind w:left="760" w:firstLine="417"/>
        <w:spacing w:after="0" w:line="263" w:lineRule="auto"/>
        <w:tabs>
          <w:tab w:leader="none" w:pos="143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27" w:name="page128"/>
    <w:bookmarkEnd w:id="127"/>
    <w:p>
      <w:pPr>
        <w:jc w:val="both"/>
        <w:ind w:left="32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76" w:lineRule="exact"/>
        <w:rPr>
          <w:sz w:val="20"/>
          <w:szCs w:val="20"/>
          <w:color w:val="auto"/>
        </w:rPr>
      </w:pPr>
    </w:p>
    <w:p>
      <w:pPr>
        <w:ind w:right="80" w:firstLine="419"/>
        <w:spacing w:after="0" w:line="277" w:lineRule="auto"/>
        <w:tabs>
          <w:tab w:leader="none" w:pos="6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17" w:lineRule="exact"/>
        <w:rPr>
          <w:rFonts w:ascii="Arial" w:cs="Arial" w:eastAsia="Arial" w:hAnsi="Arial"/>
          <w:sz w:val="18"/>
          <w:szCs w:val="18"/>
          <w:color w:val="auto"/>
        </w:rPr>
      </w:pPr>
    </w:p>
    <w:p>
      <w:pPr>
        <w:ind w:left="540" w:right="120" w:firstLine="408"/>
        <w:spacing w:after="0" w:line="277" w:lineRule="auto"/>
        <w:tabs>
          <w:tab w:leader="none" w:pos="120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62" w:lineRule="exact"/>
        <w:rPr>
          <w:rFonts w:ascii="Arial" w:cs="Arial" w:eastAsia="Arial" w:hAnsi="Arial"/>
          <w:sz w:val="18"/>
          <w:szCs w:val="18"/>
          <w:color w:val="auto"/>
        </w:rPr>
      </w:pPr>
    </w:p>
    <w:p>
      <w:pPr>
        <w:ind w:left="540" w:right="60" w:firstLine="408"/>
        <w:spacing w:after="0" w:line="286" w:lineRule="auto"/>
        <w:tabs>
          <w:tab w:leader="none" w:pos="125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Section 6.12.</w:t>
      </w:r>
    </w:p>
    <w:p>
      <w:pPr>
        <w:spacing w:after="0" w:line="102" w:lineRule="exact"/>
        <w:rPr>
          <w:rFonts w:ascii="Arial" w:cs="Arial" w:eastAsia="Arial" w:hAnsi="Arial"/>
          <w:sz w:val="16"/>
          <w:szCs w:val="16"/>
          <w:color w:val="auto"/>
        </w:rPr>
      </w:pPr>
    </w:p>
    <w:p>
      <w:pPr>
        <w:ind w:left="680" w:hanging="261"/>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117" w:lineRule="exact"/>
        <w:rPr>
          <w:rFonts w:ascii="Arial" w:cs="Arial" w:eastAsia="Arial" w:hAnsi="Arial"/>
          <w:sz w:val="18"/>
          <w:szCs w:val="18"/>
          <w:color w:val="auto"/>
        </w:rPr>
      </w:pPr>
    </w:p>
    <w:p>
      <w:pPr>
        <w:ind w:firstLine="419"/>
        <w:spacing w:after="0" w:line="277" w:lineRule="auto"/>
        <w:tabs>
          <w:tab w:leader="none" w:pos="6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62" w:lineRule="exact"/>
        <w:rPr>
          <w:rFonts w:ascii="Arial" w:cs="Arial" w:eastAsia="Arial" w:hAnsi="Arial"/>
          <w:sz w:val="18"/>
          <w:szCs w:val="18"/>
          <w:color w:val="auto"/>
        </w:rPr>
      </w:pPr>
    </w:p>
    <w:p>
      <w:pPr>
        <w:ind w:right="340" w:firstLine="419"/>
        <w:spacing w:after="0" w:line="277"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62" w:lineRule="exact"/>
        <w:rPr>
          <w:rFonts w:ascii="Arial" w:cs="Arial" w:eastAsia="Arial" w:hAnsi="Arial"/>
          <w:sz w:val="18"/>
          <w:szCs w:val="18"/>
          <w:color w:val="auto"/>
        </w:rPr>
      </w:pPr>
    </w:p>
    <w:p>
      <w:pPr>
        <w:ind w:right="80" w:firstLine="419"/>
        <w:spacing w:after="0" w:line="263" w:lineRule="auto"/>
        <w:tabs>
          <w:tab w:leader="none" w:pos="6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75" w:lineRule="exact"/>
        <w:rPr>
          <w:rFonts w:ascii="Arial" w:cs="Arial" w:eastAsia="Arial" w:hAnsi="Arial"/>
          <w:sz w:val="18"/>
          <w:szCs w:val="18"/>
          <w:color w:val="auto"/>
        </w:rPr>
      </w:pPr>
    </w:p>
    <w:p>
      <w:pPr>
        <w:ind w:right="560" w:firstLine="419"/>
        <w:spacing w:after="0" w:line="277" w:lineRule="auto"/>
        <w:tabs>
          <w:tab w:leader="none" w:pos="6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140" w:firstLine="419"/>
        <w:spacing w:after="0" w:line="263" w:lineRule="auto"/>
        <w:tabs>
          <w:tab w:leader="none" w:pos="66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0"/>
          </w:cols>
          <w:pgMar w:left="880" w:top="274" w:right="439" w:bottom="1440" w:gutter="0" w:footer="0" w:header="0"/>
        </w:sectPr>
      </w:pPr>
    </w:p>
    <w:bookmarkStart w:id="128" w:name="page129"/>
    <w:bookmarkEnd w:id="128"/>
    <w:p>
      <w:pPr>
        <w:ind w:left="-419" w:right="360" w:firstLine="419"/>
        <w:spacing w:after="0" w:line="342" w:lineRule="auto"/>
        <w:tabs>
          <w:tab w:leader="none" w:pos="258"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5" w:lineRule="exact"/>
        <w:rPr>
          <w:rFonts w:ascii="Arial" w:cs="Arial" w:eastAsia="Arial" w:hAnsi="Arial"/>
          <w:sz w:val="16"/>
          <w:szCs w:val="16"/>
          <w:color w:val="auto"/>
        </w:rPr>
      </w:pPr>
    </w:p>
    <w:p>
      <w:pPr>
        <w:ind w:left="-419" w:right="100" w:firstLine="419"/>
        <w:spacing w:after="0" w:line="342" w:lineRule="auto"/>
        <w:tabs>
          <w:tab w:leader="none" w:pos="24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5" w:lineRule="exact"/>
        <w:rPr>
          <w:rFonts w:ascii="Arial" w:cs="Arial" w:eastAsia="Arial" w:hAnsi="Arial"/>
          <w:sz w:val="16"/>
          <w:szCs w:val="16"/>
          <w:color w:val="auto"/>
        </w:rPr>
      </w:pPr>
    </w:p>
    <w:p>
      <w:pPr>
        <w:ind w:left="-419" w:right="120" w:firstLine="419"/>
        <w:spacing w:after="0" w:line="277" w:lineRule="auto"/>
        <w:tabs>
          <w:tab w:leader="none" w:pos="2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62" w:lineRule="exact"/>
        <w:rPr>
          <w:rFonts w:ascii="Arial" w:cs="Arial" w:eastAsia="Arial" w:hAnsi="Arial"/>
          <w:sz w:val="18"/>
          <w:szCs w:val="18"/>
          <w:color w:val="auto"/>
        </w:rPr>
      </w:pPr>
    </w:p>
    <w:p>
      <w:pPr>
        <w:ind w:left="-419" w:right="20" w:firstLine="419"/>
        <w:spacing w:after="0" w:line="263" w:lineRule="auto"/>
        <w:tabs>
          <w:tab w:leader="none" w:pos="2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75" w:lineRule="exact"/>
        <w:rPr>
          <w:rFonts w:ascii="Arial" w:cs="Arial" w:eastAsia="Arial" w:hAnsi="Arial"/>
          <w:sz w:val="18"/>
          <w:szCs w:val="18"/>
          <w:color w:val="auto"/>
        </w:rPr>
      </w:pPr>
    </w:p>
    <w:p>
      <w:pPr>
        <w:ind w:left="-419" w:firstLine="419"/>
        <w:spacing w:after="0" w:line="263" w:lineRule="auto"/>
        <w:tabs>
          <w:tab w:leader="none" w:pos="2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75" w:lineRule="exact"/>
        <w:rPr>
          <w:rFonts w:ascii="Arial" w:cs="Arial" w:eastAsia="Arial" w:hAnsi="Arial"/>
          <w:sz w:val="18"/>
          <w:szCs w:val="18"/>
          <w:color w:val="auto"/>
        </w:rPr>
      </w:pPr>
    </w:p>
    <w:p>
      <w:pPr>
        <w:ind w:left="-419" w:right="440" w:firstLine="419"/>
        <w:spacing w:after="0" w:line="311" w:lineRule="auto"/>
        <w:tabs>
          <w:tab w:leader="none" w:pos="25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40" w:lineRule="exact"/>
        <w:rPr>
          <w:rFonts w:ascii="Arial" w:cs="Arial" w:eastAsia="Arial" w:hAnsi="Arial"/>
          <w:sz w:val="16"/>
          <w:szCs w:val="16"/>
          <w:color w:val="auto"/>
        </w:rPr>
      </w:pPr>
    </w:p>
    <w:p>
      <w:pPr>
        <w:ind w:left="-419" w:right="40" w:firstLine="419"/>
        <w:spacing w:after="0" w:line="286" w:lineRule="auto"/>
        <w:tabs>
          <w:tab w:leader="none" w:pos="25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57" w:lineRule="exact"/>
        <w:rPr>
          <w:rFonts w:ascii="Arial" w:cs="Arial" w:eastAsia="Arial" w:hAnsi="Arial"/>
          <w:sz w:val="17"/>
          <w:szCs w:val="17"/>
          <w:color w:val="auto"/>
        </w:rPr>
      </w:pPr>
    </w:p>
    <w:p>
      <w:pPr>
        <w:ind w:left="-419" w:right="60" w:firstLine="419"/>
        <w:spacing w:after="0" w:line="308" w:lineRule="auto"/>
        <w:tabs>
          <w:tab w:leader="none" w:pos="21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38" w:lineRule="exact"/>
        <w:rPr>
          <w:rFonts w:ascii="Arial" w:cs="Arial" w:eastAsia="Arial" w:hAnsi="Arial"/>
          <w:sz w:val="17"/>
          <w:szCs w:val="17"/>
          <w:color w:val="auto"/>
        </w:rPr>
      </w:pPr>
    </w:p>
    <w:p>
      <w:pPr>
        <w:ind w:left="4561" w:hanging="4561"/>
        <w:spacing w:after="0" w:line="449" w:lineRule="auto"/>
        <w:tabs>
          <w:tab w:leader="none" w:pos="22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permissive right of the Trustee to take the actions permitted by this Indenture shall not be construed as an obligation or duty to do so. 27</w:t>
      </w:r>
    </w:p>
    <w:p>
      <w:pPr>
        <w:sectPr>
          <w:pgSz w:w="11900" w:h="16838" w:orient="portrait"/>
          <w:cols w:equalWidth="0" w:num="1">
            <w:col w:w="10121"/>
          </w:cols>
          <w:pgMar w:left="1299" w:top="274" w:right="479" w:bottom="1440" w:gutter="0" w:footer="0" w:header="0"/>
        </w:sectPr>
      </w:pPr>
    </w:p>
    <w:bookmarkStart w:id="129" w:name="page130"/>
    <w:bookmarkEnd w:id="1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Within 60 days after each anniversary of the date of this Indenture,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4"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30" w:name="page131"/>
    <w:bookmarkEnd w:id="130"/>
    <w:p>
      <w:pPr>
        <w:ind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8"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70" w:lineRule="exact"/>
        <w:rPr>
          <w:sz w:val="20"/>
          <w:szCs w:val="20"/>
          <w:color w:val="auto"/>
        </w:rPr>
      </w:pPr>
    </w:p>
    <w:p>
      <w:pPr>
        <w:ind w:right="460" w:firstLine="991"/>
        <w:spacing w:after="0" w:line="34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provisions of this Section shall survive the termination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41" w:lineRule="exact"/>
        <w:rPr>
          <w:sz w:val="20"/>
          <w:szCs w:val="20"/>
          <w:color w:val="auto"/>
        </w:rPr>
      </w:pPr>
    </w:p>
    <w:p>
      <w:pPr>
        <w:ind w:left="1100" w:hanging="241"/>
        <w:spacing w:after="0"/>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00" w:hanging="241"/>
        <w:spacing w:after="0"/>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131" w:name="page132"/>
    <w:bookmarkEnd w:id="131"/>
    <w:p>
      <w:pPr>
        <w:ind w:right="24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6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5" w:lineRule="exact"/>
        <w:rPr>
          <w:sz w:val="20"/>
          <w:szCs w:val="20"/>
          <w:color w:val="auto"/>
        </w:rPr>
      </w:pPr>
    </w:p>
    <w:p>
      <w:pPr>
        <w:ind w:right="460" w:firstLine="991"/>
        <w:spacing w:after="0" w:line="308" w:lineRule="auto"/>
        <w:rPr>
          <w:sz w:val="20"/>
          <w:szCs w:val="20"/>
          <w:color w:val="auto"/>
        </w:rPr>
      </w:pPr>
      <w:r>
        <w:rPr>
          <w:rFonts w:ascii="Arial" w:cs="Arial" w:eastAsia="Arial" w:hAnsi="Arial"/>
          <w:sz w:val="17"/>
          <w:szCs w:val="17"/>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 DEFEASANCE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76" w:lineRule="exact"/>
        <w:rPr>
          <w:sz w:val="20"/>
          <w:szCs w:val="20"/>
          <w:color w:val="auto"/>
        </w:rPr>
      </w:pPr>
    </w:p>
    <w:p>
      <w:pPr>
        <w:ind w:left="1100" w:hanging="241"/>
        <w:spacing w:after="0"/>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120" w:firstLine="408"/>
        <w:spacing w:after="0" w:line="277" w:lineRule="auto"/>
        <w:tabs>
          <w:tab w:leader="none" w:pos="159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420" w:right="200" w:firstLine="391"/>
        <w:spacing w:after="0" w:line="308" w:lineRule="auto"/>
        <w:tabs>
          <w:tab w:leader="none" w:pos="2058" w:val="left"/>
        </w:tabs>
        <w:numPr>
          <w:ilvl w:val="2"/>
          <w:numId w:val="120"/>
        </w:numPr>
        <w:rPr>
          <w:rFonts w:ascii="Arial" w:cs="Arial" w:eastAsia="Arial" w:hAnsi="Arial"/>
          <w:sz w:val="17"/>
          <w:szCs w:val="17"/>
          <w:color w:val="auto"/>
        </w:rPr>
      </w:pPr>
      <w:r>
        <w:rPr>
          <w:rFonts w:ascii="Arial" w:cs="Arial" w:eastAsia="Arial" w:hAnsi="Arial"/>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38" w:lineRule="exact"/>
        <w:rPr>
          <w:rFonts w:ascii="Arial" w:cs="Arial" w:eastAsia="Arial" w:hAnsi="Arial"/>
          <w:sz w:val="17"/>
          <w:szCs w:val="17"/>
          <w:color w:val="auto"/>
        </w:rPr>
      </w:pPr>
    </w:p>
    <w:p>
      <w:pPr>
        <w:ind w:left="2060" w:hanging="249"/>
        <w:spacing w:after="0"/>
        <w:tabs>
          <w:tab w:leader="none" w:pos="20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9" w:lineRule="exact"/>
        <w:rPr>
          <w:sz w:val="20"/>
          <w:szCs w:val="20"/>
          <w:color w:val="auto"/>
        </w:rPr>
      </w:pPr>
    </w:p>
    <w:p>
      <w:pPr>
        <w:ind w:left="1120" w:hanging="261"/>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17" w:lineRule="exact"/>
        <w:rPr>
          <w:rFonts w:ascii="Arial" w:cs="Arial" w:eastAsia="Arial" w:hAnsi="Arial"/>
          <w:sz w:val="18"/>
          <w:szCs w:val="18"/>
          <w:color w:val="auto"/>
        </w:rPr>
      </w:pPr>
    </w:p>
    <w:p>
      <w:pPr>
        <w:ind w:left="440" w:right="460" w:firstLine="419"/>
        <w:spacing w:after="0" w:line="308" w:lineRule="auto"/>
        <w:tabs>
          <w:tab w:leader="none" w:pos="110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46"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33" w:name="page134"/>
    <w:bookmarkEnd w:id="1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225" w:lineRule="exact"/>
        <w:rPr>
          <w:sz w:val="20"/>
          <w:szCs w:val="20"/>
          <w:color w:val="auto"/>
        </w:rPr>
      </w:pPr>
    </w:p>
    <w:p>
      <w:pPr>
        <w:ind w:left="440" w:right="40" w:firstLine="419"/>
        <w:spacing w:after="0" w:line="254" w:lineRule="auto"/>
        <w:tabs>
          <w:tab w:leader="none" w:pos="11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86"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75" w:lineRule="exact"/>
        <w:rPr>
          <w:rFonts w:ascii="Arial" w:cs="Arial" w:eastAsia="Arial" w:hAnsi="Arial"/>
          <w:sz w:val="18"/>
          <w:szCs w:val="18"/>
          <w:color w:val="auto"/>
        </w:rPr>
      </w:pPr>
    </w:p>
    <w:p>
      <w:pPr>
        <w:ind w:left="440" w:right="40" w:firstLine="419"/>
        <w:spacing w:after="0" w:line="273" w:lineRule="auto"/>
        <w:tabs>
          <w:tab w:leader="none" w:pos="110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80" w:lineRule="exact"/>
        <w:rPr>
          <w:sz w:val="20"/>
          <w:szCs w:val="20"/>
          <w:color w:val="auto"/>
        </w:rPr>
      </w:pPr>
    </w:p>
    <w:p>
      <w:pPr>
        <w:ind w:left="440" w:right="60" w:firstLine="419"/>
        <w:spacing w:after="0" w:line="301" w:lineRule="auto"/>
        <w:tabs>
          <w:tab w:leader="none" w:pos="110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34" w:name="page135"/>
    <w:bookmarkEnd w:id="134"/>
    <w:p>
      <w:pPr>
        <w:ind w:left="1120" w:hanging="261"/>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Sections 2.4, 2.5, 2.7, 2.8, 7.7, 8.2, 8.3, 8.5 and 8.6;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17" w:lineRule="exact"/>
        <w:rPr>
          <w:sz w:val="20"/>
          <w:szCs w:val="20"/>
          <w:color w:val="auto"/>
        </w:rPr>
      </w:pPr>
    </w:p>
    <w:p>
      <w:pPr>
        <w:ind w:left="440" w:right="40" w:firstLine="419"/>
        <w:spacing w:after="0" w:line="289" w:lineRule="auto"/>
        <w:tabs>
          <w:tab w:leader="none" w:pos="111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58" w:lineRule="exact"/>
        <w:rPr>
          <w:rFonts w:ascii="Arial" w:cs="Arial" w:eastAsia="Arial" w:hAnsi="Arial"/>
          <w:sz w:val="16"/>
          <w:szCs w:val="16"/>
          <w:color w:val="auto"/>
        </w:rPr>
      </w:pPr>
    </w:p>
    <w:p>
      <w:pPr>
        <w:ind w:left="440" w:right="140" w:firstLine="419"/>
        <w:spacing w:after="0" w:line="277" w:lineRule="auto"/>
        <w:tabs>
          <w:tab w:leader="none" w:pos="110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08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left="440" w:firstLine="419"/>
        <w:spacing w:after="0" w:line="273" w:lineRule="auto"/>
        <w:tabs>
          <w:tab w:leader="none" w:pos="111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35" w:name="page136"/>
    <w:bookmarkEnd w:id="135"/>
    <w:p>
      <w:pPr>
        <w:ind w:left="440" w:right="140" w:firstLine="419"/>
        <w:spacing w:after="0" w:line="277" w:lineRule="auto"/>
        <w:tabs>
          <w:tab w:leader="none" w:pos="1118"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stating that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07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70" w:lineRule="exact"/>
        <w:rPr>
          <w:sz w:val="20"/>
          <w:szCs w:val="20"/>
          <w:color w:val="auto"/>
        </w:rPr>
      </w:pPr>
    </w:p>
    <w:p>
      <w:pPr>
        <w:ind w:left="440" w:right="20" w:firstLine="419"/>
        <w:spacing w:after="0" w:line="269" w:lineRule="auto"/>
        <w:tabs>
          <w:tab w:leader="none" w:pos="110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77"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36" w:name="page137"/>
    <w:bookmarkEnd w:id="136"/>
    <w:p>
      <w:pPr>
        <w:ind w:left="440" w:right="180" w:firstLine="419"/>
        <w:spacing w:after="0" w:line="259" w:lineRule="auto"/>
        <w:tabs>
          <w:tab w:leader="none" w:pos="1118"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78" w:lineRule="exact"/>
        <w:rPr>
          <w:rFonts w:ascii="Arial" w:cs="Arial" w:eastAsia="Arial" w:hAnsi="Arial"/>
          <w:sz w:val="18"/>
          <w:szCs w:val="18"/>
          <w:color w:val="auto"/>
        </w:rPr>
      </w:pPr>
    </w:p>
    <w:p>
      <w:pPr>
        <w:ind w:left="440" w:right="400" w:firstLine="419"/>
        <w:spacing w:after="0" w:line="277" w:lineRule="auto"/>
        <w:tabs>
          <w:tab w:leader="none" w:pos="110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420" w:firstLine="419"/>
        <w:spacing w:after="0" w:line="308" w:lineRule="auto"/>
        <w:tabs>
          <w:tab w:leader="none" w:pos="108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jc w:val="both"/>
        <w:ind w:right="200" w:firstLine="991"/>
        <w:spacing w:after="0" w:line="286" w:lineRule="auto"/>
        <w:rPr>
          <w:sz w:val="20"/>
          <w:szCs w:val="20"/>
          <w:color w:val="auto"/>
        </w:rPr>
      </w:pPr>
      <w:r>
        <w:rPr>
          <w:rFonts w:ascii="Arial" w:cs="Arial" w:eastAsia="Arial" w:hAnsi="Arial"/>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to cure any ambiguity, defect or inconsistency;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37" w:name="page138"/>
    <w:bookmarkEnd w:id="137"/>
    <w:p>
      <w:pPr>
        <w:ind w:left="1120" w:hanging="261"/>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Article V;</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140" w:lineRule="exact"/>
        <w:rPr>
          <w:rFonts w:ascii="Arial" w:cs="Arial" w:eastAsia="Arial" w:hAnsi="Arial"/>
          <w:sz w:val="16"/>
          <w:szCs w:val="16"/>
          <w:color w:val="auto"/>
        </w:rPr>
      </w:pPr>
    </w:p>
    <w:p>
      <w:pPr>
        <w:ind w:left="440" w:firstLine="419"/>
        <w:spacing w:after="0" w:line="263" w:lineRule="auto"/>
        <w:tabs>
          <w:tab w:leader="none" w:pos="107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66"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138" w:name="page139"/>
    <w:bookmarkEnd w:id="1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117" w:lineRule="exact"/>
        <w:rPr>
          <w:sz w:val="20"/>
          <w:szCs w:val="20"/>
          <w:color w:val="auto"/>
        </w:rPr>
      </w:pPr>
    </w:p>
    <w:p>
      <w:pPr>
        <w:ind w:left="1100" w:hanging="241"/>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117" w:lineRule="exact"/>
        <w:rPr>
          <w:rFonts w:ascii="Arial" w:cs="Arial" w:eastAsia="Arial" w:hAnsi="Arial"/>
          <w:sz w:val="18"/>
          <w:szCs w:val="18"/>
          <w:color w:val="auto"/>
        </w:rPr>
      </w:pPr>
    </w:p>
    <w:p>
      <w:pPr>
        <w:ind w:left="440" w:right="260" w:firstLine="419"/>
        <w:spacing w:after="0" w:line="263" w:lineRule="auto"/>
        <w:tabs>
          <w:tab w:leader="none" w:pos="11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39" w:name="page140"/>
    <w:bookmarkEnd w:id="139"/>
    <w:p>
      <w:pPr>
        <w:jc w:val="both"/>
        <w:ind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40" w:name="page141"/>
    <w:bookmarkEnd w:id="1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4D Molecular Therapeutics, Inc.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5858 Horton Street #455</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Emeryville, CA 94608</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Telephone: (510) 505-2680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Mark V. Roeder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Telephone: (650) 328-4600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2100" w:hanging="289"/>
        <w:spacing w:after="0"/>
        <w:tabs>
          <w:tab w:leader="none" w:pos="2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1820"/>
        <w:spacing w:after="0"/>
        <w:tabs>
          <w:tab w:leader="none" w:pos="2080" w:val="left"/>
        </w:tabs>
        <w:rPr>
          <w:sz w:val="20"/>
          <w:szCs w:val="20"/>
          <w:color w:val="auto"/>
        </w:rPr>
      </w:pPr>
      <w:r>
        <w:rPr>
          <w:rFonts w:ascii="Arial" w:cs="Arial" w:eastAsia="Arial" w:hAnsi="Arial"/>
          <w:sz w:val="18"/>
          <w:szCs w:val="18"/>
          <w:color w:val="auto"/>
        </w:rPr>
        <w:t>[</w:t>
        <w:tab/>
        <w:t>]</w:t>
      </w:r>
    </w:p>
    <w:p>
      <w:pPr>
        <w:spacing w:after="0" w:line="9" w:lineRule="exact"/>
        <w:rPr>
          <w:sz w:val="20"/>
          <w:szCs w:val="20"/>
          <w:color w:val="auto"/>
        </w:rPr>
      </w:pPr>
    </w:p>
    <w:p>
      <w:pPr>
        <w:ind w:left="1820"/>
        <w:spacing w:after="0"/>
        <w:tabs>
          <w:tab w:leader="none" w:pos="2080" w:val="left"/>
        </w:tabs>
        <w:rPr>
          <w:sz w:val="20"/>
          <w:szCs w:val="20"/>
          <w:color w:val="auto"/>
        </w:rPr>
      </w:pPr>
      <w:r>
        <w:rPr>
          <w:rFonts w:ascii="Arial" w:cs="Arial" w:eastAsia="Arial" w:hAnsi="Arial"/>
          <w:sz w:val="18"/>
          <w:szCs w:val="18"/>
          <w:color w:val="auto"/>
        </w:rPr>
        <w:t>[</w:t>
        <w:tab/>
        <w:t>]</w:t>
      </w:r>
    </w:p>
    <w:p>
      <w:pPr>
        <w:sectPr>
          <w:pgSz w:w="11900" w:h="16838" w:orient="portrait"/>
          <w:cols w:equalWidth="0" w:num="1">
            <w:col w:w="11000"/>
          </w:cols>
          <w:pgMar w:left="440" w:top="274" w:right="459" w:bottom="1440" w:gutter="0" w:footer="0" w:header="0"/>
        </w:sectPr>
      </w:pPr>
    </w:p>
    <w:p>
      <w:pPr>
        <w:spacing w:after="0" w:line="9"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2640" w:space="240"/>
            <w:col w:w="8120"/>
          </w:cols>
          <w:pgMar w:left="440" w:top="274" w:right="45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Telephone: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720" w:space="220"/>
            <w:col w:w="8060"/>
          </w:cols>
          <w:pgMar w:left="440" w:top="274" w:right="459" w:bottom="1440" w:gutter="0" w:footer="0" w:header="0"/>
          <w:type w:val="continuous"/>
        </w:sectPr>
      </w:pPr>
    </w:p>
    <w:p>
      <w:pPr>
        <w:spacing w:after="0" w:line="11" w:lineRule="exact"/>
        <w:rPr>
          <w:sz w:val="20"/>
          <w:szCs w:val="20"/>
          <w:color w:val="auto"/>
        </w:rPr>
      </w:pPr>
    </w:p>
    <w:p>
      <w:pPr>
        <w:ind w:right="1100" w:firstLine="991"/>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 communications.</w:t>
      </w:r>
    </w:p>
    <w:p>
      <w:pPr>
        <w:spacing w:after="0" w:line="170"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Company sends a notice or communication to Securityholders, it shall send a copy to the Trustee and each Agent at the same time.</w:t>
      </w:r>
    </w:p>
    <w:p>
      <w:pPr>
        <w:spacing w:after="0" w:line="24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type w:val="continuous"/>
        </w:sectPr>
      </w:pPr>
    </w:p>
    <w:bookmarkStart w:id="141" w:name="page142"/>
    <w:bookmarkEnd w:id="1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left="440" w:firstLine="419"/>
        <w:spacing w:after="0" w:line="277" w:lineRule="auto"/>
        <w:tabs>
          <w:tab w:leader="none" w:pos="110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62" w:lineRule="exact"/>
        <w:rPr>
          <w:sz w:val="20"/>
          <w:szCs w:val="20"/>
          <w:color w:val="auto"/>
        </w:rPr>
      </w:pPr>
    </w:p>
    <w:p>
      <w:pPr>
        <w:ind w:left="1100" w:hanging="241"/>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260" w:firstLine="419"/>
        <w:spacing w:after="0" w:line="308" w:lineRule="auto"/>
        <w:tabs>
          <w:tab w:leader="none" w:pos="110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42" w:name="page143"/>
    <w:bookmarkEnd w:id="1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10.7.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A “</w:t>
      </w:r>
      <w:r>
        <w:rPr>
          <w:rFonts w:ascii="Arial" w:cs="Arial" w:eastAsia="Arial" w:hAnsi="Arial"/>
          <w:sz w:val="17"/>
          <w:szCs w:val="17"/>
          <w:i w:val="1"/>
          <w:iCs w:val="1"/>
          <w:color w:val="auto"/>
        </w:rPr>
        <w:t>Legal Holiday</w:t>
      </w:r>
      <w:r>
        <w:rPr>
          <w:rFonts w:ascii="Arial" w:cs="Arial" w:eastAsia="Arial" w:hAnsi="Arial"/>
          <w:sz w:val="17"/>
          <w:szCs w:val="17"/>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76"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w:t>
      </w:r>
    </w:p>
    <w:p>
      <w:pPr>
        <w:spacing w:after="0" w:line="221"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43" w:name="page144"/>
    <w:bookmarkEnd w:id="143"/>
    <w:p>
      <w:pPr>
        <w:ind w:firstLine="99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r>
        <w:rPr>
          <w:rFonts w:ascii="Arial" w:cs="Arial" w:eastAsia="Arial" w:hAnsi="Arial"/>
          <w:sz w:val="18"/>
          <w:szCs w:val="18"/>
          <w:color w:val="auto"/>
        </w:rPr>
        <w:t>.</w:t>
      </w:r>
    </w:p>
    <w:p>
      <w:pPr>
        <w:spacing w:after="0" w:line="225"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144" w:name="page145"/>
    <w:bookmarkEnd w:id="14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6"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7"/>
          <w:szCs w:val="17"/>
          <w:i w:val="1"/>
          <w:iCs w:val="1"/>
          <w:color w:val="auto"/>
        </w:rPr>
        <w:t>Required Currency</w:t>
      </w:r>
      <w:r>
        <w:rPr>
          <w:rFonts w:ascii="Arial" w:cs="Arial" w:eastAsia="Arial" w:hAnsi="Arial"/>
          <w:sz w:val="17"/>
          <w:szCs w:val="17"/>
          <w:color w:val="auto"/>
        </w:rPr>
        <w:t>”) into a currency in which a judgment will be rendered (the “</w:t>
      </w:r>
      <w:r>
        <w:rPr>
          <w:rFonts w:ascii="Arial" w:cs="Arial" w:eastAsia="Arial" w:hAnsi="Arial"/>
          <w:sz w:val="17"/>
          <w:szCs w:val="17"/>
          <w:i w:val="1"/>
          <w:iCs w:val="1"/>
          <w:color w:val="auto"/>
        </w:rPr>
        <w:t>Judgment Currency</w:t>
      </w:r>
      <w:r>
        <w:rPr>
          <w:rFonts w:ascii="Arial" w:cs="Arial" w:eastAsia="Arial" w:hAnsi="Arial"/>
          <w:sz w:val="17"/>
          <w:szCs w:val="17"/>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7"/>
          <w:szCs w:val="17"/>
          <w:i w:val="1"/>
          <w:iCs w:val="1"/>
          <w:color w:val="auto"/>
        </w:rPr>
        <w:t>New York Banking Day</w:t>
      </w:r>
      <w:r>
        <w:rPr>
          <w:rFonts w:ascii="Arial" w:cs="Arial" w:eastAsia="Arial" w:hAnsi="Arial"/>
          <w:sz w:val="17"/>
          <w:szCs w:val="17"/>
          <w:color w:val="auto"/>
        </w:rPr>
        <w:t>” means any day except a Saturday, Sunday or a legal holiday in The City of New York on which banking institutions are authorized or required by law, regulation or executive order to close.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145" w:name="page146"/>
    <w:bookmarkEnd w:id="1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10.17.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84"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If provided for by the terms of Securities of any Series, the cash amount of any sinking fund payment may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as provided in Section 11.2. Each sinking fund payment shall be applied to the redemption of Securities of any Series as provided for by the terms of the Securities of such Series.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146" w:name="page147"/>
    <w:bookmarkEnd w:id="14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4D MOLECULAR THERAPEUTICS,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5640"/>
        <w:spacing w:after="0"/>
        <w:tabs>
          <w:tab w:leader="none" w:pos="5900" w:val="left"/>
        </w:tabs>
        <w:rPr>
          <w:sz w:val="20"/>
          <w:szCs w:val="20"/>
          <w:color w:val="auto"/>
        </w:rPr>
      </w:pPr>
      <w:r>
        <w:rPr>
          <w:rFonts w:ascii="Arial" w:cs="Arial" w:eastAsia="Arial" w:hAnsi="Arial"/>
          <w:sz w:val="18"/>
          <w:szCs w:val="18"/>
          <w:color w:val="auto"/>
        </w:rPr>
        <w:t>[</w:t>
        <w:tab/>
        <w:t>], as Trustee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9680"/>
          </w:cols>
          <w:pgMar w:left="1420" w:top="274" w:right="7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140 Scott Drive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Tel: +1.650.328.4600 Fax: +1.650.463.2600</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www.lw.com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4860" w:type="dxa"/>
            <w:vAlign w:val="bottom"/>
            <w:gridSpan w:val="2"/>
          </w:tcPr>
          <w:p>
            <w:pPr>
              <w:ind w:left="2260"/>
              <w:spacing w:after="0"/>
              <w:rPr>
                <w:sz w:val="20"/>
                <w:szCs w:val="20"/>
                <w:color w:val="auto"/>
              </w:rPr>
            </w:pPr>
            <w:r>
              <w:rPr>
                <w:rFonts w:ascii="Arial" w:cs="Arial" w:eastAsia="Arial" w:hAnsi="Arial"/>
                <w:sz w:val="18"/>
                <w:szCs w:val="18"/>
                <w:color w:val="auto"/>
              </w:rPr>
              <w:t>FIRM / AFFILIATE OFFICES</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Austin</w:t>
            </w:r>
          </w:p>
        </w:tc>
        <w:tc>
          <w:tcPr>
            <w:tcW w:w="1480" w:type="dxa"/>
            <w:vAlign w:val="bottom"/>
          </w:tcPr>
          <w:p>
            <w:pPr>
              <w:ind w:left="200"/>
              <w:spacing w:after="0"/>
              <w:rPr>
                <w:sz w:val="20"/>
                <w:szCs w:val="20"/>
                <w:color w:val="auto"/>
              </w:rPr>
            </w:pPr>
            <w:r>
              <w:rPr>
                <w:rFonts w:ascii="Arial" w:cs="Arial" w:eastAsia="Arial" w:hAnsi="Arial"/>
                <w:sz w:val="18"/>
                <w:szCs w:val="18"/>
                <w:color w:val="auto"/>
              </w:rPr>
              <w:t>Moscow</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Beijing</w:t>
            </w:r>
          </w:p>
        </w:tc>
        <w:tc>
          <w:tcPr>
            <w:tcW w:w="1480" w:type="dxa"/>
            <w:vAlign w:val="bottom"/>
          </w:tcPr>
          <w:p>
            <w:pPr>
              <w:ind w:left="200"/>
              <w:spacing w:after="0"/>
              <w:rPr>
                <w:sz w:val="20"/>
                <w:szCs w:val="20"/>
                <w:color w:val="auto"/>
              </w:rPr>
            </w:pPr>
            <w:r>
              <w:rPr>
                <w:rFonts w:ascii="Arial" w:cs="Arial" w:eastAsia="Arial" w:hAnsi="Arial"/>
                <w:sz w:val="18"/>
                <w:szCs w:val="18"/>
                <w:color w:val="auto"/>
              </w:rPr>
              <w:t>Munich</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Boston</w:t>
            </w:r>
          </w:p>
        </w:tc>
        <w:tc>
          <w:tcPr>
            <w:tcW w:w="1480" w:type="dxa"/>
            <w:vAlign w:val="bottom"/>
          </w:tcPr>
          <w:p>
            <w:pPr>
              <w:ind w:left="200"/>
              <w:spacing w:after="0"/>
              <w:rPr>
                <w:sz w:val="20"/>
                <w:szCs w:val="20"/>
                <w:color w:val="auto"/>
              </w:rPr>
            </w:pPr>
            <w:r>
              <w:rPr>
                <w:rFonts w:ascii="Arial" w:cs="Arial" w:eastAsia="Arial" w:hAnsi="Arial"/>
                <w:sz w:val="18"/>
                <w:szCs w:val="18"/>
                <w:color w:val="auto"/>
              </w:rPr>
              <w:t>New York</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Brussels</w:t>
            </w:r>
          </w:p>
        </w:tc>
        <w:tc>
          <w:tcPr>
            <w:tcW w:w="1480" w:type="dxa"/>
            <w:vAlign w:val="bottom"/>
          </w:tcPr>
          <w:p>
            <w:pPr>
              <w:ind w:left="200"/>
              <w:spacing w:after="0"/>
              <w:rPr>
                <w:sz w:val="20"/>
                <w:szCs w:val="20"/>
                <w:color w:val="auto"/>
              </w:rPr>
            </w:pPr>
            <w:r>
              <w:rPr>
                <w:rFonts w:ascii="Arial" w:cs="Arial" w:eastAsia="Arial" w:hAnsi="Arial"/>
                <w:sz w:val="18"/>
                <w:szCs w:val="18"/>
                <w:color w:val="auto"/>
              </w:rPr>
              <w:t>Orange County</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Century City</w:t>
            </w:r>
          </w:p>
        </w:tc>
        <w:tc>
          <w:tcPr>
            <w:tcW w:w="1480" w:type="dxa"/>
            <w:vAlign w:val="bottom"/>
          </w:tcPr>
          <w:p>
            <w:pPr>
              <w:ind w:left="200"/>
              <w:spacing w:after="0"/>
              <w:rPr>
                <w:sz w:val="20"/>
                <w:szCs w:val="20"/>
                <w:color w:val="auto"/>
              </w:rPr>
            </w:pPr>
            <w:r>
              <w:rPr>
                <w:rFonts w:ascii="Arial" w:cs="Arial" w:eastAsia="Arial" w:hAnsi="Arial"/>
                <w:sz w:val="18"/>
                <w:szCs w:val="18"/>
                <w:color w:val="auto"/>
              </w:rPr>
              <w:t>Paris</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March 28, 2022</w:t>
            </w:r>
          </w:p>
        </w:tc>
        <w:tc>
          <w:tcPr>
            <w:tcW w:w="3380" w:type="dxa"/>
            <w:vAlign w:val="bottom"/>
          </w:tcPr>
          <w:p>
            <w:pPr>
              <w:ind w:left="2260"/>
              <w:spacing w:after="0"/>
              <w:rPr>
                <w:sz w:val="20"/>
                <w:szCs w:val="20"/>
                <w:color w:val="auto"/>
              </w:rPr>
            </w:pPr>
            <w:r>
              <w:rPr>
                <w:rFonts w:ascii="Arial" w:cs="Arial" w:eastAsia="Arial" w:hAnsi="Arial"/>
                <w:sz w:val="18"/>
                <w:szCs w:val="18"/>
                <w:color w:val="auto"/>
              </w:rPr>
              <w:t>Chicago</w:t>
            </w:r>
          </w:p>
        </w:tc>
        <w:tc>
          <w:tcPr>
            <w:tcW w:w="1480" w:type="dxa"/>
            <w:vAlign w:val="bottom"/>
          </w:tcPr>
          <w:p>
            <w:pPr>
              <w:ind w:left="200"/>
              <w:spacing w:after="0"/>
              <w:rPr>
                <w:sz w:val="20"/>
                <w:szCs w:val="20"/>
                <w:color w:val="auto"/>
              </w:rPr>
            </w:pPr>
            <w:r>
              <w:rPr>
                <w:rFonts w:ascii="Arial" w:cs="Arial" w:eastAsia="Arial" w:hAnsi="Arial"/>
                <w:sz w:val="18"/>
                <w:szCs w:val="18"/>
                <w:color w:val="auto"/>
              </w:rPr>
              <w:t>Riyadh</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Dubai</w:t>
            </w:r>
          </w:p>
        </w:tc>
        <w:tc>
          <w:tcPr>
            <w:tcW w:w="1480" w:type="dxa"/>
            <w:vAlign w:val="bottom"/>
          </w:tcPr>
          <w:p>
            <w:pPr>
              <w:ind w:left="200"/>
              <w:spacing w:after="0"/>
              <w:rPr>
                <w:sz w:val="20"/>
                <w:szCs w:val="20"/>
                <w:color w:val="auto"/>
              </w:rPr>
            </w:pPr>
            <w:r>
              <w:rPr>
                <w:rFonts w:ascii="Arial" w:cs="Arial" w:eastAsia="Arial" w:hAnsi="Arial"/>
                <w:sz w:val="18"/>
                <w:szCs w:val="18"/>
                <w:color w:val="auto"/>
              </w:rPr>
              <w:t>San Diego</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Düsseldorf</w:t>
            </w:r>
          </w:p>
        </w:tc>
        <w:tc>
          <w:tcPr>
            <w:tcW w:w="1480" w:type="dxa"/>
            <w:vAlign w:val="bottom"/>
          </w:tcPr>
          <w:p>
            <w:pPr>
              <w:ind w:left="200"/>
              <w:spacing w:after="0"/>
              <w:rPr>
                <w:sz w:val="20"/>
                <w:szCs w:val="20"/>
                <w:color w:val="auto"/>
              </w:rPr>
            </w:pPr>
            <w:r>
              <w:rPr>
                <w:rFonts w:ascii="Arial" w:cs="Arial" w:eastAsia="Arial" w:hAnsi="Arial"/>
                <w:sz w:val="18"/>
                <w:szCs w:val="18"/>
                <w:color w:val="auto"/>
              </w:rPr>
              <w:t>San Francisco</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Frankfurt</w:t>
            </w:r>
          </w:p>
        </w:tc>
        <w:tc>
          <w:tcPr>
            <w:tcW w:w="1480" w:type="dxa"/>
            <w:vAlign w:val="bottom"/>
          </w:tcPr>
          <w:p>
            <w:pPr>
              <w:ind w:left="200"/>
              <w:spacing w:after="0"/>
              <w:rPr>
                <w:sz w:val="20"/>
                <w:szCs w:val="20"/>
                <w:color w:val="auto"/>
              </w:rPr>
            </w:pPr>
            <w:r>
              <w:rPr>
                <w:rFonts w:ascii="Arial" w:cs="Arial" w:eastAsia="Arial" w:hAnsi="Arial"/>
                <w:sz w:val="18"/>
                <w:szCs w:val="18"/>
                <w:color w:val="auto"/>
              </w:rPr>
              <w:t>Seoul</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Hamburg</w:t>
            </w:r>
          </w:p>
        </w:tc>
        <w:tc>
          <w:tcPr>
            <w:tcW w:w="1480" w:type="dxa"/>
            <w:vAlign w:val="bottom"/>
          </w:tcPr>
          <w:p>
            <w:pPr>
              <w:ind w:left="200"/>
              <w:spacing w:after="0"/>
              <w:rPr>
                <w:sz w:val="20"/>
                <w:szCs w:val="20"/>
                <w:color w:val="auto"/>
              </w:rPr>
            </w:pPr>
            <w:r>
              <w:rPr>
                <w:rFonts w:ascii="Arial" w:cs="Arial" w:eastAsia="Arial" w:hAnsi="Arial"/>
                <w:sz w:val="18"/>
                <w:szCs w:val="18"/>
                <w:color w:val="auto"/>
              </w:rPr>
              <w:t>Shanghai</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Hong Kong</w:t>
            </w:r>
          </w:p>
        </w:tc>
        <w:tc>
          <w:tcPr>
            <w:tcW w:w="1480" w:type="dxa"/>
            <w:vAlign w:val="bottom"/>
          </w:tcPr>
          <w:p>
            <w:pPr>
              <w:ind w:left="200"/>
              <w:spacing w:after="0"/>
              <w:rPr>
                <w:sz w:val="20"/>
                <w:szCs w:val="20"/>
                <w:color w:val="auto"/>
              </w:rPr>
            </w:pPr>
            <w:r>
              <w:rPr>
                <w:rFonts w:ascii="Arial" w:cs="Arial" w:eastAsia="Arial" w:hAnsi="Arial"/>
                <w:sz w:val="18"/>
                <w:szCs w:val="18"/>
                <w:color w:val="auto"/>
              </w:rPr>
              <w:t>Silicon Valley</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Houston</w:t>
            </w:r>
          </w:p>
        </w:tc>
        <w:tc>
          <w:tcPr>
            <w:tcW w:w="1480" w:type="dxa"/>
            <w:vAlign w:val="bottom"/>
          </w:tcPr>
          <w:p>
            <w:pPr>
              <w:ind w:left="200"/>
              <w:spacing w:after="0"/>
              <w:rPr>
                <w:sz w:val="20"/>
                <w:szCs w:val="20"/>
                <w:color w:val="auto"/>
              </w:rPr>
            </w:pPr>
            <w:r>
              <w:rPr>
                <w:rFonts w:ascii="Arial" w:cs="Arial" w:eastAsia="Arial" w:hAnsi="Arial"/>
                <w:sz w:val="18"/>
                <w:szCs w:val="18"/>
                <w:color w:val="auto"/>
              </w:rPr>
              <w:t>Singapore</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London</w:t>
            </w:r>
          </w:p>
        </w:tc>
        <w:tc>
          <w:tcPr>
            <w:tcW w:w="1480" w:type="dxa"/>
            <w:vAlign w:val="bottom"/>
          </w:tcPr>
          <w:p>
            <w:pPr>
              <w:ind w:left="200"/>
              <w:spacing w:after="0"/>
              <w:rPr>
                <w:sz w:val="20"/>
                <w:szCs w:val="20"/>
                <w:color w:val="auto"/>
              </w:rPr>
            </w:pPr>
            <w:r>
              <w:rPr>
                <w:rFonts w:ascii="Arial" w:cs="Arial" w:eastAsia="Arial" w:hAnsi="Arial"/>
                <w:sz w:val="18"/>
                <w:szCs w:val="18"/>
                <w:color w:val="auto"/>
              </w:rPr>
              <w:t>Tel Aviv</w:t>
            </w:r>
          </w:p>
        </w:tc>
      </w:tr>
      <w:tr>
        <w:trPr>
          <w:trHeight w:val="216"/>
        </w:trPr>
        <w:tc>
          <w:tcPr>
            <w:tcW w:w="4580" w:type="dxa"/>
            <w:vAlign w:val="bottom"/>
          </w:tcPr>
          <w:p>
            <w:pPr>
              <w:spacing w:after="0"/>
              <w:rPr>
                <w:sz w:val="18"/>
                <w:szCs w:val="18"/>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Los Angeles</w:t>
            </w:r>
          </w:p>
        </w:tc>
        <w:tc>
          <w:tcPr>
            <w:tcW w:w="1480" w:type="dxa"/>
            <w:vAlign w:val="bottom"/>
          </w:tcPr>
          <w:p>
            <w:pPr>
              <w:ind w:left="200"/>
              <w:spacing w:after="0"/>
              <w:rPr>
                <w:sz w:val="20"/>
                <w:szCs w:val="20"/>
                <w:color w:val="auto"/>
              </w:rPr>
            </w:pPr>
            <w:r>
              <w:rPr>
                <w:rFonts w:ascii="Arial" w:cs="Arial" w:eastAsia="Arial" w:hAnsi="Arial"/>
                <w:sz w:val="18"/>
                <w:szCs w:val="18"/>
                <w:color w:val="auto"/>
              </w:rPr>
              <w:t>Tokyo</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4D Molecular Therapeutics, Inc.</w:t>
            </w:r>
          </w:p>
        </w:tc>
        <w:tc>
          <w:tcPr>
            <w:tcW w:w="3380" w:type="dxa"/>
            <w:vAlign w:val="bottom"/>
          </w:tcPr>
          <w:p>
            <w:pPr>
              <w:ind w:left="2260"/>
              <w:spacing w:after="0"/>
              <w:rPr>
                <w:sz w:val="20"/>
                <w:szCs w:val="20"/>
                <w:color w:val="auto"/>
              </w:rPr>
            </w:pPr>
            <w:r>
              <w:rPr>
                <w:rFonts w:ascii="Arial" w:cs="Arial" w:eastAsia="Arial" w:hAnsi="Arial"/>
                <w:sz w:val="18"/>
                <w:szCs w:val="18"/>
                <w:color w:val="auto"/>
              </w:rPr>
              <w:t>Madrid</w:t>
            </w:r>
          </w:p>
        </w:tc>
        <w:tc>
          <w:tcPr>
            <w:tcW w:w="1480" w:type="dxa"/>
            <w:vAlign w:val="bottom"/>
          </w:tcPr>
          <w:p>
            <w:pPr>
              <w:ind w:left="200"/>
              <w:spacing w:after="0"/>
              <w:rPr>
                <w:sz w:val="20"/>
                <w:szCs w:val="20"/>
                <w:color w:val="auto"/>
              </w:rPr>
            </w:pPr>
            <w:r>
              <w:rPr>
                <w:rFonts w:ascii="Arial" w:cs="Arial" w:eastAsia="Arial" w:hAnsi="Arial"/>
                <w:sz w:val="18"/>
                <w:szCs w:val="18"/>
                <w:color w:val="auto"/>
                <w:w w:val="89"/>
              </w:rPr>
              <w:t>Washington, D.C.</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5858 Horton Street #455</w:t>
            </w:r>
          </w:p>
        </w:tc>
        <w:tc>
          <w:tcPr>
            <w:tcW w:w="3380" w:type="dxa"/>
            <w:vAlign w:val="bottom"/>
          </w:tcPr>
          <w:p>
            <w:pPr>
              <w:ind w:left="2260"/>
              <w:spacing w:after="0"/>
              <w:rPr>
                <w:sz w:val="20"/>
                <w:szCs w:val="20"/>
                <w:color w:val="auto"/>
              </w:rPr>
            </w:pPr>
            <w:r>
              <w:rPr>
                <w:rFonts w:ascii="Arial" w:cs="Arial" w:eastAsia="Arial" w:hAnsi="Arial"/>
                <w:sz w:val="18"/>
                <w:szCs w:val="18"/>
                <w:color w:val="auto"/>
              </w:rPr>
              <w:t>Milan</w:t>
            </w:r>
          </w:p>
        </w:tc>
        <w:tc>
          <w:tcPr>
            <w:tcW w:w="148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Emeryville, CA 94608</w:t>
            </w:r>
          </w:p>
        </w:tc>
        <w:tc>
          <w:tcPr>
            <w:tcW w:w="338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-2476500</wp:posOffset>
            </wp:positionV>
            <wp:extent cx="2031365"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2031365" cy="146050"/>
                    </a:xfrm>
                    <a:prstGeom prst="rect">
                      <a:avLst/>
                    </a:prstGeom>
                    <a:noFill/>
                  </pic:spPr>
                </pic:pic>
              </a:graphicData>
            </a:graphic>
          </wp:anchor>
        </w:drawing>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 set forth above: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special counsel to 4D Molecular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its filing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date hereof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registration statement on Form S-3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including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which provides that it will be supplemented by one or more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supplements (each such prospectus supplement, together with the Base Prospectus, a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registration for issue and sale by the Company of up to $300,000,000 aggregate offering price of (i) shares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$0.0001 par value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shares of one or more series of the Company’s preferred stock, $0.0001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(iii) one or more series of the Company’s debt securities (collectively,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to be issued under an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entered into between the Company, as issuer, and a third party to be identified therein as trustee (a form of which is included as Exhibit 4.3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and one or more board resolutions, supplements thereto or officer’s certificates thereunder (such indenture,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board resolution, supplement or officer’s certificate pertaining to the applicable series of Debt Securities, the “</w:t>
      </w:r>
      <w:r>
        <w:rPr>
          <w:rFonts w:ascii="Arial" w:cs="Arial" w:eastAsia="Arial" w:hAnsi="Arial"/>
          <w:sz w:val="16"/>
          <w:szCs w:val="16"/>
          <w:b w:val="1"/>
          <w:bCs w:val="1"/>
          <w:i w:val="1"/>
          <w:iCs w:val="1"/>
          <w:color w:val="auto"/>
        </w:rPr>
        <w:t>Applicable Indenture</w:t>
      </w:r>
      <w:r>
        <w:rPr>
          <w:rFonts w:ascii="Arial" w:cs="Arial" w:eastAsia="Arial" w:hAnsi="Arial"/>
          <w:sz w:val="16"/>
          <w:szCs w:val="16"/>
          <w:color w:val="auto"/>
        </w:rPr>
        <w:t>”), (iv)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(v) units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The Common Stock, Preferred Stock, Debt Securities, Warrants and Units, plus any additional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Preferred Stock, Debt Securities, Warrants and Units that may be registered pursuant to any subsequent registration statement that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hereafter file with the Commission pursuant to Rule 462(b) under the Act in connection with the offering by the Company contemplated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are referred to herein collectively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28, 2022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also have acted as special counsel to the Company in connection with the sale through Jefferies LLC as the sales agent (the “</w:t>
      </w:r>
      <w:r>
        <w:rPr>
          <w:rFonts w:ascii="Arial" w:cs="Arial" w:eastAsia="Arial" w:hAnsi="Arial"/>
          <w:sz w:val="16"/>
          <w:szCs w:val="16"/>
          <w:b w:val="1"/>
          <w:bCs w:val="1"/>
          <w:i w:val="1"/>
          <w:iCs w:val="1"/>
          <w:color w:val="auto"/>
        </w:rPr>
        <w:t>Sales Agent</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by the Company of shares of Common Stock (the “</w:t>
      </w:r>
      <w:r>
        <w:rPr>
          <w:rFonts w:ascii="Arial" w:cs="Arial" w:eastAsia="Arial" w:hAnsi="Arial"/>
          <w:sz w:val="17"/>
          <w:szCs w:val="17"/>
          <w:b w:val="1"/>
          <w:bCs w:val="1"/>
          <w:i w:val="1"/>
          <w:iCs w:val="1"/>
          <w:color w:val="auto"/>
        </w:rPr>
        <w:t>Sales Agreement Shares</w:t>
      </w:r>
      <w:r>
        <w:rPr>
          <w:rFonts w:ascii="Arial" w:cs="Arial" w:eastAsia="Arial" w:hAnsi="Arial"/>
          <w:sz w:val="17"/>
          <w:szCs w:val="17"/>
          <w:color w:val="auto"/>
        </w:rPr>
        <w:t>”) having an aggregate offering price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 pursuant to the Registration Statement, the Base Prospectus and the related prospectus supplement for the sale of the Sales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included in the Registration Statement (the Base Prospectus and such prospectus supplement, collectively, the “</w:t>
      </w:r>
      <w:r>
        <w:rPr>
          <w:rFonts w:ascii="Arial" w:cs="Arial" w:eastAsia="Arial" w:hAnsi="Arial"/>
          <w:sz w:val="16"/>
          <w:szCs w:val="16"/>
          <w:b w:val="1"/>
          <w:bCs w:val="1"/>
          <w:i w:val="1"/>
          <w:iCs w:val="1"/>
          <w:color w:val="auto"/>
        </w:rPr>
        <w:t>Sales Agreement Prospectus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that certain Open Market Sale Agreement dated as of March 28, 2022 between the Sales Agent and the Company (the “</w:t>
      </w:r>
      <w:r>
        <w:rPr>
          <w:rFonts w:ascii="Arial" w:cs="Arial" w:eastAsia="Arial" w:hAnsi="Arial"/>
          <w:sz w:val="17"/>
          <w:szCs w:val="17"/>
          <w:b w:val="1"/>
          <w:bCs w:val="1"/>
          <w:i w:val="1"/>
          <w:iCs w:val="1"/>
          <w:color w:val="auto"/>
        </w:rPr>
        <w:t>Sales Agreement</w:t>
      </w:r>
      <w:r>
        <w:rPr>
          <w:rFonts w:ascii="Arial" w:cs="Arial" w:eastAsia="Arial" w:hAnsi="Arial"/>
          <w:sz w:val="17"/>
          <w:szCs w:val="17"/>
          <w:color w:val="auto"/>
        </w:rPr>
        <w:t>”).</w:t>
      </w:r>
    </w:p>
    <w:p>
      <w:pPr>
        <w:spacing w:after="0" w:line="222"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or the Sales Agreement Prospectus, other than as expressly stated herein with respect to the issuance of the Securities, including the issuance of the Sales Agreement Shares.</w:t>
      </w:r>
    </w:p>
    <w:p>
      <w:pPr>
        <w:spacing w:after="0" w:line="14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131" w:lineRule="exact"/>
        <w:rPr>
          <w:sz w:val="20"/>
          <w:szCs w:val="20"/>
          <w:color w:val="auto"/>
        </w:rPr>
      </w:pPr>
    </w:p>
    <w:p>
      <w:pPr>
        <w:ind w:left="960" w:right="180" w:hanging="532"/>
        <w:spacing w:after="0" w:line="287" w:lineRule="auto"/>
        <w:tabs>
          <w:tab w:leader="none" w:pos="9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w:t>
      </w:r>
    </w:p>
    <w:p>
      <w:pPr>
        <w:spacing w:after="0" w:line="2" w:lineRule="exact"/>
        <w:rPr>
          <w:rFonts w:ascii="Arial" w:cs="Arial" w:eastAsia="Arial" w:hAnsi="Arial"/>
          <w:sz w:val="16"/>
          <w:szCs w:val="16"/>
          <w:color w:val="auto"/>
        </w:rPr>
      </w:pPr>
    </w:p>
    <w:p>
      <w:pPr>
        <w:ind w:left="960"/>
        <w:spacing w:after="0" w:line="253" w:lineRule="auto"/>
        <w:rPr>
          <w:rFonts w:ascii="Arial" w:cs="Arial" w:eastAsia="Arial" w:hAnsi="Arial"/>
          <w:sz w:val="16"/>
          <w:szCs w:val="16"/>
          <w:color w:val="auto"/>
        </w:rPr>
      </w:pPr>
      <w:r>
        <w:rPr>
          <w:rFonts w:ascii="Arial" w:cs="Arial" w:eastAsia="Arial" w:hAnsi="Arial"/>
          <w:sz w:val="18"/>
          <w:szCs w:val="18"/>
          <w:color w:val="auto"/>
        </w:rPr>
        <w:t>(i) available under the certificate of incorporation, and (ii)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w:t>
      </w:r>
    </w:p>
    <w:p>
      <w:pPr>
        <w:spacing w:after="0" w:line="98" w:lineRule="exact"/>
        <w:rPr>
          <w:rFonts w:ascii="Arial" w:cs="Arial" w:eastAsia="Arial" w:hAnsi="Arial"/>
          <w:sz w:val="16"/>
          <w:szCs w:val="16"/>
          <w:color w:val="auto"/>
        </w:rPr>
      </w:pPr>
    </w:p>
    <w:p>
      <w:pPr>
        <w:ind w:left="960" w:right="40" w:hanging="532"/>
        <w:spacing w:after="0" w:line="301" w:lineRule="auto"/>
        <w:tabs>
          <w:tab w:leader="none" w:pos="9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(i) available under the</w:t>
      </w:r>
    </w:p>
    <w:p>
      <w:pPr>
        <w:sectPr>
          <w:pgSz w:w="11900" w:h="16838" w:orient="portrait"/>
          <w:cols w:equalWidth="0" w:num="1">
            <w:col w:w="11020"/>
          </w:cols>
          <w:pgMar w:left="440" w:top="270" w:right="4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28, 2022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0" w:lineRule="exact"/>
        <w:rPr>
          <w:sz w:val="20"/>
          <w:szCs w:val="20"/>
          <w:color w:val="auto"/>
        </w:rPr>
      </w:pPr>
    </w:p>
    <w:p>
      <w:pPr>
        <w:spacing w:after="0" w:line="348"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certificate of incorporation, and (ii)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DGCL.</w:t>
      </w:r>
    </w:p>
    <w:p>
      <w:pPr>
        <w:spacing w:after="0" w:line="92" w:lineRule="exact"/>
        <w:rPr>
          <w:sz w:val="20"/>
          <w:szCs w:val="20"/>
          <w:color w:val="auto"/>
        </w:rPr>
      </w:pPr>
    </w:p>
    <w:p>
      <w:pPr>
        <w:ind w:left="960" w:right="80" w:hanging="532"/>
        <w:spacing w:after="0" w:line="273" w:lineRule="auto"/>
        <w:tabs>
          <w:tab w:leader="none" w:pos="9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83" w:lineRule="exact"/>
        <w:rPr>
          <w:rFonts w:ascii="Arial" w:cs="Arial" w:eastAsia="Arial" w:hAnsi="Arial"/>
          <w:sz w:val="17"/>
          <w:szCs w:val="17"/>
          <w:color w:val="auto"/>
        </w:rPr>
      </w:pPr>
    </w:p>
    <w:p>
      <w:pPr>
        <w:ind w:left="960" w:right="80" w:hanging="532"/>
        <w:spacing w:after="0" w:line="291" w:lineRule="auto"/>
        <w:tabs>
          <w:tab w:leader="none" w:pos="9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71" w:lineRule="exact"/>
        <w:rPr>
          <w:rFonts w:ascii="Arial" w:cs="Arial" w:eastAsia="Arial" w:hAnsi="Arial"/>
          <w:sz w:val="16"/>
          <w:szCs w:val="16"/>
          <w:color w:val="auto"/>
        </w:rPr>
      </w:pPr>
    </w:p>
    <w:p>
      <w:pPr>
        <w:ind w:left="960" w:right="20" w:hanging="532"/>
        <w:spacing w:after="0" w:line="291" w:lineRule="auto"/>
        <w:tabs>
          <w:tab w:leader="none" w:pos="9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71" w:lineRule="exact"/>
        <w:rPr>
          <w:rFonts w:ascii="Arial" w:cs="Arial" w:eastAsia="Arial" w:hAnsi="Arial"/>
          <w:sz w:val="16"/>
          <w:szCs w:val="16"/>
          <w:color w:val="auto"/>
        </w:rPr>
      </w:pPr>
    </w:p>
    <w:p>
      <w:pPr>
        <w:ind w:left="960" w:hanging="532"/>
        <w:spacing w:after="0" w:line="259"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Upon the completion of all Corporate Proceedings (as defined below) relating to the Sales Agreement Shares, when the Sales Agreement Shares shall have been duly registered on the books of the transfer agent and registrar therefor in the name or on behalf of the purchasers, and have been issued by the Company against payment therefor (not less than par value) in accordance with the Corporate Proceedings and the terms of</w:t>
      </w:r>
    </w:p>
    <w:p>
      <w:pPr>
        <w:sectPr>
          <w:pgSz w:w="11900" w:h="16838" w:orient="portrait"/>
          <w:cols w:equalWidth="0" w:num="1">
            <w:col w:w="11000"/>
          </w:cols>
          <w:pgMar w:left="440" w:top="270" w:right="459" w:bottom="1440" w:gutter="0" w:footer="0" w:header="0"/>
        </w:sectPr>
      </w:pPr>
    </w:p>
    <w:bookmarkStart w:id="151" w:name="page152"/>
    <w:bookmarkEnd w:id="15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28, 2022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4</w:t>
      </w:r>
    </w:p>
    <w:p>
      <w:pPr>
        <w:spacing w:after="0" w:line="200" w:lineRule="exact"/>
        <w:rPr>
          <w:sz w:val="20"/>
          <w:szCs w:val="20"/>
          <w:color w:val="auto"/>
        </w:rPr>
      </w:pPr>
    </w:p>
    <w:p>
      <w:pPr>
        <w:spacing w:after="0" w:line="348" w:lineRule="exact"/>
        <w:rPr>
          <w:sz w:val="20"/>
          <w:szCs w:val="20"/>
          <w:color w:val="auto"/>
        </w:rPr>
      </w:pPr>
    </w:p>
    <w:p>
      <w:pPr>
        <w:ind w:left="984" w:right="20"/>
        <w:spacing w:after="0" w:line="288" w:lineRule="auto"/>
        <w:rPr>
          <w:sz w:val="20"/>
          <w:szCs w:val="20"/>
          <w:color w:val="auto"/>
        </w:rPr>
      </w:pPr>
      <w:r>
        <w:rPr>
          <w:rFonts w:ascii="Arial" w:cs="Arial" w:eastAsia="Arial" w:hAnsi="Arial"/>
          <w:sz w:val="16"/>
          <w:szCs w:val="16"/>
          <w:color w:val="auto"/>
        </w:rPr>
        <w:t>the Sales Agreement, the issuance and sale of the Sales Agreement Shares will have been duly authorized by all necessary corporate action of the Company, and the Sales Agreement Shares will be validly issued, fully paid and nonassessable. In rendering the foregoing opinion, we have assumed that (i) the Company will comply with all applicable notice requirements regarding uncertificated shares provided in the DGCL, (ii) upon the issuance of any of the Sales Agreement Shares, the total number of shares of Common Stock issued and outstanding will not exceed the total number of shares of Common Stock that the Company is then authorized to issue under the Company’s certificate of incorporation and (iii) certain terms of the Sales Agreement Shares to be issued by the Company from time to time will be authorized and approved by the board of directors of the Company or one or more committees thereof established by the board of directors of the Company with the authority to issue and sell Sales Agreement Shares pursuant to the Sales Agreement in accordance with the DGCL, the Company’s certificate of incorporation, the bylaws of the Company and certain resolutions of the board of directors of the Company and one or more committees thereof (with such approvals referred to herein as the “</w:t>
      </w:r>
      <w:r>
        <w:rPr>
          <w:rFonts w:ascii="Arial" w:cs="Arial" w:eastAsia="Arial" w:hAnsi="Arial"/>
          <w:sz w:val="16"/>
          <w:szCs w:val="16"/>
          <w:b w:val="1"/>
          <w:bCs w:val="1"/>
          <w:i w:val="1"/>
          <w:iCs w:val="1"/>
          <w:color w:val="auto"/>
        </w:rPr>
        <w:t>Corporate Proceedings</w:t>
      </w:r>
      <w:r>
        <w:rPr>
          <w:rFonts w:ascii="Arial" w:cs="Arial" w:eastAsia="Arial" w:hAnsi="Arial"/>
          <w:sz w:val="16"/>
          <w:szCs w:val="16"/>
          <w:color w:val="auto"/>
        </w:rPr>
        <w:t>”) prior to issuance thereof. .</w:t>
      </w:r>
    </w:p>
    <w:p>
      <w:pPr>
        <w:spacing w:after="0" w:line="168"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Our opinions set forth in paragraphs 1 through 5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w:t>
      </w:r>
    </w:p>
    <w:p>
      <w:pPr>
        <w:spacing w:after="0" w:line="1" w:lineRule="exact"/>
        <w:rPr>
          <w:sz w:val="20"/>
          <w:szCs w:val="20"/>
          <w:color w:val="auto"/>
        </w:rPr>
      </w:pPr>
    </w:p>
    <w:p>
      <w:pPr>
        <w:ind w:left="4" w:right="80" w:hanging="4"/>
        <w:spacing w:after="0" w:line="253" w:lineRule="auto"/>
        <w:tabs>
          <w:tab w:leader="none" w:pos="30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ectPr>
          <w:pgSz w:w="11900" w:h="16838" w:orient="portrait"/>
          <w:cols w:equalWidth="0" w:num="1">
            <w:col w:w="11004"/>
          </w:cols>
          <w:pgMar w:left="436" w:top="270" w:right="459" w:bottom="1440" w:gutter="0" w:footer="0" w:header="0"/>
        </w:sectPr>
      </w:pPr>
    </w:p>
    <w:bookmarkStart w:id="152" w:name="page153"/>
    <w:bookmarkEnd w:id="15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March 28, 2022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5</w:t>
      </w:r>
    </w:p>
    <w:p>
      <w:pPr>
        <w:spacing w:after="0" w:line="200" w:lineRule="exact"/>
        <w:rPr>
          <w:sz w:val="20"/>
          <w:szCs w:val="20"/>
          <w:color w:val="auto"/>
        </w:rPr>
      </w:pPr>
    </w:p>
    <w:p>
      <w:pPr>
        <w:spacing w:after="0" w:line="348"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With your consent, we have assumed (i) that each of the Debt Securities, Warrants, Units, Applicable Indenture, warrant agreements and unit agreements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will be governed by the internal laws of the State of New York, (ii) that each of the Documents has been or will be duly authorized, executed and delivered by the parties thereto, (iii) that each of the Documents constitutes or will constitute legally valid and binding obligations of the parties thereto other than the Company, enforceable against each of them in accordance with their respective terms, and</w:t>
      </w:r>
    </w:p>
    <w:p>
      <w:pPr>
        <w:spacing w:after="0" w:line="1" w:lineRule="exact"/>
        <w:rPr>
          <w:sz w:val="20"/>
          <w:szCs w:val="20"/>
          <w:color w:val="auto"/>
        </w:rPr>
      </w:pPr>
    </w:p>
    <w:p>
      <w:pPr>
        <w:jc w:val="both"/>
        <w:ind w:left="4" w:hanging="4"/>
        <w:spacing w:after="0" w:line="277" w:lineRule="auto"/>
        <w:tabs>
          <w:tab w:leader="none" w:pos="30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that the status of each of the Documents as legally valid and binding obligations of the parties will not be affected by any (a) 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spacing w:after="0" w:line="173"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each of the Prospectus and the Sales Agreement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64"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984"/>
          </w:cols>
          <w:pgMar w:left="436" w:top="270" w:right="4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S-3 of 4D Molecular Therapeutics, Inc. of our report dated March 28, 2022 relating to the financial statements, which appears in 4D Molecular Therapeutics, Inc.’s Annual Report on Form 10-K for the year ended December 31, 2021. We also consent to the reference to us under the heading “Experts” in such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ectPr>
          <w:pgSz w:w="11900" w:h="16838" w:orient="portrait"/>
          <w:cols w:equalWidth="0" w:num="1">
            <w:col w:w="11020"/>
          </w:cols>
          <w:pgMar w:left="440" w:top="121" w:right="4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u w:val="single" w:color="auto"/>
          <w:color w:val="auto"/>
        </w:rPr>
        <w:t>4D Molecular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46"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1060" w:type="dxa"/>
            <w:vAlign w:val="bottom"/>
            <w:tcBorders>
              <w:top w:val="single" w:sz="8" w:color="auto"/>
              <w:left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Fee</w:t>
            </w:r>
          </w:p>
        </w:tc>
        <w:tc>
          <w:tcPr>
            <w:tcW w:w="6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Proposed</w:t>
            </w:r>
          </w:p>
        </w:tc>
        <w:tc>
          <w:tcPr>
            <w:tcW w:w="13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Carry</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Carry</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0"/>
              </w:rPr>
              <w:t>Calculation</w:t>
            </w:r>
          </w:p>
        </w:tc>
        <w:tc>
          <w:tcPr>
            <w:tcW w:w="6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3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9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5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88"/>
              </w:rPr>
              <w:t>Forward</w:t>
            </w:r>
          </w:p>
        </w:tc>
        <w:tc>
          <w:tcPr>
            <w:tcW w:w="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with Unsold</w:t>
            </w: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or Carry</w:t>
            </w:r>
          </w:p>
        </w:tc>
        <w:tc>
          <w:tcPr>
            <w:tcW w:w="6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9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Securities to</w:t>
            </w: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be Carried</w:t>
            </w:r>
          </w:p>
        </w:tc>
        <w:tc>
          <w:tcPr>
            <w:tcW w:w="0" w:type="dxa"/>
            <w:vAlign w:val="bottom"/>
          </w:tcPr>
          <w:p>
            <w:pPr>
              <w:spacing w:after="0"/>
              <w:rPr>
                <w:sz w:val="1"/>
                <w:szCs w:val="1"/>
                <w:color w:val="auto"/>
              </w:rPr>
            </w:pPr>
          </w:p>
        </w:tc>
      </w:tr>
      <w:tr>
        <w:trPr>
          <w:trHeight w:val="174"/>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Registered</w:t>
            </w:r>
          </w:p>
        </w:tc>
        <w:tc>
          <w:tcPr>
            <w:tcW w:w="4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Unit</w:t>
            </w:r>
          </w:p>
        </w:tc>
        <w:tc>
          <w:tcPr>
            <w:tcW w:w="13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3"/>
                <w:szCs w:val="13"/>
                <w:color w:val="auto"/>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Forward</w:t>
            </w:r>
          </w:p>
        </w:tc>
        <w:tc>
          <w:tcPr>
            <w:tcW w:w="0" w:type="dxa"/>
            <w:vAlign w:val="bottom"/>
          </w:tcPr>
          <w:p>
            <w:pPr>
              <w:spacing w:after="0"/>
              <w:rPr>
                <w:sz w:val="1"/>
                <w:szCs w:val="1"/>
                <w:color w:val="auto"/>
              </w:rPr>
            </w:pPr>
          </w:p>
        </w:tc>
      </w:tr>
      <w:tr>
        <w:trPr>
          <w:trHeight w:val="231"/>
        </w:trPr>
        <w:tc>
          <w:tcPr>
            <w:tcW w:w="106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Newly Registered Securities</w:t>
            </w:r>
          </w:p>
        </w:tc>
        <w:tc>
          <w:tcPr>
            <w:tcW w:w="1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Fees to Be</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restart"/>
          </w:tcPr>
          <w:p>
            <w:pPr>
              <w:jc w:val="center"/>
              <w:ind w:left="10"/>
              <w:spacing w:after="0"/>
              <w:rPr>
                <w:sz w:val="20"/>
                <w:szCs w:val="20"/>
                <w:color w:val="auto"/>
              </w:rPr>
            </w:pPr>
            <w:r>
              <w:rPr>
                <w:rFonts w:ascii="Arial" w:cs="Arial" w:eastAsia="Arial" w:hAnsi="Arial"/>
                <w:sz w:val="18"/>
                <w:szCs w:val="18"/>
                <w:color w:val="auto"/>
                <w:w w:val="88"/>
              </w:rPr>
              <w:t>Paid</w:t>
            </w:r>
          </w:p>
        </w:tc>
        <w:tc>
          <w:tcPr>
            <w:tcW w:w="96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7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Equity</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par</w:t>
            </w:r>
          </w:p>
        </w:tc>
        <w:tc>
          <w:tcPr>
            <w:tcW w:w="720" w:type="dxa"/>
            <w:vAlign w:val="bottom"/>
            <w:tcBorders>
              <w:right w:val="single" w:sz="8" w:color="auto"/>
            </w:tcBorders>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w w:val="98"/>
              </w:rPr>
              <w:t>(1)(2)</w:t>
            </w: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5"/>
                <w:szCs w:val="15"/>
                <w:color w:val="auto"/>
              </w:rPr>
              <w:t>(1)</w:t>
            </w:r>
          </w:p>
        </w:tc>
        <w:tc>
          <w:tcPr>
            <w:tcW w:w="1300" w:type="dxa"/>
            <w:vAlign w:val="bottom"/>
            <w:tcBorders>
              <w:right w:val="single" w:sz="8" w:color="auto"/>
            </w:tcBorders>
            <w:vMerge w:val="restart"/>
          </w:tcPr>
          <w:p>
            <w:pPr>
              <w:ind w:left="560"/>
              <w:spacing w:after="0"/>
              <w:rPr>
                <w:sz w:val="20"/>
                <w:szCs w:val="20"/>
                <w:color w:val="auto"/>
              </w:rPr>
            </w:pPr>
            <w:r>
              <w:rPr>
                <w:rFonts w:ascii="Arial" w:cs="Arial" w:eastAsia="Arial" w:hAnsi="Arial"/>
                <w:sz w:val="15"/>
                <w:szCs w:val="15"/>
                <w:color w:val="auto"/>
              </w:rPr>
              <w:t>(3)</w:t>
            </w: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value $0.0001</w:t>
            </w:r>
          </w:p>
        </w:tc>
        <w:tc>
          <w:tcPr>
            <w:tcW w:w="720" w:type="dxa"/>
            <w:vAlign w:val="bottom"/>
            <w:tcBorders>
              <w:right w:val="single" w:sz="8" w:color="auto"/>
            </w:tcBorders>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7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Preferred</w:t>
            </w:r>
          </w:p>
        </w:tc>
        <w:tc>
          <w:tcPr>
            <w:tcW w:w="7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Equity</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par</w:t>
            </w:r>
          </w:p>
        </w:tc>
        <w:tc>
          <w:tcPr>
            <w:tcW w:w="720" w:type="dxa"/>
            <w:vAlign w:val="bottom"/>
            <w:tcBorders>
              <w:right w:val="single" w:sz="8" w:color="auto"/>
            </w:tcBorders>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w w:val="98"/>
              </w:rPr>
              <w:t>(1)(2)</w:t>
            </w: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5"/>
                <w:szCs w:val="15"/>
                <w:color w:val="auto"/>
              </w:rPr>
              <w:t>(1)</w:t>
            </w:r>
          </w:p>
        </w:tc>
        <w:tc>
          <w:tcPr>
            <w:tcW w:w="1300" w:type="dxa"/>
            <w:vAlign w:val="bottom"/>
            <w:tcBorders>
              <w:right w:val="single" w:sz="8" w:color="auto"/>
            </w:tcBorders>
            <w:vMerge w:val="restart"/>
          </w:tcPr>
          <w:p>
            <w:pPr>
              <w:ind w:left="560"/>
              <w:spacing w:after="0"/>
              <w:rPr>
                <w:sz w:val="20"/>
                <w:szCs w:val="20"/>
                <w:color w:val="auto"/>
              </w:rPr>
            </w:pPr>
            <w:r>
              <w:rPr>
                <w:rFonts w:ascii="Arial" w:cs="Arial" w:eastAsia="Arial" w:hAnsi="Arial"/>
                <w:sz w:val="15"/>
                <w:szCs w:val="15"/>
                <w:color w:val="auto"/>
              </w:rPr>
              <w:t>(3)</w:t>
            </w: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value $0.0001</w:t>
            </w:r>
          </w:p>
        </w:tc>
        <w:tc>
          <w:tcPr>
            <w:tcW w:w="720" w:type="dxa"/>
            <w:vAlign w:val="bottom"/>
            <w:tcBorders>
              <w:right w:val="single" w:sz="8" w:color="auto"/>
            </w:tcBorders>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7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Debt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720" w:type="dxa"/>
            <w:vAlign w:val="bottom"/>
            <w:tcBorders>
              <w:right w:val="single" w:sz="8" w:color="auto"/>
            </w:tcBorders>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w w:val="87"/>
              </w:rPr>
              <w:t>(1)</w:t>
            </w: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5"/>
                <w:szCs w:val="15"/>
                <w:color w:val="auto"/>
              </w:rPr>
              <w:t>(1)</w:t>
            </w:r>
          </w:p>
        </w:tc>
        <w:tc>
          <w:tcPr>
            <w:tcW w:w="1300" w:type="dxa"/>
            <w:vAlign w:val="bottom"/>
            <w:tcBorders>
              <w:right w:val="single" w:sz="8" w:color="auto"/>
            </w:tcBorders>
            <w:vMerge w:val="restart"/>
          </w:tcPr>
          <w:p>
            <w:pPr>
              <w:ind w:left="560"/>
              <w:spacing w:after="0"/>
              <w:rPr>
                <w:sz w:val="20"/>
                <w:szCs w:val="20"/>
                <w:color w:val="auto"/>
              </w:rPr>
            </w:pPr>
            <w:r>
              <w:rPr>
                <w:rFonts w:ascii="Arial" w:cs="Arial" w:eastAsia="Arial" w:hAnsi="Arial"/>
                <w:sz w:val="15"/>
                <w:szCs w:val="15"/>
                <w:color w:val="auto"/>
              </w:rPr>
              <w:t>(3)</w:t>
            </w: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Securities</w:t>
            </w:r>
          </w:p>
        </w:tc>
        <w:tc>
          <w:tcPr>
            <w:tcW w:w="720" w:type="dxa"/>
            <w:vAlign w:val="bottom"/>
            <w:tcBorders>
              <w:right w:val="single" w:sz="8" w:color="auto"/>
            </w:tcBorders>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auto"/>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7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(1)</w:t>
            </w: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(1)</w:t>
            </w:r>
          </w:p>
        </w:tc>
        <w:tc>
          <w:tcPr>
            <w:tcW w:w="13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(3)</w:t>
            </w: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Units</w:t>
            </w:r>
          </w:p>
        </w:tc>
        <w:tc>
          <w:tcPr>
            <w:tcW w:w="7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(1)</w:t>
            </w: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(1)</w:t>
            </w:r>
          </w:p>
        </w:tc>
        <w:tc>
          <w:tcPr>
            <w:tcW w:w="13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(3)</w:t>
            </w: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Unallocated</w:t>
            </w:r>
          </w:p>
        </w:tc>
        <w:tc>
          <w:tcPr>
            <w:tcW w:w="11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Rule</w:t>
            </w:r>
          </w:p>
        </w:tc>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(Universal)</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auto"/>
            </w:tcBorders>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w w:val="87"/>
              </w:rPr>
              <w:t>(1)</w:t>
            </w:r>
          </w:p>
        </w:tc>
        <w:tc>
          <w:tcPr>
            <w:tcW w:w="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5"/>
                <w:szCs w:val="15"/>
                <w:color w:val="auto"/>
              </w:rPr>
              <w:t>(1)</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$300,000,000</w:t>
            </w:r>
            <w:r>
              <w:rPr>
                <w:rFonts w:ascii="Arial" w:cs="Arial" w:eastAsia="Arial" w:hAnsi="Arial"/>
                <w:sz w:val="15"/>
                <w:szCs w:val="15"/>
                <w:color w:val="auto"/>
                <w:w w:val="90"/>
              </w:rPr>
              <w:t>(3)</w:t>
            </w: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$0.0000927</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$27,810.00</w:t>
            </w:r>
            <w:r>
              <w:rPr>
                <w:rFonts w:ascii="Arial" w:cs="Arial" w:eastAsia="Arial" w:hAnsi="Arial"/>
                <w:sz w:val="15"/>
                <w:szCs w:val="15"/>
                <w:color w:val="auto"/>
                <w:w w:val="90"/>
              </w:rPr>
              <w:t>(4)</w:t>
            </w:r>
          </w:p>
        </w:tc>
        <w:tc>
          <w:tcPr>
            <w:tcW w:w="52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457(o)</w:t>
            </w:r>
          </w:p>
        </w:tc>
        <w:tc>
          <w:tcPr>
            <w:tcW w:w="600" w:type="dxa"/>
            <w:vAlign w:val="bottom"/>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Shelf</w:t>
            </w:r>
          </w:p>
        </w:tc>
        <w:tc>
          <w:tcPr>
            <w:tcW w:w="11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auto"/>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Carry Forward Securities</w:t>
            </w: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Carry</w:t>
            </w:r>
          </w:p>
        </w:tc>
        <w:tc>
          <w:tcPr>
            <w:tcW w:w="9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Forward</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1"/>
              </w:rPr>
              <w:t>Securities</w:t>
            </w:r>
          </w:p>
        </w:tc>
        <w:tc>
          <w:tcPr>
            <w:tcW w:w="9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$300,000,000</w:t>
            </w: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w w:val="95"/>
              </w:rPr>
              <w:t>$27,810.00</w:t>
            </w:r>
          </w:p>
        </w:tc>
        <w:tc>
          <w:tcPr>
            <w:tcW w:w="5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Total Fees Previously Paid</w:t>
            </w: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Total Fee Offsets</w:t>
            </w: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Net Fee Due</w:t>
            </w: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w w:val="95"/>
              </w:rPr>
              <w:t>$27,810.00</w:t>
            </w:r>
          </w:p>
        </w:tc>
        <w:tc>
          <w:tcPr>
            <w:tcW w:w="5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60" w:hanging="424"/>
        <w:spacing w:after="0" w:line="254" w:lineRule="auto"/>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2" w:lineRule="exact"/>
        <w:rPr>
          <w:rFonts w:ascii="Arial" w:cs="Arial" w:eastAsia="Arial" w:hAnsi="Arial"/>
          <w:sz w:val="18"/>
          <w:szCs w:val="18"/>
          <w:color w:val="auto"/>
        </w:rPr>
      </w:pPr>
    </w:p>
    <w:p>
      <w:pPr>
        <w:ind w:left="424" w:right="260" w:hanging="424"/>
        <w:spacing w:after="0" w:line="250" w:lineRule="auto"/>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Includes rights to acquire common stock or preferred stock of the Company under any shareholder rights plan then in effect, if applicable under the terms of any such plan.</w:t>
      </w:r>
    </w:p>
    <w:p>
      <w:pPr>
        <w:ind w:left="424" w:right="60" w:hanging="424"/>
        <w:spacing w:after="0" w:line="281" w:lineRule="auto"/>
        <w:tabs>
          <w:tab w:leader="none" w:pos="42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No separate consideration will be received for shares of common stock that are issued upon conversion of debt securities, depositary shares or preferred stock or upon exercise of common stock warrants registered hereunder. The aggregate maximum offering price of all securities issued pursuant to this registration statement will not exceed $300,000,000.</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1)"/>
      <w:numFmt w:val="decimal"/>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2">
    <w:nsid w:val="2DF6D648"/>
    <w:multiLevelType w:val="hybridMultilevel"/>
    <w:lvl w:ilvl="0">
      <w:lvlJc w:val="left"/>
      <w:lvlText w:val="(%1)"/>
      <w:numFmt w:val="decimal"/>
      <w:start w:val="2"/>
    </w:lvl>
  </w:abstractNum>
  <w:abstractNum w:abstractNumId="43">
    <w:nsid w:val="46B7D447"/>
    <w:multiLevelType w:val="hybridMultilevel"/>
    <w:lvl w:ilvl="0">
      <w:lvlJc w:val="left"/>
      <w:lvlText w:val="(%1)"/>
      <w:numFmt w:val="decimal"/>
      <w:start w:val="5"/>
    </w:lvl>
    <w:lvl w:ilvl="1">
      <w:lvlJc w:val="left"/>
      <w:lvlText w:val="(%2)"/>
      <w:numFmt w:val="upperLetter"/>
      <w:start w:val="1"/>
    </w:lvl>
  </w:abstractNum>
  <w:abstractNum w:abstractNumId="44">
    <w:nsid w:val="4A2AC315"/>
    <w:multiLevelType w:val="hybridMultilevel"/>
    <w:lvl w:ilvl="0">
      <w:lvlJc w:val="left"/>
      <w:lvlText w:val="(%1)"/>
      <w:numFmt w:val="decimal"/>
      <w:start w:val="6"/>
    </w:lvl>
  </w:abstractNum>
  <w:abstractNum w:abstractNumId="45">
    <w:nsid w:val="39EE015C"/>
    <w:multiLevelType w:val="hybridMultilevel"/>
    <w:lvl w:ilvl="0">
      <w:lvlJc w:val="left"/>
      <w:lvlText w:val="%1"/>
      <w:numFmt w:val="lowerLetter"/>
      <w:start w:val="1"/>
    </w:lvl>
    <w:lvl w:ilvl="1">
      <w:lvlJc w:val="left"/>
      <w:lvlText w:val="(%2)"/>
      <w:numFmt w:val="lowerRoman"/>
      <w:start w:val="1"/>
    </w:lvl>
  </w:abstractNum>
  <w:abstractNum w:abstractNumId="46">
    <w:nsid w:val="57FC4FBB"/>
    <w:multiLevelType w:val="hybridMultilevel"/>
    <w:lvl w:ilvl="0">
      <w:lvlJc w:val="left"/>
      <w:lvlText w:val="(%1)"/>
      <w:numFmt w:val="lowerLetter"/>
      <w:start w:val="2"/>
    </w:lvl>
    <w:lvl w:ilvl="1">
      <w:lvlJc w:val="left"/>
      <w:lvlText w:val="%2"/>
      <w:numFmt w:val="lowerRoman"/>
      <w:start w:val="1"/>
    </w:lvl>
  </w:abstractNum>
  <w:abstractNum w:abstractNumId="47">
    <w:nsid w:val="CC1016F"/>
    <w:multiLevelType w:val="hybridMultilevel"/>
    <w:lvl w:ilvl="0">
      <w:lvlJc w:val="left"/>
      <w:lvlText w:val="(%1)"/>
      <w:numFmt w:val="lowerLetter"/>
      <w:start w:val="8"/>
    </w:lvl>
  </w:abstractNum>
  <w:abstractNum w:abstractNumId="48">
    <w:nsid w:val="43F18422"/>
    <w:multiLevelType w:val="hybridMultilevel"/>
    <w:lvl w:ilvl="0">
      <w:lvlJc w:val="left"/>
      <w:lvlText w:val="(%1)"/>
      <w:numFmt w:val="lowerLetter"/>
      <w:start w:val="10"/>
    </w:lvl>
  </w:abstractNum>
  <w:abstractNum w:abstractNumId="49">
    <w:nsid w:val="60EF0119"/>
    <w:multiLevelType w:val="hybridMultilevel"/>
    <w:lvl w:ilvl="0">
      <w:lvlJc w:val="left"/>
      <w:lvlText w:val="(%1)"/>
      <w:numFmt w:val="lowerLetter"/>
      <w:start w:val="1"/>
    </w:lvl>
  </w:abstractNum>
  <w:abstractNum w:abstractNumId="50">
    <w:nsid w:val="26F324BA"/>
    <w:multiLevelType w:val="hybridMultilevel"/>
    <w:lvl w:ilvl="0">
      <w:lvlJc w:val="left"/>
      <w:lvlText w:val="(%1)"/>
      <w:numFmt w:val="decimal"/>
      <w:start w:val="3"/>
    </w:lvl>
    <w:lvl w:ilvl="1">
      <w:lvlJc w:val="left"/>
      <w:lvlText w:val="(%2)"/>
      <w:numFmt w:val="lowerLetter"/>
      <w:start w:val="1"/>
    </w:lvl>
  </w:abstractNum>
  <w:abstractNum w:abstractNumId="51">
    <w:nsid w:val="7F01579B"/>
    <w:multiLevelType w:val="hybridMultilevel"/>
    <w:lvl w:ilvl="0">
      <w:lvlJc w:val="left"/>
      <w:lvlText w:val="(%1)"/>
      <w:numFmt w:val="lowerLetter"/>
      <w:start w:val="2"/>
    </w:lvl>
  </w:abstractNum>
  <w:abstractNum w:abstractNumId="52">
    <w:nsid w:val="49DA307D"/>
    <w:multiLevelType w:val="hybridMultilevel"/>
    <w:lvl w:ilvl="0">
      <w:lvlJc w:val="left"/>
      <w:lvlText w:val="(%1)"/>
      <w:numFmt w:val="lowerLetter"/>
      <w:start w:val="3"/>
    </w:lvl>
  </w:abstractNum>
  <w:abstractNum w:abstractNumId="53">
    <w:nsid w:val="7055A5F5"/>
    <w:multiLevelType w:val="hybridMultilevel"/>
    <w:lvl w:ilvl="0">
      <w:lvlJc w:val="left"/>
      <w:lvlText w:val="(%1)"/>
      <w:numFmt w:val="lowerLetter"/>
      <w:start w:val="7"/>
    </w:lvl>
  </w:abstractNum>
  <w:abstractNum w:abstractNumId="54">
    <w:nsid w:val="5FB8370B"/>
    <w:multiLevelType w:val="hybridMultilevel"/>
    <w:lvl w:ilvl="0">
      <w:lvlJc w:val="left"/>
      <w:lvlText w:val="(%1)"/>
      <w:numFmt w:val="lowerLetter"/>
      <w:start w:val="10"/>
    </w:lvl>
  </w:abstractNum>
  <w:abstractNum w:abstractNumId="55">
    <w:nsid w:val="50801EE1"/>
    <w:multiLevelType w:val="hybridMultilevel"/>
    <w:lvl w:ilvl="0">
      <w:lvlJc w:val="left"/>
      <w:lvlText w:val="%1"/>
      <w:numFmt w:val="upperLetter"/>
      <w:start w:val="1"/>
    </w:lvl>
    <w:lvl w:ilvl="1">
      <w:lvlJc w:val="left"/>
      <w:lvlText w:val="(%2)"/>
      <w:numFmt w:val="lowerLetter"/>
      <w:start w:val="14"/>
    </w:lvl>
  </w:abstractNum>
  <w:abstractNum w:abstractNumId="56">
    <w:nsid w:val="488AC1A"/>
    <w:multiLevelType w:val="hybridMultilevel"/>
    <w:lvl w:ilvl="0">
      <w:lvlJc w:val="left"/>
      <w:lvlText w:val="(%1)"/>
      <w:numFmt w:val="upperLetter"/>
      <w:start w:val="1"/>
    </w:lvl>
    <w:lvl w:ilvl="1">
      <w:lvlJc w:val="left"/>
      <w:lvlText w:val="(%2)"/>
      <w:numFmt w:val="lowerLetter"/>
      <w:start w:val="19"/>
    </w:lvl>
  </w:abstractNum>
  <w:abstractNum w:abstractNumId="57">
    <w:nsid w:val="5FB8011C"/>
    <w:multiLevelType w:val="hybridMultilevel"/>
    <w:lvl w:ilvl="0">
      <w:lvlJc w:val="left"/>
      <w:lvlText w:val="%1"/>
      <w:numFmt w:val="lowerLetter"/>
      <w:start w:val="1"/>
    </w:lvl>
    <w:lvl w:ilvl="1">
      <w:lvlJc w:val="left"/>
      <w:lvlText w:val="(%2)"/>
      <w:numFmt w:val="lowerLetter"/>
      <w:start w:val="21"/>
    </w:lvl>
  </w:abstractNum>
  <w:abstractNum w:abstractNumId="58">
    <w:nsid w:val="6AA78F7F"/>
    <w:multiLevelType w:val="hybridMultilevel"/>
    <w:lvl w:ilvl="0">
      <w:lvlJc w:val="left"/>
      <w:lvlText w:val="(%1)"/>
      <w:numFmt w:val="lowerLetter"/>
      <w:start w:val="35"/>
    </w:lvl>
    <w:lvl w:ilvl="1">
      <w:lvlJc w:val="left"/>
      <w:lvlText w:val="(%2)"/>
      <w:numFmt w:val="lowerLetter"/>
      <w:start w:val="23"/>
    </w:lvl>
  </w:abstractNum>
  <w:abstractNum w:abstractNumId="59">
    <w:nsid w:val="7672BD23"/>
    <w:multiLevelType w:val="hybridMultilevel"/>
    <w:lvl w:ilvl="0">
      <w:lvlJc w:val="left"/>
      <w:lvlText w:val="(%1)"/>
      <w:numFmt w:val="lowerLetter"/>
      <w:start w:val="25"/>
    </w:lvl>
  </w:abstractNum>
  <w:abstractNum w:abstractNumId="60">
    <w:nsid w:val="6FC75AF8"/>
    <w:multiLevelType w:val="hybridMultilevel"/>
    <w:lvl w:ilvl="0">
      <w:lvlJc w:val="left"/>
      <w:lvlText w:val="(%1)"/>
      <w:numFmt w:val="lowerLetter"/>
      <w:start w:val="27"/>
    </w:lvl>
  </w:abstractNum>
  <w:abstractNum w:abstractNumId="61">
    <w:nsid w:val="6A5F7029"/>
    <w:multiLevelType w:val="hybridMultilevel"/>
    <w:lvl w:ilvl="0">
      <w:lvlJc w:val="left"/>
      <w:lvlText w:val="§"/>
      <w:numFmt w:val="bullet"/>
      <w:start w:val="1"/>
    </w:lvl>
    <w:lvl w:ilvl="1">
      <w:lvlJc w:val="left"/>
      <w:lvlText w:val="(%2)"/>
      <w:numFmt w:val="lowerLetter"/>
      <w:start w:val="30"/>
    </w:lvl>
  </w:abstractNum>
  <w:abstractNum w:abstractNumId="62">
    <w:nsid w:val="7D5E18F8"/>
    <w:multiLevelType w:val="hybridMultilevel"/>
    <w:lvl w:ilvl="0">
      <w:lvlJc w:val="left"/>
      <w:lvlText w:val="(%1)"/>
      <w:numFmt w:val="lowerLetter"/>
      <w:start w:val="32"/>
    </w:lvl>
  </w:abstractNum>
  <w:abstractNum w:abstractNumId="63">
    <w:nsid w:val="5F3534A4"/>
    <w:multiLevelType w:val="hybridMultilevel"/>
    <w:lvl w:ilvl="0">
      <w:lvlJc w:val="left"/>
      <w:lvlText w:val="(%1)"/>
      <w:numFmt w:val="lowerLetter"/>
      <w:start w:val="36"/>
    </w:lvl>
  </w:abstractNum>
  <w:abstractNum w:abstractNumId="64">
    <w:nsid w:val="73A1821B"/>
    <w:multiLevelType w:val="hybridMultilevel"/>
    <w:lvl w:ilvl="0">
      <w:lvlJc w:val="left"/>
      <w:lvlText w:val="(%1)"/>
      <w:numFmt w:val="lowerLetter"/>
      <w:start w:val="37"/>
    </w:lvl>
  </w:abstractNum>
  <w:abstractNum w:abstractNumId="65">
    <w:nsid w:val="7DE67713"/>
    <w:multiLevelType w:val="hybridMultilevel"/>
    <w:lvl w:ilvl="0">
      <w:lvlJc w:val="left"/>
      <w:lvlText w:val="(%1)"/>
      <w:numFmt w:val="lowerLetter"/>
      <w:start w:val="40"/>
    </w:lvl>
  </w:abstractNum>
  <w:abstractNum w:abstractNumId="66">
    <w:nsid w:val="555C55B5"/>
    <w:multiLevelType w:val="hybridMultilevel"/>
    <w:lvl w:ilvl="0">
      <w:lvlJc w:val="left"/>
      <w:lvlText w:val="(%1)"/>
      <w:numFmt w:val="lowerLetter"/>
      <w:start w:val="45"/>
    </w:lvl>
  </w:abstractNum>
  <w:abstractNum w:abstractNumId="67">
    <w:nsid w:val="3FA62ACA"/>
    <w:multiLevelType w:val="hybridMultilevel"/>
    <w:lvl w:ilvl="0">
      <w:lvlJc w:val="left"/>
      <w:lvlText w:val="(%1)"/>
      <w:numFmt w:val="lowerLetter"/>
      <w:start w:val="50"/>
    </w:lvl>
  </w:abstractNum>
  <w:abstractNum w:abstractNumId="68">
    <w:nsid w:val="14FCE74E"/>
    <w:multiLevelType w:val="hybridMultilevel"/>
    <w:lvl w:ilvl="0">
      <w:lvlJc w:val="left"/>
      <w:lvlText w:val="(%1)"/>
      <w:numFmt w:val="lowerLetter"/>
      <w:start w:val="1"/>
    </w:lvl>
  </w:abstractNum>
  <w:abstractNum w:abstractNumId="69">
    <w:nsid w:val="6A3DD3E8"/>
    <w:multiLevelType w:val="hybridMultilevel"/>
    <w:lvl w:ilvl="0">
      <w:lvlJc w:val="left"/>
      <w:lvlText w:val="(%1)"/>
      <w:numFmt w:val="lowerLetter"/>
      <w:start w:val="2"/>
    </w:lvl>
  </w:abstractNum>
  <w:abstractNum w:abstractNumId="70">
    <w:nsid w:val="71C91298"/>
    <w:multiLevelType w:val="hybridMultilevel"/>
    <w:lvl w:ilvl="0">
      <w:lvlJc w:val="left"/>
      <w:lvlText w:val="%1"/>
      <w:numFmt w:val="upperLetter"/>
      <w:start w:val="1"/>
    </w:lvl>
    <w:lvl w:ilvl="1">
      <w:lvlJc w:val="left"/>
      <w:lvlText w:val="(%2)"/>
      <w:numFmt w:val="lowerRoman"/>
      <w:start w:val="1"/>
    </w:lvl>
  </w:abstractNum>
  <w:abstractNum w:abstractNumId="71">
    <w:nsid w:val="9DAF632"/>
    <w:multiLevelType w:val="hybridMultilevel"/>
    <w:lvl w:ilvl="0">
      <w:lvlJc w:val="left"/>
      <w:lvlText w:val="(%1)"/>
      <w:numFmt w:val="upperLetter"/>
      <w:start w:val="9"/>
    </w:lvl>
    <w:lvl w:ilvl="1">
      <w:lvlJc w:val="left"/>
      <w:lvlText w:val="(%2)"/>
      <w:numFmt w:val="lowerRoman"/>
      <w:start w:val="2"/>
    </w:lvl>
  </w:abstractNum>
  <w:abstractNum w:abstractNumId="72">
    <w:nsid w:val="53299938"/>
    <w:multiLevelType w:val="hybridMultilevel"/>
    <w:lvl w:ilvl="0">
      <w:lvlJc w:val="left"/>
      <w:lvlText w:val="%1"/>
      <w:numFmt w:val="lowerRoman"/>
      <w:start w:val="1"/>
    </w:lvl>
    <w:lvl w:ilvl="1">
      <w:lvlJc w:val="left"/>
      <w:lvlText w:val="(%2)"/>
      <w:numFmt w:val="lowerRoman"/>
      <w:start w:val="6"/>
    </w:lvl>
  </w:abstractNum>
  <w:abstractNum w:abstractNumId="73">
    <w:nsid w:val="1FBFE8E0"/>
    <w:multiLevelType w:val="hybridMultilevel"/>
    <w:lvl w:ilvl="0">
      <w:lvlJc w:val="left"/>
      <w:lvlText w:val="(%1)"/>
      <w:numFmt w:val="lowerRoman"/>
      <w:start w:val="5"/>
    </w:lvl>
    <w:lvl w:ilvl="1">
      <w:lvlJc w:val="left"/>
      <w:lvlText w:val="(%2)"/>
      <w:numFmt w:val="lowerRoman"/>
      <w:start w:val="7"/>
    </w:lvl>
  </w:abstractNum>
  <w:abstractNum w:abstractNumId="74">
    <w:nsid w:val="5092CA79"/>
    <w:multiLevelType w:val="hybridMultilevel"/>
    <w:lvl w:ilvl="0">
      <w:lvlJc w:val="left"/>
      <w:lvlText w:val="(%1)"/>
      <w:numFmt w:val="lowerLetter"/>
      <w:start w:val="3"/>
    </w:lvl>
  </w:abstractNum>
  <w:abstractNum w:abstractNumId="75">
    <w:nsid w:val="1D545C4D"/>
    <w:multiLevelType w:val="hybridMultilevel"/>
    <w:lvl w:ilvl="0">
      <w:lvlJc w:val="left"/>
      <w:lvlText w:val="(%1)"/>
      <w:numFmt w:val="lowerRoman"/>
      <w:start w:val="5"/>
    </w:lvl>
  </w:abstractNum>
  <w:abstractNum w:abstractNumId="76">
    <w:nsid w:val="59ADEA3D"/>
    <w:multiLevelType w:val="hybridMultilevel"/>
    <w:lvl w:ilvl="0">
      <w:lvlJc w:val="left"/>
      <w:lvlText w:val="(%1)"/>
      <w:numFmt w:val="lowerLetter"/>
      <w:start w:val="1"/>
    </w:lvl>
  </w:abstractNum>
  <w:abstractNum w:abstractNumId="77">
    <w:nsid w:val="288F1A34"/>
    <w:multiLevelType w:val="hybridMultilevel"/>
    <w:lvl w:ilvl="0">
      <w:lvlJc w:val="left"/>
      <w:lvlText w:val="(%1)"/>
      <w:numFmt w:val="lowerLetter"/>
      <w:start w:val="2"/>
    </w:lvl>
  </w:abstractNum>
  <w:abstractNum w:abstractNumId="78">
    <w:nsid w:val="2A155DBC"/>
    <w:multiLevelType w:val="hybridMultilevel"/>
    <w:lvl w:ilvl="0">
      <w:lvlJc w:val="left"/>
      <w:lvlText w:val="(%1)"/>
      <w:numFmt w:val="lowerLetter"/>
      <w:start w:val="4"/>
    </w:lvl>
  </w:abstractNum>
  <w:abstractNum w:abstractNumId="79">
    <w:nsid w:val="1D9F6E5F"/>
    <w:multiLevelType w:val="hybridMultilevel"/>
    <w:lvl w:ilvl="0">
      <w:lvlJc w:val="left"/>
      <w:lvlText w:val="(%1)"/>
      <w:numFmt w:val="lowerLetter"/>
      <w:start w:val="8"/>
    </w:lvl>
  </w:abstractNum>
  <w:abstractNum w:abstractNumId="80">
    <w:nsid w:val="97E1B4E"/>
    <w:multiLevelType w:val="hybridMultilevel"/>
    <w:lvl w:ilvl="0">
      <w:lvlJc w:val="left"/>
      <w:lvlText w:val="(%1)"/>
      <w:numFmt w:val="lowerLetter"/>
      <w:start w:val="11"/>
    </w:lvl>
  </w:abstractNum>
  <w:abstractNum w:abstractNumId="81">
    <w:nsid w:val="51088277"/>
    <w:multiLevelType w:val="hybridMultilevel"/>
    <w:lvl w:ilvl="0">
      <w:lvlJc w:val="left"/>
      <w:lvlText w:val="(%1)"/>
      <w:numFmt w:val="upperLetter"/>
      <w:start w:val="1"/>
    </w:lvl>
  </w:abstractNum>
  <w:abstractNum w:abstractNumId="82">
    <w:nsid w:val="1CA0C5FA"/>
    <w:multiLevelType w:val="hybridMultilevel"/>
    <w:lvl w:ilvl="0">
      <w:lvlJc w:val="left"/>
      <w:lvlText w:val="(%1)"/>
      <w:numFmt w:val="lowerLetter"/>
      <w:start w:val="16"/>
    </w:lvl>
  </w:abstractNum>
  <w:abstractNum w:abstractNumId="83">
    <w:nsid w:val="53584BCB"/>
    <w:multiLevelType w:val="hybridMultilevel"/>
    <w:lvl w:ilvl="0">
      <w:lvlJc w:val="left"/>
      <w:lvlText w:val="%1"/>
      <w:numFmt w:val="lowerLetter"/>
      <w:start w:val="1"/>
    </w:lvl>
    <w:lvl w:ilvl="1">
      <w:lvlJc w:val="left"/>
      <w:lvlText w:val="(%2)"/>
      <w:numFmt w:val="lowerLetter"/>
      <w:start w:val="17"/>
    </w:lvl>
  </w:abstractNum>
  <w:abstractNum w:abstractNumId="84">
    <w:nsid w:val="415E286C"/>
    <w:multiLevelType w:val="hybridMultilevel"/>
    <w:lvl w:ilvl="0">
      <w:lvlJc w:val="left"/>
      <w:lvlText w:val="(%1)"/>
      <w:numFmt w:val="lowerLetter"/>
      <w:start w:val="9"/>
    </w:lvl>
    <w:lvl w:ilvl="1">
      <w:lvlJc w:val="left"/>
      <w:lvlText w:val="(%2)"/>
      <w:numFmt w:val="lowerLetter"/>
      <w:start w:val="19"/>
    </w:lvl>
  </w:abstractNum>
  <w:abstractNum w:abstractNumId="85">
    <w:nsid w:val="7C58FD05"/>
    <w:multiLevelType w:val="hybridMultilevel"/>
    <w:lvl w:ilvl="0">
      <w:lvlJc w:val="left"/>
      <w:lvlText w:val="%1"/>
      <w:numFmt w:val="lowerLetter"/>
      <w:start w:val="1"/>
    </w:lvl>
    <w:lvl w:ilvl="1">
      <w:lvlJc w:val="left"/>
      <w:lvlText w:val="(%2)"/>
      <w:numFmt w:val="lowerLetter"/>
      <w:start w:val="22"/>
    </w:lvl>
  </w:abstractNum>
  <w:abstractNum w:abstractNumId="86">
    <w:nsid w:val="23D86AAC"/>
    <w:multiLevelType w:val="hybridMultilevel"/>
    <w:lvl w:ilvl="0">
      <w:lvlJc w:val="left"/>
      <w:lvlText w:val="(%1)"/>
      <w:numFmt w:val="lowerLetter"/>
      <w:start w:val="9"/>
    </w:lvl>
    <w:lvl w:ilvl="1">
      <w:lvlJc w:val="left"/>
      <w:lvlText w:val="(%2)"/>
      <w:numFmt w:val="lowerLetter"/>
      <w:start w:val="23"/>
    </w:lvl>
  </w:abstractNum>
  <w:abstractNum w:abstractNumId="87">
    <w:nsid w:val="45E6D486"/>
    <w:multiLevelType w:val="hybridMultilevel"/>
    <w:lvl w:ilvl="0">
      <w:lvlJc w:val="left"/>
      <w:lvlText w:val="(%1)"/>
      <w:numFmt w:val="lowerLetter"/>
      <w:start w:val="1"/>
    </w:lvl>
  </w:abstractNum>
  <w:abstractNum w:abstractNumId="88">
    <w:nsid w:val="5C10FE21"/>
    <w:multiLevelType w:val="hybridMultilevel"/>
    <w:lvl w:ilvl="0">
      <w:lvlJc w:val="left"/>
      <w:lvlText w:val="(%1)"/>
      <w:numFmt w:val="lowerRoman"/>
      <w:start w:val="1"/>
    </w:lvl>
  </w:abstractNum>
  <w:abstractNum w:abstractNumId="89">
    <w:nsid w:val="E7FFA2B"/>
    <w:multiLevelType w:val="hybridMultilevel"/>
    <w:lvl w:ilvl="0">
      <w:lvlJc w:val="left"/>
      <w:lvlText w:val="(%1)"/>
      <w:numFmt w:val="lowerLetter"/>
      <w:start w:val="2"/>
    </w:lvl>
  </w:abstractNum>
  <w:abstractNum w:abstractNumId="90">
    <w:nsid w:val="3C5991AA"/>
    <w:multiLevelType w:val="hybridMultilevel"/>
    <w:lvl w:ilvl="0">
      <w:lvlJc w:val="left"/>
      <w:lvlText w:val="%1"/>
      <w:numFmt w:val="lowerLetter"/>
      <w:start w:val="1"/>
    </w:lvl>
    <w:lvl w:ilvl="1">
      <w:lvlJc w:val="left"/>
      <w:lvlText w:val="(%2)"/>
      <w:numFmt w:val="lowerLetter"/>
      <w:start w:val="1"/>
    </w:lvl>
  </w:abstractNum>
  <w:abstractNum w:abstractNumId="91">
    <w:nsid w:val="4BD8591A"/>
    <w:multiLevelType w:val="hybridMultilevel"/>
    <w:lvl w:ilvl="0">
      <w:lvlJc w:val="left"/>
      <w:lvlText w:val="(%1)"/>
      <w:numFmt w:val="lowerLetter"/>
      <w:start w:val="35"/>
    </w:lvl>
    <w:lvl w:ilvl="1">
      <w:lvlJc w:val="left"/>
      <w:lvlText w:val="%2"/>
      <w:numFmt w:val="lowerLetter"/>
      <w:start w:val="1"/>
    </w:lvl>
  </w:abstractNum>
  <w:abstractNum w:abstractNumId="92">
    <w:nsid w:val="78DF6A55"/>
    <w:multiLevelType w:val="hybridMultilevel"/>
    <w:lvl w:ilvl="0">
      <w:lvlJc w:val="left"/>
      <w:lvlText w:val="(%1)"/>
      <w:numFmt w:val="lowerLetter"/>
      <w:start w:val="2"/>
    </w:lvl>
  </w:abstractNum>
  <w:abstractNum w:abstractNumId="93">
    <w:nsid w:val="39B7AAA2"/>
    <w:multiLevelType w:val="hybridMultilevel"/>
    <w:lvl w:ilvl="0">
      <w:lvlJc w:val="left"/>
      <w:lvlText w:val="%1"/>
      <w:numFmt w:val="lowerLetter"/>
      <w:start w:val="1"/>
    </w:lvl>
    <w:lvl w:ilvl="1">
      <w:lvlJc w:val="left"/>
      <w:lvlText w:val="(%2)"/>
      <w:numFmt w:val="lowerLetter"/>
      <w:start w:val="4"/>
    </w:lvl>
  </w:abstractNum>
  <w:abstractNum w:abstractNumId="94">
    <w:nsid w:val="2B0D8DBE"/>
    <w:multiLevelType w:val="hybridMultilevel"/>
    <w:lvl w:ilvl="0">
      <w:lvlJc w:val="left"/>
      <w:lvlText w:val="(%1)"/>
      <w:numFmt w:val="lowerLetter"/>
      <w:start w:val="9"/>
    </w:lvl>
    <w:lvl w:ilvl="1">
      <w:lvlJc w:val="left"/>
      <w:lvlText w:val="%2"/>
      <w:numFmt w:val="lowerLetter"/>
      <w:start w:val="1"/>
    </w:lvl>
  </w:abstractNum>
  <w:abstractNum w:abstractNumId="95">
    <w:nsid w:val="6C80EC70"/>
    <w:multiLevelType w:val="hybridMultilevel"/>
    <w:lvl w:ilvl="0">
      <w:lvlJc w:val="left"/>
      <w:lvlText w:val="(%1)"/>
      <w:numFmt w:val="lowerLetter"/>
      <w:start w:val="5"/>
    </w:lvl>
  </w:abstractNum>
  <w:abstractNum w:abstractNumId="96">
    <w:nsid w:val="379E21B5"/>
    <w:multiLevelType w:val="hybridMultilevel"/>
    <w:lvl w:ilvl="0">
      <w:lvlJc w:val="left"/>
      <w:lvlText w:val="(%1)"/>
      <w:numFmt w:val="lowerLetter"/>
      <w:start w:val="1"/>
    </w:lvl>
  </w:abstractNum>
  <w:abstractNum w:abstractNumId="97">
    <w:nsid w:val="69E373"/>
    <w:multiLevelType w:val="hybridMultilevel"/>
    <w:lvl w:ilvl="0">
      <w:lvlJc w:val="left"/>
      <w:lvlText w:val="(%1)"/>
      <w:numFmt w:val="lowerRoman"/>
      <w:start w:val="1"/>
    </w:lvl>
  </w:abstractNum>
  <w:abstractNum w:abstractNumId="98">
    <w:nsid w:val="2C27173B"/>
    <w:multiLevelType w:val="hybridMultilevel"/>
    <w:lvl w:ilvl="0">
      <w:lvlJc w:val="left"/>
      <w:lvlText w:val="(%1)"/>
      <w:numFmt w:val="lowerLetter"/>
      <w:start w:val="1"/>
    </w:lvl>
  </w:abstractNum>
  <w:abstractNum w:abstractNumId="99">
    <w:nsid w:val="4C9B0904"/>
    <w:multiLevelType w:val="hybridMultilevel"/>
    <w:lvl w:ilvl="0">
      <w:lvlJc w:val="left"/>
      <w:lvlText w:val="(%1)"/>
      <w:numFmt w:val="lowerLetter"/>
      <w:start w:val="2"/>
    </w:lvl>
  </w:abstractNum>
  <w:abstractNum w:abstractNumId="100">
    <w:nsid w:val="6AA7B75C"/>
    <w:multiLevelType w:val="hybridMultilevel"/>
    <w:lvl w:ilvl="0">
      <w:lvlJc w:val="left"/>
      <w:lvlText w:val="%1"/>
      <w:numFmt w:val="decimal"/>
      <w:start w:val="520"/>
    </w:lvl>
  </w:abstractNum>
  <w:abstractNum w:abstractNumId="101">
    <w:nsid w:val="1DF029D3"/>
    <w:multiLevelType w:val="hybridMultilevel"/>
    <w:lvl w:ilvl="0">
      <w:lvlJc w:val="left"/>
      <w:lvlText w:val="(%1)"/>
      <w:numFmt w:val="lowerLetter"/>
      <w:start w:val="5"/>
    </w:lvl>
  </w:abstractNum>
  <w:abstractNum w:abstractNumId="102">
    <w:nsid w:val="5675FF36"/>
    <w:multiLevelType w:val="hybridMultilevel"/>
    <w:lvl w:ilvl="0">
      <w:lvlJc w:val="left"/>
      <w:lvlText w:val="(%1)"/>
      <w:numFmt w:val="lowerLetter"/>
      <w:start w:val="8"/>
    </w:lvl>
  </w:abstractNum>
  <w:abstractNum w:abstractNumId="103">
    <w:nsid w:val="3DD15094"/>
    <w:multiLevelType w:val="hybridMultilevel"/>
    <w:lvl w:ilvl="0">
      <w:lvlJc w:val="left"/>
      <w:lvlText w:val="["/>
      <w:numFmt w:val="bullet"/>
      <w:start w:val="1"/>
    </w:lvl>
  </w:abstractNum>
  <w:abstractNum w:abstractNumId="104">
    <w:nsid w:val="3DB012B3"/>
    <w:multiLevelType w:val="hybridMultilevel"/>
    <w:lvl w:ilvl="0">
      <w:lvlJc w:val="left"/>
      <w:lvlText w:val="(%1)"/>
      <w:numFmt w:val="lowerLetter"/>
      <w:start w:val="1"/>
    </w:lvl>
  </w:abstractNum>
  <w:abstractNum w:abstractNumId="105">
    <w:nsid w:val="2708C9AF"/>
    <w:multiLevelType w:val="hybridMultilevel"/>
    <w:lvl w:ilvl="0">
      <w:lvlJc w:val="left"/>
      <w:lvlText w:val="(%1)"/>
      <w:numFmt w:val="lowerLetter"/>
      <w:start w:val="1"/>
    </w:lvl>
  </w:abstractNum>
  <w:abstractNum w:abstractNumId="106">
    <w:nsid w:val="5B25ACE2"/>
    <w:multiLevelType w:val="hybridMultilevel"/>
    <w:lvl w:ilvl="0">
      <w:lvlJc w:val="left"/>
      <w:lvlText w:val="(%1)"/>
      <w:numFmt w:val="lowerLetter"/>
      <w:start w:val="1"/>
    </w:lvl>
  </w:abstractNum>
  <w:abstractNum w:abstractNumId="107">
    <w:nsid w:val="175DFCF0"/>
    <w:multiLevelType w:val="hybridMultilevel"/>
    <w:lvl w:ilvl="0">
      <w:lvlJc w:val="left"/>
      <w:lvlText w:val="(%1)"/>
      <w:numFmt w:val="lowerLetter"/>
      <w:start w:val="1"/>
    </w:lvl>
    <w:lvl w:ilvl="1">
      <w:lvlJc w:val="left"/>
      <w:lvlText w:val="(%2)"/>
      <w:numFmt w:val="lowerRoman"/>
      <w:start w:val="1"/>
    </w:lvl>
  </w:abstractNum>
  <w:abstractNum w:abstractNumId="108">
    <w:nsid w:val="4F97E3E4"/>
    <w:multiLevelType w:val="hybridMultilevel"/>
    <w:lvl w:ilvl="0">
      <w:lvlJc w:val="left"/>
      <w:lvlText w:val="(%1)"/>
      <w:numFmt w:val="lowerRoman"/>
      <w:start w:val="2"/>
    </w:lvl>
  </w:abstractNum>
  <w:abstractNum w:abstractNumId="109">
    <w:nsid w:val="53B0A9E"/>
    <w:multiLevelType w:val="hybridMultilevel"/>
    <w:lvl w:ilvl="0">
      <w:lvlJc w:val="left"/>
      <w:lvlText w:val="(%1)"/>
      <w:numFmt w:val="lowerLetter"/>
      <w:start w:val="6"/>
    </w:lvl>
  </w:abstractNum>
  <w:abstractNum w:abstractNumId="110">
    <w:nsid w:val="34FD6B4F"/>
    <w:multiLevelType w:val="hybridMultilevel"/>
    <w:lvl w:ilvl="0">
      <w:lvlJc w:val="left"/>
      <w:lvlText w:val="(%1)"/>
      <w:numFmt w:val="lowerLetter"/>
      <w:start w:val="1"/>
    </w:lvl>
  </w:abstractNum>
  <w:abstractNum w:abstractNumId="111">
    <w:nsid w:val="5915FF32"/>
    <w:multiLevelType w:val="hybridMultilevel"/>
    <w:lvl w:ilvl="0">
      <w:lvlJc w:val="left"/>
      <w:lvlText w:val="(%1)"/>
      <w:numFmt w:val="lowerLetter"/>
      <w:start w:val="1"/>
    </w:lvl>
  </w:abstractNum>
  <w:abstractNum w:abstractNumId="112">
    <w:nsid w:val="56438D15"/>
    <w:multiLevelType w:val="hybridMultilevel"/>
    <w:lvl w:ilvl="0">
      <w:lvlJc w:val="left"/>
      <w:lvlText w:val="(%1)"/>
      <w:numFmt w:val="lowerLetter"/>
      <w:start w:val="1"/>
    </w:lvl>
  </w:abstractNum>
  <w:abstractNum w:abstractNumId="113">
    <w:nsid w:val="519E3149"/>
    <w:multiLevelType w:val="hybridMultilevel"/>
    <w:lvl w:ilvl="0">
      <w:lvlJc w:val="left"/>
      <w:lvlText w:val="(%1)"/>
      <w:numFmt w:val="lowerLetter"/>
      <w:start w:val="1"/>
    </w:lvl>
  </w:abstractNum>
  <w:abstractNum w:abstractNumId="114">
    <w:nsid w:val="2C6E4AFD"/>
    <w:multiLevelType w:val="hybridMultilevel"/>
    <w:lvl w:ilvl="0">
      <w:lvlJc w:val="left"/>
      <w:lvlText w:val="(%1)"/>
      <w:numFmt w:val="lowerLetter"/>
      <w:start w:val="1"/>
    </w:lvl>
    <w:lvl w:ilvl="1">
      <w:lvlJc w:val="left"/>
      <w:lvlText w:val="(%2)"/>
      <w:numFmt w:val="lowerRoman"/>
      <w:start w:val="1"/>
    </w:lvl>
  </w:abstractNum>
  <w:abstractNum w:abstractNumId="115">
    <w:nsid w:val="17A1B582"/>
    <w:multiLevelType w:val="hybridMultilevel"/>
    <w:lvl w:ilvl="0">
      <w:lvlJc w:val="left"/>
      <w:lvlText w:val="(%1)"/>
      <w:numFmt w:val="lowerLetter"/>
      <w:start w:val="3"/>
    </w:lvl>
    <w:lvl w:ilvl="1">
      <w:lvlJc w:val="left"/>
      <w:lvlText w:val="(%2)"/>
      <w:numFmt w:val="lowerRoman"/>
      <w:start w:val="1"/>
    </w:lvl>
  </w:abstractNum>
  <w:abstractNum w:abstractNumId="116">
    <w:nsid w:val="4DF72E4E"/>
    <w:multiLevelType w:val="hybridMultilevel"/>
    <w:lvl w:ilvl="0">
      <w:lvlJc w:val="left"/>
      <w:lvlText w:val="(%1)"/>
      <w:numFmt w:val="lowerLetter"/>
      <w:start w:val="1"/>
    </w:lvl>
  </w:abstractNum>
  <w:abstractNum w:abstractNumId="117">
    <w:nsid w:val="5046B5A9"/>
    <w:multiLevelType w:val="hybridMultilevel"/>
    <w:lvl w:ilvl="0">
      <w:lvlJc w:val="left"/>
      <w:lvlText w:val="(%1)"/>
      <w:numFmt w:val="lowerLetter"/>
      <w:start w:val="2"/>
    </w:lvl>
  </w:abstractNum>
  <w:abstractNum w:abstractNumId="118">
    <w:nsid w:val="5D888A08"/>
    <w:multiLevelType w:val="hybridMultilevel"/>
    <w:lvl w:ilvl="0">
      <w:lvlJc w:val="left"/>
      <w:lvlText w:val="(%1)"/>
      <w:numFmt w:val="lowerLetter"/>
      <w:start w:val="1"/>
    </w:lvl>
  </w:abstractNum>
  <w:abstractNum w:abstractNumId="119">
    <w:nsid w:val="2A082C7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0">
    <w:nsid w:val="5EC6AFD4"/>
    <w:multiLevelType w:val="hybridMultilevel"/>
    <w:lvl w:ilvl="0">
      <w:lvlJc w:val="left"/>
      <w:lvlText w:val="(%1)"/>
      <w:numFmt w:val="lowerLetter"/>
      <w:start w:val="2"/>
    </w:lvl>
  </w:abstractNum>
  <w:abstractNum w:abstractNumId="121">
    <w:nsid w:val="19E21BB2"/>
    <w:multiLevelType w:val="hybridMultilevel"/>
    <w:lvl w:ilvl="0">
      <w:lvlJc w:val="left"/>
      <w:lvlText w:val="(%1)"/>
      <w:numFmt w:val="lowerLetter"/>
      <w:start w:val="1"/>
    </w:lvl>
  </w:abstractNum>
  <w:abstractNum w:abstractNumId="122">
    <w:nsid w:val="75E0858A"/>
    <w:multiLevelType w:val="hybridMultilevel"/>
    <w:lvl w:ilvl="0">
      <w:lvlJc w:val="left"/>
      <w:lvlText w:val="(%1)"/>
      <w:numFmt w:val="lowerLetter"/>
      <w:start w:val="1"/>
    </w:lvl>
  </w:abstractNum>
  <w:abstractNum w:abstractNumId="123">
    <w:nsid w:val="57A61A29"/>
    <w:multiLevelType w:val="hybridMultilevel"/>
    <w:lvl w:ilvl="0">
      <w:lvlJc w:val="left"/>
      <w:lvlText w:val="(%1)"/>
      <w:numFmt w:val="lowerLetter"/>
      <w:start w:val="2"/>
    </w:lvl>
  </w:abstractNum>
  <w:abstractNum w:abstractNumId="124">
    <w:nsid w:val="5399C654"/>
    <w:multiLevelType w:val="hybridMultilevel"/>
    <w:lvl w:ilvl="0">
      <w:lvlJc w:val="left"/>
      <w:lvlText w:val="(%1)"/>
      <w:numFmt w:val="lowerLetter"/>
      <w:start w:val="4"/>
    </w:lvl>
  </w:abstractNum>
  <w:abstractNum w:abstractNumId="125">
    <w:nsid w:val="20EE1348"/>
    <w:multiLevelType w:val="hybridMultilevel"/>
    <w:lvl w:ilvl="0">
      <w:lvlJc w:val="left"/>
      <w:lvlText w:val="(%1)"/>
      <w:numFmt w:val="lowerLetter"/>
      <w:start w:val="8"/>
    </w:lvl>
  </w:abstractNum>
  <w:abstractNum w:abstractNumId="126">
    <w:nsid w:val="4427069A"/>
    <w:multiLevelType w:val="hybridMultilevel"/>
    <w:lvl w:ilvl="0">
      <w:lvlJc w:val="left"/>
      <w:lvlText w:val="(%1)"/>
      <w:numFmt w:val="lowerLetter"/>
      <w:start w:val="1"/>
    </w:lvl>
  </w:abstractNum>
  <w:abstractNum w:abstractNumId="127">
    <w:nsid w:val="B37E80A"/>
    <w:multiLevelType w:val="hybridMultilevel"/>
    <w:lvl w:ilvl="0">
      <w:lvlJc w:val="left"/>
      <w:lvlText w:val="(%1)"/>
      <w:numFmt w:val="lowerLetter"/>
      <w:start w:val="4"/>
    </w:lvl>
  </w:abstractNum>
  <w:abstractNum w:abstractNumId="128">
    <w:nsid w:val="2157F6BC"/>
    <w:multiLevelType w:val="hybridMultilevel"/>
    <w:lvl w:ilvl="0">
      <w:lvlJc w:val="left"/>
      <w:lvlText w:val="(%1)"/>
      <w:numFmt w:val="lowerLetter"/>
      <w:start w:val="2"/>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
      <w:numFmt w:val="bullet"/>
      <w:start w:val="1"/>
    </w:lvl>
  </w:abstractNum>
  <w:abstractNum w:abstractNumId="131">
    <w:nsid w:val="BFFAE18"/>
    <w:multiLevelType w:val="hybridMultilevel"/>
    <w:lvl w:ilvl="0">
      <w:lvlJc w:val="left"/>
      <w:lvlText w:val="(%1)"/>
      <w:numFmt w:val="lowerLetter"/>
      <w:start w:val="1"/>
    </w:lvl>
  </w:abstractNum>
  <w:abstractNum w:abstractNumId="132">
    <w:nsid w:val="E3E47A8"/>
    <w:multiLevelType w:val="hybridMultilevel"/>
    <w:lvl w:ilvl="0">
      <w:lvlJc w:val="left"/>
      <w:lvlText w:val="(%1)"/>
      <w:numFmt w:val="lowerLetter"/>
      <w:start w:val="1"/>
    </w:lvl>
  </w:abstractNum>
  <w:abstractNum w:abstractNumId="133">
    <w:nsid w:val="2E48F044"/>
    <w:multiLevelType w:val="hybridMultilevel"/>
    <w:lvl w:ilvl="0">
      <w:lvlJc w:val="left"/>
      <w:lvlText w:val="%1."/>
      <w:numFmt w:val="decimal"/>
      <w:start w:val="1"/>
    </w:lvl>
  </w:abstractNum>
  <w:abstractNum w:abstractNumId="134">
    <w:nsid w:val="49D0FEAC"/>
    <w:multiLevelType w:val="hybridMultilevel"/>
    <w:lvl w:ilvl="0">
      <w:lvlJc w:val="left"/>
      <w:lvlText w:val="%1."/>
      <w:numFmt w:val="decimal"/>
      <w:start w:val="3"/>
    </w:lvl>
  </w:abstractNum>
  <w:abstractNum w:abstractNumId="135">
    <w:nsid w:val="4BEE5A5B"/>
    <w:multiLevelType w:val="hybridMultilevel"/>
    <w:lvl w:ilvl="0">
      <w:lvlJc w:val="left"/>
      <w:lvlText w:val="(%1)"/>
      <w:numFmt w:val="lowerLetter"/>
      <w:start w:val="13"/>
    </w:lvl>
  </w:abstractNum>
  <w:abstractNum w:abstractNumId="136">
    <w:nsid w:val="5551B9F3"/>
    <w:multiLevelType w:val="hybridMultilevel"/>
    <w:lvl w:ilvl="0">
      <w:lvlJc w:val="left"/>
      <w:lvlText w:val="(%1)"/>
      <w:numFmt w:val="lowerRoman"/>
      <w:start w:val="4"/>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jpe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jpe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jpe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8" Type="http://schemas.openxmlformats.org/officeDocument/2006/relationships/hyperlink" Target="http://www.sec.gov/ix?doc=/Archives/edgar/data/1650648/000095017022004794/fdmt-20211231.htm" TargetMode="External"/><Relationship Id="rId29" Type="http://schemas.openxmlformats.org/officeDocument/2006/relationships/hyperlink" Target="http://www.sec.gov/ix?doc=/Archives/edgar/data/1650648/000119312522048643/d323690d8k.htm" TargetMode="External"/><Relationship Id="rId30" Type="http://schemas.openxmlformats.org/officeDocument/2006/relationships/hyperlink" Target="http://www.sec.gov/Archives/edgar/data/1650648/000095017022004794/fdmt-ex4_1.htm" TargetMode="External"/><Relationship Id="rId31" Type="http://schemas.openxmlformats.org/officeDocument/2006/relationships/hyperlink" Target="http://www.sec.gov/Archives/edgar/data/1650648/000119312520311111/d69563dex43.htm" TargetMode="External"/><Relationship Id="rId103" Type="http://schemas.openxmlformats.org/officeDocument/2006/relationships/hyperlink" Target="http://www.sec.gov/Archives/edgar/data/1650648/000119312520318186/d13863dex31.htm" TargetMode="External"/><Relationship Id="rId104" Type="http://schemas.openxmlformats.org/officeDocument/2006/relationships/hyperlink" Target="http://www.sec.gov/Archives/edgar/data/1650648/000119312520318186/d13863dex32.htm" TargetMode="External"/><Relationship Id="rId105" Type="http://schemas.openxmlformats.org/officeDocument/2006/relationships/hyperlink" Target="http://www.sec.gov/Archives/edgar/data/1650648/000119312520311111/d6956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2022-03-29T05:40:43Z</dcterms:created>
  <dcterms:modified xsi:type="dcterms:W3CDTF">2022-03-29T05:40:43Z</dcterms:modified>
</cp:coreProperties>
</file>