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Miller-Rich Nancy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4D MOLECULAR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5858 HORTON STREET #455</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EMERYVILLE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94608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4D Molecular Therapeutics, Inc.</w:t>
              </w:r>
            </w:hyperlink>
            <w:r>
              <w:rPr/>
              <w:t xml:space="preserve"> [ </w:t>
            </w:r>
            <w:r>
              <w:rPr>
                <w:rFonts w:ascii="Times;serif" w:hAnsi="Times;serif"/>
                <w:color w:val="0000FF"/>
                <w:sz w:val="24"/>
                <w:shd w:fill="FFFFFF" w:val="clear"/>
              </w:rPr>
              <w:t>FDMT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06/17/2025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4.15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06/17/2025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22,500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06/16/2035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22,500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22,500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Automatically granted pursuant to the terms of the Company's non-employee director compensation program.</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stock option vests and becomes exercisable with respect to 1/3 of the total shares on June 17, 2026 and in equal monthly installments thereafter, subject to the Reporting Person continuing service to Issuer through each vesting date, until the shares are fully vested on June 17, 2028. Additionally, the stock options will vest in full upon the consummation of a Change in Control (as defined in the 2020 Incentive Award Plan).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Scott Bizily as Attorney-in-Fact for Nancy Miller-Rich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06/20/2025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35084" TargetMode="External"/><Relationship Id="rId5" Type="http://schemas.openxmlformats.org/officeDocument/2006/relationships/hyperlink" Target="http://www.sec.gov/cgi-bin/browse-edgar?action=getcompany&amp;CIK=000165064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661</Words>
  <Characters>3597</Characters>
  <CharactersWithSpaces>4196</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