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right="1278"/>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198755</wp:posOffset>
            </wp:positionH>
            <wp:positionV relativeFrom="page">
              <wp:posOffset>141605</wp:posOffset>
            </wp:positionV>
            <wp:extent cx="71831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450215</wp:posOffset>
            </wp:positionV>
            <wp:extent cx="71831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31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7"/>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ind w:left="7"/>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47"/>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4D MOLECULAR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647"/>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147"/>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35104E100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607"/>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1827"/>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92710</wp:posOffset>
            </wp:positionV>
            <wp:extent cx="71831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178435</wp:posOffset>
            </wp:positionV>
            <wp:extent cx="71831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7"/>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35104E100</w:t>
      </w:r>
    </w:p>
    <w:p>
      <w:pPr>
        <w:spacing w:after="0" w:line="200" w:lineRule="exact"/>
        <w:rPr>
          <w:sz w:val="24"/>
          <w:szCs w:val="24"/>
          <w:color w:val="auto"/>
        </w:rPr>
      </w:pPr>
    </w:p>
    <w:p>
      <w:pPr>
        <w:spacing w:after="0" w:line="361"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1</w:t>
      </w:r>
    </w:p>
    <w:p>
      <w:pPr>
        <w:ind w:left="1107"/>
        <w:spacing w:after="0"/>
        <w:rPr>
          <w:sz w:val="20"/>
          <w:szCs w:val="20"/>
          <w:color w:val="auto"/>
        </w:rPr>
      </w:pPr>
      <w:r>
        <w:rPr>
          <w:rFonts w:ascii="Times New Roman" w:cs="Times New Roman" w:eastAsia="Times New Roman" w:hAnsi="Times New Roman"/>
          <w:sz w:val="22"/>
          <w:szCs w:val="22"/>
          <w:color w:val="auto"/>
        </w:rPr>
        <w:t>Novo Holdings A/S</w:t>
      </w:r>
    </w:p>
    <w:p>
      <w:pPr>
        <w:spacing w:after="0" w:line="20"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07" w:hanging="1107"/>
        <w:spacing w:after="0"/>
        <w:tabs>
          <w:tab w:leader="none" w:pos="1107"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07"/>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07" w:hanging="1107"/>
        <w:spacing w:after="0"/>
        <w:tabs>
          <w:tab w:leader="none" w:pos="110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4</w:t>
      </w:r>
    </w:p>
    <w:p>
      <w:pPr>
        <w:ind w:left="1107"/>
        <w:spacing w:after="0"/>
        <w:rPr>
          <w:sz w:val="20"/>
          <w:szCs w:val="20"/>
          <w:color w:val="auto"/>
        </w:rPr>
      </w:pPr>
      <w:r>
        <w:rPr>
          <w:rFonts w:ascii="Times New Roman" w:cs="Times New Roman" w:eastAsia="Times New Roman" w:hAnsi="Times New Roman"/>
          <w:sz w:val="22"/>
          <w:szCs w:val="22"/>
          <w:color w:val="auto"/>
        </w:rPr>
        <w:t>DENMARK</w:t>
      </w:r>
    </w:p>
    <w:p>
      <w:pPr>
        <w:sectPr>
          <w:pgSz w:w="11920" w:h="16838" w:orient="portrait"/>
          <w:cols w:equalWidth="0" w:num="1">
            <w:col w:w="10105"/>
          </w:cols>
          <w:pgMar w:left="373" w:top="861" w:right="1440" w:bottom="0" w:gutter="0" w:footer="0" w:header="0"/>
        </w:sectPr>
      </w:pPr>
    </w:p>
    <w:bookmarkStart w:id="1" w:name="page2"/>
    <w:bookmarkEnd w:id="1"/>
    <w:p>
      <w:pPr>
        <w:spacing w:after="0" w:line="200" w:lineRule="exact"/>
        <w:rPr>
          <w:sz w:val="20"/>
          <w:szCs w:val="20"/>
          <w:color w:val="auto"/>
        </w:rPr>
      </w:pPr>
    </w:p>
    <w:p>
      <w:pPr>
        <w:spacing w:after="0" w:line="38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Shares</w:t>
      </w:r>
    </w:p>
    <w:p>
      <w:pPr>
        <w:ind w:left="7"/>
        <w:spacing w:after="0"/>
        <w:rPr>
          <w:sz w:val="20"/>
          <w:szCs w:val="20"/>
          <w:color w:val="auto"/>
        </w:rPr>
      </w:pPr>
      <w:r>
        <w:rPr>
          <w:rFonts w:ascii="Times New Roman" w:cs="Times New Roman" w:eastAsia="Times New Roman" w:hAnsi="Times New Roman"/>
          <w:sz w:val="21"/>
          <w:szCs w:val="21"/>
          <w:color w:val="auto"/>
        </w:rPr>
        <w:t>Beneficially</w:t>
      </w:r>
    </w:p>
    <w:p>
      <w:pPr>
        <w:ind w:left="7"/>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7"/>
        <w:spacing w:after="0" w:line="231" w:lineRule="auto"/>
        <w:rPr>
          <w:sz w:val="20"/>
          <w:szCs w:val="20"/>
          <w:color w:val="auto"/>
        </w:rPr>
      </w:pPr>
      <w:r>
        <w:rPr>
          <w:rFonts w:ascii="Times New Roman" w:cs="Times New Roman" w:eastAsia="Times New Roman" w:hAnsi="Times New Roman"/>
          <w:sz w:val="22"/>
          <w:szCs w:val="22"/>
          <w:color w:val="auto"/>
        </w:rPr>
        <w:t>Each</w:t>
      </w:r>
    </w:p>
    <w:p>
      <w:pPr>
        <w:ind w:left="7"/>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7"/>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3,650,737.00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3,650,737.00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3,650,737.00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20" w:h="16858" w:orient="portrait"/>
          <w:cols w:equalWidth="0" w:num="2">
            <w:col w:w="1047" w:space="60"/>
            <w:col w:w="10040"/>
          </w:cols>
          <w:pgMar w:left="373" w:top="161" w:right="398"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6"/>
          <w:szCs w:val="26"/>
          <w:color w:val="auto"/>
        </w:rPr>
        <w:t>SCHEDULE 13G</w:t>
      </w:r>
    </w:p>
    <w:p>
      <w:pPr>
        <w:spacing w:after="0" w:line="8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(a)</w:t>
      </w:r>
    </w:p>
    <w:p>
      <w:pPr>
        <w:ind w:left="927"/>
        <w:spacing w:after="0"/>
        <w:rPr>
          <w:sz w:val="20"/>
          <w:szCs w:val="20"/>
          <w:color w:val="auto"/>
        </w:rPr>
      </w:pPr>
      <w:r>
        <w:rPr>
          <w:rFonts w:ascii="Times New Roman" w:cs="Times New Roman" w:eastAsia="Times New Roman" w:hAnsi="Times New Roman"/>
          <w:sz w:val="22"/>
          <w:szCs w:val="22"/>
          <w:color w:val="auto"/>
        </w:rPr>
        <w:t>4D MOLECULAR THERAPEUTICS, INC.</w:t>
      </w:r>
    </w:p>
    <w:p>
      <w:pPr>
        <w:spacing w:after="0" w:line="20"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(b)</w:t>
      </w:r>
    </w:p>
    <w:p>
      <w:pPr>
        <w:ind w:left="927"/>
        <w:spacing w:after="0"/>
        <w:rPr>
          <w:sz w:val="20"/>
          <w:szCs w:val="20"/>
          <w:color w:val="auto"/>
        </w:rPr>
      </w:pPr>
      <w:r>
        <w:rPr>
          <w:rFonts w:ascii="Times New Roman" w:cs="Times New Roman" w:eastAsia="Times New Roman" w:hAnsi="Times New Roman"/>
          <w:sz w:val="22"/>
          <w:szCs w:val="22"/>
          <w:color w:val="auto"/>
        </w:rPr>
        <w:t>5858 Horton Street #455, Emeryville, CA, 94608.</w:t>
      </w:r>
    </w:p>
    <w:p>
      <w:pPr>
        <w:spacing w:after="0" w:line="2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Novo Holdings A/S, a Danish corporation, is an investment firm focused on life sciences and finance that is wholly</w:t>
      </w:r>
    </w:p>
    <w:p>
      <w:pPr>
        <w:spacing w:after="0" w:line="14" w:lineRule="exact"/>
        <w:rPr>
          <w:sz w:val="20"/>
          <w:szCs w:val="20"/>
          <w:color w:val="auto"/>
        </w:rPr>
      </w:pPr>
    </w:p>
    <w:p>
      <w:pPr>
        <w:ind w:left="927" w:hanging="927"/>
        <w:spacing w:after="0" w:line="196" w:lineRule="auto"/>
        <w:tabs>
          <w:tab w:leader="none" w:pos="927"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owned by Novo Nordisk Foundation (the "Foundation"), a Danish commercial foundation. Novo Holdings A/S is the holding company in the group of Novo companies, currently comprised of Novo Nordisk A/S and Novozymes A/S (also known as Novonesis A/S), and is responsible for managing the Foundation's assets, including its financial assets. Based on the governance structure of Novo Holdings A/S and the Foundation, the Foundation is not deemed to have any beneficial ownership of the securities of the Issuer held by Novo Holdings A/S.</w:t>
      </w:r>
    </w:p>
    <w:p>
      <w:pPr>
        <w:spacing w:after="0" w:line="15"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(b)</w:t>
      </w:r>
    </w:p>
    <w:tbl>
      <w:tblPr>
        <w:tblLayout w:type="fixed"/>
        <w:tblInd w:w="7" w:type="dxa"/>
        <w:tblCellMar>
          <w:top w:w="0" w:type="dxa"/>
          <w:left w:w="0" w:type="dxa"/>
          <w:bottom w:w="0" w:type="dxa"/>
          <w:right w:w="0" w:type="dxa"/>
        </w:tblCellMar>
      </w:tblPr>
      <w:tr>
        <w:trPr>
          <w:trHeight w:val="273"/>
        </w:trPr>
        <w:tc>
          <w:tcPr>
            <w:tcW w:w="760" w:type="dxa"/>
            <w:vAlign w:val="bottom"/>
          </w:tcPr>
          <w:p>
            <w:pPr>
              <w:spacing w:after="0"/>
              <w:rPr>
                <w:sz w:val="23"/>
                <w:szCs w:val="23"/>
                <w:color w:val="auto"/>
              </w:rPr>
            </w:pPr>
          </w:p>
        </w:tc>
        <w:tc>
          <w:tcPr>
            <w:tcW w:w="98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Tuborg Havnevej 19 2900 Hellerup, Denmark</w:t>
            </w:r>
          </w:p>
        </w:tc>
        <w:tc>
          <w:tcPr>
            <w:tcW w:w="0" w:type="dxa"/>
            <w:vAlign w:val="bottom"/>
          </w:tcPr>
          <w:p>
            <w:pPr>
              <w:spacing w:after="0"/>
              <w:rPr>
                <w:sz w:val="1"/>
                <w:szCs w:val="1"/>
                <w:color w:val="auto"/>
              </w:rPr>
            </w:pPr>
          </w:p>
        </w:tc>
      </w:tr>
      <w:tr>
        <w:trPr>
          <w:trHeight w:val="282"/>
        </w:trPr>
        <w:tc>
          <w:tcPr>
            <w:tcW w:w="7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w:t>
            </w:r>
          </w:p>
        </w:tc>
        <w:tc>
          <w:tcPr>
            <w:tcW w:w="98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Citizenship:</w:t>
            </w:r>
          </w:p>
        </w:tc>
        <w:tc>
          <w:tcPr>
            <w:tcW w:w="0" w:type="dxa"/>
            <w:vAlign w:val="bottom"/>
          </w:tcPr>
          <w:p>
            <w:pPr>
              <w:spacing w:after="0"/>
              <w:rPr>
                <w:sz w:val="1"/>
                <w:szCs w:val="1"/>
                <w:color w:val="auto"/>
              </w:rPr>
            </w:pPr>
          </w:p>
        </w:tc>
      </w:tr>
      <w:tr>
        <w:trPr>
          <w:trHeight w:val="243"/>
        </w:trPr>
        <w:tc>
          <w:tcPr>
            <w:tcW w:w="760" w:type="dxa"/>
            <w:vAlign w:val="bottom"/>
            <w:vMerge w:val="continue"/>
          </w:tcPr>
          <w:p>
            <w:pPr>
              <w:spacing w:after="0"/>
              <w:rPr>
                <w:sz w:val="21"/>
                <w:szCs w:val="21"/>
                <w:color w:val="auto"/>
              </w:rPr>
            </w:pPr>
          </w:p>
        </w:tc>
        <w:tc>
          <w:tcPr>
            <w:tcW w:w="98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Denmark</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9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w:t>
            </w:r>
          </w:p>
        </w:tc>
        <w:tc>
          <w:tcPr>
            <w:tcW w:w="98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Title of class of securities:</w:t>
            </w:r>
          </w:p>
        </w:tc>
        <w:tc>
          <w:tcPr>
            <w:tcW w:w="0" w:type="dxa"/>
            <w:vAlign w:val="bottom"/>
          </w:tcPr>
          <w:p>
            <w:pPr>
              <w:spacing w:after="0"/>
              <w:rPr>
                <w:sz w:val="1"/>
                <w:szCs w:val="1"/>
                <w:color w:val="auto"/>
              </w:rPr>
            </w:pPr>
          </w:p>
        </w:tc>
      </w:tr>
      <w:tr>
        <w:trPr>
          <w:trHeight w:val="243"/>
        </w:trPr>
        <w:tc>
          <w:tcPr>
            <w:tcW w:w="760" w:type="dxa"/>
            <w:vAlign w:val="bottom"/>
            <w:vMerge w:val="continue"/>
          </w:tcPr>
          <w:p>
            <w:pPr>
              <w:spacing w:after="0"/>
              <w:rPr>
                <w:sz w:val="21"/>
                <w:szCs w:val="21"/>
                <w:color w:val="auto"/>
              </w:rPr>
            </w:pPr>
          </w:p>
        </w:tc>
        <w:tc>
          <w:tcPr>
            <w:tcW w:w="98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Common Stock, par value $0.0001 per share</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9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w:t>
            </w:r>
          </w:p>
        </w:tc>
        <w:tc>
          <w:tcPr>
            <w:tcW w:w="98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CUSIP No.:</w:t>
            </w:r>
          </w:p>
        </w:tc>
        <w:tc>
          <w:tcPr>
            <w:tcW w:w="0" w:type="dxa"/>
            <w:vAlign w:val="bottom"/>
          </w:tcPr>
          <w:p>
            <w:pPr>
              <w:spacing w:after="0"/>
              <w:rPr>
                <w:sz w:val="1"/>
                <w:szCs w:val="1"/>
                <w:color w:val="auto"/>
              </w:rPr>
            </w:pPr>
          </w:p>
        </w:tc>
      </w:tr>
      <w:tr>
        <w:trPr>
          <w:trHeight w:val="243"/>
        </w:trPr>
        <w:tc>
          <w:tcPr>
            <w:tcW w:w="760" w:type="dxa"/>
            <w:vAlign w:val="bottom"/>
            <w:vMerge w:val="continue"/>
          </w:tcPr>
          <w:p>
            <w:pPr>
              <w:spacing w:after="0"/>
              <w:rPr>
                <w:sz w:val="21"/>
                <w:szCs w:val="21"/>
                <w:color w:val="auto"/>
              </w:rPr>
            </w:pPr>
          </w:p>
        </w:tc>
        <w:tc>
          <w:tcPr>
            <w:tcW w:w="98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35104E100</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9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Item 3.</w:t>
            </w:r>
          </w:p>
        </w:tc>
        <w:tc>
          <w:tcPr>
            <w:tcW w:w="986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If this statement is filed pursuant to §§ 240.13d-1(b) or 240.13d-2(b) or (c), check whether the person filing is a:</w:t>
            </w:r>
          </w:p>
        </w:tc>
        <w:tc>
          <w:tcPr>
            <w:tcW w:w="0" w:type="dxa"/>
            <w:vAlign w:val="bottom"/>
          </w:tcPr>
          <w:p>
            <w:pPr>
              <w:spacing w:after="0"/>
              <w:rPr>
                <w:sz w:val="1"/>
                <w:szCs w:val="1"/>
                <w:color w:val="auto"/>
              </w:rPr>
            </w:pPr>
          </w:p>
        </w:tc>
      </w:tr>
      <w:tr>
        <w:trPr>
          <w:trHeight w:val="31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(a)</w:t>
            </w:r>
          </w:p>
        </w:tc>
        <w:tc>
          <w:tcPr>
            <w:tcW w:w="98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tc>
        <w:tc>
          <w:tcPr>
            <w:tcW w:w="0" w:type="dxa"/>
            <w:vAlign w:val="bottom"/>
          </w:tcPr>
          <w:p>
            <w:pPr>
              <w:spacing w:after="0"/>
              <w:rPr>
                <w:sz w:val="1"/>
                <w:szCs w:val="1"/>
                <w:color w:val="auto"/>
              </w:rPr>
            </w:pPr>
          </w:p>
        </w:tc>
      </w:tr>
      <w:tr>
        <w:trPr>
          <w:trHeight w:val="310"/>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w:t>
            </w:r>
          </w:p>
        </w:tc>
        <w:tc>
          <w:tcPr>
            <w:tcW w:w="98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tc>
        <w:tc>
          <w:tcPr>
            <w:tcW w:w="0" w:type="dxa"/>
            <w:vAlign w:val="bottom"/>
          </w:tcPr>
          <w:p>
            <w:pPr>
              <w:spacing w:after="0"/>
              <w:rPr>
                <w:sz w:val="1"/>
                <w:szCs w:val="1"/>
                <w:color w:val="auto"/>
              </w:rPr>
            </w:pPr>
          </w:p>
        </w:tc>
      </w:tr>
      <w:tr>
        <w:trPr>
          <w:trHeight w:val="310"/>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98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tc>
        <w:tc>
          <w:tcPr>
            <w:tcW w:w="0" w:type="dxa"/>
            <w:vAlign w:val="bottom"/>
          </w:tcPr>
          <w:p>
            <w:pPr>
              <w:spacing w:after="0"/>
              <w:rPr>
                <w:sz w:val="1"/>
                <w:szCs w:val="1"/>
                <w:color w:val="auto"/>
              </w:rPr>
            </w:pPr>
          </w:p>
        </w:tc>
      </w:tr>
      <w:tr>
        <w:trPr>
          <w:trHeight w:val="31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(d)</w:t>
            </w:r>
          </w:p>
        </w:tc>
        <w:tc>
          <w:tcPr>
            <w:tcW w:w="986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8"/>
              </w:rPr>
              <w:t>Investment company registered under section 8 of the Investment Company Act of 1940 (15 U.S.C. 80a-8);</w:t>
            </w:r>
          </w:p>
        </w:tc>
        <w:tc>
          <w:tcPr>
            <w:tcW w:w="0" w:type="dxa"/>
            <w:vAlign w:val="bottom"/>
          </w:tcPr>
          <w:p>
            <w:pPr>
              <w:spacing w:after="0"/>
              <w:rPr>
                <w:sz w:val="1"/>
                <w:szCs w:val="1"/>
                <w:color w:val="auto"/>
              </w:rPr>
            </w:pPr>
          </w:p>
        </w:tc>
      </w:tr>
      <w:tr>
        <w:trPr>
          <w:trHeight w:val="31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(e)</w:t>
            </w:r>
          </w:p>
        </w:tc>
        <w:tc>
          <w:tcPr>
            <w:tcW w:w="98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-958215</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-761365</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-563880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-367030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-170180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20" w:h="16858" w:orient="portrait"/>
          <w:cols w:equalWidth="0" w:num="1">
            <w:col w:w="11147"/>
          </w:cols>
          <w:pgMar w:left="373" w:top="161" w:right="398" w:bottom="0" w:gutter="0" w:footer="0" w:header="0"/>
          <w:type w:val="continuous"/>
        </w:sectPr>
      </w:pPr>
    </w:p>
    <w:bookmarkStart w:id="2" w:name="page3"/>
    <w:bookmarkEnd w:id="2"/>
    <w:p>
      <w:pPr>
        <w:ind w:left="927" w:hanging="927"/>
        <w:spacing w:after="0"/>
        <w:tabs>
          <w:tab w:leader="none" w:pos="92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8" w:lineRule="exact"/>
        <w:rPr>
          <w:sz w:val="20"/>
          <w:szCs w:val="20"/>
          <w:color w:val="auto"/>
        </w:rPr>
      </w:pPr>
    </w:p>
    <w:tbl>
      <w:tblPr>
        <w:tblLayout w:type="fixed"/>
        <w:tblInd w:w="7" w:type="dxa"/>
        <w:tblCellMar>
          <w:top w:w="0" w:type="dxa"/>
          <w:left w:w="0" w:type="dxa"/>
          <w:bottom w:w="0" w:type="dxa"/>
          <w:right w:w="0" w:type="dxa"/>
        </w:tblCellMar>
      </w:tblPr>
      <w:tr>
        <w:trPr>
          <w:trHeight w:val="282"/>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(g)</w:t>
            </w:r>
          </w:p>
        </w:tc>
        <w:tc>
          <w:tcPr>
            <w:tcW w:w="986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tc>
        <w:tc>
          <w:tcPr>
            <w:tcW w:w="0" w:type="dxa"/>
            <w:vAlign w:val="bottom"/>
          </w:tcPr>
          <w:p>
            <w:pPr>
              <w:spacing w:after="0"/>
              <w:rPr>
                <w:sz w:val="1"/>
                <w:szCs w:val="1"/>
                <w:color w:val="auto"/>
              </w:rPr>
            </w:pPr>
          </w:p>
        </w:tc>
      </w:tr>
      <w:tr>
        <w:trPr>
          <w:trHeight w:val="310"/>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(h)</w:t>
            </w:r>
          </w:p>
        </w:tc>
        <w:tc>
          <w:tcPr>
            <w:tcW w:w="9860" w:type="dxa"/>
            <w:vAlign w:val="bottom"/>
          </w:tcPr>
          <w:p>
            <w:pPr>
              <w:ind w:left="680"/>
              <w:spacing w:after="0"/>
              <w:rPr>
                <w:sz w:val="20"/>
                <w:szCs w:val="20"/>
                <w:color w:val="auto"/>
              </w:rPr>
            </w:pPr>
            <w:r>
              <w:rPr>
                <w:rFonts w:ascii="Times New Roman" w:cs="Times New Roman" w:eastAsia="Times New Roman" w:hAnsi="Times New Roman"/>
                <w:sz w:val="22"/>
                <w:szCs w:val="22"/>
                <w:color w:val="auto"/>
                <w:w w:val="99"/>
              </w:rPr>
              <w:t>A savings associations as defined in Section 3(b) of the Federal Deposit Insurance Act (12 U.S.C. 1813);</w:t>
            </w:r>
          </w:p>
        </w:tc>
        <w:tc>
          <w:tcPr>
            <w:tcW w:w="0" w:type="dxa"/>
            <w:vAlign w:val="bottom"/>
          </w:tcPr>
          <w:p>
            <w:pPr>
              <w:spacing w:after="0"/>
              <w:rPr>
                <w:sz w:val="1"/>
                <w:szCs w:val="1"/>
                <w:color w:val="auto"/>
              </w:rPr>
            </w:pPr>
          </w:p>
        </w:tc>
      </w:tr>
      <w:tr>
        <w:trPr>
          <w:trHeight w:val="271"/>
        </w:trPr>
        <w:tc>
          <w:tcPr>
            <w:tcW w:w="5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w:t>
            </w:r>
          </w:p>
        </w:tc>
        <w:tc>
          <w:tcPr>
            <w:tcW w:w="9860" w:type="dxa"/>
            <w:vAlign w:val="bottom"/>
          </w:tcPr>
          <w:p>
            <w:pPr>
              <w:ind w:left="680"/>
              <w:spacing w:after="0"/>
              <w:rPr>
                <w:sz w:val="20"/>
                <w:szCs w:val="20"/>
                <w:color w:val="auto"/>
              </w:rPr>
            </w:pPr>
            <w:r>
              <w:rPr>
                <w:rFonts w:ascii="Times New Roman" w:cs="Times New Roman" w:eastAsia="Times New Roman" w:hAnsi="Times New Roman"/>
                <w:sz w:val="22"/>
                <w:szCs w:val="22"/>
                <w:color w:val="auto"/>
                <w:w w:val="97"/>
              </w:rPr>
              <w:t>A church plan that is excluded from the definition of an investment company under section 3(c)(14) of the</w:t>
            </w:r>
          </w:p>
        </w:tc>
        <w:tc>
          <w:tcPr>
            <w:tcW w:w="0" w:type="dxa"/>
            <w:vAlign w:val="bottom"/>
          </w:tcPr>
          <w:p>
            <w:pPr>
              <w:spacing w:after="0"/>
              <w:rPr>
                <w:sz w:val="1"/>
                <w:szCs w:val="1"/>
                <w:color w:val="auto"/>
              </w:rPr>
            </w:pPr>
          </w:p>
        </w:tc>
      </w:tr>
      <w:tr>
        <w:trPr>
          <w:trHeight w:val="161"/>
        </w:trPr>
        <w:tc>
          <w:tcPr>
            <w:tcW w:w="580" w:type="dxa"/>
            <w:vAlign w:val="bottom"/>
            <w:vMerge w:val="continue"/>
          </w:tcPr>
          <w:p>
            <w:pPr>
              <w:spacing w:after="0"/>
              <w:rPr>
                <w:sz w:val="13"/>
                <w:szCs w:val="13"/>
                <w:color w:val="auto"/>
              </w:rPr>
            </w:pPr>
          </w:p>
        </w:tc>
        <w:tc>
          <w:tcPr>
            <w:tcW w:w="98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Investment Company Act of 1940 (15 U.S.C. 80a-3);</w:t>
            </w:r>
          </w:p>
        </w:tc>
        <w:tc>
          <w:tcPr>
            <w:tcW w:w="0" w:type="dxa"/>
            <w:vAlign w:val="bottom"/>
          </w:tcPr>
          <w:p>
            <w:pPr>
              <w:spacing w:after="0"/>
              <w:rPr>
                <w:sz w:val="1"/>
                <w:szCs w:val="1"/>
                <w:color w:val="auto"/>
              </w:rPr>
            </w:pPr>
          </w:p>
        </w:tc>
      </w:tr>
      <w:tr>
        <w:trPr>
          <w:trHeight w:val="122"/>
        </w:trPr>
        <w:tc>
          <w:tcPr>
            <w:tcW w:w="580" w:type="dxa"/>
            <w:vAlign w:val="bottom"/>
          </w:tcPr>
          <w:p>
            <w:pPr>
              <w:spacing w:after="0"/>
              <w:rPr>
                <w:sz w:val="10"/>
                <w:szCs w:val="10"/>
                <w:color w:val="auto"/>
              </w:rPr>
            </w:pPr>
          </w:p>
        </w:tc>
        <w:tc>
          <w:tcPr>
            <w:tcW w:w="9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-718820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-521335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-324485</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27" w:hanging="927"/>
        <w:spacing w:after="0"/>
        <w:tabs>
          <w:tab w:leader="none" w:pos="927"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 240.13d-1(b)(1)(ii)(J),</w:t>
      </w:r>
    </w:p>
    <w:p>
      <w:pPr>
        <w:ind w:left="1307"/>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7" w:hanging="927"/>
        <w:spacing w:after="0"/>
        <w:tabs>
          <w:tab w:leader="none" w:pos="927"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7"/>
        <w:spacing w:after="0"/>
        <w:tabs>
          <w:tab w:leader="none" w:pos="906"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(a)</w:t>
      </w:r>
    </w:p>
    <w:p>
      <w:pPr>
        <w:ind w:left="927"/>
        <w:spacing w:after="0"/>
        <w:rPr>
          <w:sz w:val="20"/>
          <w:szCs w:val="20"/>
          <w:color w:val="auto"/>
        </w:rPr>
      </w:pPr>
      <w:r>
        <w:rPr>
          <w:rFonts w:ascii="Times New Roman" w:cs="Times New Roman" w:eastAsia="Times New Roman" w:hAnsi="Times New Roman"/>
          <w:sz w:val="22"/>
          <w:szCs w:val="22"/>
          <w:color w:val="auto"/>
        </w:rPr>
        <w:t>3,650,737</w:t>
      </w:r>
    </w:p>
    <w:p>
      <w:pPr>
        <w:spacing w:after="0" w:line="20"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(b)</w:t>
      </w:r>
    </w:p>
    <w:p>
      <w:pPr>
        <w:ind w:left="927"/>
        <w:spacing w:after="0"/>
        <w:rPr>
          <w:sz w:val="20"/>
          <w:szCs w:val="20"/>
          <w:color w:val="auto"/>
        </w:rPr>
      </w:pPr>
      <w:r>
        <w:rPr>
          <w:rFonts w:ascii="Times New Roman" w:cs="Times New Roman" w:eastAsia="Times New Roman" w:hAnsi="Times New Roman"/>
          <w:sz w:val="22"/>
          <w:szCs w:val="22"/>
          <w:color w:val="auto"/>
        </w:rPr>
        <w:t>6.4% %</w:t>
      </w:r>
    </w:p>
    <w:p>
      <w:pPr>
        <w:spacing w:after="0" w:line="20" w:lineRule="exact"/>
        <w:rPr>
          <w:sz w:val="20"/>
          <w:szCs w:val="20"/>
          <w:color w:val="auto"/>
        </w:rPr>
      </w:pPr>
    </w:p>
    <w:p>
      <w:pPr>
        <w:ind w:left="927" w:hanging="927"/>
        <w:spacing w:after="0"/>
        <w:tabs>
          <w:tab w:leader="none" w:pos="92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20" w:h="16838" w:orient="portrait"/>
          <w:cols w:equalWidth="0" w:num="1">
            <w:col w:w="11187"/>
          </w:cols>
          <w:pgMar w:left="373" w:top="134" w:right="358" w:bottom="11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4" w:right="6580" w:hanging="4"/>
        <w:spacing w:after="0" w:line="486" w:lineRule="auto"/>
        <w:tabs>
          <w:tab w:leader="none" w:pos="26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3,650,737</w:t>
      </w:r>
    </w:p>
    <w:p>
      <w:pPr>
        <w:spacing w:after="0" w:line="1" w:lineRule="exact"/>
        <w:rPr>
          <w:rFonts w:ascii="Times New Roman" w:cs="Times New Roman" w:eastAsia="Times New Roman" w:hAnsi="Times New Roman"/>
          <w:sz w:val="22"/>
          <w:szCs w:val="22"/>
          <w:color w:val="auto"/>
        </w:rPr>
      </w:pPr>
    </w:p>
    <w:p>
      <w:pPr>
        <w:ind w:left="324" w:hanging="324"/>
        <w:spacing w:after="0"/>
        <w:tabs>
          <w:tab w:leader="none" w:pos="32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4" w:right="5360" w:hanging="4"/>
        <w:spacing w:after="0" w:line="486" w:lineRule="auto"/>
        <w:tabs>
          <w:tab w:leader="none" w:pos="38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3,650,737</w:t>
      </w:r>
    </w:p>
    <w:p>
      <w:pPr>
        <w:spacing w:after="0" w:line="1" w:lineRule="exact"/>
        <w:rPr>
          <w:rFonts w:ascii="Times New Roman" w:cs="Times New Roman" w:eastAsia="Times New Roman" w:hAnsi="Times New Roman"/>
          <w:sz w:val="22"/>
          <w:szCs w:val="22"/>
          <w:color w:val="auto"/>
        </w:rPr>
      </w:pPr>
    </w:p>
    <w:p>
      <w:pPr>
        <w:ind w:left="364" w:hanging="364"/>
        <w:spacing w:after="0"/>
        <w:tabs>
          <w:tab w:leader="none" w:pos="36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 w:right="5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ind w:left="4"/>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20" w:h="16838" w:orient="portrait"/>
          <w:cols w:equalWidth="0" w:num="2">
            <w:col w:w="727" w:space="196"/>
            <w:col w:w="10264"/>
          </w:cols>
          <w:pgMar w:left="373" w:top="134" w:right="358" w:bottom="118" w:gutter="0" w:footer="0" w:header="0"/>
          <w:type w:val="continuous"/>
        </w:sectPr>
      </w:pPr>
    </w:p>
    <w:p>
      <w:pPr>
        <w:ind w:left="927" w:right="2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07"/>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67"/>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87"/>
        <w:spacing w:after="0"/>
        <w:rPr>
          <w:sz w:val="20"/>
          <w:szCs w:val="20"/>
          <w:color w:val="auto"/>
        </w:rPr>
      </w:pPr>
      <w:r>
        <w:rPr>
          <w:rFonts w:ascii="Times New Roman" w:cs="Times New Roman" w:eastAsia="Times New Roman" w:hAnsi="Times New Roman"/>
          <w:sz w:val="22"/>
          <w:szCs w:val="22"/>
          <w:color w:val="auto"/>
        </w:rPr>
        <w:t>Novo Holdings A/S</w:t>
      </w:r>
    </w:p>
    <w:p>
      <w:pPr>
        <w:spacing w:after="0" w:line="152" w:lineRule="exact"/>
        <w:rPr>
          <w:sz w:val="20"/>
          <w:szCs w:val="20"/>
          <w:color w:val="auto"/>
        </w:rPr>
      </w:pPr>
    </w:p>
    <w:p>
      <w:pPr>
        <w:ind w:left="5667"/>
        <w:spacing w:after="0"/>
        <w:tabs>
          <w:tab w:leader="none" w:pos="6726"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Barbara Fiorini</w:t>
      </w:r>
    </w:p>
    <w:p>
      <w:pPr>
        <w:sectPr>
          <w:pgSz w:w="11920" w:h="16838" w:orient="portrait"/>
          <w:cols w:equalWidth="0" w:num="1">
            <w:col w:w="11187"/>
          </w:cols>
          <w:pgMar w:left="373" w:top="134" w:right="358" w:bottom="118" w:gutter="0" w:footer="0" w:header="0"/>
          <w:type w:val="continuous"/>
        </w:sectPr>
      </w:pPr>
    </w:p>
    <w:bookmarkStart w:id="3" w:name="page4"/>
    <w:bookmarkEnd w:id="3"/>
    <w:p>
      <w:pPr>
        <w:ind w:left="4600"/>
        <w:spacing w:after="0" w:line="207" w:lineRule="auto"/>
        <w:rPr>
          <w:sz w:val="20"/>
          <w:szCs w:val="20"/>
          <w:color w:val="auto"/>
        </w:rPr>
      </w:pPr>
      <w:r>
        <w:rPr>
          <w:rFonts w:ascii="Times New Roman" w:cs="Times New Roman" w:eastAsia="Times New Roman" w:hAnsi="Times New Roman"/>
          <w:sz w:val="39"/>
          <w:szCs w:val="39"/>
          <w:color w:val="auto"/>
          <w:vertAlign w:val="subscript"/>
        </w:rPr>
        <w:t>Name/Title:</w:t>
      </w:r>
      <w:r>
        <w:rPr>
          <w:rFonts w:ascii="Times New Roman" w:cs="Times New Roman" w:eastAsia="Times New Roman" w:hAnsi="Times New Roman"/>
          <w:sz w:val="20"/>
          <w:szCs w:val="20"/>
          <w:color w:val="auto"/>
        </w:rPr>
        <w:t xml:space="preserve"> Barbara Fiorini, General Counsel, Finance &amp;</w:t>
      </w:r>
    </w:p>
    <w:p>
      <w:pPr>
        <w:spacing w:after="0" w:line="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Operations</w:t>
      </w:r>
    </w:p>
    <w:p>
      <w:pPr>
        <w:spacing w:after="0" w:line="20" w:lineRule="exact"/>
        <w:rPr>
          <w:sz w:val="20"/>
          <w:szCs w:val="20"/>
          <w:color w:val="auto"/>
        </w:rPr>
      </w:pPr>
    </w:p>
    <w:p>
      <w:pPr>
        <w:ind w:left="4600"/>
        <w:spacing w:after="0"/>
        <w:tabs>
          <w:tab w:leader="none" w:pos="5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sectPr>
      <w:pgSz w:w="11920" w:h="16838" w:orient="portrait"/>
      <w:cols w:equalWidth="0" w:num="1">
        <w:col w:w="9580"/>
      </w:cols>
      <w:pgMar w:left="1440" w:top="0" w:right="89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6"/>
    </w:lvl>
  </w:abstractNum>
  <w:abstractNum w:abstractNumId="4">
    <w:nsid w:val="2EB141F2"/>
    <w:multiLevelType w:val="hybridMultilevel"/>
    <w:lvl w:ilvl="0">
      <w:lvlJc w:val="left"/>
      <w:lvlText w:val="(%1)"/>
      <w:numFmt w:val="lowerLetter"/>
      <w:start w:val="10"/>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2026-02-17T18:02:45Z</dcterms:created>
  <dcterms:modified xsi:type="dcterms:W3CDTF">2026-02-17T18:02:45Z</dcterms:modified>
</cp:coreProperties>
</file>